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15" w:rsidRPr="006920B9" w:rsidRDefault="00315F15" w:rsidP="006920B9">
      <w:pPr>
        <w:spacing w:before="120" w:after="120" w:line="276" w:lineRule="auto"/>
        <w:rPr>
          <w:rFonts w:ascii="Arial" w:hAnsi="Arial" w:cs="Arial"/>
          <w:b/>
          <w:sz w:val="30"/>
        </w:rPr>
      </w:pPr>
      <w:r w:rsidRPr="006920B9">
        <w:rPr>
          <w:rFonts w:ascii="Arial" w:hAnsi="Arial" w:cs="Arial"/>
          <w:b/>
          <w:sz w:val="30"/>
        </w:rPr>
        <w:t>SPECIFICATION - REQUIREMENTS</w:t>
      </w:r>
    </w:p>
    <w:p w:rsidR="00315F15" w:rsidRPr="006920B9" w:rsidRDefault="00315F15" w:rsidP="006920B9">
      <w:pPr>
        <w:spacing w:before="120" w:after="120" w:line="276" w:lineRule="auto"/>
        <w:rPr>
          <w:rFonts w:ascii="Arial" w:hAnsi="Arial" w:cs="Arial"/>
          <w:b/>
        </w:rPr>
      </w:pPr>
      <w:r w:rsidRPr="006920B9">
        <w:rPr>
          <w:rFonts w:ascii="Arial" w:hAnsi="Arial" w:cs="Arial"/>
          <w:b/>
        </w:rPr>
        <w:t>1</w:t>
      </w:r>
      <w:r w:rsidRPr="006920B9">
        <w:rPr>
          <w:rFonts w:ascii="Arial" w:hAnsi="Arial" w:cs="Arial"/>
          <w:b/>
        </w:rPr>
        <w:tab/>
        <w:t>Introduction</w:t>
      </w:r>
    </w:p>
    <w:p w:rsidR="00315F15" w:rsidRPr="00CD0FC4" w:rsidRDefault="00D04265" w:rsidP="006920B9">
      <w:pPr>
        <w:spacing w:before="120" w:after="120" w:line="276" w:lineRule="auto"/>
        <w:ind w:left="720" w:hanging="720"/>
        <w:jc w:val="both"/>
        <w:rPr>
          <w:rFonts w:ascii="Arial" w:hAnsi="Arial" w:cs="Arial"/>
        </w:rPr>
      </w:pPr>
      <w:r w:rsidRPr="00CD0FC4">
        <w:rPr>
          <w:rFonts w:ascii="Arial" w:hAnsi="Arial" w:cs="Arial"/>
        </w:rPr>
        <w:t>1.</w:t>
      </w:r>
      <w:r w:rsidR="00AE0C5C" w:rsidRPr="00CD0FC4">
        <w:rPr>
          <w:rFonts w:ascii="Arial" w:hAnsi="Arial" w:cs="Arial"/>
        </w:rPr>
        <w:t>1</w:t>
      </w:r>
      <w:r w:rsidRPr="00CD0FC4">
        <w:rPr>
          <w:rFonts w:ascii="Arial" w:hAnsi="Arial" w:cs="Arial"/>
        </w:rPr>
        <w:tab/>
      </w:r>
      <w:r w:rsidR="006920B9" w:rsidRPr="00CD0FC4">
        <w:rPr>
          <w:rFonts w:ascii="Arial" w:hAnsi="Arial" w:cs="Arial"/>
        </w:rPr>
        <w:t>F&amp;HDC</w:t>
      </w:r>
      <w:r w:rsidRPr="00CD0FC4">
        <w:rPr>
          <w:rFonts w:ascii="Arial" w:hAnsi="Arial" w:cs="Arial"/>
        </w:rPr>
        <w:t>’s</w:t>
      </w:r>
      <w:r w:rsidR="00AE0C5C" w:rsidRPr="00CD0FC4">
        <w:rPr>
          <w:rFonts w:ascii="Arial" w:hAnsi="Arial" w:cs="Arial"/>
        </w:rPr>
        <w:t xml:space="preserve"> net expenditure for 2021/22 before use of reserves is £20m. The balance</w:t>
      </w:r>
      <w:r w:rsidRPr="00CD0FC4">
        <w:rPr>
          <w:rFonts w:ascii="Arial" w:hAnsi="Arial" w:cs="Arial"/>
        </w:rPr>
        <w:t xml:space="preserve"> sheet position remains strong with</w:t>
      </w:r>
      <w:r w:rsidR="00CD0FC4" w:rsidRPr="00CD0FC4">
        <w:rPr>
          <w:rFonts w:ascii="Arial" w:hAnsi="Arial" w:cs="Arial"/>
        </w:rPr>
        <w:t xml:space="preserve"> ear-marked usable reserves at 31 March 2021 of £56.3m. General fund ear-marked reserves account for </w:t>
      </w:r>
      <w:r w:rsidRPr="00CD0FC4">
        <w:rPr>
          <w:rFonts w:ascii="Arial" w:hAnsi="Arial" w:cs="Arial"/>
        </w:rPr>
        <w:t>£</w:t>
      </w:r>
      <w:r w:rsidR="00AE0C5C" w:rsidRPr="00CD0FC4">
        <w:rPr>
          <w:rFonts w:ascii="Arial" w:hAnsi="Arial" w:cs="Arial"/>
        </w:rPr>
        <w:t>23.5m</w:t>
      </w:r>
      <w:r w:rsidRPr="00CD0FC4">
        <w:rPr>
          <w:rFonts w:ascii="Arial" w:hAnsi="Arial" w:cs="Arial"/>
        </w:rPr>
        <w:t xml:space="preserve"> </w:t>
      </w:r>
      <w:r w:rsidR="00CD0FC4" w:rsidRPr="00CD0FC4">
        <w:rPr>
          <w:rFonts w:ascii="Arial" w:hAnsi="Arial" w:cs="Arial"/>
        </w:rPr>
        <w:t xml:space="preserve">of this, </w:t>
      </w:r>
      <w:r w:rsidRPr="00CD0FC4">
        <w:rPr>
          <w:rFonts w:ascii="Arial" w:hAnsi="Arial" w:cs="Arial"/>
        </w:rPr>
        <w:t xml:space="preserve">being set aside for significant service improvement initiatives.  </w:t>
      </w:r>
    </w:p>
    <w:p w:rsidR="00315F15" w:rsidRPr="006920B9" w:rsidRDefault="00315F15" w:rsidP="006920B9">
      <w:pPr>
        <w:spacing w:before="120" w:after="120" w:line="276" w:lineRule="auto"/>
        <w:rPr>
          <w:rFonts w:ascii="Arial" w:hAnsi="Arial" w:cs="Arial"/>
        </w:rPr>
      </w:pPr>
    </w:p>
    <w:p w:rsidR="00315F15" w:rsidRPr="006920B9" w:rsidRDefault="00315F15" w:rsidP="006920B9">
      <w:pPr>
        <w:spacing w:before="120" w:after="120" w:line="276" w:lineRule="auto"/>
        <w:rPr>
          <w:rFonts w:ascii="Arial" w:hAnsi="Arial" w:cs="Arial"/>
          <w:b/>
        </w:rPr>
      </w:pPr>
      <w:r w:rsidRPr="006920B9">
        <w:rPr>
          <w:rFonts w:ascii="Arial" w:hAnsi="Arial" w:cs="Arial"/>
          <w:b/>
        </w:rPr>
        <w:t>2</w:t>
      </w:r>
      <w:r w:rsidRPr="006920B9">
        <w:rPr>
          <w:rFonts w:ascii="Arial" w:hAnsi="Arial" w:cs="Arial"/>
          <w:b/>
        </w:rPr>
        <w:tab/>
        <w:t>Scope</w:t>
      </w:r>
    </w:p>
    <w:p w:rsidR="00D04265" w:rsidRPr="006920B9" w:rsidRDefault="00D04265" w:rsidP="006920B9">
      <w:pPr>
        <w:spacing w:before="120" w:after="120" w:line="276" w:lineRule="auto"/>
        <w:ind w:left="720" w:hanging="720"/>
        <w:jc w:val="both"/>
        <w:rPr>
          <w:rFonts w:ascii="Arial" w:hAnsi="Arial" w:cs="Arial"/>
        </w:rPr>
      </w:pPr>
      <w:r w:rsidRPr="006920B9">
        <w:rPr>
          <w:rFonts w:ascii="Arial" w:hAnsi="Arial" w:cs="Arial"/>
        </w:rPr>
        <w:t>2.1</w:t>
      </w:r>
      <w:r w:rsidRPr="006920B9">
        <w:rPr>
          <w:rFonts w:ascii="Arial" w:hAnsi="Arial" w:cs="Arial"/>
        </w:rPr>
        <w:tab/>
        <w:t xml:space="preserve">Treasury management functions are carried out by </w:t>
      </w:r>
      <w:r w:rsidR="006920B9">
        <w:rPr>
          <w:rFonts w:ascii="Arial" w:hAnsi="Arial" w:cs="Arial"/>
        </w:rPr>
        <w:t xml:space="preserve">F&amp;HDC's </w:t>
      </w:r>
      <w:r w:rsidRPr="006920B9">
        <w:rPr>
          <w:rFonts w:ascii="Arial" w:hAnsi="Arial" w:cs="Arial"/>
        </w:rPr>
        <w:t>in</w:t>
      </w:r>
      <w:r w:rsidR="006920B9">
        <w:rPr>
          <w:rFonts w:ascii="Arial" w:hAnsi="Arial" w:cs="Arial"/>
        </w:rPr>
        <w:t>-</w:t>
      </w:r>
      <w:r w:rsidRPr="006920B9">
        <w:rPr>
          <w:rFonts w:ascii="Arial" w:hAnsi="Arial" w:cs="Arial"/>
        </w:rPr>
        <w:t xml:space="preserve">house finance team.  This team is responsible for providing the information to enable senior management and members make responsible investment and borrowing decisions. They report on treasury management activities to senior managers and elected Members as well as forecasting and monitoring the capital financing and interest balances budgets, modelling scenarios for effective use of </w:t>
      </w:r>
      <w:r w:rsidR="006920B9">
        <w:rPr>
          <w:rFonts w:ascii="Arial" w:hAnsi="Arial" w:cs="Arial"/>
        </w:rPr>
        <w:t>F&amp;HDC</w:t>
      </w:r>
      <w:r w:rsidRPr="006920B9">
        <w:rPr>
          <w:rFonts w:ascii="Arial" w:hAnsi="Arial" w:cs="Arial"/>
        </w:rPr>
        <w:t>’s resources, financial accounting for treasury activities and production of policy and procedural documentation.</w:t>
      </w:r>
      <w:r w:rsidR="00AE0C5C" w:rsidRPr="006920B9">
        <w:rPr>
          <w:rFonts w:ascii="Arial" w:hAnsi="Arial" w:cs="Arial"/>
        </w:rPr>
        <w:t xml:space="preserve"> </w:t>
      </w:r>
      <w:r w:rsidRPr="006920B9">
        <w:rPr>
          <w:rFonts w:ascii="Arial" w:hAnsi="Arial" w:cs="Arial"/>
        </w:rPr>
        <w:t>F</w:t>
      </w:r>
      <w:r w:rsidR="004F3507" w:rsidRPr="006920B9">
        <w:rPr>
          <w:rFonts w:ascii="Arial" w:hAnsi="Arial" w:cs="Arial"/>
        </w:rPr>
        <w:t>or contex</w:t>
      </w:r>
      <w:r w:rsidRPr="006920B9">
        <w:rPr>
          <w:rFonts w:ascii="Arial" w:hAnsi="Arial" w:cs="Arial"/>
        </w:rPr>
        <w:t>t, the following table provides a profile of treasury management activities for 2020/21:</w:t>
      </w:r>
    </w:p>
    <w:tbl>
      <w:tblPr>
        <w:tblStyle w:val="TableGrid"/>
        <w:tblW w:w="8155" w:type="dxa"/>
        <w:tblInd w:w="771" w:type="dxa"/>
        <w:tblLook w:val="04A0" w:firstRow="1" w:lastRow="0" w:firstColumn="1" w:lastColumn="0" w:noHBand="0" w:noVBand="1"/>
      </w:tblPr>
      <w:tblGrid>
        <w:gridCol w:w="6737"/>
        <w:gridCol w:w="1418"/>
      </w:tblGrid>
      <w:tr w:rsidR="00D04265" w:rsidRPr="006920B9" w:rsidTr="00D04265">
        <w:tc>
          <w:tcPr>
            <w:tcW w:w="6737" w:type="dxa"/>
          </w:tcPr>
          <w:p w:rsidR="00D04265" w:rsidRPr="006920B9" w:rsidRDefault="00D04265" w:rsidP="006920B9">
            <w:pPr>
              <w:spacing w:before="120" w:after="120" w:line="276" w:lineRule="auto"/>
              <w:rPr>
                <w:rFonts w:ascii="Arial" w:hAnsi="Arial" w:cs="Arial"/>
                <w:b/>
              </w:rPr>
            </w:pPr>
            <w:r w:rsidRPr="006920B9">
              <w:rPr>
                <w:rFonts w:ascii="Arial" w:hAnsi="Arial" w:cs="Arial"/>
                <w:b/>
              </w:rPr>
              <w:t>Investments</w:t>
            </w:r>
          </w:p>
        </w:tc>
        <w:tc>
          <w:tcPr>
            <w:tcW w:w="1418" w:type="dxa"/>
          </w:tcPr>
          <w:p w:rsidR="00D04265" w:rsidRPr="006920B9" w:rsidRDefault="00D04265" w:rsidP="006920B9">
            <w:pPr>
              <w:spacing w:before="120" w:after="120" w:line="276" w:lineRule="auto"/>
              <w:rPr>
                <w:rFonts w:ascii="Arial" w:hAnsi="Arial" w:cs="Arial"/>
              </w:rPr>
            </w:pPr>
          </w:p>
        </w:tc>
      </w:tr>
      <w:tr w:rsidR="00D04265" w:rsidRPr="006920B9" w:rsidTr="00D04265">
        <w:tc>
          <w:tcPr>
            <w:tcW w:w="6737" w:type="dxa"/>
          </w:tcPr>
          <w:p w:rsidR="00D04265" w:rsidRPr="00CD0FC4" w:rsidRDefault="00D04265" w:rsidP="006920B9">
            <w:pPr>
              <w:spacing w:before="120" w:after="120" w:line="276" w:lineRule="auto"/>
              <w:rPr>
                <w:rFonts w:ascii="Arial" w:hAnsi="Arial" w:cs="Arial"/>
              </w:rPr>
            </w:pPr>
            <w:r w:rsidRPr="00CD0FC4">
              <w:rPr>
                <w:rFonts w:ascii="Arial" w:hAnsi="Arial" w:cs="Arial"/>
              </w:rPr>
              <w:t>Investment Balance as at 31/3/2021</w:t>
            </w:r>
          </w:p>
        </w:tc>
        <w:tc>
          <w:tcPr>
            <w:tcW w:w="1418" w:type="dxa"/>
          </w:tcPr>
          <w:p w:rsidR="00D04265" w:rsidRPr="00CD0FC4" w:rsidRDefault="00290334" w:rsidP="006920B9">
            <w:pPr>
              <w:spacing w:before="120" w:after="120" w:line="276" w:lineRule="auto"/>
              <w:rPr>
                <w:rFonts w:ascii="Arial" w:hAnsi="Arial" w:cs="Arial"/>
              </w:rPr>
            </w:pPr>
            <w:r w:rsidRPr="00CD0FC4">
              <w:rPr>
                <w:rFonts w:ascii="Arial" w:hAnsi="Arial" w:cs="Arial"/>
              </w:rPr>
              <w:t>£18.8</w:t>
            </w:r>
            <w:r w:rsidR="00D04265" w:rsidRPr="00CD0FC4">
              <w:rPr>
                <w:rFonts w:ascii="Arial" w:hAnsi="Arial" w:cs="Arial"/>
              </w:rPr>
              <w:t>m</w:t>
            </w:r>
          </w:p>
        </w:tc>
      </w:tr>
      <w:tr w:rsidR="00D04265" w:rsidRPr="006920B9" w:rsidTr="00D04265">
        <w:tc>
          <w:tcPr>
            <w:tcW w:w="6737" w:type="dxa"/>
          </w:tcPr>
          <w:p w:rsidR="00D04265" w:rsidRPr="00CD0FC4" w:rsidRDefault="00291393" w:rsidP="006920B9">
            <w:pPr>
              <w:spacing w:before="120" w:after="120" w:line="276" w:lineRule="auto"/>
              <w:rPr>
                <w:rFonts w:ascii="Arial" w:hAnsi="Arial" w:cs="Arial"/>
              </w:rPr>
            </w:pPr>
            <w:r>
              <w:rPr>
                <w:rFonts w:ascii="Arial" w:hAnsi="Arial" w:cs="Arial"/>
              </w:rPr>
              <w:t>Weighted Average M</w:t>
            </w:r>
            <w:r w:rsidR="00D04265" w:rsidRPr="00CD0FC4">
              <w:rPr>
                <w:rFonts w:ascii="Arial" w:hAnsi="Arial" w:cs="Arial"/>
              </w:rPr>
              <w:t>aturity (WAM) at 31/3/2021</w:t>
            </w:r>
          </w:p>
        </w:tc>
        <w:tc>
          <w:tcPr>
            <w:tcW w:w="1418" w:type="dxa"/>
          </w:tcPr>
          <w:p w:rsidR="00D04265" w:rsidRPr="00CD0FC4" w:rsidRDefault="00290334" w:rsidP="006920B9">
            <w:pPr>
              <w:spacing w:before="120" w:after="120" w:line="276" w:lineRule="auto"/>
              <w:rPr>
                <w:rFonts w:ascii="Arial" w:hAnsi="Arial" w:cs="Arial"/>
              </w:rPr>
            </w:pPr>
            <w:r w:rsidRPr="00CD0FC4">
              <w:rPr>
                <w:rFonts w:ascii="Arial" w:hAnsi="Arial" w:cs="Arial"/>
              </w:rPr>
              <w:t xml:space="preserve">19 </w:t>
            </w:r>
            <w:r w:rsidR="004F3507" w:rsidRPr="00CD0FC4">
              <w:rPr>
                <w:rFonts w:ascii="Arial" w:hAnsi="Arial" w:cs="Arial"/>
              </w:rPr>
              <w:t>days</w:t>
            </w:r>
          </w:p>
        </w:tc>
      </w:tr>
      <w:tr w:rsidR="00D04265" w:rsidRPr="006920B9" w:rsidTr="00D04265">
        <w:tc>
          <w:tcPr>
            <w:tcW w:w="6737" w:type="dxa"/>
          </w:tcPr>
          <w:p w:rsidR="00D04265" w:rsidRPr="00CD0FC4" w:rsidRDefault="004F3507" w:rsidP="006920B9">
            <w:pPr>
              <w:spacing w:before="120" w:after="120" w:line="276" w:lineRule="auto"/>
              <w:rPr>
                <w:rFonts w:ascii="Arial" w:hAnsi="Arial" w:cs="Arial"/>
              </w:rPr>
            </w:pPr>
            <w:r w:rsidRPr="00CD0FC4">
              <w:rPr>
                <w:rFonts w:ascii="Arial" w:hAnsi="Arial" w:cs="Arial"/>
              </w:rPr>
              <w:t>Average Interest Rate Returned in 2020/21</w:t>
            </w:r>
          </w:p>
        </w:tc>
        <w:tc>
          <w:tcPr>
            <w:tcW w:w="1418" w:type="dxa"/>
          </w:tcPr>
          <w:p w:rsidR="00D04265" w:rsidRPr="00CD0FC4" w:rsidRDefault="00290334" w:rsidP="006920B9">
            <w:pPr>
              <w:spacing w:before="120" w:after="120" w:line="276" w:lineRule="auto"/>
              <w:rPr>
                <w:rFonts w:ascii="Arial" w:hAnsi="Arial" w:cs="Arial"/>
              </w:rPr>
            </w:pPr>
            <w:r w:rsidRPr="00CD0FC4">
              <w:rPr>
                <w:rFonts w:ascii="Arial" w:hAnsi="Arial" w:cs="Arial"/>
              </w:rPr>
              <w:t>2.00</w:t>
            </w:r>
            <w:r w:rsidR="004F3507" w:rsidRPr="00CD0FC4">
              <w:rPr>
                <w:rFonts w:ascii="Arial" w:hAnsi="Arial" w:cs="Arial"/>
              </w:rPr>
              <w:t>%</w:t>
            </w:r>
          </w:p>
        </w:tc>
      </w:tr>
      <w:tr w:rsidR="00D04265" w:rsidRPr="006920B9" w:rsidTr="00D04265">
        <w:tc>
          <w:tcPr>
            <w:tcW w:w="6737" w:type="dxa"/>
          </w:tcPr>
          <w:p w:rsidR="00D04265" w:rsidRPr="00CD0FC4" w:rsidRDefault="004F3507" w:rsidP="006920B9">
            <w:pPr>
              <w:spacing w:before="120" w:after="120" w:line="276" w:lineRule="auto"/>
              <w:rPr>
                <w:rFonts w:ascii="Arial" w:hAnsi="Arial" w:cs="Arial"/>
                <w:b/>
              </w:rPr>
            </w:pPr>
            <w:r w:rsidRPr="00CD0FC4">
              <w:rPr>
                <w:rFonts w:ascii="Arial" w:hAnsi="Arial" w:cs="Arial"/>
                <w:b/>
              </w:rPr>
              <w:t>Borrowing</w:t>
            </w:r>
          </w:p>
        </w:tc>
        <w:tc>
          <w:tcPr>
            <w:tcW w:w="1418" w:type="dxa"/>
          </w:tcPr>
          <w:p w:rsidR="00D04265" w:rsidRPr="00CD0FC4" w:rsidRDefault="00D04265" w:rsidP="006920B9">
            <w:pPr>
              <w:spacing w:before="120" w:after="120" w:line="276" w:lineRule="auto"/>
              <w:rPr>
                <w:rFonts w:ascii="Arial" w:hAnsi="Arial" w:cs="Arial"/>
              </w:rPr>
            </w:pPr>
          </w:p>
        </w:tc>
      </w:tr>
      <w:tr w:rsidR="00D04265" w:rsidRPr="006920B9" w:rsidTr="00D04265">
        <w:tc>
          <w:tcPr>
            <w:tcW w:w="6737" w:type="dxa"/>
          </w:tcPr>
          <w:p w:rsidR="00D04265" w:rsidRPr="00CD0FC4" w:rsidRDefault="004F3507" w:rsidP="006920B9">
            <w:pPr>
              <w:spacing w:before="120" w:after="120" w:line="276" w:lineRule="auto"/>
              <w:rPr>
                <w:rFonts w:ascii="Arial" w:hAnsi="Arial" w:cs="Arial"/>
              </w:rPr>
            </w:pPr>
            <w:r w:rsidRPr="00CD0FC4">
              <w:rPr>
                <w:rFonts w:ascii="Arial" w:hAnsi="Arial" w:cs="Arial"/>
              </w:rPr>
              <w:t>Capital Financing Requirement (CFR) at 31/3/2021</w:t>
            </w:r>
          </w:p>
        </w:tc>
        <w:tc>
          <w:tcPr>
            <w:tcW w:w="1418" w:type="dxa"/>
          </w:tcPr>
          <w:p w:rsidR="00D04265" w:rsidRPr="00CD0FC4" w:rsidRDefault="00290334" w:rsidP="006920B9">
            <w:pPr>
              <w:spacing w:before="120" w:after="120" w:line="276" w:lineRule="auto"/>
              <w:rPr>
                <w:rFonts w:ascii="Arial" w:hAnsi="Arial" w:cs="Arial"/>
              </w:rPr>
            </w:pPr>
            <w:r w:rsidRPr="00CD0FC4">
              <w:rPr>
                <w:rFonts w:ascii="Arial" w:hAnsi="Arial" w:cs="Arial"/>
              </w:rPr>
              <w:t>£126.9</w:t>
            </w:r>
            <w:r w:rsidR="004F3507" w:rsidRPr="00CD0FC4">
              <w:rPr>
                <w:rFonts w:ascii="Arial" w:hAnsi="Arial" w:cs="Arial"/>
              </w:rPr>
              <w:t>m</w:t>
            </w:r>
          </w:p>
        </w:tc>
      </w:tr>
      <w:tr w:rsidR="00D04265" w:rsidRPr="006920B9" w:rsidTr="00D04265">
        <w:tc>
          <w:tcPr>
            <w:tcW w:w="6737" w:type="dxa"/>
          </w:tcPr>
          <w:p w:rsidR="00D04265" w:rsidRPr="00CD0FC4" w:rsidRDefault="004F3507" w:rsidP="006920B9">
            <w:pPr>
              <w:spacing w:before="120" w:after="120" w:line="276" w:lineRule="auto"/>
              <w:rPr>
                <w:rFonts w:ascii="Arial" w:hAnsi="Arial" w:cs="Arial"/>
              </w:rPr>
            </w:pPr>
            <w:r w:rsidRPr="00CD0FC4">
              <w:rPr>
                <w:rFonts w:ascii="Arial" w:hAnsi="Arial" w:cs="Arial"/>
              </w:rPr>
              <w:t>External Borrowing at 31/3/2021 (PWLB)</w:t>
            </w:r>
          </w:p>
        </w:tc>
        <w:tc>
          <w:tcPr>
            <w:tcW w:w="1418" w:type="dxa"/>
          </w:tcPr>
          <w:p w:rsidR="00D04265" w:rsidRPr="00CD0FC4" w:rsidRDefault="00290334" w:rsidP="006920B9">
            <w:pPr>
              <w:spacing w:before="120" w:after="120" w:line="276" w:lineRule="auto"/>
              <w:rPr>
                <w:rFonts w:ascii="Arial" w:hAnsi="Arial" w:cs="Arial"/>
              </w:rPr>
            </w:pPr>
            <w:r w:rsidRPr="00CD0FC4">
              <w:rPr>
                <w:rFonts w:ascii="Arial" w:hAnsi="Arial" w:cs="Arial"/>
              </w:rPr>
              <w:t>£79</w:t>
            </w:r>
            <w:r w:rsidR="004F3507" w:rsidRPr="00CD0FC4">
              <w:rPr>
                <w:rFonts w:ascii="Arial" w:hAnsi="Arial" w:cs="Arial"/>
              </w:rPr>
              <w:t>m</w:t>
            </w:r>
          </w:p>
        </w:tc>
      </w:tr>
      <w:tr w:rsidR="00D04265" w:rsidRPr="006920B9" w:rsidTr="00D04265">
        <w:tc>
          <w:tcPr>
            <w:tcW w:w="6737" w:type="dxa"/>
          </w:tcPr>
          <w:p w:rsidR="00D04265" w:rsidRPr="00CD0FC4" w:rsidRDefault="004F3507" w:rsidP="006920B9">
            <w:pPr>
              <w:spacing w:before="120" w:after="120" w:line="276" w:lineRule="auto"/>
              <w:rPr>
                <w:rFonts w:ascii="Arial" w:hAnsi="Arial" w:cs="Arial"/>
              </w:rPr>
            </w:pPr>
            <w:r w:rsidRPr="00CD0FC4">
              <w:rPr>
                <w:rFonts w:ascii="Arial" w:hAnsi="Arial" w:cs="Arial"/>
              </w:rPr>
              <w:t>Average Interest Rate Paid in 2020/21</w:t>
            </w:r>
          </w:p>
        </w:tc>
        <w:tc>
          <w:tcPr>
            <w:tcW w:w="1418" w:type="dxa"/>
          </w:tcPr>
          <w:p w:rsidR="00D04265" w:rsidRPr="00CD0FC4" w:rsidRDefault="00290334" w:rsidP="006920B9">
            <w:pPr>
              <w:spacing w:before="120" w:after="120" w:line="276" w:lineRule="auto"/>
              <w:rPr>
                <w:rFonts w:ascii="Arial" w:hAnsi="Arial" w:cs="Arial"/>
              </w:rPr>
            </w:pPr>
            <w:r w:rsidRPr="00CD0FC4">
              <w:rPr>
                <w:rFonts w:ascii="Arial" w:hAnsi="Arial" w:cs="Arial"/>
              </w:rPr>
              <w:t>3.14</w:t>
            </w:r>
            <w:r w:rsidR="004F3507" w:rsidRPr="00CD0FC4">
              <w:rPr>
                <w:rFonts w:ascii="Arial" w:hAnsi="Arial" w:cs="Arial"/>
              </w:rPr>
              <w:t>%</w:t>
            </w:r>
          </w:p>
        </w:tc>
      </w:tr>
    </w:tbl>
    <w:p w:rsidR="00D04265" w:rsidRPr="006920B9" w:rsidRDefault="00D04265" w:rsidP="006920B9">
      <w:pPr>
        <w:spacing w:before="120" w:after="120" w:line="276" w:lineRule="auto"/>
        <w:rPr>
          <w:rFonts w:ascii="Arial" w:hAnsi="Arial" w:cs="Arial"/>
        </w:rPr>
      </w:pPr>
    </w:p>
    <w:p w:rsidR="00315F15" w:rsidRPr="006920B9" w:rsidRDefault="00315F15" w:rsidP="006920B9">
      <w:pPr>
        <w:spacing w:before="120" w:after="120" w:line="276" w:lineRule="auto"/>
        <w:rPr>
          <w:rFonts w:ascii="Arial" w:hAnsi="Arial" w:cs="Arial"/>
          <w:b/>
        </w:rPr>
      </w:pPr>
      <w:r w:rsidRPr="006920B9">
        <w:rPr>
          <w:rFonts w:ascii="Arial" w:hAnsi="Arial" w:cs="Arial"/>
          <w:b/>
        </w:rPr>
        <w:t>3</w:t>
      </w:r>
      <w:r w:rsidRPr="006920B9">
        <w:rPr>
          <w:rFonts w:ascii="Arial" w:hAnsi="Arial" w:cs="Arial"/>
          <w:b/>
        </w:rPr>
        <w:tab/>
        <w:t>Core Requirement</w:t>
      </w:r>
    </w:p>
    <w:p w:rsidR="00E81A9F" w:rsidRPr="006920B9" w:rsidRDefault="00312BDC" w:rsidP="006920B9">
      <w:pPr>
        <w:spacing w:before="120" w:after="120" w:line="276" w:lineRule="auto"/>
        <w:ind w:left="709"/>
        <w:rPr>
          <w:rFonts w:ascii="Arial" w:hAnsi="Arial" w:cs="Arial"/>
          <w:b/>
        </w:rPr>
      </w:pPr>
      <w:r w:rsidRPr="006920B9">
        <w:rPr>
          <w:rFonts w:ascii="Arial" w:hAnsi="Arial" w:cs="Arial"/>
          <w:b/>
        </w:rPr>
        <w:t>Economic Advice and Interest Rate Forecasting</w:t>
      </w:r>
    </w:p>
    <w:p w:rsidR="00E81A9F" w:rsidRPr="006920B9" w:rsidRDefault="00312BDC" w:rsidP="006920B9">
      <w:pPr>
        <w:spacing w:before="120" w:after="120" w:line="276" w:lineRule="auto"/>
        <w:ind w:left="720" w:hanging="720"/>
        <w:jc w:val="both"/>
        <w:rPr>
          <w:rFonts w:ascii="Arial" w:hAnsi="Arial" w:cs="Arial"/>
        </w:rPr>
      </w:pPr>
      <w:r w:rsidRPr="006920B9">
        <w:rPr>
          <w:rFonts w:ascii="Arial" w:hAnsi="Arial" w:cs="Arial"/>
        </w:rPr>
        <w:t>3.1</w:t>
      </w:r>
      <w:r w:rsidRPr="006920B9">
        <w:rPr>
          <w:rFonts w:ascii="Arial" w:hAnsi="Arial" w:cs="Arial"/>
        </w:rPr>
        <w:tab/>
      </w:r>
      <w:r w:rsidR="00037637" w:rsidRPr="006920B9">
        <w:rPr>
          <w:rFonts w:ascii="Arial" w:hAnsi="Arial" w:cs="Arial"/>
        </w:rPr>
        <w:t xml:space="preserve">Provision </w:t>
      </w:r>
      <w:r w:rsidR="00E81A9F" w:rsidRPr="006920B9">
        <w:rPr>
          <w:rFonts w:ascii="Arial" w:hAnsi="Arial" w:cs="Arial"/>
        </w:rPr>
        <w:t>of i</w:t>
      </w:r>
      <w:r w:rsidR="00C74557" w:rsidRPr="006920B9">
        <w:rPr>
          <w:rFonts w:ascii="Arial" w:hAnsi="Arial" w:cs="Arial"/>
        </w:rPr>
        <w:t>ntra-day PWLB rates</w:t>
      </w:r>
      <w:r w:rsidR="00037637" w:rsidRPr="006920B9">
        <w:rPr>
          <w:rFonts w:ascii="Arial" w:hAnsi="Arial" w:cs="Arial"/>
        </w:rPr>
        <w:t xml:space="preserve"> by email or </w:t>
      </w:r>
      <w:r w:rsidR="00EE1BC0" w:rsidRPr="006920B9">
        <w:rPr>
          <w:rFonts w:ascii="Arial" w:hAnsi="Arial" w:cs="Arial"/>
        </w:rPr>
        <w:t>through your client web portal</w:t>
      </w:r>
      <w:r w:rsidR="00E81A9F" w:rsidRPr="006920B9">
        <w:rPr>
          <w:rFonts w:ascii="Arial" w:hAnsi="Arial" w:cs="Arial"/>
        </w:rPr>
        <w:t>.</w:t>
      </w:r>
    </w:p>
    <w:p w:rsidR="00C74557" w:rsidRPr="006920B9" w:rsidRDefault="00312BDC" w:rsidP="006920B9">
      <w:pPr>
        <w:spacing w:before="120" w:after="120" w:line="276" w:lineRule="auto"/>
        <w:ind w:left="720" w:hanging="720"/>
        <w:jc w:val="both"/>
        <w:rPr>
          <w:rFonts w:ascii="Arial" w:hAnsi="Arial" w:cs="Arial"/>
        </w:rPr>
      </w:pPr>
      <w:r w:rsidRPr="006920B9">
        <w:rPr>
          <w:rFonts w:ascii="Arial" w:hAnsi="Arial" w:cs="Arial"/>
        </w:rPr>
        <w:t>3.2</w:t>
      </w:r>
      <w:r w:rsidRPr="006920B9">
        <w:rPr>
          <w:rFonts w:ascii="Arial" w:hAnsi="Arial" w:cs="Arial"/>
        </w:rPr>
        <w:tab/>
      </w:r>
      <w:r w:rsidR="00C74557" w:rsidRPr="006920B9">
        <w:rPr>
          <w:rFonts w:ascii="Arial" w:hAnsi="Arial" w:cs="Arial"/>
        </w:rPr>
        <w:t xml:space="preserve">Forecasting and notification of imminent changes to PWLB rates given regard to </w:t>
      </w:r>
      <w:r w:rsidR="006920B9">
        <w:rPr>
          <w:rFonts w:ascii="Arial" w:hAnsi="Arial" w:cs="Arial"/>
        </w:rPr>
        <w:t>F&amp;HDC</w:t>
      </w:r>
      <w:r w:rsidR="00C74557" w:rsidRPr="006920B9">
        <w:rPr>
          <w:rFonts w:ascii="Arial" w:hAnsi="Arial" w:cs="Arial"/>
        </w:rPr>
        <w:t>’s underlying borrowing strategy</w:t>
      </w:r>
      <w:r w:rsidR="00EE1BC0" w:rsidRPr="006920B9">
        <w:rPr>
          <w:rFonts w:ascii="Arial" w:hAnsi="Arial" w:cs="Arial"/>
        </w:rPr>
        <w:t xml:space="preserve"> by telephone, email or other appropriate electronic communication channels agreed with </w:t>
      </w:r>
      <w:r w:rsidR="006920B9">
        <w:rPr>
          <w:rFonts w:ascii="Arial" w:hAnsi="Arial" w:cs="Arial"/>
        </w:rPr>
        <w:t>F&amp;HDC</w:t>
      </w:r>
      <w:r w:rsidR="000B316E" w:rsidRPr="006920B9">
        <w:rPr>
          <w:rFonts w:ascii="Arial" w:hAnsi="Arial" w:cs="Arial"/>
        </w:rPr>
        <w:t>.</w:t>
      </w:r>
    </w:p>
    <w:p w:rsidR="006A456E" w:rsidRPr="006920B9" w:rsidRDefault="00312BDC" w:rsidP="006920B9">
      <w:pPr>
        <w:spacing w:before="120" w:after="120" w:line="276" w:lineRule="auto"/>
        <w:ind w:left="720" w:hanging="720"/>
        <w:jc w:val="both"/>
        <w:rPr>
          <w:rFonts w:ascii="Arial" w:hAnsi="Arial" w:cs="Arial"/>
        </w:rPr>
      </w:pPr>
      <w:r w:rsidRPr="006920B9">
        <w:rPr>
          <w:rFonts w:ascii="Arial" w:hAnsi="Arial" w:cs="Arial"/>
        </w:rPr>
        <w:lastRenderedPageBreak/>
        <w:t>3.3</w:t>
      </w:r>
      <w:r w:rsidRPr="006920B9">
        <w:rPr>
          <w:rFonts w:ascii="Arial" w:hAnsi="Arial" w:cs="Arial"/>
        </w:rPr>
        <w:tab/>
      </w:r>
      <w:r w:rsidR="006A456E" w:rsidRPr="006920B9">
        <w:rPr>
          <w:rFonts w:ascii="Arial" w:hAnsi="Arial" w:cs="Arial"/>
        </w:rPr>
        <w:t xml:space="preserve">The </w:t>
      </w:r>
      <w:r w:rsidR="00EE1BC0" w:rsidRPr="006920B9">
        <w:rPr>
          <w:rFonts w:ascii="Arial" w:hAnsi="Arial" w:cs="Arial"/>
        </w:rPr>
        <w:t xml:space="preserve">daily provision of key economic information likely to impact on interest rates relevant for the local authority treasury management function by email or through your client web portal. </w:t>
      </w:r>
    </w:p>
    <w:p w:rsidR="00C74557" w:rsidRPr="006920B9" w:rsidRDefault="00312BDC" w:rsidP="006920B9">
      <w:pPr>
        <w:spacing w:before="120" w:after="120" w:line="276" w:lineRule="auto"/>
        <w:ind w:left="720" w:hanging="720"/>
        <w:jc w:val="both"/>
        <w:rPr>
          <w:rFonts w:ascii="Arial" w:hAnsi="Arial" w:cs="Arial"/>
        </w:rPr>
      </w:pPr>
      <w:r w:rsidRPr="006920B9">
        <w:rPr>
          <w:rFonts w:ascii="Arial" w:hAnsi="Arial" w:cs="Arial"/>
        </w:rPr>
        <w:t>3.4</w:t>
      </w:r>
      <w:r w:rsidRPr="006920B9">
        <w:rPr>
          <w:rFonts w:ascii="Arial" w:hAnsi="Arial" w:cs="Arial"/>
        </w:rPr>
        <w:tab/>
      </w:r>
      <w:r w:rsidR="00C74557" w:rsidRPr="006920B9">
        <w:rPr>
          <w:rFonts w:ascii="Arial" w:hAnsi="Arial" w:cs="Arial"/>
        </w:rPr>
        <w:t>Regular notification</w:t>
      </w:r>
      <w:r w:rsidR="00EE1BC0" w:rsidRPr="006920B9">
        <w:rPr>
          <w:rFonts w:ascii="Arial" w:hAnsi="Arial" w:cs="Arial"/>
        </w:rPr>
        <w:t xml:space="preserve"> (minimum </w:t>
      </w:r>
      <w:r w:rsidR="00EA7C0B" w:rsidRPr="006920B9">
        <w:rPr>
          <w:rFonts w:ascii="Arial" w:hAnsi="Arial" w:cs="Arial"/>
        </w:rPr>
        <w:t>weekly</w:t>
      </w:r>
      <w:r w:rsidR="00EE1BC0" w:rsidRPr="006920B9">
        <w:rPr>
          <w:rFonts w:ascii="Arial" w:hAnsi="Arial" w:cs="Arial"/>
        </w:rPr>
        <w:t>) by email or through your client web portal</w:t>
      </w:r>
      <w:r w:rsidR="00C74557" w:rsidRPr="006920B9">
        <w:rPr>
          <w:rFonts w:ascii="Arial" w:hAnsi="Arial" w:cs="Arial"/>
        </w:rPr>
        <w:t xml:space="preserve"> of interest rate forecasts ranging from short-term (quarterly for next 18 months) to the medium term (annual up to 5 years). Covers base rate, short-term and long term money rates and selected PWLB rates (</w:t>
      </w:r>
      <w:proofErr w:type="spellStart"/>
      <w:r w:rsidR="00C74557" w:rsidRPr="006920B9">
        <w:rPr>
          <w:rFonts w:ascii="Arial" w:hAnsi="Arial" w:cs="Arial"/>
        </w:rPr>
        <w:t>eg</w:t>
      </w:r>
      <w:proofErr w:type="spellEnd"/>
      <w:r w:rsidR="00C74557" w:rsidRPr="006920B9">
        <w:rPr>
          <w:rFonts w:ascii="Arial" w:hAnsi="Arial" w:cs="Arial"/>
        </w:rPr>
        <w:t xml:space="preserve"> 5, 10, 20 &amp; 50 years)</w:t>
      </w:r>
      <w:r w:rsidR="00E81A9F" w:rsidRPr="006920B9">
        <w:rPr>
          <w:rFonts w:ascii="Arial" w:hAnsi="Arial" w:cs="Arial"/>
        </w:rPr>
        <w:t>.</w:t>
      </w:r>
    </w:p>
    <w:p w:rsidR="00C74557" w:rsidRPr="006920B9" w:rsidRDefault="00312BDC" w:rsidP="006920B9">
      <w:pPr>
        <w:spacing w:before="120" w:after="120" w:line="276" w:lineRule="auto"/>
        <w:ind w:left="720" w:hanging="720"/>
        <w:jc w:val="both"/>
        <w:rPr>
          <w:rFonts w:ascii="Arial" w:hAnsi="Arial" w:cs="Arial"/>
        </w:rPr>
      </w:pPr>
      <w:r w:rsidRPr="006920B9">
        <w:rPr>
          <w:rFonts w:ascii="Arial" w:hAnsi="Arial" w:cs="Arial"/>
        </w:rPr>
        <w:t>3.5</w:t>
      </w:r>
      <w:r w:rsidRPr="006920B9">
        <w:rPr>
          <w:rFonts w:ascii="Arial" w:hAnsi="Arial" w:cs="Arial"/>
        </w:rPr>
        <w:tab/>
      </w:r>
      <w:r w:rsidR="003C5583" w:rsidRPr="006920B9">
        <w:rPr>
          <w:rFonts w:ascii="Arial" w:hAnsi="Arial" w:cs="Arial"/>
        </w:rPr>
        <w:t>A m</w:t>
      </w:r>
      <w:r w:rsidR="00C74557" w:rsidRPr="006920B9">
        <w:rPr>
          <w:rFonts w:ascii="Arial" w:hAnsi="Arial" w:cs="Arial"/>
        </w:rPr>
        <w:t>onthly newsletter</w:t>
      </w:r>
      <w:r w:rsidR="00573C66" w:rsidRPr="006920B9">
        <w:rPr>
          <w:rFonts w:ascii="Arial" w:hAnsi="Arial" w:cs="Arial"/>
        </w:rPr>
        <w:t xml:space="preserve"> by email or other appropriate electronic communication channel</w:t>
      </w:r>
      <w:r w:rsidR="00C74557" w:rsidRPr="006920B9">
        <w:rPr>
          <w:rFonts w:ascii="Arial" w:hAnsi="Arial" w:cs="Arial"/>
        </w:rPr>
        <w:t xml:space="preserve"> detailing key economic issues likely to have an impact on local authority treasury management decisions</w:t>
      </w:r>
      <w:r w:rsidR="001C17B4" w:rsidRPr="006920B9">
        <w:rPr>
          <w:rFonts w:ascii="Arial" w:hAnsi="Arial" w:cs="Arial"/>
        </w:rPr>
        <w:t>, which explain and interpret complex issues in an easy to read and understandable form</w:t>
      </w:r>
      <w:r w:rsidR="00C74557" w:rsidRPr="006920B9">
        <w:rPr>
          <w:rFonts w:ascii="Arial" w:hAnsi="Arial" w:cs="Arial"/>
        </w:rPr>
        <w:t>.</w:t>
      </w:r>
    </w:p>
    <w:p w:rsidR="00C74557" w:rsidRPr="006920B9" w:rsidRDefault="00312BDC" w:rsidP="006920B9">
      <w:pPr>
        <w:spacing w:before="120" w:after="120" w:line="276" w:lineRule="auto"/>
        <w:ind w:left="720" w:hanging="720"/>
        <w:jc w:val="both"/>
        <w:rPr>
          <w:rFonts w:ascii="Arial" w:hAnsi="Arial" w:cs="Arial"/>
        </w:rPr>
      </w:pPr>
      <w:r w:rsidRPr="006920B9">
        <w:rPr>
          <w:rFonts w:ascii="Arial" w:hAnsi="Arial" w:cs="Arial"/>
        </w:rPr>
        <w:t>3.6</w:t>
      </w:r>
      <w:r w:rsidRPr="006920B9">
        <w:rPr>
          <w:rFonts w:ascii="Arial" w:hAnsi="Arial" w:cs="Arial"/>
        </w:rPr>
        <w:tab/>
      </w:r>
      <w:r w:rsidR="003C5583" w:rsidRPr="006920B9">
        <w:rPr>
          <w:rFonts w:ascii="Arial" w:hAnsi="Arial" w:cs="Arial"/>
        </w:rPr>
        <w:t>A c</w:t>
      </w:r>
      <w:r w:rsidR="00C74557" w:rsidRPr="006920B9">
        <w:rPr>
          <w:rFonts w:ascii="Arial" w:hAnsi="Arial" w:cs="Arial"/>
        </w:rPr>
        <w:t>omprehensive quarterly review of econ</w:t>
      </w:r>
      <w:r w:rsidR="006A456E" w:rsidRPr="006920B9">
        <w:rPr>
          <w:rFonts w:ascii="Arial" w:hAnsi="Arial" w:cs="Arial"/>
        </w:rPr>
        <w:t>omic and interest rates outlook</w:t>
      </w:r>
      <w:r w:rsidR="00573C66" w:rsidRPr="006920B9">
        <w:rPr>
          <w:rFonts w:ascii="Arial" w:hAnsi="Arial" w:cs="Arial"/>
        </w:rPr>
        <w:t xml:space="preserve"> by email or other appropriate electronic communication channel</w:t>
      </w:r>
      <w:r w:rsidR="006A456E" w:rsidRPr="006920B9">
        <w:rPr>
          <w:rFonts w:ascii="Arial" w:hAnsi="Arial" w:cs="Arial"/>
        </w:rPr>
        <w:t>.</w:t>
      </w:r>
    </w:p>
    <w:p w:rsidR="004D2592" w:rsidRPr="006920B9" w:rsidRDefault="004D2592" w:rsidP="006920B9">
      <w:pPr>
        <w:spacing w:before="120" w:after="120" w:line="276" w:lineRule="auto"/>
        <w:rPr>
          <w:rFonts w:ascii="Arial" w:hAnsi="Arial" w:cs="Arial"/>
        </w:rPr>
      </w:pPr>
    </w:p>
    <w:p w:rsidR="00522355" w:rsidRPr="006920B9" w:rsidRDefault="00312BDC" w:rsidP="006920B9">
      <w:pPr>
        <w:spacing w:before="120" w:after="120" w:line="276" w:lineRule="auto"/>
        <w:ind w:left="709"/>
        <w:rPr>
          <w:rFonts w:ascii="Arial" w:hAnsi="Arial" w:cs="Arial"/>
          <w:b/>
        </w:rPr>
      </w:pPr>
      <w:r w:rsidRPr="006920B9">
        <w:rPr>
          <w:rFonts w:ascii="Arial" w:hAnsi="Arial" w:cs="Arial"/>
          <w:b/>
        </w:rPr>
        <w:t xml:space="preserve">Investment Advice </w:t>
      </w:r>
    </w:p>
    <w:p w:rsidR="00970F0C" w:rsidRPr="006920B9" w:rsidRDefault="00312BDC" w:rsidP="006920B9">
      <w:pPr>
        <w:spacing w:before="120" w:after="120" w:line="276" w:lineRule="auto"/>
        <w:ind w:left="720" w:hanging="720"/>
        <w:jc w:val="both"/>
        <w:rPr>
          <w:rFonts w:ascii="Arial" w:hAnsi="Arial" w:cs="Arial"/>
        </w:rPr>
      </w:pPr>
      <w:r w:rsidRPr="006920B9">
        <w:rPr>
          <w:rFonts w:ascii="Arial" w:hAnsi="Arial" w:cs="Arial"/>
        </w:rPr>
        <w:t>3.7</w:t>
      </w:r>
      <w:r w:rsidRPr="006920B9">
        <w:rPr>
          <w:rFonts w:ascii="Arial" w:hAnsi="Arial" w:cs="Arial"/>
        </w:rPr>
        <w:tab/>
      </w:r>
      <w:r w:rsidR="00970F0C" w:rsidRPr="006920B9">
        <w:rPr>
          <w:rFonts w:ascii="Arial" w:hAnsi="Arial" w:cs="Arial"/>
        </w:rPr>
        <w:t xml:space="preserve">To advise on keeping </w:t>
      </w:r>
      <w:r w:rsidR="006920B9">
        <w:rPr>
          <w:rFonts w:ascii="Arial" w:hAnsi="Arial" w:cs="Arial"/>
        </w:rPr>
        <w:t>F&amp;HDC</w:t>
      </w:r>
      <w:r w:rsidR="00970F0C" w:rsidRPr="006920B9">
        <w:rPr>
          <w:rFonts w:ascii="Arial" w:hAnsi="Arial" w:cs="Arial"/>
        </w:rPr>
        <w:t>’s funds secure and on how risk should be managed.</w:t>
      </w:r>
    </w:p>
    <w:p w:rsidR="009A1364" w:rsidRPr="006920B9" w:rsidRDefault="00970F0C" w:rsidP="006920B9">
      <w:pPr>
        <w:spacing w:before="120" w:after="120" w:line="276" w:lineRule="auto"/>
        <w:ind w:left="720" w:hanging="720"/>
        <w:jc w:val="both"/>
        <w:rPr>
          <w:rFonts w:ascii="Arial" w:hAnsi="Arial" w:cs="Arial"/>
        </w:rPr>
      </w:pPr>
      <w:r w:rsidRPr="006920B9">
        <w:rPr>
          <w:rFonts w:ascii="Arial" w:hAnsi="Arial" w:cs="Arial"/>
        </w:rPr>
        <w:t>3.8</w:t>
      </w:r>
      <w:r w:rsidRPr="006920B9">
        <w:rPr>
          <w:rFonts w:ascii="Arial" w:hAnsi="Arial" w:cs="Arial"/>
        </w:rPr>
        <w:tab/>
      </w:r>
      <w:r w:rsidR="009A1364" w:rsidRPr="006920B9">
        <w:rPr>
          <w:rFonts w:ascii="Arial" w:hAnsi="Arial" w:cs="Arial"/>
        </w:rPr>
        <w:t>To advise on the formulation</w:t>
      </w:r>
      <w:r w:rsidR="00171F53" w:rsidRPr="006920B9">
        <w:rPr>
          <w:rFonts w:ascii="Arial" w:hAnsi="Arial" w:cs="Arial"/>
        </w:rPr>
        <w:t>, and subsequent amendment,</w:t>
      </w:r>
      <w:r w:rsidR="009A1364" w:rsidRPr="006920B9">
        <w:rPr>
          <w:rFonts w:ascii="Arial" w:hAnsi="Arial" w:cs="Arial"/>
        </w:rPr>
        <w:t xml:space="preserve"> of a suitable investment strategy appropriate to the </w:t>
      </w:r>
      <w:r w:rsidR="003321CD">
        <w:rPr>
          <w:rFonts w:ascii="Arial" w:hAnsi="Arial" w:cs="Arial"/>
        </w:rPr>
        <w:t>Council’s</w:t>
      </w:r>
      <w:r w:rsidR="009A1364" w:rsidRPr="006920B9">
        <w:rPr>
          <w:rFonts w:ascii="Arial" w:hAnsi="Arial" w:cs="Arial"/>
        </w:rPr>
        <w:t xml:space="preserve"> financial objectives</w:t>
      </w:r>
      <w:r w:rsidR="00171F53" w:rsidRPr="006920B9">
        <w:rPr>
          <w:rFonts w:ascii="Arial" w:hAnsi="Arial" w:cs="Arial"/>
        </w:rPr>
        <w:t>, ensuring advice is compliant with changing regulations, accounting standards, professional codes and best practice</w:t>
      </w:r>
      <w:r w:rsidR="009A1364" w:rsidRPr="006920B9">
        <w:rPr>
          <w:rFonts w:ascii="Arial" w:hAnsi="Arial" w:cs="Arial"/>
        </w:rPr>
        <w:t>.</w:t>
      </w:r>
    </w:p>
    <w:p w:rsidR="00C74557" w:rsidRPr="006920B9" w:rsidRDefault="006920B9" w:rsidP="006920B9">
      <w:pPr>
        <w:pStyle w:val="ListParagraph"/>
        <w:numPr>
          <w:ilvl w:val="1"/>
          <w:numId w:val="28"/>
        </w:numPr>
        <w:spacing w:before="120" w:after="120" w:line="276" w:lineRule="auto"/>
        <w:ind w:left="709" w:hanging="709"/>
        <w:jc w:val="both"/>
        <w:rPr>
          <w:rFonts w:ascii="Arial" w:hAnsi="Arial" w:cs="Arial"/>
        </w:rPr>
      </w:pPr>
      <w:r w:rsidRPr="006920B9">
        <w:rPr>
          <w:rFonts w:ascii="Arial" w:hAnsi="Arial" w:cs="Arial"/>
        </w:rPr>
        <w:t>T</w:t>
      </w:r>
      <w:r w:rsidR="00970F0C" w:rsidRPr="006920B9">
        <w:rPr>
          <w:rFonts w:ascii="Arial" w:hAnsi="Arial" w:cs="Arial"/>
        </w:rPr>
        <w:t>o advise</w:t>
      </w:r>
      <w:r w:rsidR="00C74557" w:rsidRPr="006920B9">
        <w:rPr>
          <w:rFonts w:ascii="Arial" w:hAnsi="Arial" w:cs="Arial"/>
        </w:rPr>
        <w:t xml:space="preserve"> on </w:t>
      </w:r>
      <w:r w:rsidR="00DF6DBF" w:rsidRPr="006920B9">
        <w:rPr>
          <w:rFonts w:ascii="Arial" w:hAnsi="Arial" w:cs="Arial"/>
        </w:rPr>
        <w:t xml:space="preserve">the </w:t>
      </w:r>
      <w:r w:rsidR="00C74557" w:rsidRPr="006920B9">
        <w:rPr>
          <w:rFonts w:ascii="Arial" w:hAnsi="Arial" w:cs="Arial"/>
        </w:rPr>
        <w:t>‘in-house’ management of investments giving regard to the e</w:t>
      </w:r>
      <w:r w:rsidR="00DF6DBF" w:rsidRPr="006920B9">
        <w:rPr>
          <w:rFonts w:ascii="Arial" w:hAnsi="Arial" w:cs="Arial"/>
        </w:rPr>
        <w:t>conomic conditions and interest rates provided above</w:t>
      </w:r>
      <w:r w:rsidR="00FA5224" w:rsidRPr="006920B9">
        <w:rPr>
          <w:rFonts w:ascii="Arial" w:hAnsi="Arial" w:cs="Arial"/>
        </w:rPr>
        <w:t xml:space="preserve"> and to </w:t>
      </w:r>
      <w:r w:rsidRPr="006920B9">
        <w:rPr>
          <w:rFonts w:ascii="Arial" w:hAnsi="Arial" w:cs="Arial"/>
        </w:rPr>
        <w:t>F&amp;HDC</w:t>
      </w:r>
      <w:r w:rsidR="00FA5224" w:rsidRPr="006920B9">
        <w:rPr>
          <w:rFonts w:ascii="Arial" w:hAnsi="Arial" w:cs="Arial"/>
        </w:rPr>
        <w:t>’s approved Annual Investment Strategy. Advice to include s</w:t>
      </w:r>
      <w:r w:rsidR="00312BDC" w:rsidRPr="006920B9">
        <w:rPr>
          <w:rFonts w:ascii="Arial" w:hAnsi="Arial" w:cs="Arial"/>
        </w:rPr>
        <w:t xml:space="preserve">uggestions regarding investment </w:t>
      </w:r>
      <w:r w:rsidR="00970F0C" w:rsidRPr="006920B9">
        <w:rPr>
          <w:rFonts w:ascii="Arial" w:hAnsi="Arial" w:cs="Arial"/>
        </w:rPr>
        <w:t>on, but not limited to, the following</w:t>
      </w:r>
      <w:r w:rsidR="00312BDC" w:rsidRPr="006920B9">
        <w:rPr>
          <w:rFonts w:ascii="Arial" w:hAnsi="Arial" w:cs="Arial"/>
        </w:rPr>
        <w:t>:</w:t>
      </w:r>
    </w:p>
    <w:p w:rsidR="00FA5224" w:rsidRPr="006920B9" w:rsidRDefault="00312BDC" w:rsidP="006920B9">
      <w:pPr>
        <w:numPr>
          <w:ilvl w:val="0"/>
          <w:numId w:val="2"/>
        </w:numPr>
        <w:spacing w:before="120" w:after="120" w:line="276" w:lineRule="auto"/>
        <w:ind w:firstLine="0"/>
        <w:jc w:val="both"/>
        <w:rPr>
          <w:rFonts w:ascii="Arial" w:hAnsi="Arial" w:cs="Arial"/>
        </w:rPr>
      </w:pPr>
      <w:r w:rsidRPr="006920B9">
        <w:rPr>
          <w:rFonts w:ascii="Arial" w:hAnsi="Arial" w:cs="Arial"/>
        </w:rPr>
        <w:t>options</w:t>
      </w:r>
    </w:p>
    <w:p w:rsidR="00FA5224" w:rsidRPr="006920B9" w:rsidRDefault="00312BDC" w:rsidP="006920B9">
      <w:pPr>
        <w:numPr>
          <w:ilvl w:val="0"/>
          <w:numId w:val="2"/>
        </w:numPr>
        <w:spacing w:before="120" w:after="120" w:line="276" w:lineRule="auto"/>
        <w:ind w:firstLine="0"/>
        <w:jc w:val="both"/>
        <w:rPr>
          <w:rFonts w:ascii="Arial" w:hAnsi="Arial" w:cs="Arial"/>
        </w:rPr>
      </w:pPr>
      <w:r w:rsidRPr="006920B9">
        <w:rPr>
          <w:rFonts w:ascii="Arial" w:hAnsi="Arial" w:cs="Arial"/>
        </w:rPr>
        <w:t>instruments</w:t>
      </w:r>
    </w:p>
    <w:p w:rsidR="00FA5224" w:rsidRPr="006920B9" w:rsidRDefault="00862B28" w:rsidP="006920B9">
      <w:pPr>
        <w:numPr>
          <w:ilvl w:val="0"/>
          <w:numId w:val="2"/>
        </w:numPr>
        <w:spacing w:before="120" w:after="120" w:line="276" w:lineRule="auto"/>
        <w:ind w:firstLine="0"/>
        <w:jc w:val="both"/>
        <w:rPr>
          <w:rFonts w:ascii="Arial" w:hAnsi="Arial" w:cs="Arial"/>
        </w:rPr>
      </w:pPr>
      <w:r w:rsidRPr="006920B9">
        <w:rPr>
          <w:rFonts w:ascii="Arial" w:hAnsi="Arial" w:cs="Arial"/>
        </w:rPr>
        <w:t>duration</w:t>
      </w:r>
    </w:p>
    <w:p w:rsidR="00FA5224" w:rsidRPr="006920B9" w:rsidRDefault="00312BDC" w:rsidP="006920B9">
      <w:pPr>
        <w:numPr>
          <w:ilvl w:val="0"/>
          <w:numId w:val="2"/>
        </w:numPr>
        <w:spacing w:before="120" w:after="120" w:line="276" w:lineRule="auto"/>
        <w:ind w:firstLine="0"/>
        <w:jc w:val="both"/>
        <w:rPr>
          <w:rFonts w:ascii="Arial" w:hAnsi="Arial" w:cs="Arial"/>
        </w:rPr>
      </w:pPr>
      <w:r w:rsidRPr="006920B9">
        <w:rPr>
          <w:rFonts w:ascii="Arial" w:hAnsi="Arial" w:cs="Arial"/>
        </w:rPr>
        <w:t>amounts</w:t>
      </w:r>
    </w:p>
    <w:p w:rsidR="00853577" w:rsidRPr="006920B9" w:rsidRDefault="006920B9" w:rsidP="006920B9">
      <w:pPr>
        <w:spacing w:before="120" w:after="120" w:line="276" w:lineRule="auto"/>
        <w:ind w:left="720" w:hanging="720"/>
        <w:jc w:val="both"/>
        <w:rPr>
          <w:rFonts w:ascii="Arial" w:hAnsi="Arial" w:cs="Arial"/>
        </w:rPr>
      </w:pPr>
      <w:r>
        <w:rPr>
          <w:rFonts w:ascii="Arial" w:hAnsi="Arial" w:cs="Arial"/>
        </w:rPr>
        <w:t>3.10</w:t>
      </w:r>
      <w:r>
        <w:rPr>
          <w:rFonts w:ascii="Arial" w:hAnsi="Arial" w:cs="Arial"/>
        </w:rPr>
        <w:tab/>
      </w:r>
      <w:r w:rsidR="00853577" w:rsidRPr="006920B9">
        <w:rPr>
          <w:rFonts w:ascii="Arial" w:hAnsi="Arial" w:cs="Arial"/>
        </w:rPr>
        <w:t xml:space="preserve">To provide information on </w:t>
      </w:r>
      <w:r w:rsidRPr="006920B9">
        <w:rPr>
          <w:rFonts w:ascii="Arial" w:hAnsi="Arial" w:cs="Arial"/>
        </w:rPr>
        <w:t>F&amp;HDC</w:t>
      </w:r>
      <w:r w:rsidR="00853577" w:rsidRPr="006920B9">
        <w:rPr>
          <w:rFonts w:ascii="Arial" w:hAnsi="Arial" w:cs="Arial"/>
        </w:rPr>
        <w:t>’s investment performance including comparison to other public sector clients.</w:t>
      </w:r>
    </w:p>
    <w:p w:rsidR="00C6637F" w:rsidRPr="006920B9" w:rsidRDefault="006920B9" w:rsidP="006920B9">
      <w:pPr>
        <w:spacing w:before="120" w:after="120" w:line="276" w:lineRule="auto"/>
        <w:ind w:left="709" w:hanging="709"/>
        <w:jc w:val="both"/>
        <w:rPr>
          <w:rFonts w:ascii="Arial" w:hAnsi="Arial" w:cs="Arial"/>
        </w:rPr>
      </w:pPr>
      <w:r>
        <w:rPr>
          <w:rFonts w:ascii="Arial" w:hAnsi="Arial" w:cs="Arial"/>
        </w:rPr>
        <w:t>3.11</w:t>
      </w:r>
      <w:r>
        <w:rPr>
          <w:rFonts w:ascii="Arial" w:hAnsi="Arial" w:cs="Arial"/>
        </w:rPr>
        <w:tab/>
      </w:r>
      <w:r w:rsidR="0087712D" w:rsidRPr="006920B9">
        <w:rPr>
          <w:rFonts w:ascii="Arial" w:hAnsi="Arial" w:cs="Arial"/>
        </w:rPr>
        <w:t xml:space="preserve">The </w:t>
      </w:r>
      <w:r w:rsidR="00E10F65" w:rsidRPr="006920B9">
        <w:rPr>
          <w:rFonts w:ascii="Arial" w:hAnsi="Arial" w:cs="Arial"/>
        </w:rPr>
        <w:t>c</w:t>
      </w:r>
      <w:r w:rsidR="0087712D" w:rsidRPr="006920B9">
        <w:rPr>
          <w:rFonts w:ascii="Arial" w:hAnsi="Arial" w:cs="Arial"/>
        </w:rPr>
        <w:t>onsultant should be prepared to explain their reasoning for any investment advice or suggestions made including relevant key risks to be considered.</w:t>
      </w:r>
    </w:p>
    <w:p w:rsidR="00996E1C" w:rsidRPr="006920B9" w:rsidRDefault="00996E1C" w:rsidP="006920B9">
      <w:pPr>
        <w:spacing w:before="120" w:after="120" w:line="276" w:lineRule="auto"/>
        <w:jc w:val="both"/>
        <w:rPr>
          <w:rFonts w:ascii="Arial" w:hAnsi="Arial" w:cs="Arial"/>
        </w:rPr>
      </w:pPr>
    </w:p>
    <w:p w:rsidR="00862B28" w:rsidRPr="006920B9" w:rsidRDefault="00312BDC" w:rsidP="006920B9">
      <w:pPr>
        <w:spacing w:before="120" w:after="120" w:line="276" w:lineRule="auto"/>
        <w:ind w:left="709"/>
        <w:rPr>
          <w:rFonts w:ascii="Arial" w:hAnsi="Arial" w:cs="Arial"/>
          <w:b/>
        </w:rPr>
      </w:pPr>
      <w:r w:rsidRPr="006920B9">
        <w:rPr>
          <w:rFonts w:ascii="Arial" w:hAnsi="Arial" w:cs="Arial"/>
          <w:b/>
        </w:rPr>
        <w:t>Investment Counterparty Advice</w:t>
      </w:r>
    </w:p>
    <w:p w:rsidR="00DB0967" w:rsidRPr="006920B9" w:rsidRDefault="005D34DC" w:rsidP="005D34DC">
      <w:pPr>
        <w:spacing w:before="120" w:after="120" w:line="276" w:lineRule="auto"/>
        <w:ind w:left="709" w:hanging="709"/>
        <w:jc w:val="both"/>
        <w:rPr>
          <w:rFonts w:ascii="Arial" w:hAnsi="Arial" w:cs="Arial"/>
        </w:rPr>
      </w:pPr>
      <w:r>
        <w:rPr>
          <w:rFonts w:ascii="Arial" w:hAnsi="Arial" w:cs="Arial"/>
        </w:rPr>
        <w:lastRenderedPageBreak/>
        <w:t>3.12</w:t>
      </w:r>
      <w:r>
        <w:rPr>
          <w:rFonts w:ascii="Arial" w:hAnsi="Arial" w:cs="Arial"/>
        </w:rPr>
        <w:tab/>
      </w:r>
      <w:r w:rsidR="00DB0967" w:rsidRPr="006920B9">
        <w:rPr>
          <w:rFonts w:ascii="Arial" w:hAnsi="Arial" w:cs="Arial"/>
        </w:rPr>
        <w:t xml:space="preserve">To assist in establishing a suitable credit risk assessment approach for counterparties required as part of the Annual Investment Strategy which reflects the </w:t>
      </w:r>
      <w:r w:rsidR="003321CD">
        <w:rPr>
          <w:rFonts w:ascii="Arial" w:hAnsi="Arial" w:cs="Arial"/>
        </w:rPr>
        <w:t>Council</w:t>
      </w:r>
      <w:r w:rsidR="00DB0967" w:rsidRPr="006920B9">
        <w:rPr>
          <w:rFonts w:ascii="Arial" w:hAnsi="Arial" w:cs="Arial"/>
        </w:rPr>
        <w:t>’s appetite for risk.</w:t>
      </w:r>
    </w:p>
    <w:p w:rsidR="00970F0C" w:rsidRPr="006920B9" w:rsidRDefault="005D34DC" w:rsidP="005D34DC">
      <w:pPr>
        <w:spacing w:before="120" w:after="120" w:line="276" w:lineRule="auto"/>
        <w:ind w:left="709" w:hanging="709"/>
        <w:jc w:val="both"/>
        <w:rPr>
          <w:rFonts w:ascii="Arial" w:hAnsi="Arial" w:cs="Arial"/>
        </w:rPr>
      </w:pPr>
      <w:r>
        <w:rPr>
          <w:rFonts w:ascii="Arial" w:hAnsi="Arial" w:cs="Arial"/>
        </w:rPr>
        <w:t>3.13</w:t>
      </w:r>
      <w:r>
        <w:rPr>
          <w:rFonts w:ascii="Arial" w:hAnsi="Arial" w:cs="Arial"/>
        </w:rPr>
        <w:tab/>
      </w:r>
      <w:r w:rsidR="00970F0C" w:rsidRPr="006920B9">
        <w:rPr>
          <w:rFonts w:ascii="Arial" w:hAnsi="Arial" w:cs="Arial"/>
        </w:rPr>
        <w:t>To provide up to date advice</w:t>
      </w:r>
      <w:r w:rsidR="00853577" w:rsidRPr="006920B9">
        <w:rPr>
          <w:rFonts w:ascii="Arial" w:hAnsi="Arial" w:cs="Arial"/>
        </w:rPr>
        <w:t>, and i</w:t>
      </w:r>
      <w:r w:rsidR="00290334">
        <w:rPr>
          <w:rFonts w:ascii="Arial" w:hAnsi="Arial" w:cs="Arial"/>
        </w:rPr>
        <w:t xml:space="preserve">n accordance with </w:t>
      </w:r>
      <w:r w:rsidR="00CD0FC4">
        <w:rPr>
          <w:rFonts w:ascii="Arial" w:hAnsi="Arial" w:cs="Arial"/>
        </w:rPr>
        <w:t>the Chartered Institute of Public Finance Accountants (</w:t>
      </w:r>
      <w:r w:rsidR="00290334">
        <w:rPr>
          <w:rFonts w:ascii="Arial" w:hAnsi="Arial" w:cs="Arial"/>
        </w:rPr>
        <w:t>CIPFA</w:t>
      </w:r>
      <w:r w:rsidR="00CD0FC4">
        <w:rPr>
          <w:rFonts w:ascii="Arial" w:hAnsi="Arial" w:cs="Arial"/>
        </w:rPr>
        <w:t>)</w:t>
      </w:r>
      <w:r w:rsidR="00290334">
        <w:rPr>
          <w:rFonts w:ascii="Arial" w:hAnsi="Arial" w:cs="Arial"/>
        </w:rPr>
        <w:t xml:space="preserve"> and</w:t>
      </w:r>
      <w:r w:rsidR="00CD0FC4">
        <w:rPr>
          <w:rFonts w:ascii="Arial" w:hAnsi="Arial" w:cs="Arial"/>
        </w:rPr>
        <w:t xml:space="preserve"> </w:t>
      </w:r>
      <w:r w:rsidR="00CD0FC4" w:rsidRPr="00CD0FC4">
        <w:rPr>
          <w:rFonts w:ascii="Arial" w:hAnsi="Arial" w:cs="Arial"/>
        </w:rPr>
        <w:t>Department for Levelling Up,</w:t>
      </w:r>
      <w:r w:rsidR="00CD0FC4" w:rsidRPr="00CD0FC4">
        <w:rPr>
          <w:rFonts w:ascii="Arial" w:hAnsi="Arial" w:cs="Arial"/>
        </w:rPr>
        <w:br/>
        <w:t>Housing &amp; Communities</w:t>
      </w:r>
      <w:r w:rsidR="00290334">
        <w:rPr>
          <w:rFonts w:ascii="Arial" w:hAnsi="Arial" w:cs="Arial"/>
        </w:rPr>
        <w:t xml:space="preserve"> </w:t>
      </w:r>
      <w:r w:rsidR="00CD0FC4">
        <w:rPr>
          <w:rFonts w:ascii="Arial" w:hAnsi="Arial" w:cs="Arial"/>
        </w:rPr>
        <w:t>(</w:t>
      </w:r>
      <w:r w:rsidR="00290334" w:rsidRPr="00CD0FC4">
        <w:rPr>
          <w:rFonts w:ascii="Arial" w:hAnsi="Arial" w:cs="Arial"/>
        </w:rPr>
        <w:t>DLUHC</w:t>
      </w:r>
      <w:r w:rsidR="00CD0FC4">
        <w:rPr>
          <w:rFonts w:ascii="Arial" w:hAnsi="Arial" w:cs="Arial"/>
        </w:rPr>
        <w:t>)</w:t>
      </w:r>
      <w:r w:rsidR="00853577" w:rsidRPr="006920B9">
        <w:rPr>
          <w:rFonts w:ascii="Arial" w:hAnsi="Arial" w:cs="Arial"/>
        </w:rPr>
        <w:t xml:space="preserve"> guidance and/or instructions,</w:t>
      </w:r>
      <w:r w:rsidR="00970F0C" w:rsidRPr="006920B9">
        <w:rPr>
          <w:rFonts w:ascii="Arial" w:hAnsi="Arial" w:cs="Arial"/>
        </w:rPr>
        <w:t xml:space="preserve"> on which counterparties should be included or removed from </w:t>
      </w:r>
      <w:r w:rsidR="006920B9">
        <w:rPr>
          <w:rFonts w:ascii="Arial" w:hAnsi="Arial" w:cs="Arial"/>
        </w:rPr>
        <w:t>F&amp;HDC</w:t>
      </w:r>
      <w:r w:rsidR="00970F0C" w:rsidRPr="006920B9">
        <w:rPr>
          <w:rFonts w:ascii="Arial" w:hAnsi="Arial" w:cs="Arial"/>
        </w:rPr>
        <w:t>’s lending lists and the limits for individual (or group) counterparties (amount and period of investment).</w:t>
      </w:r>
    </w:p>
    <w:p w:rsidR="00C74557" w:rsidRPr="006920B9" w:rsidRDefault="005D34DC" w:rsidP="005D34DC">
      <w:pPr>
        <w:spacing w:before="120" w:after="120" w:line="276" w:lineRule="auto"/>
        <w:ind w:left="709" w:hanging="709"/>
        <w:jc w:val="both"/>
        <w:rPr>
          <w:rFonts w:ascii="Arial" w:hAnsi="Arial" w:cs="Arial"/>
        </w:rPr>
      </w:pPr>
      <w:r>
        <w:rPr>
          <w:rFonts w:ascii="Arial" w:hAnsi="Arial" w:cs="Arial"/>
        </w:rPr>
        <w:t>3.14</w:t>
      </w:r>
      <w:r>
        <w:rPr>
          <w:rFonts w:ascii="Arial" w:hAnsi="Arial" w:cs="Arial"/>
        </w:rPr>
        <w:tab/>
      </w:r>
      <w:r w:rsidR="009A1364" w:rsidRPr="006920B9">
        <w:rPr>
          <w:rFonts w:ascii="Arial" w:hAnsi="Arial" w:cs="Arial"/>
        </w:rPr>
        <w:t xml:space="preserve">To provide </w:t>
      </w:r>
      <w:r w:rsidR="00DB0967" w:rsidRPr="006920B9">
        <w:rPr>
          <w:rFonts w:ascii="Arial" w:hAnsi="Arial" w:cs="Arial"/>
        </w:rPr>
        <w:t>up to date i</w:t>
      </w:r>
      <w:r w:rsidR="009A1364" w:rsidRPr="006920B9">
        <w:rPr>
          <w:rFonts w:ascii="Arial" w:hAnsi="Arial" w:cs="Arial"/>
        </w:rPr>
        <w:t>nformation and advice relevant to monitoring credit r</w:t>
      </w:r>
      <w:r w:rsidR="00C74557" w:rsidRPr="006920B9">
        <w:rPr>
          <w:rFonts w:ascii="Arial" w:hAnsi="Arial" w:cs="Arial"/>
        </w:rPr>
        <w:t>isk</w:t>
      </w:r>
      <w:r w:rsidR="00DB0967" w:rsidRPr="006920B9">
        <w:rPr>
          <w:rFonts w:ascii="Arial" w:hAnsi="Arial" w:cs="Arial"/>
        </w:rPr>
        <w:t>, an</w:t>
      </w:r>
      <w:r w:rsidR="00290334">
        <w:rPr>
          <w:rFonts w:ascii="Arial" w:hAnsi="Arial" w:cs="Arial"/>
        </w:rPr>
        <w:t xml:space="preserve">d in accordance with CIPFA and </w:t>
      </w:r>
      <w:r w:rsidR="00290334" w:rsidRPr="00CD0FC4">
        <w:rPr>
          <w:rFonts w:ascii="Arial" w:hAnsi="Arial" w:cs="Arial"/>
        </w:rPr>
        <w:t>DLUHC</w:t>
      </w:r>
      <w:r w:rsidR="00DB0967" w:rsidRPr="006920B9">
        <w:rPr>
          <w:rFonts w:ascii="Arial" w:hAnsi="Arial" w:cs="Arial"/>
        </w:rPr>
        <w:t xml:space="preserve"> guidance and/or instructions,</w:t>
      </w:r>
      <w:r w:rsidR="00EF7C79" w:rsidRPr="006920B9">
        <w:rPr>
          <w:rFonts w:ascii="Arial" w:hAnsi="Arial" w:cs="Arial"/>
        </w:rPr>
        <w:t xml:space="preserve"> to include:</w:t>
      </w:r>
    </w:p>
    <w:p w:rsidR="009A1364" w:rsidRPr="006920B9" w:rsidRDefault="009A1364" w:rsidP="006920B9">
      <w:pPr>
        <w:numPr>
          <w:ilvl w:val="0"/>
          <w:numId w:val="4"/>
        </w:numPr>
        <w:tabs>
          <w:tab w:val="clear" w:pos="2520"/>
          <w:tab w:val="num" w:pos="1440"/>
        </w:tabs>
        <w:spacing w:before="120" w:after="120" w:line="276" w:lineRule="auto"/>
        <w:ind w:left="1287" w:hanging="567"/>
        <w:jc w:val="both"/>
        <w:rPr>
          <w:rFonts w:ascii="Arial" w:hAnsi="Arial" w:cs="Arial"/>
        </w:rPr>
      </w:pPr>
      <w:r w:rsidRPr="006920B9">
        <w:rPr>
          <w:rFonts w:ascii="Arial" w:hAnsi="Arial" w:cs="Arial"/>
        </w:rPr>
        <w:t xml:space="preserve">maintaining an investment counterparty list based on the risk criteria outlined in the </w:t>
      </w:r>
      <w:r w:rsidR="003321CD">
        <w:rPr>
          <w:rFonts w:ascii="Arial" w:hAnsi="Arial" w:cs="Arial"/>
        </w:rPr>
        <w:t>Council</w:t>
      </w:r>
      <w:r w:rsidRPr="006920B9">
        <w:rPr>
          <w:rFonts w:ascii="Arial" w:hAnsi="Arial" w:cs="Arial"/>
        </w:rPr>
        <w:t>’s approved Annual Investment Strategy,</w:t>
      </w:r>
      <w:r w:rsidR="00DB0967" w:rsidRPr="006920B9">
        <w:rPr>
          <w:rFonts w:ascii="Arial" w:hAnsi="Arial" w:cs="Arial"/>
        </w:rPr>
        <w:t xml:space="preserve"> specifically guidance on which counterparties should be included or removed from </w:t>
      </w:r>
      <w:r w:rsidR="006920B9">
        <w:rPr>
          <w:rFonts w:ascii="Arial" w:hAnsi="Arial" w:cs="Arial"/>
        </w:rPr>
        <w:t>F&amp;HDC</w:t>
      </w:r>
      <w:r w:rsidR="00DB0967" w:rsidRPr="006920B9">
        <w:rPr>
          <w:rFonts w:ascii="Arial" w:hAnsi="Arial" w:cs="Arial"/>
        </w:rPr>
        <w:t>’s lending lists and the limits for individual (or group) counterparties (amount and period of investment).</w:t>
      </w:r>
    </w:p>
    <w:p w:rsidR="009A1364" w:rsidRPr="006920B9" w:rsidRDefault="009A1364" w:rsidP="006920B9">
      <w:pPr>
        <w:numPr>
          <w:ilvl w:val="0"/>
          <w:numId w:val="4"/>
        </w:numPr>
        <w:tabs>
          <w:tab w:val="clear" w:pos="2520"/>
          <w:tab w:val="num" w:pos="1440"/>
        </w:tabs>
        <w:spacing w:before="120" w:after="120" w:line="276" w:lineRule="auto"/>
        <w:ind w:left="1287" w:hanging="567"/>
        <w:jc w:val="both"/>
        <w:rPr>
          <w:rFonts w:ascii="Arial" w:hAnsi="Arial" w:cs="Arial"/>
        </w:rPr>
      </w:pPr>
      <w:r w:rsidRPr="006920B9">
        <w:rPr>
          <w:rFonts w:ascii="Arial" w:hAnsi="Arial" w:cs="Arial"/>
        </w:rPr>
        <w:t xml:space="preserve">providing a </w:t>
      </w:r>
      <w:r w:rsidR="00606CC2" w:rsidRPr="006920B9">
        <w:rPr>
          <w:rFonts w:ascii="Arial" w:hAnsi="Arial" w:cs="Arial"/>
        </w:rPr>
        <w:t xml:space="preserve">‘live’ </w:t>
      </w:r>
      <w:r w:rsidR="001B4C2E" w:rsidRPr="006920B9">
        <w:rPr>
          <w:rFonts w:ascii="Arial" w:hAnsi="Arial" w:cs="Arial"/>
        </w:rPr>
        <w:t xml:space="preserve">or current </w:t>
      </w:r>
      <w:r w:rsidR="00606CC2" w:rsidRPr="006920B9">
        <w:rPr>
          <w:rFonts w:ascii="Arial" w:hAnsi="Arial" w:cs="Arial"/>
        </w:rPr>
        <w:t>counterparty list through your client web portal</w:t>
      </w:r>
      <w:r w:rsidR="000B316E" w:rsidRPr="006920B9">
        <w:rPr>
          <w:rFonts w:ascii="Arial" w:hAnsi="Arial" w:cs="Arial"/>
        </w:rPr>
        <w:t>,</w:t>
      </w:r>
    </w:p>
    <w:p w:rsidR="009A1364" w:rsidRPr="006920B9" w:rsidRDefault="009A1364" w:rsidP="006920B9">
      <w:pPr>
        <w:numPr>
          <w:ilvl w:val="0"/>
          <w:numId w:val="4"/>
        </w:numPr>
        <w:tabs>
          <w:tab w:val="clear" w:pos="2520"/>
          <w:tab w:val="num" w:pos="1440"/>
        </w:tabs>
        <w:spacing w:before="120" w:after="120" w:line="276" w:lineRule="auto"/>
        <w:ind w:left="1287" w:hanging="567"/>
        <w:jc w:val="both"/>
        <w:rPr>
          <w:rFonts w:ascii="Arial" w:hAnsi="Arial" w:cs="Arial"/>
        </w:rPr>
      </w:pPr>
      <w:proofErr w:type="gramStart"/>
      <w:r w:rsidRPr="006920B9">
        <w:rPr>
          <w:rFonts w:ascii="Arial" w:hAnsi="Arial" w:cs="Arial"/>
        </w:rPr>
        <w:t>notification</w:t>
      </w:r>
      <w:proofErr w:type="gramEnd"/>
      <w:r w:rsidRPr="006920B9">
        <w:rPr>
          <w:rFonts w:ascii="Arial" w:hAnsi="Arial" w:cs="Arial"/>
        </w:rPr>
        <w:t xml:space="preserve"> of any changes to counterparty cred</w:t>
      </w:r>
      <w:r w:rsidR="00DB0967" w:rsidRPr="006920B9">
        <w:rPr>
          <w:rFonts w:ascii="Arial" w:hAnsi="Arial" w:cs="Arial"/>
        </w:rPr>
        <w:t>it ratings immediately by email.</w:t>
      </w:r>
    </w:p>
    <w:p w:rsidR="009A1364" w:rsidRPr="006920B9" w:rsidRDefault="009A1364" w:rsidP="006920B9">
      <w:pPr>
        <w:numPr>
          <w:ilvl w:val="0"/>
          <w:numId w:val="4"/>
        </w:numPr>
        <w:tabs>
          <w:tab w:val="clear" w:pos="2520"/>
          <w:tab w:val="num" w:pos="1440"/>
        </w:tabs>
        <w:spacing w:before="120" w:after="120" w:line="276" w:lineRule="auto"/>
        <w:ind w:left="1287" w:hanging="567"/>
        <w:jc w:val="both"/>
        <w:rPr>
          <w:rFonts w:ascii="Arial" w:hAnsi="Arial" w:cs="Arial"/>
        </w:rPr>
      </w:pPr>
      <w:proofErr w:type="gramStart"/>
      <w:r w:rsidRPr="006920B9">
        <w:rPr>
          <w:rFonts w:ascii="Arial" w:hAnsi="Arial" w:cs="Arial"/>
        </w:rPr>
        <w:t>providing</w:t>
      </w:r>
      <w:proofErr w:type="gramEnd"/>
      <w:r w:rsidRPr="006920B9">
        <w:rPr>
          <w:rFonts w:ascii="Arial" w:hAnsi="Arial" w:cs="Arial"/>
        </w:rPr>
        <w:t xml:space="preserve"> advice on any credit rated or non-credit rated institution as requested by the </w:t>
      </w:r>
      <w:r w:rsidR="003321CD">
        <w:rPr>
          <w:rFonts w:ascii="Arial" w:hAnsi="Arial" w:cs="Arial"/>
        </w:rPr>
        <w:t>Council</w:t>
      </w:r>
      <w:r w:rsidR="001B4C2E" w:rsidRPr="006920B9">
        <w:rPr>
          <w:rFonts w:ascii="Arial" w:hAnsi="Arial" w:cs="Arial"/>
        </w:rPr>
        <w:t xml:space="preserve"> in relation to its investment activity</w:t>
      </w:r>
      <w:r w:rsidR="000B316E" w:rsidRPr="006920B9">
        <w:rPr>
          <w:rFonts w:ascii="Arial" w:hAnsi="Arial" w:cs="Arial"/>
        </w:rPr>
        <w:t>.</w:t>
      </w:r>
    </w:p>
    <w:p w:rsidR="00C74557" w:rsidRPr="006920B9" w:rsidRDefault="00C74557" w:rsidP="006920B9">
      <w:pPr>
        <w:spacing w:before="120" w:after="120" w:line="276" w:lineRule="auto"/>
        <w:jc w:val="both"/>
        <w:rPr>
          <w:rFonts w:ascii="Arial" w:hAnsi="Arial" w:cs="Arial"/>
        </w:rPr>
      </w:pPr>
    </w:p>
    <w:p w:rsidR="00C74557" w:rsidRPr="006920B9" w:rsidRDefault="00EF7C79" w:rsidP="006920B9">
      <w:pPr>
        <w:spacing w:before="120" w:after="120" w:line="276" w:lineRule="auto"/>
        <w:ind w:left="709"/>
        <w:rPr>
          <w:rFonts w:ascii="Arial" w:hAnsi="Arial" w:cs="Arial"/>
        </w:rPr>
      </w:pPr>
      <w:r w:rsidRPr="006920B9">
        <w:rPr>
          <w:rFonts w:ascii="Arial" w:hAnsi="Arial" w:cs="Arial"/>
          <w:b/>
        </w:rPr>
        <w:t>Debt and Borrowing Advice</w:t>
      </w:r>
    </w:p>
    <w:p w:rsidR="00C74557" w:rsidRPr="006920B9" w:rsidRDefault="005D34DC" w:rsidP="005D34DC">
      <w:pPr>
        <w:spacing w:before="120" w:after="120" w:line="276" w:lineRule="auto"/>
        <w:ind w:left="709" w:hanging="709"/>
        <w:jc w:val="both"/>
        <w:rPr>
          <w:rFonts w:ascii="Arial" w:hAnsi="Arial" w:cs="Arial"/>
        </w:rPr>
      </w:pPr>
      <w:r>
        <w:rPr>
          <w:rFonts w:ascii="Arial" w:hAnsi="Arial" w:cs="Arial"/>
        </w:rPr>
        <w:t>3.15</w:t>
      </w:r>
      <w:r>
        <w:rPr>
          <w:rFonts w:ascii="Arial" w:hAnsi="Arial" w:cs="Arial"/>
        </w:rPr>
        <w:tab/>
      </w:r>
      <w:r w:rsidR="00C74557" w:rsidRPr="006920B9">
        <w:rPr>
          <w:rFonts w:ascii="Arial" w:hAnsi="Arial" w:cs="Arial"/>
        </w:rPr>
        <w:t>Borrowing Advice</w:t>
      </w:r>
    </w:p>
    <w:p w:rsidR="00FB6207" w:rsidRPr="006920B9" w:rsidRDefault="00FB6207" w:rsidP="006920B9">
      <w:pPr>
        <w:numPr>
          <w:ilvl w:val="0"/>
          <w:numId w:val="9"/>
        </w:numPr>
        <w:spacing w:before="120" w:after="120" w:line="276" w:lineRule="auto"/>
        <w:ind w:left="1287" w:hanging="567"/>
        <w:jc w:val="both"/>
        <w:rPr>
          <w:rFonts w:ascii="Arial" w:hAnsi="Arial" w:cs="Arial"/>
        </w:rPr>
      </w:pPr>
      <w:r w:rsidRPr="006920B9">
        <w:rPr>
          <w:rFonts w:ascii="Arial" w:hAnsi="Arial" w:cs="Arial"/>
        </w:rPr>
        <w:t>To advise on the formulation</w:t>
      </w:r>
      <w:r w:rsidR="00171F53" w:rsidRPr="006920B9">
        <w:rPr>
          <w:rFonts w:ascii="Arial" w:hAnsi="Arial" w:cs="Arial"/>
        </w:rPr>
        <w:t>,</w:t>
      </w:r>
      <w:r w:rsidRPr="006920B9">
        <w:rPr>
          <w:rFonts w:ascii="Arial" w:hAnsi="Arial" w:cs="Arial"/>
        </w:rPr>
        <w:t xml:space="preserve"> </w:t>
      </w:r>
      <w:r w:rsidR="00171F53" w:rsidRPr="006920B9">
        <w:rPr>
          <w:rFonts w:ascii="Arial" w:hAnsi="Arial" w:cs="Arial"/>
        </w:rPr>
        <w:t xml:space="preserve">and subsequent amendment, </w:t>
      </w:r>
      <w:r w:rsidRPr="006920B9">
        <w:rPr>
          <w:rFonts w:ascii="Arial" w:hAnsi="Arial" w:cs="Arial"/>
        </w:rPr>
        <w:t xml:space="preserve">of a suitable borrowing strategy appropriate to </w:t>
      </w:r>
      <w:r w:rsidR="006920B9">
        <w:rPr>
          <w:rFonts w:ascii="Arial" w:hAnsi="Arial" w:cs="Arial"/>
        </w:rPr>
        <w:t>F&amp;HDC</w:t>
      </w:r>
      <w:r w:rsidR="00970F0C" w:rsidRPr="006920B9">
        <w:rPr>
          <w:rFonts w:ascii="Arial" w:hAnsi="Arial" w:cs="Arial"/>
        </w:rPr>
        <w:t>’s</w:t>
      </w:r>
      <w:r w:rsidRPr="006920B9">
        <w:rPr>
          <w:rFonts w:ascii="Arial" w:hAnsi="Arial" w:cs="Arial"/>
        </w:rPr>
        <w:t xml:space="preserve"> financial objectives</w:t>
      </w:r>
      <w:r w:rsidR="00171F53" w:rsidRPr="006920B9">
        <w:rPr>
          <w:rFonts w:ascii="Arial" w:hAnsi="Arial" w:cs="Arial"/>
        </w:rPr>
        <w:t>, ensuring advice is compliant with changing regulations, accounting standards, professional codes and best practice</w:t>
      </w:r>
      <w:r w:rsidRPr="006920B9">
        <w:rPr>
          <w:rFonts w:ascii="Arial" w:hAnsi="Arial" w:cs="Arial"/>
        </w:rPr>
        <w:t>.</w:t>
      </w:r>
    </w:p>
    <w:p w:rsidR="00C74557" w:rsidRPr="006920B9" w:rsidRDefault="00FB6207" w:rsidP="006920B9">
      <w:pPr>
        <w:numPr>
          <w:ilvl w:val="0"/>
          <w:numId w:val="9"/>
        </w:numPr>
        <w:spacing w:before="120" w:after="120" w:line="276" w:lineRule="auto"/>
        <w:ind w:left="1287" w:hanging="567"/>
        <w:jc w:val="both"/>
        <w:rPr>
          <w:rFonts w:ascii="Arial" w:hAnsi="Arial" w:cs="Arial"/>
        </w:rPr>
      </w:pPr>
      <w:r w:rsidRPr="006920B9">
        <w:rPr>
          <w:rFonts w:ascii="Arial" w:hAnsi="Arial" w:cs="Arial"/>
        </w:rPr>
        <w:t>To advise on the a</w:t>
      </w:r>
      <w:r w:rsidR="00C74557" w:rsidRPr="006920B9">
        <w:rPr>
          <w:rFonts w:ascii="Arial" w:hAnsi="Arial" w:cs="Arial"/>
        </w:rPr>
        <w:t>ppropriate borrowing level linked to</w:t>
      </w:r>
      <w:r w:rsidR="001B4C2E" w:rsidRPr="006920B9">
        <w:rPr>
          <w:rFonts w:ascii="Arial" w:hAnsi="Arial" w:cs="Arial"/>
        </w:rPr>
        <w:t xml:space="preserve"> the</w:t>
      </w:r>
      <w:r w:rsidR="00C74557" w:rsidRPr="006920B9">
        <w:rPr>
          <w:rFonts w:ascii="Arial" w:hAnsi="Arial" w:cs="Arial"/>
        </w:rPr>
        <w:t xml:space="preserve"> balance sheet</w:t>
      </w:r>
      <w:r w:rsidRPr="006920B9">
        <w:rPr>
          <w:rFonts w:ascii="Arial" w:hAnsi="Arial" w:cs="Arial"/>
        </w:rPr>
        <w:t>.</w:t>
      </w:r>
    </w:p>
    <w:p w:rsidR="00C74557" w:rsidRPr="006920B9" w:rsidRDefault="00FB6207" w:rsidP="006920B9">
      <w:pPr>
        <w:numPr>
          <w:ilvl w:val="0"/>
          <w:numId w:val="9"/>
        </w:numPr>
        <w:spacing w:before="120" w:after="120" w:line="276" w:lineRule="auto"/>
        <w:ind w:left="1287" w:hanging="567"/>
        <w:jc w:val="both"/>
        <w:rPr>
          <w:rFonts w:ascii="Arial" w:hAnsi="Arial" w:cs="Arial"/>
        </w:rPr>
      </w:pPr>
      <w:r w:rsidRPr="006920B9">
        <w:rPr>
          <w:rFonts w:ascii="Arial" w:hAnsi="Arial" w:cs="Arial"/>
        </w:rPr>
        <w:t>To advise on the t</w:t>
      </w:r>
      <w:r w:rsidR="00C74557" w:rsidRPr="006920B9">
        <w:rPr>
          <w:rFonts w:ascii="Arial" w:hAnsi="Arial" w:cs="Arial"/>
        </w:rPr>
        <w:t xml:space="preserve">iming and duration of borrowing </w:t>
      </w:r>
      <w:r w:rsidR="00853577" w:rsidRPr="006920B9">
        <w:rPr>
          <w:rFonts w:ascii="Arial" w:hAnsi="Arial" w:cs="Arial"/>
        </w:rPr>
        <w:t xml:space="preserve">with regard to </w:t>
      </w:r>
      <w:r w:rsidR="006920B9">
        <w:rPr>
          <w:rFonts w:ascii="Arial" w:hAnsi="Arial" w:cs="Arial"/>
        </w:rPr>
        <w:t>F&amp;HDC</w:t>
      </w:r>
      <w:r w:rsidR="00853577" w:rsidRPr="006920B9">
        <w:rPr>
          <w:rFonts w:ascii="Arial" w:hAnsi="Arial" w:cs="Arial"/>
        </w:rPr>
        <w:t>’s e</w:t>
      </w:r>
      <w:r w:rsidR="00C74557" w:rsidRPr="006920B9">
        <w:rPr>
          <w:rFonts w:ascii="Arial" w:hAnsi="Arial" w:cs="Arial"/>
        </w:rPr>
        <w:t>xpenditure plans, prospect for interest rates and existing maturity profile of borrowings.</w:t>
      </w:r>
    </w:p>
    <w:p w:rsidR="00487AB4" w:rsidRPr="006920B9" w:rsidRDefault="00487AB4" w:rsidP="006920B9">
      <w:pPr>
        <w:numPr>
          <w:ilvl w:val="0"/>
          <w:numId w:val="9"/>
        </w:numPr>
        <w:spacing w:before="120" w:after="120" w:line="276" w:lineRule="auto"/>
        <w:ind w:left="1287" w:hanging="567"/>
        <w:jc w:val="both"/>
        <w:rPr>
          <w:rFonts w:ascii="Arial" w:hAnsi="Arial" w:cs="Arial"/>
        </w:rPr>
      </w:pPr>
      <w:r w:rsidRPr="006920B9">
        <w:rPr>
          <w:rFonts w:ascii="Arial" w:hAnsi="Arial" w:cs="Arial"/>
        </w:rPr>
        <w:t>To advise on the amount of variable rate debt that may be beneficial to hold at any one time.</w:t>
      </w:r>
    </w:p>
    <w:p w:rsidR="00C74557" w:rsidRPr="006920B9" w:rsidRDefault="00FB6207" w:rsidP="006920B9">
      <w:pPr>
        <w:numPr>
          <w:ilvl w:val="0"/>
          <w:numId w:val="9"/>
        </w:numPr>
        <w:spacing w:before="120" w:after="120" w:line="276" w:lineRule="auto"/>
        <w:ind w:left="1287" w:hanging="567"/>
        <w:jc w:val="both"/>
        <w:rPr>
          <w:rFonts w:ascii="Arial" w:hAnsi="Arial" w:cs="Arial"/>
        </w:rPr>
      </w:pPr>
      <w:r w:rsidRPr="006920B9">
        <w:rPr>
          <w:rFonts w:ascii="Arial" w:hAnsi="Arial" w:cs="Arial"/>
        </w:rPr>
        <w:t>To advise on the s</w:t>
      </w:r>
      <w:r w:rsidR="00C74557" w:rsidRPr="006920B9">
        <w:rPr>
          <w:rFonts w:ascii="Arial" w:hAnsi="Arial" w:cs="Arial"/>
        </w:rPr>
        <w:t>ource of funds (PWLB</w:t>
      </w:r>
      <w:r w:rsidR="001B4C2E" w:rsidRPr="006920B9">
        <w:rPr>
          <w:rFonts w:ascii="Arial" w:hAnsi="Arial" w:cs="Arial"/>
        </w:rPr>
        <w:t>,</w:t>
      </w:r>
      <w:r w:rsidR="000B316E" w:rsidRPr="006920B9">
        <w:rPr>
          <w:rFonts w:ascii="Arial" w:hAnsi="Arial" w:cs="Arial"/>
        </w:rPr>
        <w:t xml:space="preserve"> </w:t>
      </w:r>
      <w:r w:rsidR="00C74557" w:rsidRPr="006920B9">
        <w:rPr>
          <w:rFonts w:ascii="Arial" w:hAnsi="Arial" w:cs="Arial"/>
        </w:rPr>
        <w:t>market loans</w:t>
      </w:r>
      <w:r w:rsidR="001B4C2E" w:rsidRPr="006920B9">
        <w:rPr>
          <w:rFonts w:ascii="Arial" w:hAnsi="Arial" w:cs="Arial"/>
        </w:rPr>
        <w:t xml:space="preserve"> or other instruments</w:t>
      </w:r>
      <w:r w:rsidR="00C74557" w:rsidRPr="006920B9">
        <w:rPr>
          <w:rFonts w:ascii="Arial" w:hAnsi="Arial" w:cs="Arial"/>
        </w:rPr>
        <w:t>)</w:t>
      </w:r>
      <w:r w:rsidR="008A2634" w:rsidRPr="006920B9">
        <w:rPr>
          <w:rFonts w:ascii="Arial" w:hAnsi="Arial" w:cs="Arial"/>
        </w:rPr>
        <w:t>.</w:t>
      </w:r>
    </w:p>
    <w:p w:rsidR="00C74557" w:rsidRPr="006920B9" w:rsidRDefault="00FB6207" w:rsidP="006920B9">
      <w:pPr>
        <w:numPr>
          <w:ilvl w:val="0"/>
          <w:numId w:val="9"/>
        </w:numPr>
        <w:spacing w:before="120" w:after="120" w:line="276" w:lineRule="auto"/>
        <w:ind w:left="1287" w:hanging="567"/>
        <w:jc w:val="both"/>
        <w:rPr>
          <w:rFonts w:ascii="Arial" w:hAnsi="Arial" w:cs="Arial"/>
        </w:rPr>
      </w:pPr>
      <w:r w:rsidRPr="006920B9">
        <w:rPr>
          <w:rFonts w:ascii="Arial" w:hAnsi="Arial" w:cs="Arial"/>
        </w:rPr>
        <w:lastRenderedPageBreak/>
        <w:t>To provide information and advice on n</w:t>
      </w:r>
      <w:r w:rsidR="00C74557" w:rsidRPr="006920B9">
        <w:rPr>
          <w:rFonts w:ascii="Arial" w:hAnsi="Arial" w:cs="Arial"/>
        </w:rPr>
        <w:t>ew developments</w:t>
      </w:r>
      <w:r w:rsidR="00487AB4" w:rsidRPr="006920B9">
        <w:rPr>
          <w:rFonts w:ascii="Arial" w:hAnsi="Arial" w:cs="Arial"/>
        </w:rPr>
        <w:t xml:space="preserve"> regarding borrowing</w:t>
      </w:r>
      <w:r w:rsidR="00C74557" w:rsidRPr="006920B9">
        <w:rPr>
          <w:rFonts w:ascii="Arial" w:hAnsi="Arial" w:cs="Arial"/>
        </w:rPr>
        <w:t>, both regulatory and market related.</w:t>
      </w:r>
    </w:p>
    <w:p w:rsidR="00C74557" w:rsidRPr="006920B9" w:rsidRDefault="00D2391D" w:rsidP="005D34DC">
      <w:pPr>
        <w:spacing w:before="120" w:after="120" w:line="276" w:lineRule="auto"/>
        <w:ind w:left="709" w:hanging="709"/>
        <w:jc w:val="both"/>
        <w:rPr>
          <w:rFonts w:ascii="Arial" w:hAnsi="Arial" w:cs="Arial"/>
        </w:rPr>
      </w:pPr>
      <w:r>
        <w:rPr>
          <w:rFonts w:ascii="Arial" w:hAnsi="Arial" w:cs="Arial"/>
        </w:rPr>
        <w:t>3.16</w:t>
      </w:r>
      <w:r>
        <w:rPr>
          <w:rFonts w:ascii="Arial" w:hAnsi="Arial" w:cs="Arial"/>
        </w:rPr>
        <w:tab/>
      </w:r>
      <w:r w:rsidR="00C74557" w:rsidRPr="006920B9">
        <w:rPr>
          <w:rFonts w:ascii="Arial" w:hAnsi="Arial" w:cs="Arial"/>
        </w:rPr>
        <w:t>Debt Restructuring</w:t>
      </w:r>
    </w:p>
    <w:p w:rsidR="00C74557" w:rsidRPr="006920B9" w:rsidRDefault="00487AB4" w:rsidP="006920B9">
      <w:pPr>
        <w:numPr>
          <w:ilvl w:val="0"/>
          <w:numId w:val="10"/>
        </w:numPr>
        <w:spacing w:before="120" w:after="120" w:line="276" w:lineRule="auto"/>
        <w:ind w:left="1287" w:hanging="567"/>
        <w:jc w:val="both"/>
        <w:rPr>
          <w:rFonts w:ascii="Arial" w:hAnsi="Arial" w:cs="Arial"/>
        </w:rPr>
      </w:pPr>
      <w:r w:rsidRPr="006920B9">
        <w:rPr>
          <w:rFonts w:ascii="Arial" w:hAnsi="Arial" w:cs="Arial"/>
        </w:rPr>
        <w:t xml:space="preserve">To </w:t>
      </w:r>
      <w:r w:rsidR="00171F53" w:rsidRPr="006920B9">
        <w:rPr>
          <w:rFonts w:ascii="Arial" w:hAnsi="Arial" w:cs="Arial"/>
        </w:rPr>
        <w:t xml:space="preserve">review </w:t>
      </w:r>
      <w:r w:rsidR="006920B9">
        <w:rPr>
          <w:rFonts w:ascii="Arial" w:hAnsi="Arial" w:cs="Arial"/>
        </w:rPr>
        <w:t>F&amp;HDC</w:t>
      </w:r>
      <w:r w:rsidR="00171F53" w:rsidRPr="006920B9">
        <w:rPr>
          <w:rFonts w:ascii="Arial" w:hAnsi="Arial" w:cs="Arial"/>
        </w:rPr>
        <w:t xml:space="preserve">’s </w:t>
      </w:r>
      <w:r w:rsidR="00C74557" w:rsidRPr="006920B9">
        <w:rPr>
          <w:rFonts w:ascii="Arial" w:hAnsi="Arial" w:cs="Arial"/>
        </w:rPr>
        <w:t>debt portfolio to identify possible opportunities to restructure it to achieve savings</w:t>
      </w:r>
      <w:r w:rsidR="00FE24E0" w:rsidRPr="006920B9">
        <w:rPr>
          <w:rFonts w:ascii="Arial" w:hAnsi="Arial" w:cs="Arial"/>
        </w:rPr>
        <w:t xml:space="preserve"> to</w:t>
      </w:r>
      <w:r w:rsidR="001B4C2E" w:rsidRPr="006920B9">
        <w:rPr>
          <w:rFonts w:ascii="Arial" w:hAnsi="Arial" w:cs="Arial"/>
        </w:rPr>
        <w:t xml:space="preserve"> the General Fund and/or Housing Revenue Account</w:t>
      </w:r>
      <w:r w:rsidR="00C74557" w:rsidRPr="006920B9">
        <w:rPr>
          <w:rFonts w:ascii="Arial" w:hAnsi="Arial" w:cs="Arial"/>
        </w:rPr>
        <w:t>.</w:t>
      </w:r>
    </w:p>
    <w:p w:rsidR="00C74557" w:rsidRPr="006920B9" w:rsidRDefault="00487AB4" w:rsidP="006920B9">
      <w:pPr>
        <w:numPr>
          <w:ilvl w:val="0"/>
          <w:numId w:val="10"/>
        </w:numPr>
        <w:spacing w:before="120" w:after="120" w:line="276" w:lineRule="auto"/>
        <w:ind w:left="1287" w:hanging="567"/>
        <w:jc w:val="both"/>
        <w:rPr>
          <w:rFonts w:ascii="Arial" w:hAnsi="Arial" w:cs="Arial"/>
          <w:u w:val="single"/>
        </w:rPr>
      </w:pPr>
      <w:r w:rsidRPr="006920B9">
        <w:rPr>
          <w:rFonts w:ascii="Arial" w:hAnsi="Arial" w:cs="Arial"/>
        </w:rPr>
        <w:t>To advise</w:t>
      </w:r>
      <w:r w:rsidR="00C74557" w:rsidRPr="006920B9">
        <w:rPr>
          <w:rFonts w:ascii="Arial" w:hAnsi="Arial" w:cs="Arial"/>
        </w:rPr>
        <w:t xml:space="preserve"> on the accounting treatment </w:t>
      </w:r>
      <w:r w:rsidRPr="006920B9">
        <w:rPr>
          <w:rFonts w:ascii="Arial" w:hAnsi="Arial" w:cs="Arial"/>
        </w:rPr>
        <w:t xml:space="preserve">of debt restructuring transactions </w:t>
      </w:r>
      <w:r w:rsidR="00C74557" w:rsidRPr="006920B9">
        <w:rPr>
          <w:rFonts w:ascii="Arial" w:hAnsi="Arial" w:cs="Arial"/>
        </w:rPr>
        <w:t>to satisfy regulatory and statutory obligations</w:t>
      </w:r>
      <w:r w:rsidR="008A2634" w:rsidRPr="006920B9">
        <w:rPr>
          <w:rFonts w:ascii="Arial" w:hAnsi="Arial" w:cs="Arial"/>
        </w:rPr>
        <w:t>.</w:t>
      </w:r>
    </w:p>
    <w:p w:rsidR="00C6637F" w:rsidRPr="006920B9" w:rsidRDefault="00D2391D" w:rsidP="005D34DC">
      <w:pPr>
        <w:spacing w:before="120" w:after="120" w:line="276" w:lineRule="auto"/>
        <w:ind w:left="709" w:hanging="709"/>
        <w:jc w:val="both"/>
        <w:rPr>
          <w:rFonts w:ascii="Arial" w:hAnsi="Arial" w:cs="Arial"/>
        </w:rPr>
      </w:pPr>
      <w:r>
        <w:rPr>
          <w:rFonts w:ascii="Arial" w:hAnsi="Arial" w:cs="Arial"/>
        </w:rPr>
        <w:t>3.17</w:t>
      </w:r>
      <w:r>
        <w:rPr>
          <w:rFonts w:ascii="Arial" w:hAnsi="Arial" w:cs="Arial"/>
        </w:rPr>
        <w:tab/>
      </w:r>
      <w:r w:rsidR="00C6637F" w:rsidRPr="006920B9">
        <w:rPr>
          <w:rFonts w:ascii="Arial" w:hAnsi="Arial" w:cs="Arial"/>
        </w:rPr>
        <w:t>The consultant should be prepared to explain their reasoning for any debt or borrowing advice or suggestions made including relevant key risks to be considered.</w:t>
      </w:r>
    </w:p>
    <w:p w:rsidR="00C6637F" w:rsidRPr="006920B9" w:rsidRDefault="00C6637F" w:rsidP="006920B9">
      <w:pPr>
        <w:pStyle w:val="ListParagraph"/>
        <w:spacing w:before="120" w:after="120" w:line="276" w:lineRule="auto"/>
        <w:contextualSpacing w:val="0"/>
        <w:jc w:val="both"/>
        <w:rPr>
          <w:rFonts w:ascii="Arial" w:hAnsi="Arial" w:cs="Arial"/>
        </w:rPr>
      </w:pPr>
    </w:p>
    <w:p w:rsidR="00885E3A" w:rsidRPr="006920B9" w:rsidRDefault="00EF7C79" w:rsidP="006920B9">
      <w:pPr>
        <w:spacing w:before="120" w:after="120" w:line="276" w:lineRule="auto"/>
        <w:ind w:left="709"/>
        <w:rPr>
          <w:rFonts w:ascii="Arial" w:hAnsi="Arial" w:cs="Arial"/>
          <w:b/>
        </w:rPr>
      </w:pPr>
      <w:r w:rsidRPr="006920B9">
        <w:rPr>
          <w:rFonts w:ascii="Arial" w:hAnsi="Arial" w:cs="Arial"/>
          <w:b/>
        </w:rPr>
        <w:t>Strategy Production</w:t>
      </w:r>
      <w:r w:rsidR="00DB0967" w:rsidRPr="006920B9">
        <w:rPr>
          <w:rFonts w:ascii="Arial" w:hAnsi="Arial" w:cs="Arial"/>
          <w:b/>
        </w:rPr>
        <w:t xml:space="preserve"> and Advice</w:t>
      </w:r>
    </w:p>
    <w:p w:rsidR="00E81A9F" w:rsidRPr="006920B9" w:rsidRDefault="00D2391D" w:rsidP="005D34DC">
      <w:pPr>
        <w:spacing w:before="120" w:after="120" w:line="276" w:lineRule="auto"/>
        <w:ind w:left="709" w:hanging="709"/>
        <w:jc w:val="both"/>
        <w:rPr>
          <w:rFonts w:ascii="Arial" w:hAnsi="Arial" w:cs="Arial"/>
        </w:rPr>
      </w:pPr>
      <w:r>
        <w:rPr>
          <w:rFonts w:ascii="Arial" w:hAnsi="Arial" w:cs="Arial"/>
        </w:rPr>
        <w:t>3.18</w:t>
      </w:r>
      <w:r>
        <w:rPr>
          <w:rFonts w:ascii="Arial" w:hAnsi="Arial" w:cs="Arial"/>
        </w:rPr>
        <w:tab/>
      </w:r>
      <w:r w:rsidR="00E81A9F" w:rsidRPr="006920B9">
        <w:rPr>
          <w:rFonts w:ascii="Arial" w:hAnsi="Arial" w:cs="Arial"/>
        </w:rPr>
        <w:t>Financial Overview</w:t>
      </w:r>
    </w:p>
    <w:p w:rsidR="00E81A9F" w:rsidRPr="006920B9" w:rsidRDefault="00885E3A" w:rsidP="006920B9">
      <w:pPr>
        <w:numPr>
          <w:ilvl w:val="2"/>
          <w:numId w:val="3"/>
        </w:numPr>
        <w:tabs>
          <w:tab w:val="clear" w:pos="2520"/>
          <w:tab w:val="num" w:pos="1440"/>
        </w:tabs>
        <w:spacing w:before="120" w:after="120" w:line="276" w:lineRule="auto"/>
        <w:ind w:left="1287" w:hanging="567"/>
        <w:jc w:val="both"/>
        <w:rPr>
          <w:rFonts w:ascii="Arial" w:hAnsi="Arial" w:cs="Arial"/>
          <w:u w:val="single"/>
        </w:rPr>
      </w:pPr>
      <w:r w:rsidRPr="006920B9">
        <w:rPr>
          <w:rFonts w:ascii="Arial" w:hAnsi="Arial" w:cs="Arial"/>
        </w:rPr>
        <w:t>To perform an annual Balance Sheet review</w:t>
      </w:r>
      <w:r w:rsidR="00171F53" w:rsidRPr="006920B9">
        <w:rPr>
          <w:rFonts w:ascii="Arial" w:hAnsi="Arial" w:cs="Arial"/>
        </w:rPr>
        <w:t>, first one to be within one month of contract start date,</w:t>
      </w:r>
      <w:r w:rsidRPr="006920B9">
        <w:rPr>
          <w:rFonts w:ascii="Arial" w:hAnsi="Arial" w:cs="Arial"/>
        </w:rPr>
        <w:t xml:space="preserve"> to </w:t>
      </w:r>
      <w:r w:rsidR="001D5DD8" w:rsidRPr="006920B9">
        <w:rPr>
          <w:rFonts w:ascii="Arial" w:hAnsi="Arial" w:cs="Arial"/>
        </w:rPr>
        <w:t>ascertain the optimum levels for borrowings and investments giving regard to the Capital Financing Requirement, the levels of cash reserves and balances and current and forecast market conditions.</w:t>
      </w:r>
    </w:p>
    <w:p w:rsidR="001D5DD8" w:rsidRPr="006920B9" w:rsidRDefault="00E0647F" w:rsidP="006920B9">
      <w:pPr>
        <w:numPr>
          <w:ilvl w:val="2"/>
          <w:numId w:val="3"/>
        </w:numPr>
        <w:tabs>
          <w:tab w:val="clear" w:pos="2520"/>
          <w:tab w:val="num" w:pos="1440"/>
        </w:tabs>
        <w:spacing w:before="120" w:after="120" w:line="276" w:lineRule="auto"/>
        <w:ind w:left="1287" w:hanging="567"/>
        <w:jc w:val="both"/>
        <w:rPr>
          <w:rFonts w:ascii="Arial" w:hAnsi="Arial" w:cs="Arial"/>
        </w:rPr>
      </w:pPr>
      <w:r w:rsidRPr="006920B9">
        <w:rPr>
          <w:rFonts w:ascii="Arial" w:hAnsi="Arial" w:cs="Arial"/>
        </w:rPr>
        <w:t>To provide</w:t>
      </w:r>
      <w:r w:rsidR="001D5DD8" w:rsidRPr="006920B9">
        <w:rPr>
          <w:rFonts w:ascii="Arial" w:hAnsi="Arial" w:cs="Arial"/>
        </w:rPr>
        <w:t xml:space="preserve"> </w:t>
      </w:r>
      <w:r w:rsidRPr="006920B9">
        <w:rPr>
          <w:rFonts w:ascii="Arial" w:hAnsi="Arial" w:cs="Arial"/>
        </w:rPr>
        <w:t xml:space="preserve">future years’ forecasts of interest rates together with </w:t>
      </w:r>
      <w:r w:rsidR="001D5DD8" w:rsidRPr="006920B9">
        <w:rPr>
          <w:rFonts w:ascii="Arial" w:hAnsi="Arial" w:cs="Arial"/>
        </w:rPr>
        <w:t xml:space="preserve">key economic data </w:t>
      </w:r>
      <w:r w:rsidRPr="006920B9">
        <w:rPr>
          <w:rFonts w:ascii="Arial" w:hAnsi="Arial" w:cs="Arial"/>
        </w:rPr>
        <w:t>and relevant commentary to assist in determining the financial implications for the debt and investment portfolios</w:t>
      </w:r>
      <w:r w:rsidR="001D5DD8" w:rsidRPr="006920B9">
        <w:rPr>
          <w:rFonts w:ascii="Arial" w:hAnsi="Arial" w:cs="Arial"/>
        </w:rPr>
        <w:t>.</w:t>
      </w:r>
    </w:p>
    <w:p w:rsidR="00E81A9F" w:rsidRPr="006920B9" w:rsidRDefault="00E0647F" w:rsidP="006920B9">
      <w:pPr>
        <w:numPr>
          <w:ilvl w:val="2"/>
          <w:numId w:val="3"/>
        </w:numPr>
        <w:tabs>
          <w:tab w:val="clear" w:pos="2520"/>
          <w:tab w:val="num" w:pos="1440"/>
        </w:tabs>
        <w:spacing w:before="120" w:after="120" w:line="276" w:lineRule="auto"/>
        <w:ind w:left="1287" w:hanging="567"/>
        <w:jc w:val="both"/>
        <w:rPr>
          <w:rFonts w:ascii="Arial" w:hAnsi="Arial" w:cs="Arial"/>
          <w:u w:val="single"/>
        </w:rPr>
      </w:pPr>
      <w:r w:rsidRPr="006920B9">
        <w:rPr>
          <w:rFonts w:ascii="Arial" w:hAnsi="Arial" w:cs="Arial"/>
        </w:rPr>
        <w:t xml:space="preserve">To attend a review meeting with the </w:t>
      </w:r>
      <w:r w:rsidR="003321CD">
        <w:rPr>
          <w:rFonts w:ascii="Arial" w:hAnsi="Arial" w:cs="Arial"/>
        </w:rPr>
        <w:t>Council</w:t>
      </w:r>
      <w:r w:rsidRPr="006920B9">
        <w:rPr>
          <w:rFonts w:ascii="Arial" w:hAnsi="Arial" w:cs="Arial"/>
        </w:rPr>
        <w:t xml:space="preserve"> at least twice a year to cover both relevant treasury management and</w:t>
      </w:r>
      <w:r w:rsidR="00F32714" w:rsidRPr="006920B9">
        <w:rPr>
          <w:rFonts w:ascii="Arial" w:hAnsi="Arial" w:cs="Arial"/>
        </w:rPr>
        <w:t xml:space="preserve"> capital accounting issues</w:t>
      </w:r>
      <w:r w:rsidRPr="006920B9">
        <w:rPr>
          <w:rFonts w:ascii="Arial" w:hAnsi="Arial" w:cs="Arial"/>
        </w:rPr>
        <w:t xml:space="preserve">. The </w:t>
      </w:r>
      <w:r w:rsidR="00E10F65" w:rsidRPr="006920B9">
        <w:rPr>
          <w:rFonts w:ascii="Arial" w:hAnsi="Arial" w:cs="Arial"/>
        </w:rPr>
        <w:t>c</w:t>
      </w:r>
      <w:r w:rsidRPr="006920B9">
        <w:rPr>
          <w:rFonts w:ascii="Arial" w:hAnsi="Arial" w:cs="Arial"/>
        </w:rPr>
        <w:t xml:space="preserve">onsultant must be able to explain </w:t>
      </w:r>
      <w:r w:rsidR="00C53FF6" w:rsidRPr="006920B9">
        <w:rPr>
          <w:rFonts w:ascii="Arial" w:hAnsi="Arial" w:cs="Arial"/>
        </w:rPr>
        <w:t xml:space="preserve">any </w:t>
      </w:r>
      <w:r w:rsidRPr="006920B9">
        <w:rPr>
          <w:rFonts w:ascii="Arial" w:hAnsi="Arial" w:cs="Arial"/>
        </w:rPr>
        <w:t xml:space="preserve">technical issues in </w:t>
      </w:r>
      <w:r w:rsidR="00C53FF6" w:rsidRPr="006920B9">
        <w:rPr>
          <w:rFonts w:ascii="Arial" w:hAnsi="Arial" w:cs="Arial"/>
        </w:rPr>
        <w:t xml:space="preserve">a manner </w:t>
      </w:r>
      <w:r w:rsidRPr="006920B9">
        <w:rPr>
          <w:rFonts w:ascii="Arial" w:hAnsi="Arial" w:cs="Arial"/>
        </w:rPr>
        <w:t xml:space="preserve">that </w:t>
      </w:r>
      <w:r w:rsidR="00C53FF6" w:rsidRPr="006920B9">
        <w:rPr>
          <w:rFonts w:ascii="Arial" w:hAnsi="Arial" w:cs="Arial"/>
        </w:rPr>
        <w:t xml:space="preserve">is </w:t>
      </w:r>
      <w:r w:rsidRPr="006920B9">
        <w:rPr>
          <w:rFonts w:ascii="Arial" w:hAnsi="Arial" w:cs="Arial"/>
        </w:rPr>
        <w:t>relevant to the audience.</w:t>
      </w:r>
    </w:p>
    <w:p w:rsidR="00DB0967" w:rsidRPr="006920B9" w:rsidRDefault="00D2391D" w:rsidP="005D34DC">
      <w:pPr>
        <w:spacing w:before="120" w:after="120" w:line="276" w:lineRule="auto"/>
        <w:ind w:left="709" w:hanging="709"/>
        <w:jc w:val="both"/>
        <w:rPr>
          <w:rFonts w:ascii="Arial" w:hAnsi="Arial" w:cs="Arial"/>
        </w:rPr>
      </w:pPr>
      <w:r>
        <w:rPr>
          <w:rFonts w:ascii="Arial" w:hAnsi="Arial" w:cs="Arial"/>
        </w:rPr>
        <w:t>3.19</w:t>
      </w:r>
      <w:r>
        <w:rPr>
          <w:rFonts w:ascii="Arial" w:hAnsi="Arial" w:cs="Arial"/>
        </w:rPr>
        <w:tab/>
      </w:r>
      <w:r w:rsidR="00DB0967" w:rsidRPr="006920B9">
        <w:rPr>
          <w:rFonts w:ascii="Arial" w:hAnsi="Arial" w:cs="Arial"/>
        </w:rPr>
        <w:t xml:space="preserve">To provide advice and guidance on formulating and maintaining a Treasury Management and Investment Strategy, Prudential Indicators, Minimum Revenue Provision policy and calculation and the Capital Financing Requirement.  The advice shall be tailored to the specific needs of </w:t>
      </w:r>
      <w:r w:rsidR="006920B9">
        <w:rPr>
          <w:rFonts w:ascii="Arial" w:hAnsi="Arial" w:cs="Arial"/>
        </w:rPr>
        <w:t>F&amp;HDC</w:t>
      </w:r>
      <w:r w:rsidR="00DB0967" w:rsidRPr="006920B9">
        <w:rPr>
          <w:rFonts w:ascii="Arial" w:hAnsi="Arial" w:cs="Arial"/>
        </w:rPr>
        <w:t>, taking into account its appetite for risk.</w:t>
      </w:r>
    </w:p>
    <w:p w:rsidR="00DB0967" w:rsidRPr="00CD0FC4" w:rsidRDefault="00D2391D" w:rsidP="005D34DC">
      <w:pPr>
        <w:spacing w:before="120" w:after="120" w:line="276" w:lineRule="auto"/>
        <w:ind w:left="709" w:hanging="709"/>
        <w:jc w:val="both"/>
        <w:rPr>
          <w:rFonts w:ascii="Arial" w:hAnsi="Arial" w:cs="Arial"/>
        </w:rPr>
      </w:pPr>
      <w:r>
        <w:rPr>
          <w:rFonts w:ascii="Arial" w:hAnsi="Arial" w:cs="Arial"/>
        </w:rPr>
        <w:t>3.20</w:t>
      </w:r>
      <w:r>
        <w:rPr>
          <w:rFonts w:ascii="Arial" w:hAnsi="Arial" w:cs="Arial"/>
        </w:rPr>
        <w:tab/>
      </w:r>
      <w:r w:rsidR="00DB0967" w:rsidRPr="00CD0FC4">
        <w:rPr>
          <w:rFonts w:ascii="Arial" w:hAnsi="Arial" w:cs="Arial"/>
        </w:rPr>
        <w:t xml:space="preserve">To keep strategies under review to ensure they remain current and relevant.  Strategy review meetings shall be held with Council officers at least twice per year, meetings to be held at </w:t>
      </w:r>
      <w:r w:rsidR="006920B9" w:rsidRPr="00CD0FC4">
        <w:rPr>
          <w:rFonts w:ascii="Arial" w:hAnsi="Arial" w:cs="Arial"/>
        </w:rPr>
        <w:t>F&amp;HDC</w:t>
      </w:r>
      <w:r w:rsidR="00DB0967" w:rsidRPr="00CD0FC4">
        <w:rPr>
          <w:rFonts w:ascii="Arial" w:hAnsi="Arial" w:cs="Arial"/>
        </w:rPr>
        <w:t xml:space="preserve">'s principal offices.  The Supplier shall attend </w:t>
      </w:r>
      <w:r w:rsidR="00D87BC6">
        <w:rPr>
          <w:rFonts w:ascii="Arial" w:hAnsi="Arial" w:cs="Arial"/>
        </w:rPr>
        <w:t>one</w:t>
      </w:r>
      <w:r w:rsidR="00DB0967" w:rsidRPr="00CD0FC4">
        <w:rPr>
          <w:rFonts w:ascii="Arial" w:hAnsi="Arial" w:cs="Arial"/>
        </w:rPr>
        <w:t xml:space="preserve"> </w:t>
      </w:r>
      <w:r w:rsidR="00D87BC6">
        <w:rPr>
          <w:rFonts w:ascii="Arial" w:hAnsi="Arial" w:cs="Arial"/>
        </w:rPr>
        <w:t>meeting</w:t>
      </w:r>
      <w:r w:rsidR="00DB0967" w:rsidRPr="00CD0FC4">
        <w:rPr>
          <w:rFonts w:ascii="Arial" w:hAnsi="Arial" w:cs="Arial"/>
        </w:rPr>
        <w:t xml:space="preserve"> a year</w:t>
      </w:r>
      <w:r w:rsidR="00290334" w:rsidRPr="00CD0FC4">
        <w:rPr>
          <w:rFonts w:ascii="Arial" w:hAnsi="Arial" w:cs="Arial"/>
        </w:rPr>
        <w:t xml:space="preserve"> of the relevant Committee responsible for scrutinising the Treasury Management function</w:t>
      </w:r>
      <w:r w:rsidR="00DB0967" w:rsidRPr="00CD0FC4">
        <w:rPr>
          <w:rFonts w:ascii="Arial" w:hAnsi="Arial" w:cs="Arial"/>
        </w:rPr>
        <w:t xml:space="preserve"> to comment on treasury management strategies and performance.</w:t>
      </w:r>
    </w:p>
    <w:p w:rsidR="00E81A9F" w:rsidRPr="006920B9" w:rsidRDefault="00D2391D" w:rsidP="005D34DC">
      <w:pPr>
        <w:spacing w:before="120" w:after="120" w:line="276" w:lineRule="auto"/>
        <w:ind w:left="709" w:hanging="709"/>
        <w:jc w:val="both"/>
        <w:rPr>
          <w:rFonts w:ascii="Arial" w:hAnsi="Arial" w:cs="Arial"/>
        </w:rPr>
      </w:pPr>
      <w:r>
        <w:rPr>
          <w:rFonts w:ascii="Arial" w:hAnsi="Arial" w:cs="Arial"/>
        </w:rPr>
        <w:t>3.21</w:t>
      </w:r>
      <w:r>
        <w:rPr>
          <w:rFonts w:ascii="Arial" w:hAnsi="Arial" w:cs="Arial"/>
        </w:rPr>
        <w:tab/>
      </w:r>
      <w:r w:rsidR="00C0017D" w:rsidRPr="006920B9">
        <w:rPr>
          <w:rFonts w:ascii="Arial" w:hAnsi="Arial" w:cs="Arial"/>
        </w:rPr>
        <w:t>To provide timely template reports to assist with the production of the following treasury management reports and documents:</w:t>
      </w:r>
    </w:p>
    <w:p w:rsidR="00E81A9F" w:rsidRPr="006920B9" w:rsidRDefault="00E81A9F" w:rsidP="006920B9">
      <w:pPr>
        <w:numPr>
          <w:ilvl w:val="0"/>
          <w:numId w:val="10"/>
        </w:numPr>
        <w:spacing w:before="120" w:after="120" w:line="276" w:lineRule="auto"/>
        <w:ind w:left="1287" w:hanging="567"/>
        <w:jc w:val="both"/>
        <w:rPr>
          <w:rFonts w:ascii="Arial" w:hAnsi="Arial" w:cs="Arial"/>
          <w:u w:val="single"/>
        </w:rPr>
      </w:pPr>
      <w:r w:rsidRPr="006920B9">
        <w:rPr>
          <w:rFonts w:ascii="Arial" w:hAnsi="Arial" w:cs="Arial"/>
        </w:rPr>
        <w:lastRenderedPageBreak/>
        <w:t xml:space="preserve">Annual Treasury </w:t>
      </w:r>
      <w:r w:rsidR="00970F0C" w:rsidRPr="006920B9">
        <w:rPr>
          <w:rFonts w:ascii="Arial" w:hAnsi="Arial" w:cs="Arial"/>
        </w:rPr>
        <w:t>and</w:t>
      </w:r>
      <w:r w:rsidRPr="006920B9">
        <w:rPr>
          <w:rFonts w:ascii="Arial" w:hAnsi="Arial" w:cs="Arial"/>
        </w:rPr>
        <w:t xml:space="preserve"> Investment Strateg</w:t>
      </w:r>
      <w:r w:rsidR="00C0017D" w:rsidRPr="006920B9">
        <w:rPr>
          <w:rFonts w:ascii="Arial" w:hAnsi="Arial" w:cs="Arial"/>
        </w:rPr>
        <w:t>ies</w:t>
      </w:r>
    </w:p>
    <w:p w:rsidR="00E81A9F" w:rsidRPr="006920B9" w:rsidRDefault="00AF66C2" w:rsidP="006920B9">
      <w:pPr>
        <w:numPr>
          <w:ilvl w:val="0"/>
          <w:numId w:val="10"/>
        </w:numPr>
        <w:spacing w:before="120" w:after="120" w:line="276" w:lineRule="auto"/>
        <w:ind w:left="1287" w:hanging="567"/>
        <w:jc w:val="both"/>
        <w:rPr>
          <w:rFonts w:ascii="Arial" w:hAnsi="Arial" w:cs="Arial"/>
          <w:u w:val="single"/>
        </w:rPr>
      </w:pPr>
      <w:r w:rsidRPr="006920B9">
        <w:rPr>
          <w:rFonts w:ascii="Arial" w:hAnsi="Arial" w:cs="Arial"/>
        </w:rPr>
        <w:t xml:space="preserve">Quarterly and </w:t>
      </w:r>
      <w:r w:rsidR="00E81A9F" w:rsidRPr="006920B9">
        <w:rPr>
          <w:rFonts w:ascii="Arial" w:hAnsi="Arial" w:cs="Arial"/>
        </w:rPr>
        <w:t>Mid-Year Review Report</w:t>
      </w:r>
      <w:r w:rsidRPr="006920B9">
        <w:rPr>
          <w:rFonts w:ascii="Arial" w:hAnsi="Arial" w:cs="Arial"/>
        </w:rPr>
        <w:t>s</w:t>
      </w:r>
    </w:p>
    <w:p w:rsidR="00E81A9F" w:rsidRPr="006920B9" w:rsidRDefault="00E81A9F" w:rsidP="006920B9">
      <w:pPr>
        <w:numPr>
          <w:ilvl w:val="0"/>
          <w:numId w:val="10"/>
        </w:numPr>
        <w:spacing w:before="120" w:after="120" w:line="276" w:lineRule="auto"/>
        <w:ind w:left="1287" w:hanging="567"/>
        <w:jc w:val="both"/>
        <w:rPr>
          <w:rFonts w:ascii="Arial" w:hAnsi="Arial" w:cs="Arial"/>
          <w:u w:val="single"/>
        </w:rPr>
      </w:pPr>
      <w:r w:rsidRPr="006920B9">
        <w:rPr>
          <w:rFonts w:ascii="Arial" w:hAnsi="Arial" w:cs="Arial"/>
        </w:rPr>
        <w:t>Annual Treasury Review Report</w:t>
      </w:r>
    </w:p>
    <w:p w:rsidR="00E81A9F" w:rsidRPr="006920B9" w:rsidRDefault="00E81A9F" w:rsidP="006920B9">
      <w:pPr>
        <w:numPr>
          <w:ilvl w:val="0"/>
          <w:numId w:val="10"/>
        </w:numPr>
        <w:spacing w:before="120" w:after="120" w:line="276" w:lineRule="auto"/>
        <w:ind w:left="1287" w:hanging="567"/>
        <w:jc w:val="both"/>
        <w:rPr>
          <w:rFonts w:ascii="Arial" w:hAnsi="Arial" w:cs="Arial"/>
        </w:rPr>
      </w:pPr>
      <w:r w:rsidRPr="006920B9">
        <w:rPr>
          <w:rFonts w:ascii="Arial" w:hAnsi="Arial" w:cs="Arial"/>
        </w:rPr>
        <w:t>Treasury Management Practices</w:t>
      </w:r>
    </w:p>
    <w:p w:rsidR="00E81A9F" w:rsidRPr="006920B9" w:rsidRDefault="00E81A9F" w:rsidP="006920B9">
      <w:pPr>
        <w:spacing w:before="120" w:after="120" w:line="276" w:lineRule="auto"/>
        <w:ind w:left="360"/>
        <w:jc w:val="both"/>
        <w:rPr>
          <w:rFonts w:ascii="Arial" w:hAnsi="Arial" w:cs="Arial"/>
          <w:u w:val="single"/>
        </w:rPr>
      </w:pPr>
    </w:p>
    <w:p w:rsidR="00620ABC" w:rsidRPr="006920B9" w:rsidRDefault="00EF7C79" w:rsidP="006920B9">
      <w:pPr>
        <w:spacing w:before="120" w:after="120" w:line="276" w:lineRule="auto"/>
        <w:ind w:left="709"/>
        <w:rPr>
          <w:rFonts w:ascii="Arial" w:hAnsi="Arial" w:cs="Arial"/>
          <w:b/>
        </w:rPr>
      </w:pPr>
      <w:r w:rsidRPr="006920B9">
        <w:rPr>
          <w:rFonts w:ascii="Arial" w:hAnsi="Arial" w:cs="Arial"/>
          <w:b/>
        </w:rPr>
        <w:t>Regulatory and Accounting Technical Advice</w:t>
      </w:r>
    </w:p>
    <w:p w:rsidR="00DB0967" w:rsidRPr="006920B9" w:rsidRDefault="00D2391D" w:rsidP="005D34DC">
      <w:pPr>
        <w:spacing w:before="120" w:after="120" w:line="276" w:lineRule="auto"/>
        <w:ind w:left="709" w:hanging="709"/>
        <w:jc w:val="both"/>
        <w:rPr>
          <w:rFonts w:ascii="Arial" w:hAnsi="Arial" w:cs="Arial"/>
        </w:rPr>
      </w:pPr>
      <w:r>
        <w:rPr>
          <w:rFonts w:ascii="Arial" w:hAnsi="Arial" w:cs="Arial"/>
        </w:rPr>
        <w:t>3.22</w:t>
      </w:r>
      <w:r>
        <w:rPr>
          <w:rFonts w:ascii="Arial" w:hAnsi="Arial" w:cs="Arial"/>
        </w:rPr>
        <w:tab/>
      </w:r>
      <w:r w:rsidR="00DB0967" w:rsidRPr="006920B9">
        <w:rPr>
          <w:rFonts w:ascii="Arial" w:hAnsi="Arial" w:cs="Arial"/>
        </w:rPr>
        <w:t xml:space="preserve">To have a proactive approach to developments and opportunities in treasury management, including bringing to </w:t>
      </w:r>
      <w:r w:rsidR="006920B9">
        <w:rPr>
          <w:rFonts w:ascii="Arial" w:hAnsi="Arial" w:cs="Arial"/>
        </w:rPr>
        <w:t>F&amp;HDC</w:t>
      </w:r>
      <w:r w:rsidR="00DB0967" w:rsidRPr="006920B9">
        <w:rPr>
          <w:rFonts w:ascii="Arial" w:hAnsi="Arial" w:cs="Arial"/>
        </w:rPr>
        <w:t xml:space="preserve">'s attention changes to legislation and accounting requirements. </w:t>
      </w:r>
    </w:p>
    <w:p w:rsidR="00DB0967" w:rsidRPr="006920B9" w:rsidRDefault="00D2391D" w:rsidP="005D34DC">
      <w:pPr>
        <w:spacing w:before="120" w:after="120" w:line="276" w:lineRule="auto"/>
        <w:ind w:left="709" w:hanging="709"/>
        <w:jc w:val="both"/>
        <w:rPr>
          <w:rFonts w:ascii="Arial" w:hAnsi="Arial" w:cs="Arial"/>
        </w:rPr>
      </w:pPr>
      <w:r>
        <w:rPr>
          <w:rFonts w:ascii="Arial" w:hAnsi="Arial" w:cs="Arial"/>
        </w:rPr>
        <w:t>3.23</w:t>
      </w:r>
      <w:r>
        <w:rPr>
          <w:rFonts w:ascii="Arial" w:hAnsi="Arial" w:cs="Arial"/>
        </w:rPr>
        <w:tab/>
      </w:r>
      <w:r w:rsidR="00DB0967" w:rsidRPr="006920B9">
        <w:rPr>
          <w:rFonts w:ascii="Arial" w:hAnsi="Arial" w:cs="Arial"/>
        </w:rPr>
        <w:t xml:space="preserve">To provide full, clear and unambiguous explanations of all technical issues as they arise.  </w:t>
      </w:r>
    </w:p>
    <w:p w:rsidR="00E81A9F" w:rsidRPr="006920B9" w:rsidRDefault="00D2391D" w:rsidP="005D34DC">
      <w:pPr>
        <w:spacing w:before="120" w:after="120" w:line="276" w:lineRule="auto"/>
        <w:ind w:left="709" w:hanging="709"/>
        <w:jc w:val="both"/>
        <w:rPr>
          <w:rFonts w:ascii="Arial" w:hAnsi="Arial" w:cs="Arial"/>
        </w:rPr>
      </w:pPr>
      <w:r>
        <w:rPr>
          <w:rFonts w:ascii="Arial" w:hAnsi="Arial" w:cs="Arial"/>
        </w:rPr>
        <w:t>3.24</w:t>
      </w:r>
      <w:r>
        <w:rPr>
          <w:rFonts w:ascii="Arial" w:hAnsi="Arial" w:cs="Arial"/>
        </w:rPr>
        <w:tab/>
      </w:r>
      <w:r w:rsidR="00E81A9F" w:rsidRPr="006920B9">
        <w:rPr>
          <w:rFonts w:ascii="Arial" w:hAnsi="Arial" w:cs="Arial"/>
        </w:rPr>
        <w:t xml:space="preserve">To provide </w:t>
      </w:r>
      <w:r w:rsidR="00CC0929" w:rsidRPr="006920B9">
        <w:rPr>
          <w:rFonts w:ascii="Arial" w:hAnsi="Arial" w:cs="Arial"/>
        </w:rPr>
        <w:t xml:space="preserve">timely </w:t>
      </w:r>
      <w:r w:rsidR="00E81A9F" w:rsidRPr="006920B9">
        <w:rPr>
          <w:rFonts w:ascii="Arial" w:hAnsi="Arial" w:cs="Arial"/>
        </w:rPr>
        <w:t xml:space="preserve">guidance and support </w:t>
      </w:r>
      <w:r w:rsidR="00EA7C0B" w:rsidRPr="006920B9">
        <w:rPr>
          <w:rFonts w:ascii="Arial" w:hAnsi="Arial" w:cs="Arial"/>
        </w:rPr>
        <w:t xml:space="preserve">on </w:t>
      </w:r>
      <w:r w:rsidR="00E81A9F" w:rsidRPr="006920B9">
        <w:rPr>
          <w:rFonts w:ascii="Arial" w:hAnsi="Arial" w:cs="Arial"/>
        </w:rPr>
        <w:t xml:space="preserve">issues in order </w:t>
      </w:r>
      <w:r w:rsidR="00C53FF6" w:rsidRPr="006920B9">
        <w:rPr>
          <w:rFonts w:ascii="Arial" w:hAnsi="Arial" w:cs="Arial"/>
        </w:rPr>
        <w:t xml:space="preserve">for </w:t>
      </w:r>
      <w:r w:rsidR="006920B9">
        <w:rPr>
          <w:rFonts w:ascii="Arial" w:hAnsi="Arial" w:cs="Arial"/>
        </w:rPr>
        <w:t>F&amp;HDC</w:t>
      </w:r>
      <w:r w:rsidR="00C53FF6" w:rsidRPr="006920B9">
        <w:rPr>
          <w:rFonts w:ascii="Arial" w:hAnsi="Arial" w:cs="Arial"/>
        </w:rPr>
        <w:t xml:space="preserve"> </w:t>
      </w:r>
      <w:r w:rsidR="00E81A9F" w:rsidRPr="006920B9">
        <w:rPr>
          <w:rFonts w:ascii="Arial" w:hAnsi="Arial" w:cs="Arial"/>
        </w:rPr>
        <w:t xml:space="preserve">to meet </w:t>
      </w:r>
      <w:r w:rsidR="00EA7C0B" w:rsidRPr="006920B9">
        <w:rPr>
          <w:rFonts w:ascii="Arial" w:hAnsi="Arial" w:cs="Arial"/>
        </w:rPr>
        <w:t xml:space="preserve">all relevant legislative and regulatory </w:t>
      </w:r>
      <w:r w:rsidR="00E81A9F" w:rsidRPr="006920B9">
        <w:rPr>
          <w:rFonts w:ascii="Arial" w:hAnsi="Arial" w:cs="Arial"/>
        </w:rPr>
        <w:t xml:space="preserve">requirements </w:t>
      </w:r>
      <w:r w:rsidR="00EA7C0B" w:rsidRPr="006920B9">
        <w:rPr>
          <w:rFonts w:ascii="Arial" w:hAnsi="Arial" w:cs="Arial"/>
        </w:rPr>
        <w:t xml:space="preserve">and including </w:t>
      </w:r>
      <w:r w:rsidR="00E81A9F" w:rsidRPr="006920B9">
        <w:rPr>
          <w:rFonts w:ascii="Arial" w:hAnsi="Arial" w:cs="Arial"/>
        </w:rPr>
        <w:t>CIPFA’s</w:t>
      </w:r>
    </w:p>
    <w:p w:rsidR="00E81A9F" w:rsidRPr="006920B9" w:rsidRDefault="00E81A9F" w:rsidP="006920B9">
      <w:pPr>
        <w:numPr>
          <w:ilvl w:val="0"/>
          <w:numId w:val="1"/>
        </w:numPr>
        <w:tabs>
          <w:tab w:val="clear" w:pos="720"/>
          <w:tab w:val="num" w:pos="1440"/>
        </w:tabs>
        <w:spacing w:before="120" w:after="120" w:line="276" w:lineRule="auto"/>
        <w:ind w:left="1287" w:hanging="567"/>
        <w:jc w:val="both"/>
        <w:rPr>
          <w:rFonts w:ascii="Arial" w:hAnsi="Arial" w:cs="Arial"/>
          <w:u w:val="single"/>
        </w:rPr>
      </w:pPr>
      <w:r w:rsidRPr="006920B9">
        <w:rPr>
          <w:rFonts w:ascii="Arial" w:hAnsi="Arial" w:cs="Arial"/>
        </w:rPr>
        <w:t>Code of Practice for Treasury Management in the Public Services.</w:t>
      </w:r>
    </w:p>
    <w:p w:rsidR="00E81A9F" w:rsidRPr="006920B9" w:rsidRDefault="00E81A9F" w:rsidP="006920B9">
      <w:pPr>
        <w:numPr>
          <w:ilvl w:val="0"/>
          <w:numId w:val="1"/>
        </w:numPr>
        <w:tabs>
          <w:tab w:val="clear" w:pos="720"/>
          <w:tab w:val="num" w:pos="1440"/>
        </w:tabs>
        <w:spacing w:before="120" w:after="120" w:line="276" w:lineRule="auto"/>
        <w:ind w:left="1287" w:hanging="567"/>
        <w:jc w:val="both"/>
        <w:rPr>
          <w:rFonts w:ascii="Arial" w:hAnsi="Arial" w:cs="Arial"/>
        </w:rPr>
      </w:pPr>
      <w:r w:rsidRPr="006920B9">
        <w:rPr>
          <w:rFonts w:ascii="Arial" w:hAnsi="Arial" w:cs="Arial"/>
        </w:rPr>
        <w:t>Prudential Code for Capital Finance in Local Authorities.</w:t>
      </w:r>
    </w:p>
    <w:p w:rsidR="001C17B4" w:rsidRPr="006920B9" w:rsidRDefault="00D2391D" w:rsidP="005D34DC">
      <w:pPr>
        <w:spacing w:before="120" w:after="120" w:line="276" w:lineRule="auto"/>
        <w:ind w:left="709" w:hanging="709"/>
        <w:jc w:val="both"/>
        <w:rPr>
          <w:rFonts w:ascii="Arial" w:hAnsi="Arial" w:cs="Arial"/>
        </w:rPr>
      </w:pPr>
      <w:r>
        <w:rPr>
          <w:rFonts w:ascii="Arial" w:hAnsi="Arial" w:cs="Arial"/>
        </w:rPr>
        <w:t>3.25</w:t>
      </w:r>
      <w:r>
        <w:rPr>
          <w:rFonts w:ascii="Arial" w:hAnsi="Arial" w:cs="Arial"/>
        </w:rPr>
        <w:tab/>
      </w:r>
      <w:r w:rsidR="00E81A9F" w:rsidRPr="006920B9">
        <w:rPr>
          <w:rFonts w:ascii="Arial" w:hAnsi="Arial" w:cs="Arial"/>
        </w:rPr>
        <w:t xml:space="preserve">To provide </w:t>
      </w:r>
      <w:r w:rsidR="00CC0929" w:rsidRPr="006920B9">
        <w:rPr>
          <w:rFonts w:ascii="Arial" w:hAnsi="Arial" w:cs="Arial"/>
        </w:rPr>
        <w:t xml:space="preserve">timely </w:t>
      </w:r>
      <w:r w:rsidR="00E81A9F" w:rsidRPr="006920B9">
        <w:rPr>
          <w:rFonts w:ascii="Arial" w:hAnsi="Arial" w:cs="Arial"/>
        </w:rPr>
        <w:t>guidance and support on all technical and accounting issues linked to treasury management and capital finance arising from relevant legislation and codes of practice</w:t>
      </w:r>
      <w:r w:rsidR="00C53FF6" w:rsidRPr="006920B9">
        <w:rPr>
          <w:rFonts w:ascii="Arial" w:hAnsi="Arial" w:cs="Arial"/>
        </w:rPr>
        <w:t xml:space="preserve"> and support on documentation for year-end Accounts</w:t>
      </w:r>
      <w:r w:rsidR="00F56773" w:rsidRPr="006920B9">
        <w:rPr>
          <w:rFonts w:ascii="Arial" w:hAnsi="Arial" w:cs="Arial"/>
        </w:rPr>
        <w:t xml:space="preserve"> and external audit challenges</w:t>
      </w:r>
      <w:r w:rsidR="00E81A9F" w:rsidRPr="006920B9">
        <w:rPr>
          <w:rFonts w:ascii="Arial" w:hAnsi="Arial" w:cs="Arial"/>
        </w:rPr>
        <w:t>.</w:t>
      </w:r>
      <w:r w:rsidR="001C17B4" w:rsidRPr="006920B9">
        <w:rPr>
          <w:rFonts w:ascii="Arial" w:hAnsi="Arial" w:cs="Arial"/>
        </w:rPr>
        <w:t xml:space="preserve"> </w:t>
      </w:r>
    </w:p>
    <w:p w:rsidR="00E81A9F" w:rsidRPr="006920B9" w:rsidRDefault="00D2391D" w:rsidP="005D34DC">
      <w:pPr>
        <w:spacing w:before="120" w:after="120" w:line="276" w:lineRule="auto"/>
        <w:ind w:left="709" w:hanging="709"/>
        <w:jc w:val="both"/>
        <w:rPr>
          <w:rFonts w:ascii="Arial" w:hAnsi="Arial" w:cs="Arial"/>
        </w:rPr>
      </w:pPr>
      <w:r>
        <w:rPr>
          <w:rFonts w:ascii="Arial" w:hAnsi="Arial" w:cs="Arial"/>
        </w:rPr>
        <w:t>3.26</w:t>
      </w:r>
      <w:r>
        <w:rPr>
          <w:rFonts w:ascii="Arial" w:hAnsi="Arial" w:cs="Arial"/>
        </w:rPr>
        <w:tab/>
      </w:r>
      <w:r w:rsidR="001C17B4" w:rsidRPr="006920B9">
        <w:rPr>
          <w:rFonts w:ascii="Arial" w:hAnsi="Arial" w:cs="Arial"/>
        </w:rPr>
        <w:t>To include an annual closure of accounts service as part the contract to include provision of Fair Value and credit loss calculations for all loans and investments and a review of Treasury Management Closure of Accounts Working Papers.</w:t>
      </w:r>
    </w:p>
    <w:p w:rsidR="00CC0929" w:rsidRPr="006920B9" w:rsidRDefault="00D2391D" w:rsidP="005D34DC">
      <w:pPr>
        <w:spacing w:before="120" w:after="120" w:line="276" w:lineRule="auto"/>
        <w:ind w:left="709" w:hanging="709"/>
        <w:jc w:val="both"/>
        <w:rPr>
          <w:rFonts w:ascii="Arial" w:hAnsi="Arial" w:cs="Arial"/>
        </w:rPr>
      </w:pPr>
      <w:r>
        <w:rPr>
          <w:rFonts w:ascii="Arial" w:hAnsi="Arial" w:cs="Arial"/>
        </w:rPr>
        <w:t>3.27</w:t>
      </w:r>
      <w:r>
        <w:rPr>
          <w:rFonts w:ascii="Arial" w:hAnsi="Arial" w:cs="Arial"/>
        </w:rPr>
        <w:tab/>
      </w:r>
      <w:r w:rsidR="00CC0929" w:rsidRPr="006920B9">
        <w:rPr>
          <w:rFonts w:ascii="Arial" w:hAnsi="Arial" w:cs="Arial"/>
        </w:rPr>
        <w:t xml:space="preserve">To provide </w:t>
      </w:r>
      <w:r w:rsidR="00EA7C0B" w:rsidRPr="006920B9">
        <w:rPr>
          <w:rFonts w:ascii="Arial" w:hAnsi="Arial" w:cs="Arial"/>
        </w:rPr>
        <w:t xml:space="preserve">timely </w:t>
      </w:r>
      <w:r w:rsidR="00514C5F" w:rsidRPr="006920B9">
        <w:rPr>
          <w:rFonts w:ascii="Arial" w:hAnsi="Arial" w:cs="Arial"/>
        </w:rPr>
        <w:t>guidance and suggested responses to consultation documents issued by either the Government or CIPFA concerning proposed changes to legislation or accounting issues relevant to treasury management or capital accounting.</w:t>
      </w:r>
    </w:p>
    <w:p w:rsidR="00EF7C79" w:rsidRPr="006920B9" w:rsidRDefault="00EF7C79" w:rsidP="006920B9">
      <w:pPr>
        <w:spacing w:before="120" w:after="120" w:line="276" w:lineRule="auto"/>
        <w:ind w:left="709"/>
        <w:rPr>
          <w:rFonts w:ascii="Arial" w:hAnsi="Arial" w:cs="Arial"/>
          <w:b/>
        </w:rPr>
      </w:pPr>
    </w:p>
    <w:p w:rsidR="00F32714" w:rsidRPr="006920B9" w:rsidRDefault="00EF7C79" w:rsidP="006920B9">
      <w:pPr>
        <w:spacing w:before="120" w:after="120" w:line="276" w:lineRule="auto"/>
        <w:ind w:left="709"/>
        <w:rPr>
          <w:rFonts w:ascii="Arial" w:hAnsi="Arial" w:cs="Arial"/>
          <w:b/>
        </w:rPr>
      </w:pPr>
      <w:r w:rsidRPr="006920B9">
        <w:rPr>
          <w:rFonts w:ascii="Arial" w:hAnsi="Arial" w:cs="Arial"/>
          <w:b/>
        </w:rPr>
        <w:t>Training and Support</w:t>
      </w:r>
    </w:p>
    <w:p w:rsidR="00853577" w:rsidRPr="006920B9" w:rsidRDefault="00D2391D" w:rsidP="005D34DC">
      <w:pPr>
        <w:spacing w:before="120" w:after="120" w:line="276" w:lineRule="auto"/>
        <w:ind w:left="709" w:hanging="709"/>
        <w:jc w:val="both"/>
        <w:rPr>
          <w:rFonts w:ascii="Arial" w:hAnsi="Arial" w:cs="Arial"/>
        </w:rPr>
      </w:pPr>
      <w:r>
        <w:rPr>
          <w:rFonts w:ascii="Arial" w:hAnsi="Arial" w:cs="Arial"/>
        </w:rPr>
        <w:t>3.28</w:t>
      </w:r>
      <w:r>
        <w:rPr>
          <w:rFonts w:ascii="Arial" w:hAnsi="Arial" w:cs="Arial"/>
        </w:rPr>
        <w:tab/>
      </w:r>
      <w:r w:rsidR="00F32714" w:rsidRPr="006920B9">
        <w:rPr>
          <w:rFonts w:ascii="Arial" w:hAnsi="Arial" w:cs="Arial"/>
        </w:rPr>
        <w:t xml:space="preserve">To provide </w:t>
      </w:r>
      <w:r w:rsidR="001C17B4" w:rsidRPr="006920B9">
        <w:rPr>
          <w:rFonts w:ascii="Arial" w:hAnsi="Arial" w:cs="Arial"/>
        </w:rPr>
        <w:t xml:space="preserve">free to attend </w:t>
      </w:r>
      <w:r w:rsidR="00F32714" w:rsidRPr="006920B9">
        <w:rPr>
          <w:rFonts w:ascii="Arial" w:hAnsi="Arial" w:cs="Arial"/>
        </w:rPr>
        <w:t>seminars and training opportunities</w:t>
      </w:r>
      <w:r w:rsidR="000350EA" w:rsidRPr="006920B9">
        <w:rPr>
          <w:rFonts w:ascii="Arial" w:hAnsi="Arial" w:cs="Arial"/>
        </w:rPr>
        <w:t xml:space="preserve"> relevant to both treasury management and capital accounting </w:t>
      </w:r>
      <w:r w:rsidR="00F32714" w:rsidRPr="006920B9">
        <w:rPr>
          <w:rFonts w:ascii="Arial" w:hAnsi="Arial" w:cs="Arial"/>
        </w:rPr>
        <w:t xml:space="preserve">designed to support the </w:t>
      </w:r>
      <w:r w:rsidR="005D34DC">
        <w:rPr>
          <w:rFonts w:ascii="Arial" w:hAnsi="Arial" w:cs="Arial"/>
        </w:rPr>
        <w:t>`</w:t>
      </w:r>
      <w:r w:rsidR="001605DE" w:rsidRPr="006920B9">
        <w:rPr>
          <w:rFonts w:ascii="Arial" w:hAnsi="Arial" w:cs="Arial"/>
        </w:rPr>
        <w:t xml:space="preserve"> </w:t>
      </w:r>
      <w:proofErr w:type="spellStart"/>
      <w:r w:rsidR="001605DE" w:rsidRPr="006920B9">
        <w:rPr>
          <w:rFonts w:ascii="Arial" w:hAnsi="Arial" w:cs="Arial"/>
        </w:rPr>
        <w:t>the</w:t>
      </w:r>
      <w:proofErr w:type="spellEnd"/>
      <w:r w:rsidR="001605DE" w:rsidRPr="006920B9">
        <w:rPr>
          <w:rFonts w:ascii="Arial" w:hAnsi="Arial" w:cs="Arial"/>
        </w:rPr>
        <w:t xml:space="preserve"> relevant designated officers within the </w:t>
      </w:r>
      <w:r w:rsidR="003321CD">
        <w:rPr>
          <w:rFonts w:ascii="Arial" w:hAnsi="Arial" w:cs="Arial"/>
        </w:rPr>
        <w:t>Council</w:t>
      </w:r>
      <w:r w:rsidR="001605DE" w:rsidRPr="006920B9">
        <w:rPr>
          <w:rFonts w:ascii="Arial" w:hAnsi="Arial" w:cs="Arial"/>
        </w:rPr>
        <w:t xml:space="preserve"> with access to a dedicated website to support the consultancy service provided.</w:t>
      </w:r>
    </w:p>
    <w:p w:rsidR="00593890" w:rsidRPr="006920B9" w:rsidRDefault="00593890" w:rsidP="006920B9">
      <w:pPr>
        <w:pStyle w:val="ListParagraph"/>
        <w:spacing w:before="120" w:after="120" w:line="276" w:lineRule="auto"/>
        <w:contextualSpacing w:val="0"/>
        <w:rPr>
          <w:rFonts w:ascii="Arial" w:hAnsi="Arial" w:cs="Arial"/>
        </w:rPr>
      </w:pPr>
    </w:p>
    <w:p w:rsidR="00593890" w:rsidRPr="005D34DC" w:rsidRDefault="005D34DC" w:rsidP="005D34DC">
      <w:pPr>
        <w:spacing w:before="120" w:after="120" w:line="276" w:lineRule="auto"/>
        <w:rPr>
          <w:rFonts w:ascii="Arial" w:hAnsi="Arial" w:cs="Arial"/>
          <w:b/>
        </w:rPr>
      </w:pPr>
      <w:r>
        <w:rPr>
          <w:rFonts w:ascii="Arial" w:hAnsi="Arial" w:cs="Arial"/>
          <w:b/>
        </w:rPr>
        <w:t>4.</w:t>
      </w:r>
      <w:r>
        <w:rPr>
          <w:rFonts w:ascii="Arial" w:hAnsi="Arial" w:cs="Arial"/>
          <w:b/>
        </w:rPr>
        <w:tab/>
      </w:r>
      <w:r w:rsidR="00593890" w:rsidRPr="005D34DC">
        <w:rPr>
          <w:rFonts w:ascii="Arial" w:hAnsi="Arial" w:cs="Arial"/>
          <w:b/>
        </w:rPr>
        <w:t>Optional Services</w:t>
      </w:r>
    </w:p>
    <w:p w:rsidR="00593890" w:rsidRPr="000644DC" w:rsidRDefault="00D2391D" w:rsidP="005D34DC">
      <w:pPr>
        <w:spacing w:before="120" w:after="120" w:line="276" w:lineRule="auto"/>
        <w:ind w:left="709" w:hanging="709"/>
        <w:jc w:val="both"/>
        <w:rPr>
          <w:rFonts w:ascii="Arial" w:hAnsi="Arial" w:cs="Arial"/>
        </w:rPr>
      </w:pPr>
      <w:r>
        <w:rPr>
          <w:rFonts w:ascii="Arial" w:hAnsi="Arial" w:cs="Arial"/>
        </w:rPr>
        <w:t>4.1</w:t>
      </w:r>
      <w:r>
        <w:rPr>
          <w:rFonts w:ascii="Arial" w:hAnsi="Arial" w:cs="Arial"/>
        </w:rPr>
        <w:tab/>
      </w:r>
      <w:r w:rsidR="00593890" w:rsidRPr="000644DC">
        <w:rPr>
          <w:rFonts w:ascii="Arial" w:hAnsi="Arial" w:cs="Arial"/>
        </w:rPr>
        <w:t>Please provide a cost for the following option</w:t>
      </w:r>
      <w:r w:rsidR="000644DC">
        <w:rPr>
          <w:rFonts w:ascii="Arial" w:hAnsi="Arial" w:cs="Arial"/>
        </w:rPr>
        <w:t>s</w:t>
      </w:r>
      <w:r w:rsidR="00593890" w:rsidRPr="000644DC">
        <w:rPr>
          <w:rFonts w:ascii="Arial" w:hAnsi="Arial" w:cs="Arial"/>
        </w:rPr>
        <w:t>:</w:t>
      </w:r>
    </w:p>
    <w:p w:rsidR="000644DC" w:rsidRDefault="00593890" w:rsidP="000644DC">
      <w:pPr>
        <w:pStyle w:val="ListParagraph"/>
        <w:numPr>
          <w:ilvl w:val="1"/>
          <w:numId w:val="11"/>
        </w:numPr>
        <w:spacing w:before="120" w:after="120" w:line="276" w:lineRule="auto"/>
        <w:ind w:left="1037" w:hanging="357"/>
        <w:contextualSpacing w:val="0"/>
        <w:jc w:val="both"/>
        <w:rPr>
          <w:rFonts w:ascii="Arial" w:hAnsi="Arial" w:cs="Arial"/>
        </w:rPr>
      </w:pPr>
      <w:r w:rsidRPr="006920B9">
        <w:rPr>
          <w:rFonts w:ascii="Arial" w:hAnsi="Arial" w:cs="Arial"/>
        </w:rPr>
        <w:lastRenderedPageBreak/>
        <w:t xml:space="preserve">If </w:t>
      </w:r>
      <w:r w:rsidR="006920B9">
        <w:rPr>
          <w:rFonts w:ascii="Arial" w:hAnsi="Arial" w:cs="Arial"/>
        </w:rPr>
        <w:t>F&amp;HDC</w:t>
      </w:r>
      <w:r w:rsidRPr="006920B9">
        <w:rPr>
          <w:rFonts w:ascii="Arial" w:hAnsi="Arial" w:cs="Arial"/>
        </w:rPr>
        <w:t xml:space="preserve"> were to use an external fund manager for any or all of its investment portfolio to review their performance and provide advice, on an annual basis. This is to exclude the CCLA Local Authorities Property Fund which is already held as part of </w:t>
      </w:r>
      <w:r w:rsidR="006920B9">
        <w:rPr>
          <w:rFonts w:ascii="Arial" w:hAnsi="Arial" w:cs="Arial"/>
        </w:rPr>
        <w:t>F&amp;HDC</w:t>
      </w:r>
      <w:r w:rsidRPr="006920B9">
        <w:rPr>
          <w:rFonts w:ascii="Arial" w:hAnsi="Arial" w:cs="Arial"/>
        </w:rPr>
        <w:t>’s current and ongoing investment portfolio.</w:t>
      </w:r>
    </w:p>
    <w:p w:rsidR="00CD0FC4" w:rsidRPr="00CD0FC4" w:rsidRDefault="000644DC" w:rsidP="00CD0FC4">
      <w:pPr>
        <w:pStyle w:val="ListParagraph"/>
        <w:numPr>
          <w:ilvl w:val="1"/>
          <w:numId w:val="11"/>
        </w:numPr>
        <w:spacing w:before="120" w:after="120" w:line="276" w:lineRule="auto"/>
        <w:ind w:left="1037" w:hanging="357"/>
        <w:contextualSpacing w:val="0"/>
        <w:jc w:val="both"/>
        <w:rPr>
          <w:rFonts w:ascii="Arial" w:hAnsi="Arial" w:cs="Arial"/>
        </w:rPr>
      </w:pPr>
      <w:r w:rsidRPr="000644DC">
        <w:rPr>
          <w:rFonts w:ascii="Arial" w:hAnsi="Arial" w:cs="Arial"/>
        </w:rPr>
        <w:t>To provide a training event for Council Members based on F&amp;HDC’s requirements, but specifically to enhance the understanding of their role in Treasury management and their ability to scrutinise both treasury management and capital prudential indicators. The event is to be held at a time and location convenient for the Members</w:t>
      </w:r>
      <w:r>
        <w:rPr>
          <w:rFonts w:ascii="Arial" w:hAnsi="Arial" w:cs="Arial"/>
        </w:rPr>
        <w:t>.</w:t>
      </w:r>
    </w:p>
    <w:p w:rsidR="00CD0FC4" w:rsidRPr="00CD0FC4" w:rsidRDefault="00CD0FC4" w:rsidP="00CD0FC4">
      <w:pPr>
        <w:pStyle w:val="ListParagraph"/>
        <w:numPr>
          <w:ilvl w:val="1"/>
          <w:numId w:val="11"/>
        </w:numPr>
        <w:spacing w:before="120" w:after="120" w:line="276" w:lineRule="auto"/>
        <w:ind w:left="1037" w:hanging="357"/>
        <w:contextualSpacing w:val="0"/>
        <w:jc w:val="both"/>
        <w:rPr>
          <w:rFonts w:ascii="Arial" w:hAnsi="Arial" w:cs="Arial"/>
        </w:rPr>
      </w:pPr>
      <w:r w:rsidRPr="00CD0FC4">
        <w:rPr>
          <w:rFonts w:ascii="Arial" w:hAnsi="Arial" w:cs="Arial"/>
        </w:rPr>
        <w:t>Leasing Advisory Service</w:t>
      </w:r>
      <w:r>
        <w:rPr>
          <w:rFonts w:ascii="Arial" w:hAnsi="Arial" w:cs="Arial"/>
        </w:rPr>
        <w:t xml:space="preserve"> - </w:t>
      </w:r>
      <w:r w:rsidRPr="00CD0FC4">
        <w:rPr>
          <w:rFonts w:ascii="Arial" w:hAnsi="Arial" w:cs="Arial"/>
        </w:rPr>
        <w:t>Where notified by F&amp;HDC the Supplier shall, provide a leasing advisory service offering option appraisal, Purchase Agency Agreement facility, tendering support, existing lease agreement administration and end of lease support or general support regarding regulatory framework governing leasing in the public sector.</w:t>
      </w:r>
    </w:p>
    <w:p w:rsidR="00593890" w:rsidRPr="006920B9" w:rsidRDefault="00593890" w:rsidP="006920B9">
      <w:pPr>
        <w:spacing w:before="120" w:after="120" w:line="276" w:lineRule="auto"/>
        <w:jc w:val="both"/>
        <w:rPr>
          <w:rFonts w:ascii="Arial" w:hAnsi="Arial" w:cs="Arial"/>
        </w:rPr>
      </w:pPr>
    </w:p>
    <w:p w:rsidR="001C17B4" w:rsidRPr="005D34DC" w:rsidRDefault="005D34DC" w:rsidP="005D34DC">
      <w:pPr>
        <w:spacing w:before="120" w:after="120" w:line="276" w:lineRule="auto"/>
        <w:rPr>
          <w:rFonts w:ascii="Arial" w:hAnsi="Arial" w:cs="Arial"/>
          <w:b/>
        </w:rPr>
      </w:pPr>
      <w:r>
        <w:rPr>
          <w:rFonts w:ascii="Arial" w:hAnsi="Arial" w:cs="Arial"/>
          <w:b/>
        </w:rPr>
        <w:t>5.</w:t>
      </w:r>
      <w:r>
        <w:rPr>
          <w:rFonts w:ascii="Arial" w:hAnsi="Arial" w:cs="Arial"/>
          <w:b/>
        </w:rPr>
        <w:tab/>
      </w:r>
      <w:r w:rsidR="001C17B4" w:rsidRPr="005D34DC">
        <w:rPr>
          <w:rFonts w:ascii="Arial" w:hAnsi="Arial" w:cs="Arial"/>
          <w:b/>
        </w:rPr>
        <w:t>Staff Qualifications and Experience</w:t>
      </w:r>
    </w:p>
    <w:p w:rsidR="001C17B4" w:rsidRPr="006920B9" w:rsidRDefault="005D34DC" w:rsidP="005D34DC">
      <w:pPr>
        <w:spacing w:before="120" w:after="120" w:line="276" w:lineRule="auto"/>
        <w:ind w:left="709" w:hanging="709"/>
        <w:jc w:val="both"/>
        <w:rPr>
          <w:rFonts w:ascii="Arial" w:hAnsi="Arial" w:cs="Arial"/>
        </w:rPr>
      </w:pPr>
      <w:r>
        <w:rPr>
          <w:rFonts w:ascii="Arial" w:hAnsi="Arial" w:cs="Arial"/>
        </w:rPr>
        <w:t>5.1</w:t>
      </w:r>
      <w:r>
        <w:rPr>
          <w:rFonts w:ascii="Arial" w:hAnsi="Arial" w:cs="Arial"/>
        </w:rPr>
        <w:tab/>
      </w:r>
      <w:r w:rsidR="001C17B4" w:rsidRPr="006920B9">
        <w:rPr>
          <w:rFonts w:ascii="Arial" w:hAnsi="Arial" w:cs="Arial"/>
        </w:rPr>
        <w:t xml:space="preserve">The Relationship Manager allocated to </w:t>
      </w:r>
      <w:r w:rsidR="006920B9">
        <w:rPr>
          <w:rFonts w:ascii="Arial" w:hAnsi="Arial" w:cs="Arial"/>
        </w:rPr>
        <w:t>F&amp;HDC</w:t>
      </w:r>
      <w:r w:rsidR="001C17B4" w:rsidRPr="006920B9">
        <w:rPr>
          <w:rFonts w:ascii="Arial" w:hAnsi="Arial" w:cs="Arial"/>
        </w:rPr>
        <w:t xml:space="preserve"> must be CCAB (Consultative Committee of Accounting Bodies) qualified with a minimum of five years local government/public sector experience in this area.  Officers involved in providing Advice and Closure of Accounts Review and Fair Value Calculations must be CCAB qualified, preferably with a minimum five years local government/public sector experience.  The supplier must have access to qualified Economic Analysts with relevant experience in this area. They must also have significant experience of rescheduling debt with other local authorities or Public Bodies. </w:t>
      </w:r>
    </w:p>
    <w:p w:rsidR="001C17B4" w:rsidRPr="006920B9" w:rsidRDefault="001C17B4" w:rsidP="006920B9">
      <w:pPr>
        <w:pStyle w:val="ListParagraph"/>
        <w:spacing w:before="120" w:after="120" w:line="276" w:lineRule="auto"/>
        <w:contextualSpacing w:val="0"/>
        <w:jc w:val="both"/>
        <w:rPr>
          <w:rFonts w:ascii="Arial" w:hAnsi="Arial" w:cs="Arial"/>
        </w:rPr>
      </w:pPr>
    </w:p>
    <w:p w:rsidR="00275BBE" w:rsidRPr="006920B9" w:rsidRDefault="005D34DC" w:rsidP="006920B9">
      <w:pPr>
        <w:spacing w:before="120" w:after="120" w:line="276" w:lineRule="auto"/>
        <w:rPr>
          <w:rFonts w:ascii="Arial" w:hAnsi="Arial" w:cs="Arial"/>
          <w:b/>
        </w:rPr>
      </w:pPr>
      <w:r>
        <w:rPr>
          <w:rFonts w:ascii="Arial" w:hAnsi="Arial" w:cs="Arial"/>
          <w:b/>
        </w:rPr>
        <w:t>6.</w:t>
      </w:r>
      <w:r>
        <w:rPr>
          <w:rFonts w:ascii="Arial" w:hAnsi="Arial" w:cs="Arial"/>
          <w:b/>
        </w:rPr>
        <w:tab/>
      </w:r>
      <w:bookmarkStart w:id="0" w:name="_Toc22645216"/>
      <w:r>
        <w:rPr>
          <w:rFonts w:ascii="Arial" w:hAnsi="Arial" w:cs="Arial"/>
          <w:b/>
        </w:rPr>
        <w:t>Contract and Performance Management Requirements</w:t>
      </w:r>
    </w:p>
    <w:p w:rsidR="00114F79" w:rsidRPr="006920B9" w:rsidRDefault="00114F79" w:rsidP="006920B9">
      <w:pPr>
        <w:spacing w:before="120" w:after="120" w:line="276" w:lineRule="auto"/>
        <w:rPr>
          <w:rFonts w:ascii="Arial" w:hAnsi="Arial" w:cs="Arial"/>
          <w:b/>
        </w:rPr>
      </w:pPr>
    </w:p>
    <w:p w:rsidR="00275BBE" w:rsidRPr="006920B9" w:rsidRDefault="005D34DC" w:rsidP="006920B9">
      <w:pPr>
        <w:spacing w:before="120" w:after="120" w:line="276" w:lineRule="auto"/>
        <w:rPr>
          <w:rFonts w:ascii="Arial" w:hAnsi="Arial" w:cs="Arial"/>
          <w:b/>
        </w:rPr>
      </w:pPr>
      <w:r>
        <w:rPr>
          <w:rFonts w:ascii="Arial" w:hAnsi="Arial" w:cs="Arial"/>
          <w:b/>
        </w:rPr>
        <w:t>6</w:t>
      </w:r>
      <w:r w:rsidR="00114F79" w:rsidRPr="006920B9">
        <w:rPr>
          <w:rFonts w:ascii="Arial" w:hAnsi="Arial" w:cs="Arial"/>
          <w:b/>
        </w:rPr>
        <w:t>.1</w:t>
      </w:r>
      <w:r w:rsidR="00114F79" w:rsidRPr="006920B9">
        <w:rPr>
          <w:rFonts w:ascii="Arial" w:hAnsi="Arial" w:cs="Arial"/>
          <w:b/>
        </w:rPr>
        <w:tab/>
        <w:t>R</w:t>
      </w:r>
      <w:r w:rsidR="00275BBE" w:rsidRPr="006920B9">
        <w:rPr>
          <w:rFonts w:ascii="Arial" w:hAnsi="Arial" w:cs="Arial"/>
          <w:b/>
        </w:rPr>
        <w:t xml:space="preserve">esponsibilities of </w:t>
      </w:r>
      <w:r w:rsidR="006920B9">
        <w:rPr>
          <w:rFonts w:ascii="Arial" w:hAnsi="Arial" w:cs="Arial"/>
          <w:b/>
        </w:rPr>
        <w:t>F&amp;HDC</w:t>
      </w:r>
      <w:bookmarkEnd w:id="0"/>
    </w:p>
    <w:p w:rsidR="00114F79" w:rsidRPr="006920B9" w:rsidRDefault="005D34DC" w:rsidP="006920B9">
      <w:pPr>
        <w:spacing w:before="120" w:after="120" w:line="276" w:lineRule="auto"/>
        <w:ind w:left="720" w:hanging="720"/>
        <w:rPr>
          <w:rFonts w:ascii="Arial" w:eastAsiaTheme="minorHAnsi" w:hAnsi="Arial" w:cs="Arial"/>
          <w:szCs w:val="22"/>
          <w:lang w:eastAsia="en-US"/>
        </w:rPr>
      </w:pPr>
      <w:bookmarkStart w:id="1" w:name="_Toc22645217"/>
      <w:r>
        <w:rPr>
          <w:rFonts w:ascii="Arial" w:hAnsi="Arial" w:cs="Arial"/>
          <w:lang w:eastAsia="en-US"/>
        </w:rPr>
        <w:t>6</w:t>
      </w:r>
      <w:r w:rsidR="00114F79" w:rsidRPr="006920B9">
        <w:rPr>
          <w:rFonts w:ascii="Arial" w:hAnsi="Arial" w:cs="Arial"/>
          <w:lang w:eastAsia="en-US"/>
        </w:rPr>
        <w:t>.1.1</w:t>
      </w:r>
      <w:r w:rsidR="00114F79" w:rsidRPr="006920B9">
        <w:rPr>
          <w:rFonts w:ascii="Arial" w:hAnsi="Arial" w:cs="Arial"/>
          <w:lang w:eastAsia="en-US"/>
        </w:rPr>
        <w:tab/>
      </w:r>
      <w:r w:rsidR="006920B9">
        <w:rPr>
          <w:rFonts w:ascii="Arial" w:hAnsi="Arial" w:cs="Arial"/>
          <w:lang w:eastAsia="en-US"/>
        </w:rPr>
        <w:t>F&amp;HDC</w:t>
      </w:r>
      <w:r w:rsidR="00275BBE" w:rsidRPr="006920B9">
        <w:rPr>
          <w:rFonts w:ascii="Arial" w:hAnsi="Arial" w:cs="Arial"/>
          <w:lang w:eastAsia="en-US"/>
        </w:rPr>
        <w:t xml:space="preserve"> will monitor the contract</w:t>
      </w:r>
      <w:bookmarkEnd w:id="1"/>
      <w:r w:rsidR="00275BBE" w:rsidRPr="006920B9">
        <w:rPr>
          <w:rFonts w:ascii="Arial" w:hAnsi="Arial" w:cs="Arial"/>
          <w:lang w:eastAsia="en-US"/>
        </w:rPr>
        <w:t xml:space="preserve"> with on-going review of service delivery and identify a Contract Manager to liaise with the </w:t>
      </w:r>
      <w:r w:rsidR="00725F37" w:rsidRPr="006920B9">
        <w:rPr>
          <w:rFonts w:ascii="Arial" w:hAnsi="Arial" w:cs="Arial"/>
          <w:lang w:eastAsia="en-US"/>
        </w:rPr>
        <w:t xml:space="preserve">Supplier’s </w:t>
      </w:r>
      <w:r w:rsidR="00275BBE" w:rsidRPr="006920B9">
        <w:rPr>
          <w:rFonts w:ascii="Arial" w:hAnsi="Arial" w:cs="Arial"/>
          <w:lang w:eastAsia="en-US"/>
        </w:rPr>
        <w:t>Account Manager to remedy any non-delivery issues</w:t>
      </w:r>
      <w:r w:rsidR="00114F79" w:rsidRPr="006920B9">
        <w:rPr>
          <w:rFonts w:ascii="Arial" w:hAnsi="Arial" w:cs="Arial"/>
          <w:lang w:eastAsia="en-US"/>
        </w:rPr>
        <w:t>.</w:t>
      </w:r>
    </w:p>
    <w:p w:rsidR="00114F79" w:rsidRPr="006920B9" w:rsidRDefault="00114F79" w:rsidP="006920B9">
      <w:pPr>
        <w:spacing w:before="120" w:after="120" w:line="276" w:lineRule="auto"/>
        <w:rPr>
          <w:rFonts w:ascii="Arial" w:hAnsi="Arial" w:cs="Arial"/>
          <w:b/>
        </w:rPr>
      </w:pPr>
    </w:p>
    <w:p w:rsidR="00275BBE" w:rsidRPr="006920B9" w:rsidRDefault="005D34DC" w:rsidP="006920B9">
      <w:pPr>
        <w:spacing w:before="120" w:after="120" w:line="276" w:lineRule="auto"/>
        <w:rPr>
          <w:rFonts w:ascii="Arial" w:hAnsi="Arial" w:cs="Arial"/>
          <w:b/>
        </w:rPr>
      </w:pPr>
      <w:r>
        <w:rPr>
          <w:rFonts w:ascii="Arial" w:hAnsi="Arial" w:cs="Arial"/>
          <w:b/>
        </w:rPr>
        <w:t>6</w:t>
      </w:r>
      <w:r w:rsidR="00114F79" w:rsidRPr="006920B9">
        <w:rPr>
          <w:rFonts w:ascii="Arial" w:hAnsi="Arial" w:cs="Arial"/>
          <w:b/>
        </w:rPr>
        <w:t>.2</w:t>
      </w:r>
      <w:r w:rsidR="00114F79" w:rsidRPr="006920B9">
        <w:rPr>
          <w:rFonts w:ascii="Arial" w:hAnsi="Arial" w:cs="Arial"/>
          <w:b/>
        </w:rPr>
        <w:tab/>
        <w:t>Responsibilities of the Supplier</w:t>
      </w:r>
      <w:r w:rsidR="00275BBE" w:rsidRPr="006920B9">
        <w:rPr>
          <w:rFonts w:ascii="Arial" w:hAnsi="Arial" w:cs="Arial"/>
          <w:b/>
        </w:rPr>
        <w:t xml:space="preserve"> </w:t>
      </w:r>
    </w:p>
    <w:p w:rsidR="00275BBE" w:rsidRPr="006920B9" w:rsidRDefault="005D34DC" w:rsidP="006920B9">
      <w:pPr>
        <w:spacing w:before="120" w:after="120" w:line="276" w:lineRule="auto"/>
        <w:ind w:left="720" w:hanging="720"/>
        <w:rPr>
          <w:rFonts w:ascii="Arial" w:hAnsi="Arial" w:cs="Arial"/>
          <w:lang w:eastAsia="en-US"/>
        </w:rPr>
      </w:pPr>
      <w:r>
        <w:rPr>
          <w:rFonts w:ascii="Arial" w:hAnsi="Arial" w:cs="Arial"/>
          <w:lang w:eastAsia="en-US"/>
        </w:rPr>
        <w:t>6</w:t>
      </w:r>
      <w:r w:rsidR="00114F79" w:rsidRPr="006920B9">
        <w:rPr>
          <w:rFonts w:ascii="Arial" w:hAnsi="Arial" w:cs="Arial"/>
          <w:lang w:eastAsia="en-US"/>
        </w:rPr>
        <w:t>.2.1</w:t>
      </w:r>
      <w:r w:rsidR="00114F79" w:rsidRPr="006920B9">
        <w:rPr>
          <w:rFonts w:ascii="Arial" w:hAnsi="Arial" w:cs="Arial"/>
          <w:lang w:eastAsia="en-US"/>
        </w:rPr>
        <w:tab/>
      </w:r>
      <w:r w:rsidR="00275BBE" w:rsidRPr="006920B9">
        <w:rPr>
          <w:rFonts w:ascii="Arial" w:hAnsi="Arial" w:cs="Arial"/>
          <w:lang w:eastAsia="en-US"/>
        </w:rPr>
        <w:t xml:space="preserve">The supplier will work with the Contract Manager of </w:t>
      </w:r>
      <w:r w:rsidR="006920B9">
        <w:rPr>
          <w:rFonts w:ascii="Arial" w:hAnsi="Arial" w:cs="Arial"/>
          <w:lang w:eastAsia="en-US"/>
        </w:rPr>
        <w:t>F&amp;HDC</w:t>
      </w:r>
      <w:r w:rsidR="00275BBE" w:rsidRPr="006920B9">
        <w:rPr>
          <w:rFonts w:ascii="Arial" w:hAnsi="Arial" w:cs="Arial"/>
          <w:lang w:eastAsia="en-US"/>
        </w:rPr>
        <w:t xml:space="preserve"> to review and resolve any issues in a timely manner</w:t>
      </w:r>
    </w:p>
    <w:p w:rsidR="00275BBE" w:rsidRPr="006920B9" w:rsidRDefault="005D34DC" w:rsidP="006920B9">
      <w:pPr>
        <w:pStyle w:val="PL3text"/>
        <w:numPr>
          <w:ilvl w:val="0"/>
          <w:numId w:val="0"/>
        </w:numPr>
        <w:ind w:left="720" w:hanging="720"/>
        <w:rPr>
          <w:rFonts w:cs="Arial"/>
          <w:sz w:val="24"/>
          <w:szCs w:val="24"/>
          <w:lang w:eastAsia="en-US"/>
        </w:rPr>
      </w:pPr>
      <w:r>
        <w:rPr>
          <w:rFonts w:cs="Arial"/>
          <w:sz w:val="24"/>
          <w:szCs w:val="24"/>
          <w:lang w:eastAsia="en-US"/>
        </w:rPr>
        <w:t>6</w:t>
      </w:r>
      <w:r w:rsidR="00114F79" w:rsidRPr="006920B9">
        <w:rPr>
          <w:rFonts w:cs="Arial"/>
          <w:sz w:val="24"/>
          <w:szCs w:val="24"/>
          <w:lang w:eastAsia="en-US"/>
        </w:rPr>
        <w:t>.2.2</w:t>
      </w:r>
      <w:r w:rsidR="00114F79" w:rsidRPr="006920B9">
        <w:rPr>
          <w:rFonts w:cs="Arial"/>
          <w:sz w:val="24"/>
          <w:szCs w:val="24"/>
          <w:lang w:eastAsia="en-US"/>
        </w:rPr>
        <w:tab/>
      </w:r>
      <w:r w:rsidR="00275BBE" w:rsidRPr="006920B9">
        <w:rPr>
          <w:rFonts w:cs="Arial"/>
          <w:sz w:val="24"/>
          <w:szCs w:val="24"/>
          <w:lang w:eastAsia="en-US"/>
        </w:rPr>
        <w:t xml:space="preserve">Communications </w:t>
      </w:r>
    </w:p>
    <w:p w:rsidR="00275BBE" w:rsidRPr="006920B9" w:rsidRDefault="00275BBE" w:rsidP="006920B9">
      <w:pPr>
        <w:pStyle w:val="ListParagraph"/>
        <w:keepNext/>
        <w:numPr>
          <w:ilvl w:val="0"/>
          <w:numId w:val="16"/>
        </w:numPr>
        <w:spacing w:before="120" w:after="120" w:line="276" w:lineRule="auto"/>
        <w:ind w:left="1134" w:hanging="425"/>
        <w:contextualSpacing w:val="0"/>
        <w:jc w:val="both"/>
        <w:rPr>
          <w:rFonts w:ascii="Arial" w:eastAsiaTheme="minorHAnsi" w:hAnsi="Arial" w:cs="Arial"/>
          <w:lang w:eastAsia="en-US"/>
        </w:rPr>
      </w:pPr>
      <w:r w:rsidRPr="006920B9">
        <w:rPr>
          <w:rFonts w:ascii="Arial" w:eastAsiaTheme="minorHAnsi" w:hAnsi="Arial" w:cs="Arial"/>
          <w:lang w:eastAsia="en-US"/>
        </w:rPr>
        <w:lastRenderedPageBreak/>
        <w:t>Response to queries via telephone and/or email to be within twenty four hours</w:t>
      </w:r>
    </w:p>
    <w:p w:rsidR="00275BBE" w:rsidRPr="006920B9" w:rsidRDefault="00275BBE" w:rsidP="006920B9">
      <w:pPr>
        <w:pStyle w:val="ListParagraph"/>
        <w:keepNext/>
        <w:numPr>
          <w:ilvl w:val="0"/>
          <w:numId w:val="16"/>
        </w:numPr>
        <w:spacing w:before="120" w:after="120" w:line="276" w:lineRule="auto"/>
        <w:ind w:left="1134" w:hanging="425"/>
        <w:contextualSpacing w:val="0"/>
        <w:jc w:val="both"/>
        <w:rPr>
          <w:rFonts w:ascii="Arial" w:eastAsiaTheme="minorHAnsi" w:hAnsi="Arial" w:cs="Arial"/>
          <w:lang w:eastAsia="en-US"/>
        </w:rPr>
      </w:pPr>
      <w:r w:rsidRPr="006920B9">
        <w:rPr>
          <w:rFonts w:ascii="Arial" w:eastAsiaTheme="minorHAnsi" w:hAnsi="Arial" w:cs="Arial"/>
          <w:lang w:eastAsia="en-US"/>
        </w:rPr>
        <w:t>Template reports required at least four weeks prior to committee meeting dates</w:t>
      </w:r>
    </w:p>
    <w:p w:rsidR="00275BBE" w:rsidRPr="006920B9" w:rsidRDefault="00275BBE" w:rsidP="006920B9">
      <w:pPr>
        <w:pStyle w:val="ListParagraph"/>
        <w:keepNext/>
        <w:numPr>
          <w:ilvl w:val="0"/>
          <w:numId w:val="16"/>
        </w:numPr>
        <w:spacing w:before="120" w:after="120" w:line="276" w:lineRule="auto"/>
        <w:ind w:left="1134" w:hanging="425"/>
        <w:contextualSpacing w:val="0"/>
        <w:jc w:val="both"/>
        <w:rPr>
          <w:rFonts w:ascii="Arial" w:eastAsiaTheme="minorHAnsi" w:hAnsi="Arial" w:cs="Arial"/>
          <w:lang w:eastAsia="en-US"/>
        </w:rPr>
      </w:pPr>
      <w:r w:rsidRPr="006920B9">
        <w:rPr>
          <w:rFonts w:ascii="Arial" w:eastAsiaTheme="minorHAnsi" w:hAnsi="Arial" w:cs="Arial"/>
          <w:lang w:eastAsia="en-US"/>
        </w:rPr>
        <w:t xml:space="preserve">Performance </w:t>
      </w:r>
      <w:proofErr w:type="gramStart"/>
      <w:r w:rsidRPr="006920B9">
        <w:rPr>
          <w:rFonts w:ascii="Arial" w:eastAsiaTheme="minorHAnsi" w:hAnsi="Arial" w:cs="Arial"/>
          <w:lang w:eastAsia="en-US"/>
        </w:rPr>
        <w:t>Benchmarking</w:t>
      </w:r>
      <w:proofErr w:type="gramEnd"/>
      <w:r w:rsidRPr="006920B9">
        <w:rPr>
          <w:rFonts w:ascii="Arial" w:eastAsiaTheme="minorHAnsi" w:hAnsi="Arial" w:cs="Arial"/>
          <w:lang w:eastAsia="en-US"/>
        </w:rPr>
        <w:t xml:space="preserve"> reports required no later than ten days after quarter end.</w:t>
      </w:r>
    </w:p>
    <w:p w:rsidR="00275BBE" w:rsidRPr="006920B9" w:rsidRDefault="005D34DC" w:rsidP="006920B9">
      <w:pPr>
        <w:pStyle w:val="PL3text"/>
        <w:numPr>
          <w:ilvl w:val="0"/>
          <w:numId w:val="0"/>
        </w:numPr>
        <w:ind w:left="720" w:hanging="720"/>
        <w:rPr>
          <w:rFonts w:cs="Arial"/>
          <w:sz w:val="24"/>
          <w:szCs w:val="24"/>
          <w:lang w:eastAsia="en-US"/>
        </w:rPr>
      </w:pPr>
      <w:r>
        <w:rPr>
          <w:rFonts w:cs="Arial"/>
          <w:sz w:val="24"/>
          <w:szCs w:val="24"/>
          <w:lang w:eastAsia="en-US"/>
        </w:rPr>
        <w:t>6</w:t>
      </w:r>
      <w:r w:rsidR="00114F79" w:rsidRPr="006920B9">
        <w:rPr>
          <w:rFonts w:cs="Arial"/>
          <w:sz w:val="24"/>
          <w:szCs w:val="24"/>
          <w:lang w:eastAsia="en-US"/>
        </w:rPr>
        <w:t>.2.3</w:t>
      </w:r>
      <w:r w:rsidR="00114F79" w:rsidRPr="006920B9">
        <w:rPr>
          <w:rFonts w:cs="Arial"/>
          <w:sz w:val="24"/>
          <w:szCs w:val="24"/>
          <w:lang w:eastAsia="en-US"/>
        </w:rPr>
        <w:tab/>
      </w:r>
      <w:r w:rsidR="00275BBE" w:rsidRPr="006920B9">
        <w:rPr>
          <w:rFonts w:cs="Arial"/>
          <w:sz w:val="24"/>
          <w:szCs w:val="24"/>
          <w:lang w:eastAsia="en-US"/>
        </w:rPr>
        <w:t>Web Services</w:t>
      </w:r>
    </w:p>
    <w:p w:rsidR="00114F79" w:rsidRDefault="00275BBE" w:rsidP="006920B9">
      <w:pPr>
        <w:pStyle w:val="ListParagraph"/>
        <w:keepNext/>
        <w:numPr>
          <w:ilvl w:val="0"/>
          <w:numId w:val="16"/>
        </w:numPr>
        <w:spacing w:before="120" w:after="120" w:line="276" w:lineRule="auto"/>
        <w:ind w:left="1134" w:hanging="425"/>
        <w:contextualSpacing w:val="0"/>
        <w:jc w:val="both"/>
        <w:rPr>
          <w:rFonts w:ascii="Arial" w:eastAsiaTheme="minorHAnsi" w:hAnsi="Arial" w:cs="Arial"/>
          <w:lang w:eastAsia="en-US"/>
        </w:rPr>
      </w:pPr>
      <w:r w:rsidRPr="006920B9">
        <w:rPr>
          <w:rFonts w:ascii="Arial" w:eastAsiaTheme="minorHAnsi" w:hAnsi="Arial" w:cs="Arial"/>
          <w:lang w:eastAsia="en-US"/>
        </w:rPr>
        <w:t>Any web services provided to be accessible during normal working hours of 8am to 5pm.</w:t>
      </w:r>
      <w:bookmarkStart w:id="2" w:name="_Toc22645220"/>
    </w:p>
    <w:p w:rsidR="006920B9" w:rsidRPr="006920B9" w:rsidRDefault="006920B9" w:rsidP="006920B9">
      <w:pPr>
        <w:keepNext/>
        <w:spacing w:before="120" w:after="120" w:line="276" w:lineRule="auto"/>
        <w:jc w:val="both"/>
        <w:rPr>
          <w:rFonts w:ascii="Arial" w:eastAsiaTheme="minorHAnsi" w:hAnsi="Arial" w:cs="Arial"/>
          <w:lang w:eastAsia="en-US"/>
        </w:rPr>
      </w:pPr>
    </w:p>
    <w:p w:rsidR="00114F79" w:rsidRPr="006920B9" w:rsidRDefault="005D34DC" w:rsidP="005D34DC">
      <w:pPr>
        <w:spacing w:before="120" w:after="120" w:line="276" w:lineRule="auto"/>
        <w:rPr>
          <w:rFonts w:ascii="Arial" w:hAnsi="Arial" w:cs="Arial"/>
          <w:b/>
        </w:rPr>
      </w:pPr>
      <w:r>
        <w:rPr>
          <w:rFonts w:ascii="Arial" w:hAnsi="Arial" w:cs="Arial"/>
          <w:b/>
        </w:rPr>
        <w:t>6.3</w:t>
      </w:r>
      <w:r>
        <w:rPr>
          <w:rFonts w:ascii="Arial" w:hAnsi="Arial" w:cs="Arial"/>
          <w:b/>
        </w:rPr>
        <w:tab/>
      </w:r>
      <w:r w:rsidR="00275BBE" w:rsidRPr="006920B9">
        <w:rPr>
          <w:rFonts w:ascii="Arial" w:hAnsi="Arial" w:cs="Arial"/>
          <w:b/>
        </w:rPr>
        <w:t>Account Management</w:t>
      </w:r>
      <w:bookmarkEnd w:id="2"/>
      <w:r w:rsidR="00275BBE" w:rsidRPr="006920B9">
        <w:rPr>
          <w:rFonts w:ascii="Arial" w:hAnsi="Arial" w:cs="Arial"/>
          <w:b/>
        </w:rPr>
        <w:t xml:space="preserve"> </w:t>
      </w:r>
    </w:p>
    <w:p w:rsidR="00275BBE" w:rsidRPr="006920B9" w:rsidRDefault="005D34DC" w:rsidP="006920B9">
      <w:pPr>
        <w:spacing w:before="120" w:after="120" w:line="276" w:lineRule="auto"/>
        <w:ind w:left="720" w:hanging="720"/>
        <w:jc w:val="both"/>
        <w:rPr>
          <w:rFonts w:ascii="Arial" w:hAnsi="Arial" w:cs="Arial"/>
          <w:lang w:eastAsia="en-US"/>
        </w:rPr>
      </w:pPr>
      <w:r>
        <w:rPr>
          <w:rFonts w:ascii="Arial" w:hAnsi="Arial" w:cs="Arial"/>
          <w:lang w:eastAsia="en-US"/>
        </w:rPr>
        <w:t>6</w:t>
      </w:r>
      <w:r w:rsidR="00725F37" w:rsidRPr="006920B9">
        <w:rPr>
          <w:rFonts w:ascii="Arial" w:hAnsi="Arial" w:cs="Arial"/>
          <w:lang w:eastAsia="en-US"/>
        </w:rPr>
        <w:t>.3.1</w:t>
      </w:r>
      <w:r w:rsidR="00725F37" w:rsidRPr="006920B9">
        <w:rPr>
          <w:rFonts w:ascii="Arial" w:hAnsi="Arial" w:cs="Arial"/>
          <w:lang w:eastAsia="en-US"/>
        </w:rPr>
        <w:tab/>
      </w:r>
      <w:r w:rsidR="006920B9">
        <w:rPr>
          <w:rFonts w:ascii="Arial" w:hAnsi="Arial" w:cs="Arial"/>
          <w:lang w:eastAsia="en-US"/>
        </w:rPr>
        <w:t>F&amp;HDC</w:t>
      </w:r>
      <w:r w:rsidR="00725F37" w:rsidRPr="006920B9">
        <w:rPr>
          <w:rFonts w:ascii="Arial" w:hAnsi="Arial" w:cs="Arial"/>
          <w:lang w:eastAsia="en-US"/>
        </w:rPr>
        <w:t xml:space="preserve">’s Contract Manager will be identified and </w:t>
      </w:r>
      <w:r w:rsidR="00275BBE" w:rsidRPr="006920B9">
        <w:rPr>
          <w:rFonts w:ascii="Arial" w:hAnsi="Arial" w:cs="Arial"/>
          <w:lang w:eastAsia="en-US"/>
        </w:rPr>
        <w:t>can be contacted for further information or any issues or to give feedback</w:t>
      </w:r>
    </w:p>
    <w:p w:rsidR="00275BBE" w:rsidRPr="006920B9" w:rsidRDefault="005D34DC" w:rsidP="006920B9">
      <w:pPr>
        <w:spacing w:before="120" w:after="120" w:line="276" w:lineRule="auto"/>
        <w:ind w:left="720" w:hanging="720"/>
        <w:rPr>
          <w:rFonts w:ascii="Arial" w:hAnsi="Arial" w:cs="Arial"/>
          <w:lang w:eastAsia="en-US"/>
        </w:rPr>
      </w:pPr>
      <w:r>
        <w:rPr>
          <w:rFonts w:ascii="Arial" w:hAnsi="Arial" w:cs="Arial"/>
          <w:lang w:eastAsia="en-US"/>
        </w:rPr>
        <w:t>6</w:t>
      </w:r>
      <w:r w:rsidR="00725F37" w:rsidRPr="006920B9">
        <w:rPr>
          <w:rFonts w:ascii="Arial" w:hAnsi="Arial" w:cs="Arial"/>
          <w:lang w:eastAsia="en-US"/>
        </w:rPr>
        <w:t>.3.2</w:t>
      </w:r>
      <w:r w:rsidR="00725F37" w:rsidRPr="006920B9">
        <w:rPr>
          <w:rFonts w:ascii="Arial" w:hAnsi="Arial" w:cs="Arial"/>
          <w:lang w:eastAsia="en-US"/>
        </w:rPr>
        <w:tab/>
      </w:r>
      <w:r w:rsidR="00275BBE" w:rsidRPr="006920B9">
        <w:rPr>
          <w:rFonts w:ascii="Arial" w:hAnsi="Arial" w:cs="Arial"/>
          <w:lang w:eastAsia="en-US"/>
        </w:rPr>
        <w:t>The Contract Manager shall be available for queries during Normal Working Hours.</w:t>
      </w:r>
    </w:p>
    <w:p w:rsidR="005D34DC" w:rsidRDefault="00275BBE" w:rsidP="005D34DC">
      <w:pPr>
        <w:pStyle w:val="ListParagraph"/>
        <w:numPr>
          <w:ilvl w:val="2"/>
          <w:numId w:val="32"/>
        </w:numPr>
        <w:spacing w:before="120" w:after="120" w:line="276" w:lineRule="auto"/>
        <w:rPr>
          <w:rFonts w:ascii="Arial" w:hAnsi="Arial" w:cs="Arial"/>
          <w:lang w:eastAsia="en-US"/>
        </w:rPr>
      </w:pPr>
      <w:r w:rsidRPr="005D34DC">
        <w:rPr>
          <w:rFonts w:ascii="Arial" w:hAnsi="Arial" w:cs="Arial"/>
          <w:lang w:eastAsia="en-US"/>
        </w:rPr>
        <w:t xml:space="preserve">The Supplier has nominated an </w:t>
      </w:r>
      <w:r w:rsidR="00725F37" w:rsidRPr="005D34DC">
        <w:rPr>
          <w:rFonts w:ascii="Arial" w:hAnsi="Arial" w:cs="Arial"/>
          <w:lang w:eastAsia="en-US"/>
        </w:rPr>
        <w:t xml:space="preserve">Account Manager for </w:t>
      </w:r>
      <w:r w:rsidR="006920B9" w:rsidRPr="005D34DC">
        <w:rPr>
          <w:rFonts w:ascii="Arial" w:hAnsi="Arial" w:cs="Arial"/>
          <w:lang w:eastAsia="en-US"/>
        </w:rPr>
        <w:t>F&amp;HDC</w:t>
      </w:r>
      <w:r w:rsidRPr="005D34DC">
        <w:rPr>
          <w:rFonts w:ascii="Arial" w:hAnsi="Arial" w:cs="Arial"/>
          <w:lang w:eastAsia="en-US"/>
        </w:rPr>
        <w:t xml:space="preserve">.  Any contact </w:t>
      </w:r>
      <w:r w:rsidR="006920B9" w:rsidRPr="005D34DC">
        <w:rPr>
          <w:rFonts w:ascii="Arial" w:hAnsi="Arial" w:cs="Arial"/>
          <w:lang w:eastAsia="en-US"/>
        </w:rPr>
        <w:t>F&amp;HDC</w:t>
      </w:r>
      <w:r w:rsidRPr="005D34DC">
        <w:rPr>
          <w:rFonts w:ascii="Arial" w:hAnsi="Arial" w:cs="Arial"/>
          <w:lang w:eastAsia="en-US"/>
        </w:rPr>
        <w:t xml:space="preserve">s makes with the Supplier, should, in the first instance be made through </w:t>
      </w:r>
      <w:proofErr w:type="spellStart"/>
      <w:r w:rsidR="00725F37" w:rsidRPr="005D34DC">
        <w:rPr>
          <w:rFonts w:ascii="Arial" w:hAnsi="Arial" w:cs="Arial"/>
          <w:highlight w:val="yellow"/>
          <w:lang w:eastAsia="en-US"/>
        </w:rPr>
        <w:t>xxxxxxx</w:t>
      </w:r>
      <w:proofErr w:type="spellEnd"/>
      <w:r w:rsidRPr="005D34DC">
        <w:rPr>
          <w:rFonts w:ascii="Arial" w:hAnsi="Arial" w:cs="Arial"/>
          <w:lang w:eastAsia="en-US"/>
        </w:rPr>
        <w:t xml:space="preserve">  by contacting </w:t>
      </w:r>
      <w:r w:rsidR="006920B9" w:rsidRPr="005D34DC">
        <w:rPr>
          <w:rFonts w:ascii="Arial" w:hAnsi="Arial" w:cs="Arial"/>
          <w:lang w:eastAsia="en-US"/>
        </w:rPr>
        <w:t>F&amp;HDC</w:t>
      </w:r>
      <w:r w:rsidRPr="005D34DC">
        <w:rPr>
          <w:rFonts w:ascii="Arial" w:hAnsi="Arial" w:cs="Arial"/>
          <w:lang w:eastAsia="en-US"/>
        </w:rPr>
        <w:t xml:space="preserve"> on </w:t>
      </w:r>
      <w:proofErr w:type="spellStart"/>
      <w:r w:rsidR="00725F37" w:rsidRPr="007B3B63">
        <w:rPr>
          <w:rFonts w:ascii="Arial" w:hAnsi="Arial" w:cs="Arial"/>
          <w:highlight w:val="yellow"/>
          <w:lang w:eastAsia="en-US"/>
        </w:rPr>
        <w:t>xxxxxx</w:t>
      </w:r>
      <w:proofErr w:type="spellEnd"/>
      <w:r w:rsidR="0092594E" w:rsidRPr="007B3B63">
        <w:rPr>
          <w:rFonts w:ascii="Arial" w:hAnsi="Arial" w:cs="Arial"/>
          <w:highlight w:val="yellow"/>
          <w:lang w:eastAsia="en-US"/>
        </w:rPr>
        <w:t xml:space="preserve"> (</w:t>
      </w:r>
      <w:bookmarkStart w:id="3" w:name="_GoBack"/>
      <w:bookmarkEnd w:id="3"/>
      <w:r w:rsidR="0092594E" w:rsidRPr="007B3B63">
        <w:rPr>
          <w:rFonts w:ascii="Arial" w:hAnsi="Arial" w:cs="Arial"/>
          <w:highlight w:val="yellow"/>
          <w:lang w:eastAsia="en-US"/>
        </w:rPr>
        <w:t>to be added before contract signing)</w:t>
      </w:r>
    </w:p>
    <w:p w:rsidR="00275BBE" w:rsidRPr="005D34DC" w:rsidRDefault="00275BBE" w:rsidP="005D34DC">
      <w:pPr>
        <w:pStyle w:val="ListParagraph"/>
        <w:numPr>
          <w:ilvl w:val="2"/>
          <w:numId w:val="32"/>
        </w:numPr>
        <w:spacing w:before="120" w:after="120" w:line="276" w:lineRule="auto"/>
        <w:rPr>
          <w:rFonts w:ascii="Arial" w:hAnsi="Arial" w:cs="Arial"/>
          <w:lang w:eastAsia="en-US"/>
        </w:rPr>
      </w:pPr>
      <w:r w:rsidRPr="005D34DC">
        <w:rPr>
          <w:rFonts w:ascii="Arial" w:hAnsi="Arial" w:cs="Arial"/>
          <w:lang w:eastAsia="en-US"/>
        </w:rPr>
        <w:t>The supplier Account Manager shall be available for queries during Normal Working Hours 8:00am to 5:00pm.</w:t>
      </w:r>
    </w:p>
    <w:p w:rsidR="005D34DC" w:rsidRDefault="005D34DC" w:rsidP="005D34DC">
      <w:pPr>
        <w:pStyle w:val="PL2parts"/>
        <w:numPr>
          <w:ilvl w:val="0"/>
          <w:numId w:val="0"/>
        </w:numPr>
        <w:rPr>
          <w:rFonts w:eastAsia="Times New Roman" w:cs="Arial"/>
          <w:b w:val="0"/>
          <w:sz w:val="24"/>
          <w:szCs w:val="24"/>
          <w:lang w:eastAsia="en-US"/>
        </w:rPr>
      </w:pPr>
      <w:bookmarkStart w:id="4" w:name="_Toc22645221"/>
    </w:p>
    <w:p w:rsidR="00275BBE" w:rsidRPr="006920B9" w:rsidRDefault="005D34DC" w:rsidP="005D34DC">
      <w:pPr>
        <w:pStyle w:val="PL2parts"/>
        <w:numPr>
          <w:ilvl w:val="0"/>
          <w:numId w:val="0"/>
        </w:numPr>
        <w:rPr>
          <w:rFonts w:cs="Arial"/>
          <w:sz w:val="24"/>
          <w:szCs w:val="24"/>
          <w:lang w:eastAsia="en-US"/>
        </w:rPr>
      </w:pPr>
      <w:r>
        <w:rPr>
          <w:rFonts w:eastAsia="Times New Roman" w:cs="Arial"/>
          <w:sz w:val="24"/>
          <w:szCs w:val="24"/>
        </w:rPr>
        <w:t>6.4</w:t>
      </w:r>
      <w:r>
        <w:rPr>
          <w:rFonts w:eastAsia="Times New Roman" w:cs="Arial"/>
          <w:sz w:val="24"/>
          <w:szCs w:val="24"/>
        </w:rPr>
        <w:tab/>
      </w:r>
      <w:r w:rsidR="00275BBE" w:rsidRPr="005D34DC">
        <w:rPr>
          <w:rFonts w:eastAsia="Times New Roman" w:cs="Arial"/>
          <w:sz w:val="24"/>
          <w:szCs w:val="24"/>
        </w:rPr>
        <w:t>Monitoring</w:t>
      </w:r>
      <w:r w:rsidR="00275BBE" w:rsidRPr="006920B9">
        <w:rPr>
          <w:rFonts w:cs="Arial"/>
          <w:sz w:val="24"/>
          <w:szCs w:val="24"/>
          <w:lang w:eastAsia="en-US"/>
        </w:rPr>
        <w:t xml:space="preserve"> and Review</w:t>
      </w:r>
      <w:bookmarkEnd w:id="4"/>
    </w:p>
    <w:p w:rsidR="00275BBE" w:rsidRPr="005D34DC" w:rsidRDefault="005D34DC" w:rsidP="005D34DC">
      <w:pPr>
        <w:spacing w:before="120" w:after="120" w:line="276" w:lineRule="auto"/>
        <w:ind w:left="720" w:hanging="720"/>
        <w:jc w:val="both"/>
        <w:rPr>
          <w:rFonts w:ascii="Arial" w:hAnsi="Arial" w:cs="Arial"/>
          <w:lang w:eastAsia="en-US"/>
        </w:rPr>
      </w:pPr>
      <w:r w:rsidRPr="005D34DC">
        <w:rPr>
          <w:rFonts w:ascii="Arial" w:hAnsi="Arial" w:cs="Arial"/>
          <w:lang w:eastAsia="en-US"/>
        </w:rPr>
        <w:t>6.4.1</w:t>
      </w:r>
      <w:r w:rsidRPr="005D34DC">
        <w:rPr>
          <w:rFonts w:ascii="Arial" w:hAnsi="Arial" w:cs="Arial"/>
          <w:lang w:eastAsia="en-US"/>
        </w:rPr>
        <w:tab/>
      </w:r>
      <w:r w:rsidR="006920B9" w:rsidRPr="005D34DC">
        <w:rPr>
          <w:rFonts w:ascii="Arial" w:hAnsi="Arial" w:cs="Arial"/>
          <w:lang w:eastAsia="en-US"/>
        </w:rPr>
        <w:t>F&amp;HDC</w:t>
      </w:r>
      <w:r w:rsidR="00275BBE" w:rsidRPr="005D34DC">
        <w:rPr>
          <w:rFonts w:ascii="Arial" w:hAnsi="Arial" w:cs="Arial"/>
          <w:lang w:eastAsia="en-US"/>
        </w:rPr>
        <w:t xml:space="preserve"> require</w:t>
      </w:r>
      <w:r w:rsidR="00725F37" w:rsidRPr="005D34DC">
        <w:rPr>
          <w:rFonts w:ascii="Arial" w:hAnsi="Arial" w:cs="Arial"/>
          <w:lang w:eastAsia="en-US"/>
        </w:rPr>
        <w:t>s</w:t>
      </w:r>
      <w:r w:rsidR="00275BBE" w:rsidRPr="005D34DC">
        <w:rPr>
          <w:rFonts w:ascii="Arial" w:hAnsi="Arial" w:cs="Arial"/>
          <w:lang w:eastAsia="en-US"/>
        </w:rPr>
        <w:t xml:space="preserve"> regular cont</w:t>
      </w:r>
      <w:r w:rsidR="00725F37" w:rsidRPr="005D34DC">
        <w:rPr>
          <w:rFonts w:ascii="Arial" w:hAnsi="Arial" w:cs="Arial"/>
          <w:lang w:eastAsia="en-US"/>
        </w:rPr>
        <w:t>act from their Account Manager</w:t>
      </w:r>
      <w:r w:rsidR="00275BBE" w:rsidRPr="005D34DC">
        <w:rPr>
          <w:rFonts w:ascii="Arial" w:hAnsi="Arial" w:cs="Arial"/>
          <w:lang w:eastAsia="en-US"/>
        </w:rPr>
        <w:t xml:space="preserve"> with additional attendance by</w:t>
      </w:r>
      <w:r w:rsidR="00725F37" w:rsidRPr="005D34DC">
        <w:rPr>
          <w:rFonts w:ascii="Arial" w:hAnsi="Arial" w:cs="Arial"/>
          <w:lang w:eastAsia="en-US"/>
        </w:rPr>
        <w:t xml:space="preserve"> the Account Manager</w:t>
      </w:r>
      <w:r w:rsidR="00275BBE" w:rsidRPr="005D34DC">
        <w:rPr>
          <w:rFonts w:ascii="Arial" w:hAnsi="Arial" w:cs="Arial"/>
          <w:lang w:eastAsia="en-US"/>
        </w:rPr>
        <w:t xml:space="preserve"> at</w:t>
      </w:r>
      <w:r w:rsidR="00A6102B" w:rsidRPr="005D34DC">
        <w:rPr>
          <w:rFonts w:ascii="Arial" w:hAnsi="Arial" w:cs="Arial"/>
          <w:lang w:eastAsia="en-US"/>
        </w:rPr>
        <w:t xml:space="preserve"> ad-hoc internal review meetings.</w:t>
      </w:r>
      <w:r w:rsidR="00275BBE" w:rsidRPr="005D34DC">
        <w:rPr>
          <w:rFonts w:ascii="Arial" w:hAnsi="Arial" w:cs="Arial"/>
          <w:lang w:eastAsia="en-US"/>
        </w:rPr>
        <w:t xml:space="preserve">  Initially for the first six months, bi-monthly meetings should be diarised, with quarterly meetings thereafter.  </w:t>
      </w:r>
      <w:r w:rsidR="006920B9" w:rsidRPr="005D34DC">
        <w:rPr>
          <w:rFonts w:ascii="Arial" w:hAnsi="Arial" w:cs="Arial"/>
          <w:lang w:eastAsia="en-US"/>
        </w:rPr>
        <w:t>F&amp;HDC</w:t>
      </w:r>
      <w:r w:rsidR="00275BBE" w:rsidRPr="005D34DC">
        <w:rPr>
          <w:rFonts w:ascii="Arial" w:hAnsi="Arial" w:cs="Arial"/>
          <w:lang w:eastAsia="en-US"/>
        </w:rPr>
        <w:t xml:space="preserve"> and the Supplier may agree to move this to less frequently, if this proves appropriate for the circumstances.</w:t>
      </w:r>
    </w:p>
    <w:p w:rsidR="006920B9" w:rsidRPr="006920B9" w:rsidRDefault="006920B9" w:rsidP="006920B9">
      <w:pPr>
        <w:pStyle w:val="PL3text"/>
        <w:numPr>
          <w:ilvl w:val="0"/>
          <w:numId w:val="0"/>
        </w:numPr>
        <w:ind w:left="720"/>
        <w:rPr>
          <w:rFonts w:cs="Arial"/>
          <w:sz w:val="24"/>
          <w:szCs w:val="24"/>
          <w:lang w:eastAsia="en-US"/>
        </w:rPr>
      </w:pPr>
    </w:p>
    <w:p w:rsidR="00275BBE" w:rsidRPr="006920B9" w:rsidRDefault="00EE33A3" w:rsidP="00EE33A3">
      <w:pPr>
        <w:pStyle w:val="PL2parts"/>
        <w:numPr>
          <w:ilvl w:val="0"/>
          <w:numId w:val="0"/>
        </w:numPr>
        <w:rPr>
          <w:rFonts w:cs="Arial"/>
          <w:sz w:val="24"/>
          <w:szCs w:val="24"/>
          <w:lang w:eastAsia="en-US"/>
        </w:rPr>
      </w:pPr>
      <w:bookmarkStart w:id="5" w:name="_Toc22645222"/>
      <w:r>
        <w:rPr>
          <w:rFonts w:eastAsia="Times New Roman" w:cs="Arial"/>
          <w:sz w:val="24"/>
          <w:szCs w:val="24"/>
        </w:rPr>
        <w:t>6.5</w:t>
      </w:r>
      <w:r>
        <w:rPr>
          <w:rFonts w:eastAsia="Times New Roman" w:cs="Arial"/>
          <w:sz w:val="24"/>
          <w:szCs w:val="24"/>
        </w:rPr>
        <w:tab/>
      </w:r>
      <w:r w:rsidR="00275BBE" w:rsidRPr="005D34DC">
        <w:rPr>
          <w:rFonts w:eastAsia="Times New Roman" w:cs="Arial"/>
          <w:sz w:val="24"/>
          <w:szCs w:val="24"/>
        </w:rPr>
        <w:t>Complaints</w:t>
      </w:r>
      <w:r w:rsidR="00275BBE" w:rsidRPr="006920B9">
        <w:rPr>
          <w:rFonts w:cs="Arial"/>
          <w:sz w:val="24"/>
          <w:szCs w:val="24"/>
          <w:lang w:eastAsia="en-US"/>
        </w:rPr>
        <w:t xml:space="preserve"> and issues</w:t>
      </w:r>
      <w:bookmarkEnd w:id="5"/>
      <w:r w:rsidR="00275BBE" w:rsidRPr="006920B9">
        <w:rPr>
          <w:rFonts w:cs="Arial"/>
          <w:sz w:val="24"/>
          <w:szCs w:val="24"/>
          <w:lang w:eastAsia="en-US"/>
        </w:rPr>
        <w:t xml:space="preserve"> </w:t>
      </w:r>
    </w:p>
    <w:p w:rsidR="00275BBE" w:rsidRPr="006920B9" w:rsidRDefault="005D34DC" w:rsidP="00605C37">
      <w:pPr>
        <w:pStyle w:val="PL3text"/>
        <w:numPr>
          <w:ilvl w:val="0"/>
          <w:numId w:val="0"/>
        </w:numPr>
        <w:ind w:left="720" w:hanging="720"/>
        <w:rPr>
          <w:rFonts w:cs="Arial"/>
          <w:sz w:val="24"/>
          <w:szCs w:val="24"/>
          <w:lang w:eastAsia="en-US"/>
        </w:rPr>
      </w:pPr>
      <w:r>
        <w:rPr>
          <w:rFonts w:cs="Arial"/>
          <w:sz w:val="24"/>
          <w:szCs w:val="24"/>
          <w:lang w:eastAsia="en-US"/>
        </w:rPr>
        <w:t>6.5.1</w:t>
      </w:r>
      <w:r>
        <w:rPr>
          <w:rFonts w:cs="Arial"/>
          <w:sz w:val="24"/>
          <w:szCs w:val="24"/>
          <w:lang w:eastAsia="en-US"/>
        </w:rPr>
        <w:tab/>
      </w:r>
      <w:r w:rsidR="00275BBE" w:rsidRPr="006920B9">
        <w:rPr>
          <w:rFonts w:cs="Arial"/>
          <w:sz w:val="24"/>
          <w:szCs w:val="24"/>
          <w:lang w:eastAsia="en-US"/>
        </w:rPr>
        <w:t xml:space="preserve">In the event of any issues, </w:t>
      </w:r>
      <w:r w:rsidR="006920B9">
        <w:rPr>
          <w:rFonts w:cs="Arial"/>
          <w:sz w:val="24"/>
          <w:szCs w:val="24"/>
          <w:lang w:eastAsia="en-US"/>
        </w:rPr>
        <w:t>F&amp;HDC</w:t>
      </w:r>
      <w:r w:rsidR="00275BBE" w:rsidRPr="006920B9">
        <w:rPr>
          <w:rFonts w:cs="Arial"/>
          <w:sz w:val="24"/>
          <w:szCs w:val="24"/>
          <w:lang w:eastAsia="en-US"/>
        </w:rPr>
        <w:t xml:space="preserve"> Contract Manager shall in the first instance contact the Supplier’s Account Manager for resolution. </w:t>
      </w:r>
    </w:p>
    <w:p w:rsidR="00D92825" w:rsidRPr="00A6102B" w:rsidRDefault="00275BBE" w:rsidP="005D34DC">
      <w:pPr>
        <w:pStyle w:val="PL3text"/>
        <w:numPr>
          <w:ilvl w:val="2"/>
          <w:numId w:val="35"/>
        </w:numPr>
        <w:rPr>
          <w:rFonts w:cs="Arial"/>
          <w:sz w:val="24"/>
          <w:szCs w:val="24"/>
          <w:lang w:eastAsia="en-US"/>
        </w:rPr>
      </w:pPr>
      <w:r w:rsidRPr="006920B9">
        <w:rPr>
          <w:rFonts w:cs="Arial"/>
          <w:sz w:val="24"/>
          <w:szCs w:val="24"/>
          <w:lang w:eastAsia="en-US"/>
        </w:rPr>
        <w:t xml:space="preserve">Any complaints raised will be managed in accordance with the agreed complaints procedure.  This process ensures that all complaints are dealt with in a professional manner, and to the satisfaction of </w:t>
      </w:r>
      <w:r w:rsidR="006920B9">
        <w:rPr>
          <w:rFonts w:cs="Arial"/>
          <w:sz w:val="24"/>
          <w:szCs w:val="24"/>
          <w:lang w:eastAsia="en-US"/>
        </w:rPr>
        <w:t>F&amp;HDC</w:t>
      </w:r>
      <w:r w:rsidR="00A6102B">
        <w:rPr>
          <w:rFonts w:cs="Arial"/>
          <w:sz w:val="24"/>
          <w:szCs w:val="24"/>
          <w:lang w:eastAsia="en-US"/>
        </w:rPr>
        <w:t>.</w:t>
      </w:r>
    </w:p>
    <w:p w:rsidR="00D92825" w:rsidRPr="006920B9" w:rsidRDefault="00D92825" w:rsidP="006920B9">
      <w:pPr>
        <w:spacing w:before="120" w:after="120" w:line="276" w:lineRule="auto"/>
        <w:rPr>
          <w:rFonts w:ascii="Arial" w:hAnsi="Arial" w:cs="Arial"/>
        </w:rPr>
      </w:pPr>
    </w:p>
    <w:p w:rsidR="00725F37" w:rsidRPr="006920B9" w:rsidRDefault="00725F37" w:rsidP="006920B9">
      <w:pPr>
        <w:spacing w:before="120" w:after="120" w:line="276" w:lineRule="auto"/>
        <w:rPr>
          <w:rFonts w:ascii="Arial" w:hAnsi="Arial" w:cs="Arial"/>
          <w:b/>
        </w:rPr>
      </w:pPr>
    </w:p>
    <w:sectPr w:rsidR="00725F37" w:rsidRPr="006920B9" w:rsidSect="00545228">
      <w:footerReference w:type="even" r:id="rId8"/>
      <w:footerReference w:type="default" r:id="rId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9F8" w:rsidRDefault="002619F8">
      <w:r>
        <w:separator/>
      </w:r>
    </w:p>
  </w:endnote>
  <w:endnote w:type="continuationSeparator" w:id="0">
    <w:p w:rsidR="002619F8" w:rsidRDefault="0026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E2A" w:rsidRDefault="008A5E2A" w:rsidP="006E38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E2A" w:rsidRDefault="008A5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622718"/>
      <w:docPartObj>
        <w:docPartGallery w:val="Page Numbers (Bottom of Page)"/>
        <w:docPartUnique/>
      </w:docPartObj>
    </w:sdtPr>
    <w:sdtEndPr>
      <w:rPr>
        <w:noProof/>
      </w:rPr>
    </w:sdtEndPr>
    <w:sdtContent>
      <w:p w:rsidR="008A5E2A" w:rsidRDefault="008A5E2A">
        <w:pPr>
          <w:pStyle w:val="Footer"/>
          <w:jc w:val="center"/>
        </w:pPr>
        <w:r>
          <w:fldChar w:fldCharType="begin"/>
        </w:r>
        <w:r>
          <w:instrText xml:space="preserve"> PAGE   \* MERGEFORMAT </w:instrText>
        </w:r>
        <w:r>
          <w:fldChar w:fldCharType="separate"/>
        </w:r>
        <w:r w:rsidR="007B3B63">
          <w:rPr>
            <w:noProof/>
          </w:rPr>
          <w:t>7</w:t>
        </w:r>
        <w:r>
          <w:rPr>
            <w:noProof/>
          </w:rPr>
          <w:fldChar w:fldCharType="end"/>
        </w:r>
      </w:p>
    </w:sdtContent>
  </w:sdt>
  <w:p w:rsidR="008A5E2A" w:rsidRDefault="008A5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9F8" w:rsidRDefault="002619F8">
      <w:r>
        <w:separator/>
      </w:r>
    </w:p>
  </w:footnote>
  <w:footnote w:type="continuationSeparator" w:id="0">
    <w:p w:rsidR="002619F8" w:rsidRDefault="00261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16F"/>
    <w:multiLevelType w:val="hybridMultilevel"/>
    <w:tmpl w:val="F46455A0"/>
    <w:lvl w:ilvl="0" w:tplc="38C09EF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C30862"/>
    <w:multiLevelType w:val="multilevel"/>
    <w:tmpl w:val="93F0DDE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23E49"/>
    <w:multiLevelType w:val="multilevel"/>
    <w:tmpl w:val="80862C3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9D19EC"/>
    <w:multiLevelType w:val="hybridMultilevel"/>
    <w:tmpl w:val="D35ADDC8"/>
    <w:lvl w:ilvl="0" w:tplc="80D6FF62">
      <w:start w:val="1"/>
      <w:numFmt w:val="lowerRoman"/>
      <w:lvlText w:val="%1)"/>
      <w:lvlJc w:val="left"/>
      <w:pPr>
        <w:tabs>
          <w:tab w:val="num" w:pos="720"/>
        </w:tabs>
        <w:ind w:left="720" w:hanging="360"/>
      </w:pPr>
      <w:rPr>
        <w:rFonts w:ascii="Arial" w:eastAsia="Times New Roman" w:hAnsi="Arial" w:cs="Arial" w:hint="default"/>
        <w:color w:val="auto"/>
      </w:rPr>
    </w:lvl>
    <w:lvl w:ilvl="1" w:tplc="BD04F6FE">
      <w:start w:val="1"/>
      <w:numFmt w:val="lowerRoman"/>
      <w:lvlText w:val="%2)"/>
      <w:lvlJc w:val="left"/>
      <w:pPr>
        <w:ind w:left="1440" w:hanging="360"/>
      </w:pPr>
      <w:rPr>
        <w:rFonts w:ascii="Arial" w:eastAsia="Times New Roman" w:hAnsi="Arial" w:cs="Arial" w:hint="default"/>
        <w:color w:val="auto"/>
      </w:rPr>
    </w:lvl>
    <w:lvl w:ilvl="2" w:tplc="BAA85668">
      <w:start w:val="4"/>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B1CB1"/>
    <w:multiLevelType w:val="hybridMultilevel"/>
    <w:tmpl w:val="77601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7DA4F7C">
      <w:numFmt w:val="bullet"/>
      <w:lvlText w:val="•"/>
      <w:lvlJc w:val="left"/>
      <w:pPr>
        <w:ind w:left="2160" w:hanging="36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35931"/>
    <w:multiLevelType w:val="multilevel"/>
    <w:tmpl w:val="ECCAA2C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C1445"/>
    <w:multiLevelType w:val="multilevel"/>
    <w:tmpl w:val="AEAA37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085991"/>
    <w:multiLevelType w:val="hybridMultilevel"/>
    <w:tmpl w:val="F3E67B0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990E40"/>
    <w:multiLevelType w:val="hybridMultilevel"/>
    <w:tmpl w:val="B652F03C"/>
    <w:lvl w:ilvl="0" w:tplc="38C09EF0">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246B690E"/>
    <w:multiLevelType w:val="multilevel"/>
    <w:tmpl w:val="F1C25184"/>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1D0BFE"/>
    <w:multiLevelType w:val="multilevel"/>
    <w:tmpl w:val="6756B280"/>
    <w:lvl w:ilvl="0">
      <w:start w:val="4"/>
      <w:numFmt w:val="decimal"/>
      <w:lvlText w:val="%1"/>
      <w:lvlJc w:val="left"/>
      <w:pPr>
        <w:ind w:left="360" w:hanging="360"/>
      </w:pPr>
      <w:rPr>
        <w:rFonts w:ascii="Arial" w:hAnsi="Arial" w:hint="default"/>
        <w:b w:val="0"/>
      </w:rPr>
    </w:lvl>
    <w:lvl w:ilvl="1">
      <w:start w:val="1"/>
      <w:numFmt w:val="decimal"/>
      <w:lvlText w:val="%1.%2"/>
      <w:lvlJc w:val="left"/>
      <w:pPr>
        <w:ind w:left="360" w:hanging="360"/>
      </w:pPr>
      <w:rPr>
        <w:rFonts w:ascii="Arial" w:hAnsi="Arial" w:hint="default"/>
        <w:b w:val="0"/>
      </w:rPr>
    </w:lvl>
    <w:lvl w:ilvl="2">
      <w:start w:val="1"/>
      <w:numFmt w:val="decimal"/>
      <w:lvlText w:val="%1.%2.%3"/>
      <w:lvlJc w:val="left"/>
      <w:pPr>
        <w:ind w:left="720" w:hanging="720"/>
      </w:pPr>
      <w:rPr>
        <w:rFonts w:ascii="Arial" w:hAnsi="Arial" w:hint="default"/>
        <w:b w:val="0"/>
      </w:rPr>
    </w:lvl>
    <w:lvl w:ilvl="3">
      <w:start w:val="1"/>
      <w:numFmt w:val="decimal"/>
      <w:lvlText w:val="%1.%2.%3.%4"/>
      <w:lvlJc w:val="left"/>
      <w:pPr>
        <w:ind w:left="1080" w:hanging="1080"/>
      </w:pPr>
      <w:rPr>
        <w:rFonts w:ascii="Arial" w:hAnsi="Arial" w:hint="default"/>
        <w:b w:val="0"/>
      </w:rPr>
    </w:lvl>
    <w:lvl w:ilvl="4">
      <w:start w:val="1"/>
      <w:numFmt w:val="decimal"/>
      <w:lvlText w:val="%1.%2.%3.%4.%5"/>
      <w:lvlJc w:val="left"/>
      <w:pPr>
        <w:ind w:left="1080" w:hanging="1080"/>
      </w:pPr>
      <w:rPr>
        <w:rFonts w:ascii="Arial" w:hAnsi="Arial" w:hint="default"/>
        <w:b w:val="0"/>
      </w:rPr>
    </w:lvl>
    <w:lvl w:ilvl="5">
      <w:start w:val="1"/>
      <w:numFmt w:val="decimal"/>
      <w:lvlText w:val="%1.%2.%3.%4.%5.%6"/>
      <w:lvlJc w:val="left"/>
      <w:pPr>
        <w:ind w:left="1440" w:hanging="1440"/>
      </w:pPr>
      <w:rPr>
        <w:rFonts w:ascii="Arial" w:hAnsi="Arial" w:hint="default"/>
        <w:b w:val="0"/>
      </w:rPr>
    </w:lvl>
    <w:lvl w:ilvl="6">
      <w:start w:val="1"/>
      <w:numFmt w:val="decimal"/>
      <w:lvlText w:val="%1.%2.%3.%4.%5.%6.%7"/>
      <w:lvlJc w:val="left"/>
      <w:pPr>
        <w:ind w:left="1440" w:hanging="1440"/>
      </w:pPr>
      <w:rPr>
        <w:rFonts w:ascii="Arial" w:hAnsi="Arial" w:hint="default"/>
        <w:b w:val="0"/>
      </w:rPr>
    </w:lvl>
    <w:lvl w:ilvl="7">
      <w:start w:val="1"/>
      <w:numFmt w:val="decimal"/>
      <w:lvlText w:val="%1.%2.%3.%4.%5.%6.%7.%8"/>
      <w:lvlJc w:val="left"/>
      <w:pPr>
        <w:ind w:left="1800" w:hanging="1800"/>
      </w:pPr>
      <w:rPr>
        <w:rFonts w:ascii="Arial" w:hAnsi="Arial" w:hint="default"/>
        <w:b w:val="0"/>
      </w:rPr>
    </w:lvl>
    <w:lvl w:ilvl="8">
      <w:start w:val="1"/>
      <w:numFmt w:val="decimal"/>
      <w:lvlText w:val="%1.%2.%3.%4.%5.%6.%7.%8.%9"/>
      <w:lvlJc w:val="left"/>
      <w:pPr>
        <w:ind w:left="1800" w:hanging="1800"/>
      </w:pPr>
      <w:rPr>
        <w:rFonts w:ascii="Arial" w:hAnsi="Arial" w:hint="default"/>
        <w:b w:val="0"/>
      </w:rPr>
    </w:lvl>
  </w:abstractNum>
  <w:abstractNum w:abstractNumId="11" w15:restartNumberingAfterBreak="0">
    <w:nsid w:val="2AA70549"/>
    <w:multiLevelType w:val="multilevel"/>
    <w:tmpl w:val="D83030FC"/>
    <w:lvl w:ilvl="0">
      <w:start w:val="6"/>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3EA4580D"/>
    <w:multiLevelType w:val="hybridMultilevel"/>
    <w:tmpl w:val="FB50DECA"/>
    <w:lvl w:ilvl="0" w:tplc="08090001">
      <w:start w:val="1"/>
      <w:numFmt w:val="bullet"/>
      <w:lvlText w:val=""/>
      <w:lvlJc w:val="left"/>
      <w:pPr>
        <w:ind w:left="1451" w:hanging="360"/>
      </w:pPr>
      <w:rPr>
        <w:rFonts w:ascii="Symbol" w:hAnsi="Symbol" w:hint="default"/>
      </w:rPr>
    </w:lvl>
    <w:lvl w:ilvl="1" w:tplc="6AE40A0A">
      <w:numFmt w:val="bullet"/>
      <w:lvlText w:val="•"/>
      <w:lvlJc w:val="left"/>
      <w:pPr>
        <w:ind w:left="2171" w:hanging="360"/>
      </w:pPr>
      <w:rPr>
        <w:rFonts w:ascii="Arial" w:eastAsia="Times New Roman" w:hAnsi="Arial" w:cs="Arial"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3" w15:restartNumberingAfterBreak="0">
    <w:nsid w:val="42C42369"/>
    <w:multiLevelType w:val="multilevel"/>
    <w:tmpl w:val="4B2C278E"/>
    <w:lvl w:ilvl="0">
      <w:start w:val="1"/>
      <w:numFmt w:val="decimal"/>
      <w:lvlText w:val="%1"/>
      <w:lvlJc w:val="left"/>
      <w:pPr>
        <w:ind w:left="672" w:hanging="672"/>
      </w:pPr>
      <w:rPr>
        <w:rFonts w:hint="default"/>
      </w:rPr>
    </w:lvl>
    <w:lvl w:ilvl="1">
      <w:start w:val="5"/>
      <w:numFmt w:val="decimal"/>
      <w:lvlText w:val="%1.%2"/>
      <w:lvlJc w:val="left"/>
      <w:pPr>
        <w:ind w:left="672" w:hanging="672"/>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2307A3"/>
    <w:multiLevelType w:val="multilevel"/>
    <w:tmpl w:val="77A6A462"/>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583C56"/>
    <w:multiLevelType w:val="hybridMultilevel"/>
    <w:tmpl w:val="AB40340E"/>
    <w:lvl w:ilvl="0" w:tplc="38C09EF0">
      <w:start w:val="1"/>
      <w:numFmt w:val="lowerRoman"/>
      <w:lvlText w:val="%1)"/>
      <w:lvlJc w:val="left"/>
      <w:pPr>
        <w:tabs>
          <w:tab w:val="num" w:pos="720"/>
        </w:tabs>
        <w:ind w:left="720" w:hanging="720"/>
      </w:pPr>
      <w:rPr>
        <w:rFonts w:hint="default"/>
        <w:color w:val="auto"/>
      </w:rPr>
    </w:lvl>
    <w:lvl w:ilvl="1" w:tplc="BD04F6FE">
      <w:start w:val="1"/>
      <w:numFmt w:val="lowerRoman"/>
      <w:lvlText w:val="%2)"/>
      <w:lvlJc w:val="left"/>
      <w:pPr>
        <w:tabs>
          <w:tab w:val="num" w:pos="1440"/>
        </w:tabs>
        <w:ind w:left="1440" w:hanging="360"/>
      </w:pPr>
      <w:rPr>
        <w:rFonts w:ascii="Arial" w:eastAsia="Times New Roman" w:hAnsi="Arial" w:cs="Arial" w:hint="default"/>
        <w:color w:val="auto"/>
      </w:rPr>
    </w:lvl>
    <w:lvl w:ilvl="2" w:tplc="38C09EF0">
      <w:start w:val="1"/>
      <w:numFmt w:val="lowerRoman"/>
      <w:lvlText w:val="%3)"/>
      <w:lvlJc w:val="left"/>
      <w:pPr>
        <w:tabs>
          <w:tab w:val="num" w:pos="2520"/>
        </w:tabs>
        <w:ind w:left="2520" w:hanging="720"/>
      </w:pPr>
      <w:rPr>
        <w:rFonts w:hint="default"/>
        <w:color w:val="auto"/>
      </w:rPr>
    </w:lvl>
    <w:lvl w:ilvl="3" w:tplc="80ACD756">
      <w:start w:val="1"/>
      <w:numFmt w:val="lowerRoman"/>
      <w:lvlText w:val="(%4)"/>
      <w:lvlJc w:val="left"/>
      <w:pPr>
        <w:ind w:left="3240" w:hanging="720"/>
      </w:pPr>
      <w:rPr>
        <w:rFonts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7758E5"/>
    <w:multiLevelType w:val="hybridMultilevel"/>
    <w:tmpl w:val="47307FB8"/>
    <w:lvl w:ilvl="0" w:tplc="08090001">
      <w:start w:val="1"/>
      <w:numFmt w:val="bullet"/>
      <w:lvlText w:val=""/>
      <w:lvlJc w:val="left"/>
      <w:pPr>
        <w:ind w:left="1440" w:hanging="360"/>
      </w:pPr>
      <w:rPr>
        <w:rFonts w:ascii="Symbol" w:hAnsi="Symbol" w:hint="default"/>
      </w:rPr>
    </w:lvl>
    <w:lvl w:ilvl="1" w:tplc="978EAAF2">
      <w:numFmt w:val="bullet"/>
      <w:lvlText w:val="•"/>
      <w:lvlJc w:val="left"/>
      <w:pPr>
        <w:ind w:left="2520" w:hanging="720"/>
      </w:pPr>
      <w:rPr>
        <w:rFonts w:ascii="Arial" w:eastAsia="Times New Roman" w:hAnsi="Arial" w:cs="Arial" w:hint="default"/>
      </w:rPr>
    </w:lvl>
    <w:lvl w:ilvl="2" w:tplc="1A00C258">
      <w:numFmt w:val="bullet"/>
      <w:lvlText w:val="-"/>
      <w:lvlJc w:val="left"/>
      <w:pPr>
        <w:ind w:left="2880" w:hanging="360"/>
      </w:pPr>
      <w:rPr>
        <w:rFonts w:ascii="Arial" w:eastAsia="Times New Roman"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955DF1"/>
    <w:multiLevelType w:val="multilevel"/>
    <w:tmpl w:val="7E8AFEB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8813001"/>
    <w:multiLevelType w:val="multilevel"/>
    <w:tmpl w:val="93E06B92"/>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D5496F"/>
    <w:multiLevelType w:val="hybridMultilevel"/>
    <w:tmpl w:val="4A2A7C1C"/>
    <w:lvl w:ilvl="0" w:tplc="BD04F6FE">
      <w:start w:val="1"/>
      <w:numFmt w:val="lowerRoman"/>
      <w:lvlText w:val="%1)"/>
      <w:lvlJc w:val="left"/>
      <w:pPr>
        <w:tabs>
          <w:tab w:val="num" w:pos="720"/>
        </w:tabs>
        <w:ind w:left="72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E50F97"/>
    <w:multiLevelType w:val="multilevel"/>
    <w:tmpl w:val="AC92D37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653FCD"/>
    <w:multiLevelType w:val="hybridMultilevel"/>
    <w:tmpl w:val="B8029252"/>
    <w:lvl w:ilvl="0" w:tplc="268662D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2" w15:restartNumberingAfterBreak="0">
    <w:nsid w:val="62CC6AB8"/>
    <w:multiLevelType w:val="hybridMultilevel"/>
    <w:tmpl w:val="AE26736C"/>
    <w:lvl w:ilvl="0" w:tplc="38C09EF0">
      <w:start w:val="1"/>
      <w:numFmt w:val="lowerRoman"/>
      <w:lvlText w:val="%1)"/>
      <w:lvlJc w:val="left"/>
      <w:pPr>
        <w:tabs>
          <w:tab w:val="num" w:pos="2520"/>
        </w:tabs>
        <w:ind w:left="252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3" w15:restartNumberingAfterBreak="0">
    <w:nsid w:val="63F0491F"/>
    <w:multiLevelType w:val="hybridMultilevel"/>
    <w:tmpl w:val="DEC01838"/>
    <w:lvl w:ilvl="0" w:tplc="B7F01D50">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384274"/>
    <w:multiLevelType w:val="hybridMultilevel"/>
    <w:tmpl w:val="0FEC2288"/>
    <w:lvl w:ilvl="0" w:tplc="28A23C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C3A4CBF"/>
    <w:multiLevelType w:val="multilevel"/>
    <w:tmpl w:val="22403F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B45C26"/>
    <w:multiLevelType w:val="multilevel"/>
    <w:tmpl w:val="369A1C20"/>
    <w:lvl w:ilvl="0">
      <w:start w:val="1"/>
      <w:numFmt w:val="decimal"/>
      <w:lvlText w:val="%1."/>
      <w:lvlJc w:val="left"/>
      <w:pPr>
        <w:ind w:left="1440" w:hanging="72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95D2BDF"/>
    <w:multiLevelType w:val="multilevel"/>
    <w:tmpl w:val="65143B86"/>
    <w:lvl w:ilvl="0">
      <w:start w:val="1"/>
      <w:numFmt w:val="decimal"/>
      <w:pStyle w:val="PL1heading"/>
      <w:lvlText w:val="Section %1"/>
      <w:lvlJc w:val="left"/>
      <w:pPr>
        <w:ind w:left="360" w:hanging="360"/>
      </w:pPr>
      <w:rPr>
        <w:rFonts w:hint="default"/>
      </w:rPr>
    </w:lvl>
    <w:lvl w:ilvl="1">
      <w:start w:val="1"/>
      <w:numFmt w:val="decimal"/>
      <w:pStyle w:val="PL2parts"/>
      <w:lvlText w:val="%1.%2"/>
      <w:lvlJc w:val="left"/>
      <w:pPr>
        <w:ind w:left="720" w:hanging="607"/>
      </w:pPr>
      <w:rPr>
        <w:rFonts w:hint="default"/>
        <w:color w:val="auto"/>
      </w:rPr>
    </w:lvl>
    <w:lvl w:ilvl="2">
      <w:start w:val="1"/>
      <w:numFmt w:val="decimal"/>
      <w:pStyle w:val="PL3text"/>
      <w:lvlText w:val="%1.%2.%3"/>
      <w:lvlJc w:val="left"/>
      <w:pPr>
        <w:ind w:left="964" w:hanging="964"/>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0"/>
  </w:num>
  <w:num w:numId="3">
    <w:abstractNumId w:val="15"/>
  </w:num>
  <w:num w:numId="4">
    <w:abstractNumId w:val="22"/>
  </w:num>
  <w:num w:numId="5">
    <w:abstractNumId w:val="8"/>
  </w:num>
  <w:num w:numId="6">
    <w:abstractNumId w:val="24"/>
  </w:num>
  <w:num w:numId="7">
    <w:abstractNumId w:val="25"/>
  </w:num>
  <w:num w:numId="8">
    <w:abstractNumId w:val="2"/>
  </w:num>
  <w:num w:numId="9">
    <w:abstractNumId w:val="21"/>
  </w:num>
  <w:num w:numId="10">
    <w:abstractNumId w:val="23"/>
  </w:num>
  <w:num w:numId="11">
    <w:abstractNumId w:val="3"/>
  </w:num>
  <w:num w:numId="12">
    <w:abstractNumId w:val="26"/>
  </w:num>
  <w:num w:numId="13">
    <w:abstractNumId w:val="27"/>
  </w:num>
  <w:num w:numId="14">
    <w:abstractNumId w:val="27"/>
    <w:lvlOverride w:ilvl="0">
      <w:startOverride w:val="4"/>
    </w:lvlOverride>
    <w:lvlOverride w:ilvl="1">
      <w:startOverride w:val="2"/>
    </w:lvlOverride>
  </w:num>
  <w:num w:numId="15">
    <w:abstractNumId w:val="4"/>
  </w:num>
  <w:num w:numId="16">
    <w:abstractNumId w:val="12"/>
  </w:num>
  <w:num w:numId="17">
    <w:abstractNumId w:val="16"/>
  </w:num>
  <w:num w:numId="18">
    <w:abstractNumId w:val="6"/>
  </w:num>
  <w:num w:numId="19">
    <w:abstractNumId w:val="10"/>
  </w:num>
  <w:num w:numId="20">
    <w:abstractNumId w:val="27"/>
  </w:num>
  <w:num w:numId="21">
    <w:abstractNumId w:val="27"/>
  </w:num>
  <w:num w:numId="22">
    <w:abstractNumId w:val="27"/>
  </w:num>
  <w:num w:numId="23">
    <w:abstractNumId w:val="27"/>
  </w:num>
  <w:num w:numId="24">
    <w:abstractNumId w:val="18"/>
  </w:num>
  <w:num w:numId="25">
    <w:abstractNumId w:val="9"/>
  </w:num>
  <w:num w:numId="26">
    <w:abstractNumId w:val="27"/>
  </w:num>
  <w:num w:numId="27">
    <w:abstractNumId w:val="13"/>
  </w:num>
  <w:num w:numId="28">
    <w:abstractNumId w:val="20"/>
  </w:num>
  <w:num w:numId="29">
    <w:abstractNumId w:val="5"/>
  </w:num>
  <w:num w:numId="30">
    <w:abstractNumId w:val="17"/>
  </w:num>
  <w:num w:numId="31">
    <w:abstractNumId w:val="7"/>
  </w:num>
  <w:num w:numId="32">
    <w:abstractNumId w:val="1"/>
  </w:num>
  <w:num w:numId="33">
    <w:abstractNumId w:val="27"/>
  </w:num>
  <w:num w:numId="34">
    <w:abstractNumId w:val="11"/>
  </w:num>
  <w:num w:numId="35">
    <w:abstractNumId w:val="14"/>
  </w:num>
  <w:num w:numId="36">
    <w:abstractNumId w:val="27"/>
  </w:num>
  <w:num w:numId="37">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BA"/>
    <w:rsid w:val="00013143"/>
    <w:rsid w:val="000350EA"/>
    <w:rsid w:val="00037637"/>
    <w:rsid w:val="0004324F"/>
    <w:rsid w:val="00054577"/>
    <w:rsid w:val="000644DC"/>
    <w:rsid w:val="000746A7"/>
    <w:rsid w:val="00082191"/>
    <w:rsid w:val="00084B3F"/>
    <w:rsid w:val="000870BC"/>
    <w:rsid w:val="000911CA"/>
    <w:rsid w:val="000B316E"/>
    <w:rsid w:val="000C0B07"/>
    <w:rsid w:val="000C1854"/>
    <w:rsid w:val="000F0C5D"/>
    <w:rsid w:val="000F1745"/>
    <w:rsid w:val="00114F79"/>
    <w:rsid w:val="001605DE"/>
    <w:rsid w:val="00171F53"/>
    <w:rsid w:val="001759B4"/>
    <w:rsid w:val="00191E39"/>
    <w:rsid w:val="00194C8D"/>
    <w:rsid w:val="001A0EE9"/>
    <w:rsid w:val="001B4C2E"/>
    <w:rsid w:val="001C17B4"/>
    <w:rsid w:val="001C74E5"/>
    <w:rsid w:val="001D5DD8"/>
    <w:rsid w:val="001F12D1"/>
    <w:rsid w:val="002064AA"/>
    <w:rsid w:val="00217061"/>
    <w:rsid w:val="0021755D"/>
    <w:rsid w:val="00240920"/>
    <w:rsid w:val="002619F8"/>
    <w:rsid w:val="0026586C"/>
    <w:rsid w:val="00270C12"/>
    <w:rsid w:val="002729C4"/>
    <w:rsid w:val="00275BBE"/>
    <w:rsid w:val="00290334"/>
    <w:rsid w:val="00291393"/>
    <w:rsid w:val="002A2170"/>
    <w:rsid w:val="002A4842"/>
    <w:rsid w:val="002C6B9E"/>
    <w:rsid w:val="00312BDC"/>
    <w:rsid w:val="00315F15"/>
    <w:rsid w:val="003321CD"/>
    <w:rsid w:val="003351D8"/>
    <w:rsid w:val="00362EDB"/>
    <w:rsid w:val="003721EE"/>
    <w:rsid w:val="00392DC3"/>
    <w:rsid w:val="00395EBA"/>
    <w:rsid w:val="003A07F5"/>
    <w:rsid w:val="003A5008"/>
    <w:rsid w:val="003B587C"/>
    <w:rsid w:val="003B6C71"/>
    <w:rsid w:val="003C2F31"/>
    <w:rsid w:val="003C5205"/>
    <w:rsid w:val="003C5583"/>
    <w:rsid w:val="003D35B5"/>
    <w:rsid w:val="003D7149"/>
    <w:rsid w:val="003F3E91"/>
    <w:rsid w:val="00446A0B"/>
    <w:rsid w:val="00474F40"/>
    <w:rsid w:val="00484513"/>
    <w:rsid w:val="00487AB4"/>
    <w:rsid w:val="004B37AC"/>
    <w:rsid w:val="004B4723"/>
    <w:rsid w:val="004D2592"/>
    <w:rsid w:val="004D3CDC"/>
    <w:rsid w:val="004F3507"/>
    <w:rsid w:val="004F3D81"/>
    <w:rsid w:val="00514C5F"/>
    <w:rsid w:val="00522355"/>
    <w:rsid w:val="005364D6"/>
    <w:rsid w:val="00545228"/>
    <w:rsid w:val="00555F5B"/>
    <w:rsid w:val="00573C66"/>
    <w:rsid w:val="0057793D"/>
    <w:rsid w:val="00593890"/>
    <w:rsid w:val="005A6D6D"/>
    <w:rsid w:val="005D34DC"/>
    <w:rsid w:val="00602447"/>
    <w:rsid w:val="00605C37"/>
    <w:rsid w:val="00606CC2"/>
    <w:rsid w:val="00620ABC"/>
    <w:rsid w:val="006337E4"/>
    <w:rsid w:val="0063553C"/>
    <w:rsid w:val="00643750"/>
    <w:rsid w:val="00646581"/>
    <w:rsid w:val="00664F00"/>
    <w:rsid w:val="00675787"/>
    <w:rsid w:val="006920B9"/>
    <w:rsid w:val="006A04F0"/>
    <w:rsid w:val="006A456E"/>
    <w:rsid w:val="006B00AA"/>
    <w:rsid w:val="006D4CAE"/>
    <w:rsid w:val="006E387F"/>
    <w:rsid w:val="00700FEC"/>
    <w:rsid w:val="00704226"/>
    <w:rsid w:val="00704F2A"/>
    <w:rsid w:val="00725F37"/>
    <w:rsid w:val="00726641"/>
    <w:rsid w:val="007337A3"/>
    <w:rsid w:val="00753727"/>
    <w:rsid w:val="007574A6"/>
    <w:rsid w:val="0076482F"/>
    <w:rsid w:val="00790840"/>
    <w:rsid w:val="007A412B"/>
    <w:rsid w:val="007A69FC"/>
    <w:rsid w:val="007B0ABA"/>
    <w:rsid w:val="007B3B63"/>
    <w:rsid w:val="007C17F3"/>
    <w:rsid w:val="007D3737"/>
    <w:rsid w:val="007E3D93"/>
    <w:rsid w:val="008101C9"/>
    <w:rsid w:val="0084782D"/>
    <w:rsid w:val="00852B99"/>
    <w:rsid w:val="00853577"/>
    <w:rsid w:val="0085545D"/>
    <w:rsid w:val="00862B28"/>
    <w:rsid w:val="0087712D"/>
    <w:rsid w:val="0088026B"/>
    <w:rsid w:val="00885E3A"/>
    <w:rsid w:val="008A2634"/>
    <w:rsid w:val="008A4B46"/>
    <w:rsid w:val="008A5E2A"/>
    <w:rsid w:val="008C16E9"/>
    <w:rsid w:val="008C3BCD"/>
    <w:rsid w:val="008E6490"/>
    <w:rsid w:val="008E6CE9"/>
    <w:rsid w:val="00900CC6"/>
    <w:rsid w:val="00901AE0"/>
    <w:rsid w:val="0092594E"/>
    <w:rsid w:val="00925B20"/>
    <w:rsid w:val="00927B41"/>
    <w:rsid w:val="00970F0C"/>
    <w:rsid w:val="00982CCB"/>
    <w:rsid w:val="00996E1C"/>
    <w:rsid w:val="009A1364"/>
    <w:rsid w:val="009A782E"/>
    <w:rsid w:val="009E5DA4"/>
    <w:rsid w:val="00A6102B"/>
    <w:rsid w:val="00A67C58"/>
    <w:rsid w:val="00A951A0"/>
    <w:rsid w:val="00AA2B33"/>
    <w:rsid w:val="00AD5CA6"/>
    <w:rsid w:val="00AE0C5C"/>
    <w:rsid w:val="00AF66C2"/>
    <w:rsid w:val="00B14B81"/>
    <w:rsid w:val="00B22B62"/>
    <w:rsid w:val="00B23BAC"/>
    <w:rsid w:val="00B35E2D"/>
    <w:rsid w:val="00B368B4"/>
    <w:rsid w:val="00B47216"/>
    <w:rsid w:val="00B6649A"/>
    <w:rsid w:val="00B86678"/>
    <w:rsid w:val="00BA4D50"/>
    <w:rsid w:val="00BA776C"/>
    <w:rsid w:val="00BD6C73"/>
    <w:rsid w:val="00C0017D"/>
    <w:rsid w:val="00C0445E"/>
    <w:rsid w:val="00C14AFB"/>
    <w:rsid w:val="00C31C73"/>
    <w:rsid w:val="00C452E9"/>
    <w:rsid w:val="00C53FF6"/>
    <w:rsid w:val="00C56772"/>
    <w:rsid w:val="00C61924"/>
    <w:rsid w:val="00C6637F"/>
    <w:rsid w:val="00C67D19"/>
    <w:rsid w:val="00C74557"/>
    <w:rsid w:val="00C76DEF"/>
    <w:rsid w:val="00CA0806"/>
    <w:rsid w:val="00CA75FA"/>
    <w:rsid w:val="00CB54AF"/>
    <w:rsid w:val="00CC0929"/>
    <w:rsid w:val="00CD0FC4"/>
    <w:rsid w:val="00CD1DFA"/>
    <w:rsid w:val="00CD41C0"/>
    <w:rsid w:val="00CE1E01"/>
    <w:rsid w:val="00CF52B8"/>
    <w:rsid w:val="00D04265"/>
    <w:rsid w:val="00D04FCB"/>
    <w:rsid w:val="00D058B8"/>
    <w:rsid w:val="00D2391D"/>
    <w:rsid w:val="00D33619"/>
    <w:rsid w:val="00D34780"/>
    <w:rsid w:val="00D402B3"/>
    <w:rsid w:val="00D41738"/>
    <w:rsid w:val="00D51B43"/>
    <w:rsid w:val="00D536FF"/>
    <w:rsid w:val="00D547A6"/>
    <w:rsid w:val="00D80352"/>
    <w:rsid w:val="00D87BC6"/>
    <w:rsid w:val="00D92825"/>
    <w:rsid w:val="00D96A8D"/>
    <w:rsid w:val="00DA110F"/>
    <w:rsid w:val="00DA54AE"/>
    <w:rsid w:val="00DA54DB"/>
    <w:rsid w:val="00DB0967"/>
    <w:rsid w:val="00DB48A4"/>
    <w:rsid w:val="00DD1E1B"/>
    <w:rsid w:val="00DF63A2"/>
    <w:rsid w:val="00DF6DBF"/>
    <w:rsid w:val="00E0647F"/>
    <w:rsid w:val="00E1062D"/>
    <w:rsid w:val="00E10F65"/>
    <w:rsid w:val="00E1398F"/>
    <w:rsid w:val="00E15A21"/>
    <w:rsid w:val="00E2120B"/>
    <w:rsid w:val="00E3040F"/>
    <w:rsid w:val="00E31359"/>
    <w:rsid w:val="00E62824"/>
    <w:rsid w:val="00E709AB"/>
    <w:rsid w:val="00E7367B"/>
    <w:rsid w:val="00E76FEF"/>
    <w:rsid w:val="00E81A9F"/>
    <w:rsid w:val="00E944A2"/>
    <w:rsid w:val="00EA7C0B"/>
    <w:rsid w:val="00EC55EB"/>
    <w:rsid w:val="00EC7D61"/>
    <w:rsid w:val="00ED6283"/>
    <w:rsid w:val="00EE1BC0"/>
    <w:rsid w:val="00EE33A3"/>
    <w:rsid w:val="00EE720E"/>
    <w:rsid w:val="00EF7C79"/>
    <w:rsid w:val="00F25C20"/>
    <w:rsid w:val="00F26B73"/>
    <w:rsid w:val="00F3042B"/>
    <w:rsid w:val="00F323A4"/>
    <w:rsid w:val="00F32714"/>
    <w:rsid w:val="00F4108B"/>
    <w:rsid w:val="00F56773"/>
    <w:rsid w:val="00F659C9"/>
    <w:rsid w:val="00F92766"/>
    <w:rsid w:val="00FA5224"/>
    <w:rsid w:val="00FA601A"/>
    <w:rsid w:val="00FA652F"/>
    <w:rsid w:val="00FB6207"/>
    <w:rsid w:val="00FB65A2"/>
    <w:rsid w:val="00FC1E30"/>
    <w:rsid w:val="00FD10AF"/>
    <w:rsid w:val="00FD25E3"/>
    <w:rsid w:val="00FE24E0"/>
    <w:rsid w:val="00FF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B8C151E-F39D-4571-B643-ECD2E1D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E2A"/>
    <w:rPr>
      <w:sz w:val="24"/>
      <w:szCs w:val="24"/>
    </w:rPr>
  </w:style>
  <w:style w:type="paragraph" w:styleId="Heading1">
    <w:name w:val="heading 1"/>
    <w:basedOn w:val="Normal"/>
    <w:next w:val="Normal"/>
    <w:link w:val="Heading1Char"/>
    <w:qFormat/>
    <w:rsid w:val="00392D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E106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E1062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E387F"/>
    <w:pPr>
      <w:tabs>
        <w:tab w:val="center" w:pos="4153"/>
        <w:tab w:val="right" w:pos="8306"/>
      </w:tabs>
    </w:pPr>
  </w:style>
  <w:style w:type="character" w:styleId="PageNumber">
    <w:name w:val="page number"/>
    <w:basedOn w:val="DefaultParagraphFont"/>
    <w:rsid w:val="006E387F"/>
  </w:style>
  <w:style w:type="character" w:styleId="Hyperlink">
    <w:name w:val="Hyperlink"/>
    <w:basedOn w:val="DefaultParagraphFont"/>
    <w:rsid w:val="00B23BAC"/>
    <w:rPr>
      <w:color w:val="0000FF"/>
      <w:u w:val="single"/>
    </w:rPr>
  </w:style>
  <w:style w:type="character" w:styleId="CommentReference">
    <w:name w:val="annotation reference"/>
    <w:basedOn w:val="DefaultParagraphFont"/>
    <w:rsid w:val="00037637"/>
    <w:rPr>
      <w:sz w:val="16"/>
      <w:szCs w:val="16"/>
    </w:rPr>
  </w:style>
  <w:style w:type="paragraph" w:styleId="CommentText">
    <w:name w:val="annotation text"/>
    <w:basedOn w:val="Normal"/>
    <w:link w:val="CommentTextChar"/>
    <w:rsid w:val="00037637"/>
    <w:rPr>
      <w:sz w:val="20"/>
      <w:szCs w:val="20"/>
    </w:rPr>
  </w:style>
  <w:style w:type="character" w:customStyle="1" w:styleId="CommentTextChar">
    <w:name w:val="Comment Text Char"/>
    <w:basedOn w:val="DefaultParagraphFont"/>
    <w:link w:val="CommentText"/>
    <w:rsid w:val="00037637"/>
  </w:style>
  <w:style w:type="paragraph" w:styleId="CommentSubject">
    <w:name w:val="annotation subject"/>
    <w:basedOn w:val="CommentText"/>
    <w:next w:val="CommentText"/>
    <w:link w:val="CommentSubjectChar"/>
    <w:rsid w:val="00037637"/>
    <w:rPr>
      <w:b/>
      <w:bCs/>
    </w:rPr>
  </w:style>
  <w:style w:type="character" w:customStyle="1" w:styleId="CommentSubjectChar">
    <w:name w:val="Comment Subject Char"/>
    <w:basedOn w:val="CommentTextChar"/>
    <w:link w:val="CommentSubject"/>
    <w:rsid w:val="00037637"/>
    <w:rPr>
      <w:b/>
      <w:bCs/>
    </w:rPr>
  </w:style>
  <w:style w:type="paragraph" w:styleId="BalloonText">
    <w:name w:val="Balloon Text"/>
    <w:basedOn w:val="Normal"/>
    <w:link w:val="BalloonTextChar"/>
    <w:rsid w:val="00037637"/>
    <w:rPr>
      <w:rFonts w:ascii="Tahoma" w:hAnsi="Tahoma" w:cs="Tahoma"/>
      <w:sz w:val="16"/>
      <w:szCs w:val="16"/>
    </w:rPr>
  </w:style>
  <w:style w:type="character" w:customStyle="1" w:styleId="BalloonTextChar">
    <w:name w:val="Balloon Text Char"/>
    <w:basedOn w:val="DefaultParagraphFont"/>
    <w:link w:val="BalloonText"/>
    <w:rsid w:val="00037637"/>
    <w:rPr>
      <w:rFonts w:ascii="Tahoma" w:hAnsi="Tahoma" w:cs="Tahoma"/>
      <w:sz w:val="16"/>
      <w:szCs w:val="16"/>
    </w:rPr>
  </w:style>
  <w:style w:type="paragraph" w:styleId="ListParagraph">
    <w:name w:val="List Paragraph"/>
    <w:aliases w:val="Domspec"/>
    <w:basedOn w:val="Normal"/>
    <w:link w:val="ListParagraphChar"/>
    <w:uiPriority w:val="34"/>
    <w:qFormat/>
    <w:rsid w:val="00D04FCB"/>
    <w:pPr>
      <w:ind w:left="720"/>
      <w:contextualSpacing/>
    </w:pPr>
  </w:style>
  <w:style w:type="character" w:customStyle="1" w:styleId="Heading1Char">
    <w:name w:val="Heading 1 Char"/>
    <w:basedOn w:val="DefaultParagraphFont"/>
    <w:link w:val="Heading1"/>
    <w:rsid w:val="00392DC3"/>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392DC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92DC3"/>
    <w:rPr>
      <w:rFonts w:asciiTheme="minorHAnsi" w:eastAsiaTheme="minorEastAsia" w:hAnsiTheme="minorHAnsi" w:cstheme="minorBidi"/>
      <w:sz w:val="22"/>
      <w:szCs w:val="22"/>
      <w:lang w:val="en-US" w:eastAsia="en-US"/>
    </w:rPr>
  </w:style>
  <w:style w:type="paragraph" w:styleId="Header">
    <w:name w:val="header"/>
    <w:basedOn w:val="Normal"/>
    <w:link w:val="HeaderChar"/>
    <w:unhideWhenUsed/>
    <w:rsid w:val="00F26B73"/>
    <w:pPr>
      <w:tabs>
        <w:tab w:val="center" w:pos="4513"/>
        <w:tab w:val="right" w:pos="9026"/>
      </w:tabs>
    </w:pPr>
  </w:style>
  <w:style w:type="character" w:customStyle="1" w:styleId="HeaderChar">
    <w:name w:val="Header Char"/>
    <w:basedOn w:val="DefaultParagraphFont"/>
    <w:link w:val="Header"/>
    <w:rsid w:val="00F26B73"/>
    <w:rPr>
      <w:sz w:val="24"/>
      <w:szCs w:val="24"/>
    </w:rPr>
  </w:style>
  <w:style w:type="paragraph" w:styleId="TOCHeading">
    <w:name w:val="TOC Heading"/>
    <w:basedOn w:val="Heading1"/>
    <w:next w:val="Normal"/>
    <w:uiPriority w:val="39"/>
    <w:unhideWhenUsed/>
    <w:qFormat/>
    <w:rsid w:val="00F26B73"/>
    <w:pPr>
      <w:spacing w:line="259" w:lineRule="auto"/>
      <w:outlineLvl w:val="9"/>
    </w:pPr>
    <w:rPr>
      <w:lang w:val="en-US" w:eastAsia="en-US"/>
    </w:rPr>
  </w:style>
  <w:style w:type="table" w:styleId="PlainTable4">
    <w:name w:val="Plain Table 4"/>
    <w:basedOn w:val="TableNormal"/>
    <w:uiPriority w:val="44"/>
    <w:rsid w:val="00D347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545228"/>
    <w:rPr>
      <w:sz w:val="24"/>
      <w:szCs w:val="24"/>
    </w:rPr>
  </w:style>
  <w:style w:type="paragraph" w:customStyle="1" w:styleId="PL1heading">
    <w:name w:val="PL1heading"/>
    <w:basedOn w:val="Heading1"/>
    <w:next w:val="Normal"/>
    <w:qFormat/>
    <w:rsid w:val="00700FEC"/>
    <w:pPr>
      <w:pageBreakBefore/>
      <w:numPr>
        <w:numId w:val="13"/>
      </w:numPr>
      <w:shd w:val="solid" w:color="F79646" w:themeColor="accent6" w:fill="auto"/>
      <w:spacing w:before="0" w:line="276" w:lineRule="auto"/>
      <w:jc w:val="center"/>
    </w:pPr>
    <w:rPr>
      <w:rFonts w:ascii="Arial" w:hAnsi="Arial"/>
      <w:b/>
      <w:bCs/>
      <w:caps/>
      <w:color w:val="auto"/>
      <w:sz w:val="24"/>
      <w:szCs w:val="28"/>
    </w:rPr>
  </w:style>
  <w:style w:type="paragraph" w:customStyle="1" w:styleId="PL2parts">
    <w:name w:val="PL2parts"/>
    <w:basedOn w:val="Normal"/>
    <w:link w:val="PL2partsChar"/>
    <w:qFormat/>
    <w:rsid w:val="00700FEC"/>
    <w:pPr>
      <w:numPr>
        <w:ilvl w:val="1"/>
        <w:numId w:val="13"/>
      </w:numPr>
      <w:spacing w:before="120" w:after="120" w:line="276" w:lineRule="auto"/>
      <w:outlineLvl w:val="1"/>
    </w:pPr>
    <w:rPr>
      <w:rFonts w:ascii="Arial" w:eastAsiaTheme="minorHAnsi" w:hAnsi="Arial" w:cstheme="minorBidi"/>
      <w:b/>
      <w:sz w:val="26"/>
      <w:szCs w:val="22"/>
    </w:rPr>
  </w:style>
  <w:style w:type="paragraph" w:customStyle="1" w:styleId="PL3text">
    <w:name w:val="PL3text"/>
    <w:basedOn w:val="PL2parts"/>
    <w:link w:val="PL3textChar"/>
    <w:qFormat/>
    <w:rsid w:val="00700FEC"/>
    <w:pPr>
      <w:numPr>
        <w:ilvl w:val="2"/>
      </w:numPr>
      <w:jc w:val="both"/>
      <w:outlineLvl w:val="2"/>
    </w:pPr>
    <w:rPr>
      <w:b w:val="0"/>
    </w:rPr>
  </w:style>
  <w:style w:type="character" w:customStyle="1" w:styleId="PL3textChar">
    <w:name w:val="PL3text Char"/>
    <w:basedOn w:val="DefaultParagraphFont"/>
    <w:link w:val="PL3text"/>
    <w:rsid w:val="00700FEC"/>
    <w:rPr>
      <w:rFonts w:ascii="Arial" w:eastAsiaTheme="minorHAnsi" w:hAnsi="Arial" w:cstheme="minorBidi"/>
      <w:sz w:val="26"/>
      <w:szCs w:val="22"/>
    </w:rPr>
  </w:style>
  <w:style w:type="table" w:styleId="PlainTable5">
    <w:name w:val="Plain Table 5"/>
    <w:basedOn w:val="TableNormal"/>
    <w:uiPriority w:val="45"/>
    <w:rsid w:val="007042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semiHidden/>
    <w:rsid w:val="00E1062D"/>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E1062D"/>
    <w:rPr>
      <w:rFonts w:asciiTheme="majorHAnsi" w:eastAsiaTheme="majorEastAsia" w:hAnsiTheme="majorHAnsi" w:cstheme="majorBidi"/>
      <w:i/>
      <w:iCs/>
      <w:color w:val="365F91" w:themeColor="accent1" w:themeShade="BF"/>
      <w:sz w:val="24"/>
      <w:szCs w:val="24"/>
    </w:rPr>
  </w:style>
  <w:style w:type="table" w:styleId="GridTable2-Accent1">
    <w:name w:val="Grid Table 2 Accent 1"/>
    <w:basedOn w:val="TableNormal"/>
    <w:uiPriority w:val="47"/>
    <w:rsid w:val="00F25C2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L2partsChar">
    <w:name w:val="PL2parts Char"/>
    <w:basedOn w:val="DefaultParagraphFont"/>
    <w:link w:val="PL2parts"/>
    <w:rsid w:val="00275BBE"/>
    <w:rPr>
      <w:rFonts w:ascii="Arial" w:eastAsiaTheme="minorHAnsi" w:hAnsi="Arial" w:cstheme="minorBidi"/>
      <w:b/>
      <w:sz w:val="26"/>
      <w:szCs w:val="22"/>
    </w:rPr>
  </w:style>
  <w:style w:type="character" w:customStyle="1" w:styleId="ListParagraphChar">
    <w:name w:val="List Paragraph Char"/>
    <w:aliases w:val="Domspec Char"/>
    <w:basedOn w:val="DefaultParagraphFont"/>
    <w:link w:val="ListParagraph"/>
    <w:uiPriority w:val="34"/>
    <w:rsid w:val="00275B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7943">
      <w:bodyDiv w:val="1"/>
      <w:marLeft w:val="0"/>
      <w:marRight w:val="0"/>
      <w:marTop w:val="0"/>
      <w:marBottom w:val="0"/>
      <w:divBdr>
        <w:top w:val="none" w:sz="0" w:space="0" w:color="auto"/>
        <w:left w:val="none" w:sz="0" w:space="0" w:color="auto"/>
        <w:bottom w:val="none" w:sz="0" w:space="0" w:color="auto"/>
        <w:right w:val="none" w:sz="0" w:space="0" w:color="auto"/>
      </w:divBdr>
    </w:div>
    <w:div w:id="182951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C7140-BB4C-47CA-B5CE-E3668EF0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2033</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TREASURY MANAGEMENT CONSULTANCY SERVICE – SPECIFICATION</vt:lpstr>
    </vt:vector>
  </TitlesOfParts>
  <Company>sdc</Company>
  <LinksUpToDate>false</LinksUpToDate>
  <CharactersWithSpaces>13588</CharactersWithSpaces>
  <SharedDoc>false</SharedDoc>
  <HLinks>
    <vt:vector size="6" baseType="variant">
      <vt:variant>
        <vt:i4>2621445</vt:i4>
      </vt:variant>
      <vt:variant>
        <vt:i4>0</vt:i4>
      </vt:variant>
      <vt:variant>
        <vt:i4>0</vt:i4>
      </vt:variant>
      <vt:variant>
        <vt:i4>5</vt:i4>
      </vt:variant>
      <vt:variant>
        <vt:lpwstr>mailto:lee.walker@shepway.gov.uk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MANAGEMENT CONSULTANCY SERVICE – SPECIFICATION</dc:title>
  <dc:creator>lwalker</dc:creator>
  <cp:lastModifiedBy>Richards, Mhairi</cp:lastModifiedBy>
  <cp:revision>16</cp:revision>
  <cp:lastPrinted>2015-11-16T08:57:00Z</cp:lastPrinted>
  <dcterms:created xsi:type="dcterms:W3CDTF">2021-12-10T09:48:00Z</dcterms:created>
  <dcterms:modified xsi:type="dcterms:W3CDTF">2021-12-15T10:25:00Z</dcterms:modified>
</cp:coreProperties>
</file>