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53EBA" w14:textId="276DD277" w:rsidR="00ED204D" w:rsidRDefault="00ED204D" w:rsidP="00653811">
      <w:pPr>
        <w:jc w:val="right"/>
        <w:rPr>
          <w:rFonts w:ascii="Arial" w:hAnsi="Arial" w:cs="Arial"/>
          <w:b/>
          <w:sz w:val="24"/>
          <w:szCs w:val="24"/>
        </w:rPr>
      </w:pPr>
      <w:bookmarkStart w:id="0" w:name="_Toc396925507"/>
    </w:p>
    <w:p w14:paraId="3E8435BE" w14:textId="77777777" w:rsidR="002F7378" w:rsidRDefault="002F7378" w:rsidP="00653811">
      <w:pPr>
        <w:jc w:val="right"/>
        <w:rPr>
          <w:rFonts w:ascii="Arial" w:hAnsi="Arial" w:cs="Arial"/>
          <w:b/>
          <w:sz w:val="24"/>
          <w:szCs w:val="24"/>
          <w:highlight w:val="yellow"/>
        </w:rPr>
      </w:pPr>
      <w:r>
        <w:rPr>
          <w:noProof/>
          <w:lang w:eastAsia="en-GB"/>
        </w:rPr>
        <w:drawing>
          <wp:anchor distT="0" distB="0" distL="114300" distR="114300" simplePos="0" relativeHeight="251658240" behindDoc="1" locked="0" layoutInCell="1" allowOverlap="1" wp14:anchorId="33789DCA" wp14:editId="354A3017">
            <wp:simplePos x="0" y="0"/>
            <wp:positionH relativeFrom="column">
              <wp:posOffset>3613785</wp:posOffset>
            </wp:positionH>
            <wp:positionV relativeFrom="paragraph">
              <wp:posOffset>-3175</wp:posOffset>
            </wp:positionV>
            <wp:extent cx="2169795" cy="455295"/>
            <wp:effectExtent l="0" t="0" r="1905" b="1905"/>
            <wp:wrapTight wrapText="bothSides">
              <wp:wrapPolygon edited="0">
                <wp:start x="0" y="0"/>
                <wp:lineTo x="0" y="20787"/>
                <wp:lineTo x="21429" y="20787"/>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9795" cy="455295"/>
                    </a:xfrm>
                    <a:prstGeom prst="rect">
                      <a:avLst/>
                    </a:prstGeom>
                    <a:noFill/>
                  </pic:spPr>
                </pic:pic>
              </a:graphicData>
            </a:graphic>
            <wp14:sizeRelH relativeFrom="margin">
              <wp14:pctWidth>0</wp14:pctWidth>
            </wp14:sizeRelH>
            <wp14:sizeRelV relativeFrom="margin">
              <wp14:pctHeight>0</wp14:pctHeight>
            </wp14:sizeRelV>
          </wp:anchor>
        </w:drawing>
      </w:r>
    </w:p>
    <w:p w14:paraId="710EA17F" w14:textId="77777777" w:rsidR="00956B9F" w:rsidRPr="00956B9F" w:rsidRDefault="00956B9F" w:rsidP="00956B9F">
      <w:pPr>
        <w:rPr>
          <w:rFonts w:ascii="Arial" w:hAnsi="Arial" w:cs="Arial"/>
          <w:b/>
        </w:rPr>
      </w:pPr>
    </w:p>
    <w:p w14:paraId="17DAAEC6" w14:textId="77777777" w:rsidR="0067622B" w:rsidRPr="00D05A8B" w:rsidRDefault="0067622B" w:rsidP="0067622B">
      <w:pPr>
        <w:jc w:val="center"/>
        <w:rPr>
          <w:rFonts w:ascii="Arial" w:hAnsi="Arial" w:cs="Arial"/>
          <w:b/>
        </w:rPr>
      </w:pPr>
      <w:r w:rsidRPr="00D05A8B">
        <w:rPr>
          <w:rFonts w:ascii="Arial" w:hAnsi="Arial" w:cs="Arial"/>
          <w:b/>
        </w:rPr>
        <w:t>INVITATION TO TENDER</w:t>
      </w:r>
      <w:r w:rsidR="00DA21B2">
        <w:rPr>
          <w:rFonts w:ascii="Arial" w:hAnsi="Arial" w:cs="Arial"/>
          <w:b/>
        </w:rPr>
        <w:t xml:space="preserve"> INSTRUCTIONS AND DETAILS OF CONTRACT</w:t>
      </w:r>
    </w:p>
    <w:tbl>
      <w:tblPr>
        <w:tblStyle w:val="TableGrid"/>
        <w:tblW w:w="0" w:type="auto"/>
        <w:tblLook w:val="04A0" w:firstRow="1" w:lastRow="0" w:firstColumn="1" w:lastColumn="0" w:noHBand="0" w:noVBand="1"/>
      </w:tblPr>
      <w:tblGrid>
        <w:gridCol w:w="4621"/>
        <w:gridCol w:w="4621"/>
      </w:tblGrid>
      <w:tr w:rsidR="0067622B" w:rsidRPr="00D05A8B" w14:paraId="6DBFFBE9" w14:textId="77777777" w:rsidTr="11AEF32D">
        <w:tc>
          <w:tcPr>
            <w:tcW w:w="4621" w:type="dxa"/>
          </w:tcPr>
          <w:p w14:paraId="3B6FA597" w14:textId="77777777" w:rsidR="0067622B" w:rsidRPr="00D05A8B" w:rsidRDefault="0067622B" w:rsidP="0B7B1EF4">
            <w:pPr>
              <w:jc w:val="center"/>
              <w:rPr>
                <w:rFonts w:ascii="Arial" w:hAnsi="Arial" w:cs="Arial"/>
                <w:b/>
                <w:bCs/>
              </w:rPr>
            </w:pPr>
            <w:r w:rsidRPr="0B7B1EF4">
              <w:rPr>
                <w:rFonts w:ascii="Arial" w:hAnsi="Arial" w:cs="Arial"/>
                <w:b/>
                <w:bCs/>
              </w:rPr>
              <w:t>CONTRACT TITLE</w:t>
            </w:r>
          </w:p>
        </w:tc>
        <w:tc>
          <w:tcPr>
            <w:tcW w:w="4621" w:type="dxa"/>
          </w:tcPr>
          <w:p w14:paraId="1B6F24A7" w14:textId="2120D0A9" w:rsidR="00D3090F" w:rsidRPr="00D3090F" w:rsidRDefault="3D93F78E" w:rsidP="00D3090F">
            <w:pPr>
              <w:rPr>
                <w:rFonts w:ascii="Arial" w:hAnsi="Arial" w:cs="Arial"/>
              </w:rPr>
            </w:pPr>
            <w:r w:rsidRPr="0B7B1EF4">
              <w:rPr>
                <w:rFonts w:ascii="Arial" w:hAnsi="Arial" w:cs="Arial"/>
              </w:rPr>
              <w:t>Lyndon Walk</w:t>
            </w:r>
            <w:r w:rsidR="039D8447" w:rsidRPr="0B7B1EF4">
              <w:rPr>
                <w:rFonts w:ascii="Arial" w:hAnsi="Arial" w:cs="Arial"/>
              </w:rPr>
              <w:t xml:space="preserve"> –</w:t>
            </w:r>
            <w:r w:rsidR="00D3090F" w:rsidRPr="0B7B1EF4">
              <w:rPr>
                <w:rFonts w:ascii="Arial" w:hAnsi="Arial" w:cs="Arial"/>
              </w:rPr>
              <w:t xml:space="preserve"> </w:t>
            </w:r>
            <w:r w:rsidR="00EE53F8" w:rsidRPr="00EE53F8">
              <w:rPr>
                <w:rFonts w:ascii="Arial" w:hAnsi="Arial" w:cs="Arial"/>
              </w:rPr>
              <w:t>Design, Supply and Installation of Windows and External Doors</w:t>
            </w:r>
          </w:p>
          <w:p w14:paraId="45306C85" w14:textId="09C65EBD" w:rsidR="00F91D2E" w:rsidRPr="00F54884" w:rsidRDefault="00F91D2E" w:rsidP="00D3090F">
            <w:pPr>
              <w:rPr>
                <w:rFonts w:ascii="Arial" w:hAnsi="Arial" w:cs="Arial"/>
              </w:rPr>
            </w:pPr>
          </w:p>
        </w:tc>
      </w:tr>
      <w:tr w:rsidR="0067622B" w:rsidRPr="00D05A8B" w14:paraId="7BAA20A2" w14:textId="77777777" w:rsidTr="11AEF32D">
        <w:tc>
          <w:tcPr>
            <w:tcW w:w="4621" w:type="dxa"/>
          </w:tcPr>
          <w:p w14:paraId="7930126D" w14:textId="77777777" w:rsidR="0067622B" w:rsidRPr="00D05A8B" w:rsidRDefault="00F90DAD" w:rsidP="11AEF32D">
            <w:pPr>
              <w:jc w:val="center"/>
              <w:rPr>
                <w:rFonts w:ascii="Arial" w:hAnsi="Arial" w:cs="Arial"/>
                <w:b/>
                <w:bCs/>
              </w:rPr>
            </w:pPr>
            <w:r w:rsidRPr="11AEF32D">
              <w:rPr>
                <w:rFonts w:ascii="Arial" w:hAnsi="Arial" w:cs="Arial"/>
                <w:b/>
                <w:bCs/>
              </w:rPr>
              <w:t>CONTRACT</w:t>
            </w:r>
            <w:r w:rsidR="0067622B" w:rsidRPr="11AEF32D">
              <w:rPr>
                <w:rFonts w:ascii="Arial" w:hAnsi="Arial" w:cs="Arial"/>
                <w:b/>
                <w:bCs/>
              </w:rPr>
              <w:t xml:space="preserve"> REFERENCE</w:t>
            </w:r>
          </w:p>
        </w:tc>
        <w:tc>
          <w:tcPr>
            <w:tcW w:w="4621" w:type="dxa"/>
          </w:tcPr>
          <w:p w14:paraId="515D8705" w14:textId="0F6B88C7" w:rsidR="00F91D2E" w:rsidRDefault="009C237E" w:rsidP="11AEF32D">
            <w:pPr>
              <w:rPr>
                <w:rFonts w:ascii="Arial" w:eastAsia="Arial" w:hAnsi="Arial" w:cs="Arial"/>
              </w:rPr>
            </w:pPr>
            <w:r w:rsidRPr="007113A2">
              <w:rPr>
                <w:rFonts w:ascii="Arial" w:eastAsia="Arial" w:hAnsi="Arial" w:cs="Arial"/>
                <w:b/>
                <w:bCs/>
                <w:color w:val="000000" w:themeColor="text1"/>
                <w:sz w:val="24"/>
                <w:szCs w:val="24"/>
              </w:rPr>
              <w:t>DN732590</w:t>
            </w:r>
          </w:p>
          <w:p w14:paraId="605A1A26" w14:textId="30C29CAB" w:rsidR="004C3CEC" w:rsidRPr="00F54884" w:rsidRDefault="004C3CEC" w:rsidP="004C3CEC">
            <w:pPr>
              <w:rPr>
                <w:rFonts w:ascii="Arial" w:hAnsi="Arial" w:cs="Arial"/>
                <w:highlight w:val="red"/>
              </w:rPr>
            </w:pPr>
          </w:p>
        </w:tc>
      </w:tr>
      <w:tr w:rsidR="0067622B" w:rsidRPr="00D05A8B" w14:paraId="146C48B8" w14:textId="77777777" w:rsidTr="11AEF32D">
        <w:trPr>
          <w:trHeight w:val="1245"/>
        </w:trPr>
        <w:tc>
          <w:tcPr>
            <w:tcW w:w="4621" w:type="dxa"/>
          </w:tcPr>
          <w:p w14:paraId="10FF5046" w14:textId="77777777" w:rsidR="0067622B" w:rsidRPr="00D05A8B" w:rsidRDefault="0067622B" w:rsidP="1D859375">
            <w:pPr>
              <w:jc w:val="center"/>
              <w:rPr>
                <w:rFonts w:ascii="Arial" w:hAnsi="Arial" w:cs="Arial"/>
                <w:b/>
                <w:bCs/>
              </w:rPr>
            </w:pPr>
            <w:r w:rsidRPr="1D859375">
              <w:rPr>
                <w:rFonts w:ascii="Arial" w:hAnsi="Arial" w:cs="Arial"/>
                <w:b/>
                <w:bCs/>
              </w:rPr>
              <w:t>TENDER RETURN DEADLINE</w:t>
            </w:r>
          </w:p>
        </w:tc>
        <w:tc>
          <w:tcPr>
            <w:tcW w:w="4621" w:type="dxa"/>
          </w:tcPr>
          <w:p w14:paraId="3BEE76A9" w14:textId="77777777" w:rsidR="007E3FF4" w:rsidRPr="004E63E3" w:rsidRDefault="007E3FF4" w:rsidP="00D3090F">
            <w:pPr>
              <w:rPr>
                <w:rFonts w:ascii="Arial" w:hAnsi="Arial" w:cs="Arial"/>
              </w:rPr>
            </w:pPr>
          </w:p>
          <w:p w14:paraId="630B7C30" w14:textId="3C57D3EB" w:rsidR="7E78F638" w:rsidRDefault="00CC311C" w:rsidP="11AEF32D">
            <w:pPr>
              <w:spacing w:after="200" w:line="276" w:lineRule="auto"/>
              <w:rPr>
                <w:rFonts w:ascii="Arial" w:hAnsi="Arial" w:cs="Arial"/>
              </w:rPr>
            </w:pPr>
            <w:r>
              <w:rPr>
                <w:rFonts w:ascii="Arial" w:hAnsi="Arial" w:cs="Arial"/>
              </w:rPr>
              <w:t xml:space="preserve">August </w:t>
            </w:r>
            <w:r w:rsidR="00EE53F8">
              <w:rPr>
                <w:rFonts w:ascii="Arial" w:hAnsi="Arial" w:cs="Arial"/>
              </w:rPr>
              <w:t>2</w:t>
            </w:r>
            <w:r w:rsidR="00EE53F8" w:rsidRPr="00EE53F8">
              <w:rPr>
                <w:rFonts w:ascii="Arial" w:hAnsi="Arial" w:cs="Arial"/>
                <w:vertAlign w:val="superscript"/>
              </w:rPr>
              <w:t>nd</w:t>
            </w:r>
            <w:proofErr w:type="gramStart"/>
            <w:r w:rsidR="00E4390F">
              <w:rPr>
                <w:rFonts w:ascii="Arial" w:hAnsi="Arial" w:cs="Arial"/>
              </w:rPr>
              <w:t xml:space="preserve"> </w:t>
            </w:r>
            <w:r w:rsidR="7E78F638" w:rsidRPr="11AEF32D">
              <w:rPr>
                <w:rFonts w:ascii="Arial" w:hAnsi="Arial" w:cs="Arial"/>
              </w:rPr>
              <w:t>2024</w:t>
            </w:r>
            <w:proofErr w:type="gramEnd"/>
          </w:p>
          <w:p w14:paraId="69AC5CAD" w14:textId="56360A7B" w:rsidR="004E63E3" w:rsidRPr="004E63E3" w:rsidRDefault="004E63E3" w:rsidP="00D3090F">
            <w:pPr>
              <w:rPr>
                <w:rFonts w:ascii="Arial" w:hAnsi="Arial" w:cs="Arial"/>
              </w:rPr>
            </w:pPr>
          </w:p>
        </w:tc>
      </w:tr>
    </w:tbl>
    <w:p w14:paraId="192E7597" w14:textId="77777777" w:rsidR="0067622B" w:rsidRPr="00D05A8B" w:rsidRDefault="0067622B" w:rsidP="0067622B">
      <w:pPr>
        <w:jc w:val="center"/>
        <w:rPr>
          <w:rFonts w:ascii="Arial" w:hAnsi="Arial" w:cs="Arial"/>
          <w:b/>
        </w:rPr>
      </w:pPr>
    </w:p>
    <w:p w14:paraId="2661E4EB" w14:textId="77777777" w:rsidR="0067622B" w:rsidRPr="00D05A8B" w:rsidRDefault="0067622B" w:rsidP="0067622B">
      <w:pPr>
        <w:jc w:val="center"/>
        <w:rPr>
          <w:rFonts w:ascii="Arial" w:hAnsi="Arial" w:cs="Arial"/>
          <w:b/>
        </w:rPr>
      </w:pPr>
    </w:p>
    <w:p w14:paraId="1497D4A7" w14:textId="77777777" w:rsidR="005B7D32" w:rsidRPr="00D05A8B" w:rsidRDefault="005B7D32">
      <w:pPr>
        <w:rPr>
          <w:rFonts w:ascii="Arial" w:hAnsi="Arial" w:cs="Arial"/>
          <w:b/>
          <w:bCs/>
          <w:u w:val="single"/>
        </w:rPr>
      </w:pPr>
      <w:r w:rsidRPr="00D05A8B">
        <w:rPr>
          <w:rFonts w:ascii="Arial" w:hAnsi="Arial" w:cs="Arial"/>
          <w:b/>
          <w:bCs/>
          <w:u w:val="single"/>
        </w:rPr>
        <w:br w:type="page"/>
      </w:r>
    </w:p>
    <w:p w14:paraId="1FC5D6DF" w14:textId="77777777" w:rsidR="00E127D6" w:rsidRPr="00D05A8B" w:rsidRDefault="00E127D6" w:rsidP="000A3BA3">
      <w:pPr>
        <w:rPr>
          <w:rFonts w:ascii="Arial" w:hAnsi="Arial" w:cs="Arial"/>
          <w:b/>
          <w:bCs/>
          <w:u w:val="single"/>
        </w:rPr>
      </w:pPr>
      <w:r w:rsidRPr="00D05A8B">
        <w:rPr>
          <w:rFonts w:ascii="Arial" w:hAnsi="Arial" w:cs="Arial"/>
          <w:b/>
          <w:bCs/>
          <w:u w:val="single"/>
        </w:rPr>
        <w:lastRenderedPageBreak/>
        <w:t>CONTENTS</w:t>
      </w:r>
    </w:p>
    <w:p w14:paraId="03D0F871" w14:textId="77777777" w:rsidR="00E127D6" w:rsidRPr="00D05A8B" w:rsidRDefault="00956B9F" w:rsidP="002D2D9A">
      <w:pPr>
        <w:pStyle w:val="ListParagraph"/>
        <w:numPr>
          <w:ilvl w:val="0"/>
          <w:numId w:val="4"/>
        </w:numPr>
        <w:ind w:left="567" w:hanging="567"/>
        <w:rPr>
          <w:rFonts w:ascii="Arial" w:hAnsi="Arial" w:cs="Arial"/>
          <w:b/>
          <w:bCs/>
        </w:rPr>
      </w:pPr>
      <w:r>
        <w:rPr>
          <w:rFonts w:ascii="Arial" w:hAnsi="Arial" w:cs="Arial"/>
          <w:b/>
          <w:bCs/>
        </w:rPr>
        <w:t xml:space="preserve">SUMMARY </w:t>
      </w:r>
      <w:r w:rsidR="00E127D6" w:rsidRPr="00D05A8B">
        <w:rPr>
          <w:rFonts w:ascii="Arial" w:hAnsi="Arial" w:cs="Arial"/>
          <w:b/>
          <w:bCs/>
        </w:rPr>
        <w:t>INSTRUCTIONS AND DETAILS OF CONTRACT</w:t>
      </w:r>
    </w:p>
    <w:p w14:paraId="02D7A8D9" w14:textId="77777777" w:rsidR="00E127D6" w:rsidRPr="00D05A8B" w:rsidRDefault="00E127D6" w:rsidP="002D2D9A">
      <w:pPr>
        <w:pStyle w:val="ListParagraph"/>
        <w:numPr>
          <w:ilvl w:val="0"/>
          <w:numId w:val="4"/>
        </w:numPr>
        <w:ind w:left="567" w:hanging="567"/>
        <w:rPr>
          <w:rFonts w:ascii="Arial" w:hAnsi="Arial" w:cs="Arial"/>
          <w:b/>
          <w:bCs/>
        </w:rPr>
      </w:pPr>
      <w:r w:rsidRPr="00D05A8B">
        <w:rPr>
          <w:rFonts w:ascii="Arial" w:hAnsi="Arial" w:cs="Arial"/>
          <w:b/>
          <w:bCs/>
        </w:rPr>
        <w:t>IMPORTANT NOTICE</w:t>
      </w:r>
    </w:p>
    <w:p w14:paraId="26753D3D" w14:textId="77777777" w:rsidR="00E127D6" w:rsidRPr="00D05A8B" w:rsidRDefault="00E127D6" w:rsidP="002D2D9A">
      <w:pPr>
        <w:pStyle w:val="ListParagraph"/>
        <w:numPr>
          <w:ilvl w:val="0"/>
          <w:numId w:val="4"/>
        </w:numPr>
        <w:ind w:left="567" w:hanging="567"/>
        <w:rPr>
          <w:rFonts w:ascii="Arial" w:hAnsi="Arial" w:cs="Arial"/>
          <w:b/>
          <w:bCs/>
        </w:rPr>
      </w:pPr>
      <w:r w:rsidRPr="00D05A8B">
        <w:rPr>
          <w:rFonts w:ascii="Arial" w:hAnsi="Arial" w:cs="Arial"/>
          <w:b/>
          <w:bCs/>
        </w:rPr>
        <w:t>I</w:t>
      </w:r>
      <w:r w:rsidR="009220A5">
        <w:rPr>
          <w:rFonts w:ascii="Arial" w:hAnsi="Arial" w:cs="Arial"/>
          <w:b/>
          <w:bCs/>
        </w:rPr>
        <w:t>MPORTANT INFORMATION FOR TENDERERS</w:t>
      </w:r>
    </w:p>
    <w:p w14:paraId="7ABB0DAC" w14:textId="77777777" w:rsidR="00E127D6" w:rsidRPr="00D05A8B" w:rsidRDefault="00E127D6" w:rsidP="002D2D9A">
      <w:pPr>
        <w:pStyle w:val="ListParagraph"/>
        <w:numPr>
          <w:ilvl w:val="0"/>
          <w:numId w:val="4"/>
        </w:numPr>
        <w:ind w:left="567" w:hanging="567"/>
        <w:rPr>
          <w:rFonts w:ascii="Arial" w:hAnsi="Arial" w:cs="Arial"/>
          <w:b/>
          <w:bCs/>
        </w:rPr>
      </w:pPr>
      <w:r w:rsidRPr="00D05A8B">
        <w:rPr>
          <w:rFonts w:ascii="Arial" w:hAnsi="Arial" w:cs="Arial"/>
          <w:b/>
          <w:bCs/>
        </w:rPr>
        <w:t>TIMETABLE</w:t>
      </w:r>
    </w:p>
    <w:p w14:paraId="75087F62" w14:textId="77777777" w:rsidR="00E127D6" w:rsidRPr="00D05A8B" w:rsidRDefault="009220A5" w:rsidP="002D2D9A">
      <w:pPr>
        <w:pStyle w:val="ListParagraph"/>
        <w:numPr>
          <w:ilvl w:val="0"/>
          <w:numId w:val="4"/>
        </w:numPr>
        <w:ind w:left="567" w:hanging="567"/>
        <w:rPr>
          <w:rFonts w:ascii="Arial" w:hAnsi="Arial" w:cs="Arial"/>
          <w:b/>
          <w:bCs/>
          <w:u w:val="single"/>
        </w:rPr>
      </w:pPr>
      <w:r>
        <w:rPr>
          <w:rFonts w:ascii="Arial" w:hAnsi="Arial" w:cs="Arial"/>
          <w:b/>
        </w:rPr>
        <w:t>TENDERERS QUERIES</w:t>
      </w:r>
      <w:r w:rsidRPr="00D05A8B">
        <w:rPr>
          <w:rFonts w:ascii="Arial" w:hAnsi="Arial" w:cs="Arial"/>
          <w:b/>
        </w:rPr>
        <w:t xml:space="preserve"> </w:t>
      </w:r>
      <w:r w:rsidR="00E127D6" w:rsidRPr="00D05A8B">
        <w:rPr>
          <w:rFonts w:ascii="Arial" w:hAnsi="Arial" w:cs="Arial"/>
          <w:b/>
        </w:rPr>
        <w:t>DURING THE PROCESS</w:t>
      </w:r>
    </w:p>
    <w:p w14:paraId="620BD533" w14:textId="77777777" w:rsidR="00E127D6" w:rsidRPr="00D05A8B" w:rsidRDefault="00E127D6" w:rsidP="002D2D9A">
      <w:pPr>
        <w:pStyle w:val="ListParagraph"/>
        <w:numPr>
          <w:ilvl w:val="0"/>
          <w:numId w:val="4"/>
        </w:numPr>
        <w:ind w:left="567" w:hanging="567"/>
        <w:rPr>
          <w:rFonts w:ascii="Arial" w:hAnsi="Arial" w:cs="Arial"/>
          <w:b/>
        </w:rPr>
      </w:pPr>
      <w:r w:rsidRPr="00D05A8B">
        <w:rPr>
          <w:rFonts w:ascii="Arial" w:hAnsi="Arial" w:cs="Arial"/>
          <w:b/>
        </w:rPr>
        <w:t>TENDER SUBMISSION REQUIREMENTS</w:t>
      </w:r>
    </w:p>
    <w:p w14:paraId="7AFEF671" w14:textId="77777777" w:rsidR="00E127D6" w:rsidRPr="00D05A8B" w:rsidRDefault="00E127D6" w:rsidP="002D2D9A">
      <w:pPr>
        <w:pStyle w:val="ListParagraph"/>
        <w:numPr>
          <w:ilvl w:val="0"/>
          <w:numId w:val="4"/>
        </w:numPr>
        <w:ind w:left="567" w:hanging="567"/>
        <w:rPr>
          <w:rFonts w:ascii="Arial" w:hAnsi="Arial" w:cs="Arial"/>
          <w:b/>
        </w:rPr>
      </w:pPr>
      <w:r w:rsidRPr="00D05A8B">
        <w:rPr>
          <w:rFonts w:ascii="Arial" w:hAnsi="Arial" w:cs="Arial"/>
          <w:b/>
        </w:rPr>
        <w:t>SUBCONTRACTING AND CONSORTI</w:t>
      </w:r>
      <w:r w:rsidR="00956B9F">
        <w:rPr>
          <w:rFonts w:ascii="Arial" w:hAnsi="Arial" w:cs="Arial"/>
          <w:b/>
        </w:rPr>
        <w:t>U</w:t>
      </w:r>
      <w:r w:rsidRPr="00D05A8B">
        <w:rPr>
          <w:rFonts w:ascii="Arial" w:hAnsi="Arial" w:cs="Arial"/>
          <w:b/>
        </w:rPr>
        <w:t>M BID REQUIR</w:t>
      </w:r>
      <w:r w:rsidR="00956B9F">
        <w:rPr>
          <w:rFonts w:ascii="Arial" w:hAnsi="Arial" w:cs="Arial"/>
          <w:b/>
        </w:rPr>
        <w:t>E</w:t>
      </w:r>
      <w:r w:rsidRPr="00D05A8B">
        <w:rPr>
          <w:rFonts w:ascii="Arial" w:hAnsi="Arial" w:cs="Arial"/>
          <w:b/>
        </w:rPr>
        <w:t>MENTS</w:t>
      </w:r>
    </w:p>
    <w:p w14:paraId="224142FD" w14:textId="77777777" w:rsidR="00A74B6D" w:rsidRPr="00D05A8B" w:rsidRDefault="00A74B6D" w:rsidP="002D2D9A">
      <w:pPr>
        <w:pStyle w:val="ListParagraph"/>
        <w:numPr>
          <w:ilvl w:val="0"/>
          <w:numId w:val="4"/>
        </w:numPr>
        <w:ind w:left="567" w:hanging="567"/>
        <w:rPr>
          <w:rFonts w:ascii="Arial" w:hAnsi="Arial" w:cs="Arial"/>
          <w:b/>
        </w:rPr>
      </w:pPr>
      <w:r w:rsidRPr="00D05A8B">
        <w:rPr>
          <w:rFonts w:ascii="Arial" w:hAnsi="Arial" w:cs="Arial"/>
          <w:b/>
        </w:rPr>
        <w:t>TENDER CONDUCT AND CONFLICTS OF INTEREST</w:t>
      </w:r>
    </w:p>
    <w:p w14:paraId="3CB3BA27" w14:textId="77777777" w:rsidR="00A74B6D" w:rsidRPr="00D05A8B" w:rsidRDefault="00A74B6D" w:rsidP="002D2D9A">
      <w:pPr>
        <w:pStyle w:val="ListParagraph"/>
        <w:numPr>
          <w:ilvl w:val="0"/>
          <w:numId w:val="4"/>
        </w:numPr>
        <w:ind w:left="567" w:hanging="567"/>
        <w:rPr>
          <w:rFonts w:ascii="Arial" w:hAnsi="Arial" w:cs="Arial"/>
          <w:b/>
        </w:rPr>
      </w:pPr>
      <w:r w:rsidRPr="00D05A8B">
        <w:rPr>
          <w:rFonts w:ascii="Arial" w:hAnsi="Arial" w:cs="Arial"/>
          <w:b/>
        </w:rPr>
        <w:t>CONTRACT TERMS</w:t>
      </w:r>
    </w:p>
    <w:p w14:paraId="55F946A1" w14:textId="77777777" w:rsidR="00A74B6D" w:rsidRPr="00D05A8B" w:rsidRDefault="00A74B6D" w:rsidP="002D2D9A">
      <w:pPr>
        <w:pStyle w:val="ListParagraph"/>
        <w:numPr>
          <w:ilvl w:val="0"/>
          <w:numId w:val="4"/>
        </w:numPr>
        <w:ind w:left="567" w:hanging="567"/>
        <w:rPr>
          <w:rFonts w:ascii="Arial" w:hAnsi="Arial" w:cs="Arial"/>
          <w:b/>
        </w:rPr>
      </w:pPr>
      <w:r w:rsidRPr="00D05A8B">
        <w:rPr>
          <w:rFonts w:ascii="Arial" w:hAnsi="Arial" w:cs="Arial"/>
          <w:b/>
        </w:rPr>
        <w:t>FREEDOM OF INFORMATION ACT AND ENVIRONMENTAL INFORMATION STATEMENT</w:t>
      </w:r>
    </w:p>
    <w:p w14:paraId="57176DDF" w14:textId="77777777" w:rsidR="00E127D6" w:rsidRPr="00D05A8B" w:rsidRDefault="00A74B6D" w:rsidP="002D2D9A">
      <w:pPr>
        <w:pStyle w:val="ListParagraph"/>
        <w:numPr>
          <w:ilvl w:val="0"/>
          <w:numId w:val="4"/>
        </w:numPr>
        <w:ind w:left="567" w:hanging="567"/>
        <w:rPr>
          <w:rFonts w:ascii="Arial" w:hAnsi="Arial" w:cs="Arial"/>
          <w:b/>
          <w:bCs/>
          <w:u w:val="single"/>
        </w:rPr>
      </w:pPr>
      <w:r w:rsidRPr="00D05A8B">
        <w:rPr>
          <w:rFonts w:ascii="Arial" w:hAnsi="Arial" w:cs="Arial"/>
          <w:b/>
        </w:rPr>
        <w:t>EQUALITY AND DIVERSITY</w:t>
      </w:r>
    </w:p>
    <w:p w14:paraId="38DEE69E" w14:textId="521DC8CA" w:rsidR="00A74B6D" w:rsidRPr="003C05F9" w:rsidRDefault="00956B9F" w:rsidP="002D2D9A">
      <w:pPr>
        <w:pStyle w:val="ListParagraph"/>
        <w:numPr>
          <w:ilvl w:val="0"/>
          <w:numId w:val="4"/>
        </w:numPr>
        <w:ind w:left="567" w:hanging="567"/>
        <w:rPr>
          <w:rFonts w:ascii="Arial" w:hAnsi="Arial" w:cs="Arial"/>
          <w:b/>
          <w:bCs/>
          <w:u w:val="single"/>
        </w:rPr>
      </w:pPr>
      <w:r w:rsidRPr="003C05F9">
        <w:rPr>
          <w:rFonts w:ascii="Arial" w:hAnsi="Arial" w:cs="Arial"/>
          <w:b/>
        </w:rPr>
        <w:t>SUITABILITY</w:t>
      </w:r>
      <w:r w:rsidR="00A740D0" w:rsidRPr="003C05F9">
        <w:rPr>
          <w:rFonts w:ascii="Arial" w:hAnsi="Arial" w:cs="Arial"/>
          <w:b/>
        </w:rPr>
        <w:t xml:space="preserve"> ASSESSMENT</w:t>
      </w:r>
      <w:r w:rsidR="00E64159" w:rsidRPr="003C05F9">
        <w:rPr>
          <w:rFonts w:ascii="Arial" w:hAnsi="Arial" w:cs="Arial"/>
          <w:b/>
        </w:rPr>
        <w:t xml:space="preserve"> EVALUATION</w:t>
      </w:r>
    </w:p>
    <w:p w14:paraId="5A4216BC" w14:textId="77777777" w:rsidR="009B17A4" w:rsidRPr="003C05F9" w:rsidRDefault="009B17A4" w:rsidP="002D2D9A">
      <w:pPr>
        <w:pStyle w:val="ListParagraph"/>
        <w:numPr>
          <w:ilvl w:val="0"/>
          <w:numId w:val="4"/>
        </w:numPr>
        <w:ind w:left="567" w:hanging="567"/>
        <w:rPr>
          <w:rFonts w:ascii="Arial" w:hAnsi="Arial" w:cs="Arial"/>
          <w:b/>
          <w:bCs/>
          <w:u w:val="single"/>
        </w:rPr>
      </w:pPr>
      <w:r w:rsidRPr="003C05F9">
        <w:rPr>
          <w:rFonts w:ascii="Arial" w:hAnsi="Arial" w:cs="Arial"/>
          <w:b/>
        </w:rPr>
        <w:t>TENDER EVALUATION</w:t>
      </w:r>
    </w:p>
    <w:p w14:paraId="346F143F" w14:textId="77777777" w:rsidR="00E64159" w:rsidRPr="003C05F9" w:rsidRDefault="00E64159" w:rsidP="002D2D9A">
      <w:pPr>
        <w:pStyle w:val="ListParagraph"/>
        <w:numPr>
          <w:ilvl w:val="0"/>
          <w:numId w:val="4"/>
        </w:numPr>
        <w:ind w:left="567" w:hanging="567"/>
        <w:rPr>
          <w:rFonts w:ascii="Arial" w:hAnsi="Arial" w:cs="Arial"/>
          <w:b/>
        </w:rPr>
      </w:pPr>
      <w:r w:rsidRPr="003C05F9">
        <w:rPr>
          <w:rFonts w:ascii="Arial" w:hAnsi="Arial" w:cs="Arial"/>
          <w:b/>
        </w:rPr>
        <w:t xml:space="preserve">TENDER </w:t>
      </w:r>
      <w:r w:rsidR="00956B9F" w:rsidRPr="003C05F9">
        <w:rPr>
          <w:rFonts w:ascii="Arial" w:hAnsi="Arial" w:cs="Arial"/>
          <w:b/>
        </w:rPr>
        <w:t>AWARD CRITERIA</w:t>
      </w:r>
    </w:p>
    <w:p w14:paraId="24688895" w14:textId="77777777" w:rsidR="007873D0" w:rsidRPr="003C05F9" w:rsidRDefault="00991784" w:rsidP="002D2D9A">
      <w:pPr>
        <w:pStyle w:val="ListParagraph"/>
        <w:numPr>
          <w:ilvl w:val="0"/>
          <w:numId w:val="4"/>
        </w:numPr>
        <w:ind w:left="567" w:hanging="567"/>
        <w:rPr>
          <w:rFonts w:ascii="Arial" w:hAnsi="Arial" w:cs="Arial"/>
          <w:b/>
          <w:bCs/>
          <w:u w:val="single"/>
        </w:rPr>
      </w:pPr>
      <w:r w:rsidRPr="003C05F9">
        <w:rPr>
          <w:rFonts w:ascii="Arial" w:hAnsi="Arial" w:cs="Arial"/>
          <w:b/>
        </w:rPr>
        <w:t xml:space="preserve">SCORING </w:t>
      </w:r>
      <w:r w:rsidR="00E64159" w:rsidRPr="003C05F9">
        <w:rPr>
          <w:rFonts w:ascii="Arial" w:hAnsi="Arial" w:cs="Arial"/>
          <w:b/>
        </w:rPr>
        <w:t>METHODOLOGY</w:t>
      </w:r>
    </w:p>
    <w:p w14:paraId="594C91D8" w14:textId="77777777" w:rsidR="007873D0" w:rsidRPr="003C05F9" w:rsidRDefault="007873D0" w:rsidP="002D2D9A">
      <w:pPr>
        <w:pStyle w:val="ListParagraph"/>
        <w:numPr>
          <w:ilvl w:val="0"/>
          <w:numId w:val="4"/>
        </w:numPr>
        <w:ind w:left="567" w:hanging="567"/>
        <w:rPr>
          <w:rFonts w:ascii="Arial" w:hAnsi="Arial" w:cs="Arial"/>
          <w:b/>
          <w:bCs/>
          <w:u w:val="single"/>
        </w:rPr>
      </w:pPr>
      <w:r w:rsidRPr="003C05F9">
        <w:rPr>
          <w:rFonts w:ascii="Arial" w:hAnsi="Arial" w:cs="Arial"/>
          <w:b/>
        </w:rPr>
        <w:t xml:space="preserve">DEMONSTRATIONS, SITE VISITS AND </w:t>
      </w:r>
      <w:r w:rsidR="00956B9F" w:rsidRPr="003C05F9">
        <w:rPr>
          <w:rFonts w:ascii="Arial" w:hAnsi="Arial" w:cs="Arial"/>
          <w:b/>
        </w:rPr>
        <w:t>CLARIFICATION MEETINGS</w:t>
      </w:r>
    </w:p>
    <w:p w14:paraId="698403E0" w14:textId="77777777" w:rsidR="00E64159" w:rsidRPr="003C05F9" w:rsidRDefault="00E64159" w:rsidP="002D2D9A">
      <w:pPr>
        <w:pStyle w:val="ListParagraph"/>
        <w:numPr>
          <w:ilvl w:val="0"/>
          <w:numId w:val="4"/>
        </w:numPr>
        <w:ind w:left="567" w:hanging="567"/>
        <w:rPr>
          <w:rFonts w:ascii="Arial" w:hAnsi="Arial" w:cs="Arial"/>
          <w:b/>
          <w:bCs/>
        </w:rPr>
      </w:pPr>
      <w:r w:rsidRPr="003C05F9">
        <w:rPr>
          <w:rFonts w:ascii="Arial" w:hAnsi="Arial" w:cs="Arial"/>
          <w:b/>
        </w:rPr>
        <w:t>CONTRACT AWARD</w:t>
      </w:r>
    </w:p>
    <w:p w14:paraId="6FD8AE4A" w14:textId="00DF2143" w:rsidR="00B840BE" w:rsidRPr="00914871" w:rsidRDefault="000E3BB5" w:rsidP="00D0201D">
      <w:pPr>
        <w:pStyle w:val="ListParagraph"/>
        <w:numPr>
          <w:ilvl w:val="0"/>
          <w:numId w:val="4"/>
        </w:numPr>
        <w:ind w:left="567" w:hanging="567"/>
        <w:rPr>
          <w:rFonts w:ascii="Arial" w:hAnsi="Arial" w:cs="Arial"/>
          <w:b/>
          <w:bCs/>
        </w:rPr>
      </w:pPr>
      <w:r w:rsidRPr="003C05F9">
        <w:rPr>
          <w:rFonts w:ascii="Arial" w:hAnsi="Arial" w:cs="Arial"/>
          <w:b/>
        </w:rPr>
        <w:t xml:space="preserve">NOTIFICATION OF AWARD </w:t>
      </w:r>
    </w:p>
    <w:p w14:paraId="0B76BFB1" w14:textId="77777777" w:rsidR="00914871" w:rsidRDefault="00914871" w:rsidP="00914871">
      <w:pPr>
        <w:rPr>
          <w:rFonts w:ascii="Arial" w:hAnsi="Arial" w:cs="Arial"/>
          <w:b/>
          <w:bCs/>
        </w:rPr>
      </w:pPr>
      <w:r w:rsidRPr="67E59EC3">
        <w:rPr>
          <w:rFonts w:ascii="Arial" w:hAnsi="Arial" w:cs="Arial"/>
          <w:b/>
          <w:bCs/>
        </w:rPr>
        <w:t>Further documents:</w:t>
      </w:r>
    </w:p>
    <w:p w14:paraId="65A4ABE9" w14:textId="77777777" w:rsidR="00914871" w:rsidRPr="003C05F9" w:rsidRDefault="00914871" w:rsidP="00914871">
      <w:pPr>
        <w:pStyle w:val="ListParagraph"/>
        <w:numPr>
          <w:ilvl w:val="0"/>
          <w:numId w:val="23"/>
        </w:numPr>
        <w:rPr>
          <w:rFonts w:ascii="Arial" w:hAnsi="Arial" w:cs="Arial"/>
          <w:b/>
          <w:bCs/>
        </w:rPr>
      </w:pPr>
      <w:r w:rsidRPr="67E59EC3">
        <w:rPr>
          <w:rFonts w:ascii="Arial" w:hAnsi="Arial" w:cs="Arial"/>
          <w:b/>
          <w:bCs/>
        </w:rPr>
        <w:t xml:space="preserve">ITT SCHEDULE 1 – SUITABILITY ASSESSMENT </w:t>
      </w:r>
    </w:p>
    <w:p w14:paraId="7963F5D6"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ITT SCHEDULE 2 – SPECIFICATION</w:t>
      </w:r>
    </w:p>
    <w:p w14:paraId="0ADB1E0A"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ITT SCHEDULE 3 – FORM OF TENDER</w:t>
      </w:r>
    </w:p>
    <w:p w14:paraId="131C0C86"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ITT SCHEDULE 4 – CERTIFICATE OF NON-COLLUSION AND NON-CANVASSING</w:t>
      </w:r>
    </w:p>
    <w:p w14:paraId="36192E92" w14:textId="653230F2" w:rsidR="00914871" w:rsidRDefault="00914871" w:rsidP="00914871">
      <w:pPr>
        <w:pStyle w:val="ListParagraph"/>
        <w:numPr>
          <w:ilvl w:val="0"/>
          <w:numId w:val="23"/>
        </w:numPr>
        <w:rPr>
          <w:rFonts w:ascii="Arial" w:hAnsi="Arial" w:cs="Arial"/>
          <w:b/>
          <w:bCs/>
        </w:rPr>
      </w:pPr>
      <w:r w:rsidRPr="67E59EC3">
        <w:rPr>
          <w:rFonts w:ascii="Arial" w:hAnsi="Arial" w:cs="Arial"/>
          <w:b/>
          <w:bCs/>
        </w:rPr>
        <w:t xml:space="preserve">ITT SCHEDULE 5 – </w:t>
      </w:r>
      <w:r w:rsidR="00812CB0" w:rsidRPr="00812CB0">
        <w:rPr>
          <w:rFonts w:ascii="Arial" w:hAnsi="Arial" w:cs="Arial"/>
          <w:b/>
          <w:bCs/>
        </w:rPr>
        <w:t>TENDER RESPONSE DOCUMENT</w:t>
      </w:r>
    </w:p>
    <w:p w14:paraId="7F1C7239" w14:textId="4589DC89" w:rsidR="00914871" w:rsidRPr="00D05A8B" w:rsidRDefault="00914871" w:rsidP="00914871">
      <w:pPr>
        <w:pStyle w:val="ListParagraph"/>
        <w:numPr>
          <w:ilvl w:val="0"/>
          <w:numId w:val="23"/>
        </w:numPr>
        <w:rPr>
          <w:rFonts w:ascii="Arial" w:hAnsi="Arial" w:cs="Arial"/>
          <w:b/>
          <w:bCs/>
        </w:rPr>
      </w:pPr>
      <w:r w:rsidRPr="457111FC">
        <w:rPr>
          <w:rFonts w:ascii="Arial" w:hAnsi="Arial" w:cs="Arial"/>
          <w:b/>
          <w:bCs/>
        </w:rPr>
        <w:t xml:space="preserve">ITT SCHEDULE 6 – </w:t>
      </w:r>
      <w:r w:rsidR="00770CF8" w:rsidRPr="00770CF8">
        <w:rPr>
          <w:rFonts w:ascii="Arial" w:hAnsi="Arial" w:cs="Arial"/>
          <w:b/>
          <w:bCs/>
        </w:rPr>
        <w:t>Window &amp; Ext Door Pricing Schedule</w:t>
      </w:r>
    </w:p>
    <w:p w14:paraId="5947BE32" w14:textId="08266E86" w:rsidR="01349133" w:rsidRDefault="01349133" w:rsidP="457111FC">
      <w:pPr>
        <w:pStyle w:val="ListParagraph"/>
        <w:rPr>
          <w:rFonts w:ascii="Arial" w:hAnsi="Arial" w:cs="Arial"/>
          <w:b/>
          <w:bCs/>
        </w:rPr>
      </w:pPr>
      <w:r w:rsidRPr="457111FC">
        <w:rPr>
          <w:rFonts w:ascii="Arial" w:hAnsi="Arial" w:cs="Arial"/>
          <w:b/>
          <w:bCs/>
        </w:rPr>
        <w:t>ITT SCHEDULE 6.1 ATTENDANCES</w:t>
      </w:r>
    </w:p>
    <w:p w14:paraId="0156F716" w14:textId="60B1E5D5"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 xml:space="preserve">ITT SCHEDULE 7 – </w:t>
      </w:r>
      <w:r w:rsidR="003B36EF" w:rsidRPr="003B36EF">
        <w:rPr>
          <w:rFonts w:ascii="Arial" w:hAnsi="Arial" w:cs="Arial"/>
          <w:b/>
          <w:bCs/>
        </w:rPr>
        <w:t>COMMERCIALLY SENSITIVE INFORMATION V1</w:t>
      </w:r>
    </w:p>
    <w:p w14:paraId="0051BC92"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ITT SCHEDULE 8 – ASCENT HOMES TERMS OF ENGAGEMENT</w:t>
      </w:r>
    </w:p>
    <w:p w14:paraId="5ABBDBA5" w14:textId="77777777" w:rsidR="00914871" w:rsidRPr="00D05A8B" w:rsidRDefault="00914871" w:rsidP="00914871">
      <w:pPr>
        <w:pStyle w:val="ListParagraph"/>
        <w:numPr>
          <w:ilvl w:val="0"/>
          <w:numId w:val="23"/>
        </w:numPr>
        <w:rPr>
          <w:rFonts w:ascii="Arial" w:hAnsi="Arial" w:cs="Arial"/>
          <w:b/>
          <w:bCs/>
        </w:rPr>
      </w:pPr>
      <w:r w:rsidRPr="45A5FCC6">
        <w:rPr>
          <w:rFonts w:ascii="Arial" w:hAnsi="Arial" w:cs="Arial"/>
          <w:b/>
          <w:bCs/>
        </w:rPr>
        <w:t>ITT SCHEDULE 9 - SUBCONTRACT PAYMENT SCHEDULE- STANDARD TERMS</w:t>
      </w:r>
    </w:p>
    <w:p w14:paraId="73E62D87" w14:textId="77777777" w:rsidR="00914871" w:rsidRPr="00D05A8B" w:rsidRDefault="00914871" w:rsidP="00914871">
      <w:pPr>
        <w:pStyle w:val="ListParagraph"/>
        <w:numPr>
          <w:ilvl w:val="0"/>
          <w:numId w:val="23"/>
        </w:numPr>
        <w:rPr>
          <w:rFonts w:ascii="Arial" w:hAnsi="Arial" w:cs="Arial"/>
          <w:b/>
          <w:bCs/>
        </w:rPr>
      </w:pPr>
      <w:r w:rsidRPr="45A5FCC6">
        <w:rPr>
          <w:rFonts w:ascii="Arial" w:hAnsi="Arial" w:cs="Arial"/>
          <w:b/>
          <w:bCs/>
        </w:rPr>
        <w:t>NHBC Standards Chapter 9</w:t>
      </w:r>
    </w:p>
    <w:p w14:paraId="606D8DA6"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 xml:space="preserve">Subcontractors </w:t>
      </w:r>
      <w:proofErr w:type="spellStart"/>
      <w:r w:rsidRPr="67E59EC3">
        <w:rPr>
          <w:rFonts w:ascii="Arial" w:hAnsi="Arial" w:cs="Arial"/>
          <w:b/>
          <w:bCs/>
        </w:rPr>
        <w:t>Clixifix</w:t>
      </w:r>
      <w:proofErr w:type="spellEnd"/>
    </w:p>
    <w:p w14:paraId="65E01203"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Viewpoint Information</w:t>
      </w:r>
    </w:p>
    <w:p w14:paraId="601FEED4"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Viewpoint Consultant, Sub-Contractor and Supplier User Guide</w:t>
      </w:r>
    </w:p>
    <w:p w14:paraId="441A30E1" w14:textId="77777777" w:rsidR="00914871" w:rsidRPr="00D05A8B" w:rsidRDefault="00914871" w:rsidP="00914871">
      <w:pPr>
        <w:pStyle w:val="ListParagraph"/>
        <w:numPr>
          <w:ilvl w:val="0"/>
          <w:numId w:val="23"/>
        </w:numPr>
        <w:rPr>
          <w:rFonts w:ascii="Arial" w:hAnsi="Arial" w:cs="Arial"/>
          <w:b/>
          <w:bCs/>
        </w:rPr>
      </w:pPr>
      <w:r w:rsidRPr="67E59EC3">
        <w:rPr>
          <w:rFonts w:ascii="Arial" w:hAnsi="Arial" w:cs="Arial"/>
          <w:b/>
          <w:bCs/>
        </w:rPr>
        <w:t>Alcohol and substance Misuse Policy</w:t>
      </w:r>
    </w:p>
    <w:p w14:paraId="00F84EEF" w14:textId="26894202" w:rsidR="00914871" w:rsidRPr="00D05A8B" w:rsidRDefault="00B921F4" w:rsidP="00914871">
      <w:pPr>
        <w:pStyle w:val="ListParagraph"/>
        <w:numPr>
          <w:ilvl w:val="0"/>
          <w:numId w:val="23"/>
        </w:numPr>
        <w:rPr>
          <w:rFonts w:ascii="Arial" w:hAnsi="Arial" w:cs="Arial"/>
          <w:b/>
          <w:bCs/>
        </w:rPr>
      </w:pPr>
      <w:r w:rsidRPr="00B921F4">
        <w:rPr>
          <w:rFonts w:ascii="Arial" w:hAnsi="Arial" w:cs="Arial"/>
          <w:b/>
          <w:bCs/>
        </w:rPr>
        <w:t>Lyndon Walk Build Stages 30.05.24</w:t>
      </w:r>
      <w:r w:rsidR="00914871" w:rsidRPr="5C917346">
        <w:rPr>
          <w:rFonts w:ascii="Arial" w:hAnsi="Arial" w:cs="Arial"/>
          <w:b/>
          <w:bCs/>
        </w:rPr>
        <w:t xml:space="preserve"> </w:t>
      </w:r>
    </w:p>
    <w:p w14:paraId="50F8E7B6" w14:textId="77777777" w:rsidR="00914871" w:rsidRPr="00D05A8B" w:rsidRDefault="00914871" w:rsidP="00914871">
      <w:pPr>
        <w:pStyle w:val="ListParagraph"/>
        <w:numPr>
          <w:ilvl w:val="0"/>
          <w:numId w:val="23"/>
        </w:numPr>
        <w:rPr>
          <w:rFonts w:ascii="Arial" w:hAnsi="Arial" w:cs="Arial"/>
          <w:b/>
          <w:bCs/>
        </w:rPr>
      </w:pPr>
      <w:r w:rsidRPr="1BFC718A">
        <w:rPr>
          <w:rFonts w:ascii="Arial" w:hAnsi="Arial" w:cs="Arial"/>
          <w:b/>
          <w:bCs/>
        </w:rPr>
        <w:t xml:space="preserve">Control of Respiratory Infections  </w:t>
      </w:r>
    </w:p>
    <w:p w14:paraId="77DE167E" w14:textId="77777777" w:rsidR="00914871" w:rsidRPr="00914871" w:rsidRDefault="00914871" w:rsidP="00914871">
      <w:pPr>
        <w:pStyle w:val="ListParagraph"/>
        <w:numPr>
          <w:ilvl w:val="0"/>
          <w:numId w:val="23"/>
        </w:numPr>
        <w:rPr>
          <w:rFonts w:ascii="Arial" w:hAnsi="Arial" w:cs="Arial"/>
          <w:b/>
          <w:bCs/>
        </w:rPr>
      </w:pPr>
      <w:r w:rsidRPr="00914871">
        <w:rPr>
          <w:rFonts w:ascii="Arial" w:hAnsi="Arial" w:cs="Arial"/>
          <w:b/>
          <w:bCs/>
        </w:rPr>
        <w:t>Tender Drawings</w:t>
      </w:r>
    </w:p>
    <w:p w14:paraId="1E11E23A" w14:textId="5B495158" w:rsidR="00914871" w:rsidRPr="00914871" w:rsidRDefault="00914871" w:rsidP="00914871">
      <w:pPr>
        <w:pStyle w:val="ListParagraph"/>
        <w:rPr>
          <w:rFonts w:ascii="Arial" w:hAnsi="Arial" w:cs="Arial"/>
          <w:b/>
          <w:bCs/>
        </w:rPr>
      </w:pPr>
    </w:p>
    <w:p w14:paraId="2E87F6C6" w14:textId="77777777" w:rsidR="00914871" w:rsidRPr="00914871" w:rsidRDefault="00914871" w:rsidP="00914871">
      <w:pPr>
        <w:rPr>
          <w:rFonts w:ascii="Arial" w:hAnsi="Arial" w:cs="Arial"/>
          <w:b/>
          <w:bCs/>
        </w:rPr>
      </w:pPr>
    </w:p>
    <w:p w14:paraId="01281EDD" w14:textId="77777777" w:rsidR="00162D51" w:rsidRPr="00D05A8B" w:rsidRDefault="00745F8F" w:rsidP="000A3BA3">
      <w:pPr>
        <w:rPr>
          <w:rFonts w:ascii="Arial" w:hAnsi="Arial" w:cs="Arial"/>
          <w:b/>
          <w:bCs/>
        </w:rPr>
      </w:pPr>
      <w:r w:rsidRPr="00D05A8B">
        <w:rPr>
          <w:rFonts w:ascii="Arial" w:hAnsi="Arial" w:cs="Arial"/>
          <w:b/>
          <w:bCs/>
        </w:rPr>
        <w:lastRenderedPageBreak/>
        <w:br w:type="page"/>
      </w:r>
    </w:p>
    <w:p w14:paraId="7B34B2F6" w14:textId="77777777" w:rsidR="000A3BA3" w:rsidRPr="00653811" w:rsidRDefault="00956B9F" w:rsidP="002D2D9A">
      <w:pPr>
        <w:pStyle w:val="ListParagraph"/>
        <w:numPr>
          <w:ilvl w:val="0"/>
          <w:numId w:val="6"/>
        </w:numPr>
        <w:tabs>
          <w:tab w:val="left" w:pos="709"/>
        </w:tabs>
        <w:ind w:left="709"/>
        <w:rPr>
          <w:rFonts w:ascii="Arial" w:hAnsi="Arial" w:cs="Arial"/>
          <w:b/>
          <w:bCs/>
          <w:u w:val="single"/>
        </w:rPr>
      </w:pPr>
      <w:r w:rsidRPr="00653811">
        <w:rPr>
          <w:rFonts w:ascii="Arial" w:hAnsi="Arial" w:cs="Arial"/>
          <w:b/>
          <w:bCs/>
        </w:rPr>
        <w:lastRenderedPageBreak/>
        <w:t xml:space="preserve">SUMMARY </w:t>
      </w:r>
      <w:r w:rsidR="000A3BA3" w:rsidRPr="00653811">
        <w:rPr>
          <w:rFonts w:ascii="Arial" w:hAnsi="Arial" w:cs="Arial"/>
          <w:b/>
          <w:bCs/>
        </w:rPr>
        <w:t xml:space="preserve">INSTRUCTIONS AND DETAILS OF </w:t>
      </w:r>
      <w:bookmarkEnd w:id="0"/>
      <w:r w:rsidR="000A3BA3" w:rsidRPr="00653811">
        <w:rPr>
          <w:rFonts w:ascii="Arial" w:hAnsi="Arial" w:cs="Arial"/>
          <w:b/>
          <w:bCs/>
        </w:rPr>
        <w:t>CONTRACT</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8223"/>
      </w:tblGrid>
      <w:tr w:rsidR="000A3BA3" w:rsidRPr="00D05A8B" w14:paraId="3624C984" w14:textId="77777777" w:rsidTr="086DBE37">
        <w:trPr>
          <w:jc w:val="center"/>
        </w:trPr>
        <w:tc>
          <w:tcPr>
            <w:tcW w:w="2208" w:type="dxa"/>
            <w:shd w:val="clear" w:color="auto" w:fill="D9D9D9" w:themeFill="background1" w:themeFillShade="D9"/>
          </w:tcPr>
          <w:p w14:paraId="2FC28DCB" w14:textId="77777777" w:rsidR="000A3BA3" w:rsidRPr="00D05A8B" w:rsidRDefault="000A3BA3" w:rsidP="000A3BA3">
            <w:pPr>
              <w:rPr>
                <w:rFonts w:ascii="Arial" w:hAnsi="Arial" w:cs="Arial"/>
                <w:b/>
              </w:rPr>
            </w:pPr>
            <w:r w:rsidRPr="00D05A8B">
              <w:rPr>
                <w:rFonts w:ascii="Arial" w:hAnsi="Arial" w:cs="Arial"/>
                <w:b/>
              </w:rPr>
              <w:t>ITEM</w:t>
            </w:r>
          </w:p>
        </w:tc>
        <w:tc>
          <w:tcPr>
            <w:tcW w:w="8223" w:type="dxa"/>
            <w:shd w:val="clear" w:color="auto" w:fill="D9D9D9" w:themeFill="background1" w:themeFillShade="D9"/>
          </w:tcPr>
          <w:p w14:paraId="55C65E84" w14:textId="77777777" w:rsidR="000A3BA3" w:rsidRPr="00D05A8B" w:rsidRDefault="000A3BA3" w:rsidP="000A3BA3">
            <w:pPr>
              <w:rPr>
                <w:rFonts w:ascii="Arial" w:hAnsi="Arial" w:cs="Arial"/>
              </w:rPr>
            </w:pPr>
            <w:r w:rsidRPr="00D05A8B">
              <w:rPr>
                <w:rFonts w:ascii="Arial" w:hAnsi="Arial" w:cs="Arial"/>
                <w:b/>
              </w:rPr>
              <w:t>CONTRACT DETAILS</w:t>
            </w:r>
          </w:p>
        </w:tc>
      </w:tr>
      <w:tr w:rsidR="000A3BA3" w:rsidRPr="00D05A8B" w14:paraId="1D27EF3B" w14:textId="77777777" w:rsidTr="086DBE37">
        <w:trPr>
          <w:trHeight w:val="684"/>
          <w:jc w:val="center"/>
        </w:trPr>
        <w:tc>
          <w:tcPr>
            <w:tcW w:w="2208" w:type="dxa"/>
          </w:tcPr>
          <w:p w14:paraId="3C53A572" w14:textId="77777777" w:rsidR="000A3BA3" w:rsidRPr="00D05A8B" w:rsidRDefault="000A3BA3" w:rsidP="00653811">
            <w:pPr>
              <w:jc w:val="both"/>
              <w:rPr>
                <w:rFonts w:ascii="Arial" w:hAnsi="Arial" w:cs="Arial"/>
              </w:rPr>
            </w:pPr>
            <w:r w:rsidRPr="00D05A8B">
              <w:rPr>
                <w:rFonts w:ascii="Arial" w:hAnsi="Arial" w:cs="Arial"/>
              </w:rPr>
              <w:t>Pro-Contract Reference</w:t>
            </w:r>
          </w:p>
        </w:tc>
        <w:tc>
          <w:tcPr>
            <w:tcW w:w="8223" w:type="dxa"/>
          </w:tcPr>
          <w:p w14:paraId="6FFECDBE" w14:textId="492C7E2F" w:rsidR="00AE4395" w:rsidRPr="00D05A8B" w:rsidRDefault="009C237E" w:rsidP="11AEF32D">
            <w:pPr>
              <w:jc w:val="both"/>
              <w:rPr>
                <w:rFonts w:ascii="Arial" w:eastAsia="Arial" w:hAnsi="Arial" w:cs="Arial"/>
              </w:rPr>
            </w:pPr>
            <w:r w:rsidRPr="009C237E">
              <w:rPr>
                <w:rFonts w:ascii="Arial" w:eastAsia="Arial" w:hAnsi="Arial" w:cs="Arial"/>
                <w:b/>
                <w:bCs/>
                <w:color w:val="000000" w:themeColor="text1"/>
                <w:sz w:val="24"/>
                <w:szCs w:val="24"/>
              </w:rPr>
              <w:t>DN732590</w:t>
            </w:r>
          </w:p>
        </w:tc>
      </w:tr>
      <w:tr w:rsidR="000A3BA3" w:rsidRPr="00D05A8B" w14:paraId="093896DC" w14:textId="77777777" w:rsidTr="086DBE37">
        <w:trPr>
          <w:trHeight w:val="1056"/>
          <w:jc w:val="center"/>
        </w:trPr>
        <w:tc>
          <w:tcPr>
            <w:tcW w:w="2208" w:type="dxa"/>
          </w:tcPr>
          <w:p w14:paraId="454C2FD0" w14:textId="77777777" w:rsidR="000A3BA3" w:rsidRPr="00D05A8B" w:rsidRDefault="000A3BA3" w:rsidP="00653811">
            <w:pPr>
              <w:jc w:val="both"/>
              <w:rPr>
                <w:rFonts w:ascii="Arial" w:hAnsi="Arial" w:cs="Arial"/>
              </w:rPr>
            </w:pPr>
            <w:r w:rsidRPr="00D05A8B">
              <w:rPr>
                <w:rFonts w:ascii="Arial" w:hAnsi="Arial" w:cs="Arial"/>
              </w:rPr>
              <w:t>Contract Description:</w:t>
            </w:r>
          </w:p>
        </w:tc>
        <w:tc>
          <w:tcPr>
            <w:tcW w:w="8223" w:type="dxa"/>
          </w:tcPr>
          <w:p w14:paraId="033992E6" w14:textId="7BD23DBD" w:rsidR="7B2A67EE" w:rsidRDefault="7B2A67EE" w:rsidP="4C478AE9">
            <w:pPr>
              <w:spacing w:after="0" w:line="300" w:lineRule="exact"/>
              <w:rPr>
                <w:rFonts w:ascii="Arial" w:eastAsia="Arial" w:hAnsi="Arial" w:cs="Arial"/>
              </w:rPr>
            </w:pPr>
            <w:r w:rsidRPr="0B7B1EF4">
              <w:rPr>
                <w:rFonts w:ascii="Arial" w:eastAsia="Arial" w:hAnsi="Arial" w:cs="Arial"/>
                <w:color w:val="000000" w:themeColor="text1"/>
              </w:rPr>
              <w:t xml:space="preserve">Advance Northumberland (Developments) Limited, trading as Advance Northumberland (Developments) Ltd requires </w:t>
            </w:r>
            <w:r w:rsidR="000628AC">
              <w:rPr>
                <w:rFonts w:ascii="Arial" w:eastAsia="Arial" w:hAnsi="Arial" w:cs="Arial"/>
                <w:color w:val="000000" w:themeColor="text1"/>
              </w:rPr>
              <w:t xml:space="preserve">a subcontractor for the </w:t>
            </w:r>
            <w:r w:rsidR="00EE53F8" w:rsidRPr="00EE53F8">
              <w:rPr>
                <w:rFonts w:ascii="Arial" w:eastAsia="Arial" w:hAnsi="Arial" w:cs="Arial"/>
                <w:color w:val="000000" w:themeColor="text1"/>
              </w:rPr>
              <w:t xml:space="preserve">Design, Supply and Installation of Windows and External Doors </w:t>
            </w:r>
            <w:r w:rsidR="00E4390F">
              <w:rPr>
                <w:rFonts w:ascii="Arial" w:eastAsia="Arial" w:hAnsi="Arial" w:cs="Arial"/>
                <w:color w:val="000000" w:themeColor="text1"/>
              </w:rPr>
              <w:t>for</w:t>
            </w:r>
            <w:r w:rsidRPr="0B7B1EF4">
              <w:rPr>
                <w:rFonts w:ascii="Arial" w:eastAsia="Arial" w:hAnsi="Arial" w:cs="Arial"/>
                <w:color w:val="000000" w:themeColor="text1"/>
              </w:rPr>
              <w:t xml:space="preserve"> </w:t>
            </w:r>
            <w:r w:rsidR="006F697D">
              <w:rPr>
                <w:rFonts w:ascii="Arial" w:eastAsia="Arial" w:hAnsi="Arial" w:cs="Arial"/>
                <w:color w:val="000000" w:themeColor="text1"/>
              </w:rPr>
              <w:t>a</w:t>
            </w:r>
            <w:r w:rsidRPr="0B7B1EF4">
              <w:rPr>
                <w:rFonts w:ascii="Arial" w:eastAsia="Arial" w:hAnsi="Arial" w:cs="Arial"/>
                <w:color w:val="000000" w:themeColor="text1"/>
              </w:rPr>
              <w:t xml:space="preserve"> site in </w:t>
            </w:r>
            <w:r w:rsidR="00EB316C">
              <w:rPr>
                <w:rFonts w:ascii="Arial" w:eastAsia="Arial" w:hAnsi="Arial" w:cs="Arial"/>
                <w:color w:val="000000" w:themeColor="text1"/>
              </w:rPr>
              <w:t xml:space="preserve">a </w:t>
            </w:r>
            <w:r w:rsidRPr="0B7B1EF4">
              <w:rPr>
                <w:rFonts w:ascii="Arial" w:eastAsia="Arial" w:hAnsi="Arial" w:cs="Arial"/>
                <w:color w:val="000000" w:themeColor="text1"/>
              </w:rPr>
              <w:t xml:space="preserve">development </w:t>
            </w:r>
            <w:r w:rsidR="00B65BFA">
              <w:rPr>
                <w:rFonts w:ascii="Arial" w:eastAsia="Arial" w:hAnsi="Arial" w:cs="Arial"/>
                <w:color w:val="000000" w:themeColor="text1"/>
              </w:rPr>
              <w:t xml:space="preserve">of </w:t>
            </w:r>
            <w:r w:rsidR="00EB316C">
              <w:rPr>
                <w:rFonts w:ascii="Arial" w:eastAsia="Arial" w:hAnsi="Arial" w:cs="Arial"/>
                <w:color w:val="000000" w:themeColor="text1"/>
              </w:rPr>
              <w:t xml:space="preserve">13nr </w:t>
            </w:r>
            <w:r w:rsidR="00B65BFA">
              <w:rPr>
                <w:rFonts w:ascii="Arial" w:eastAsia="Arial" w:hAnsi="Arial" w:cs="Arial"/>
                <w:color w:val="000000" w:themeColor="text1"/>
              </w:rPr>
              <w:t xml:space="preserve">new build bungalows </w:t>
            </w:r>
            <w:r w:rsidRPr="0B7B1EF4">
              <w:rPr>
                <w:rFonts w:ascii="Arial" w:eastAsia="Arial" w:hAnsi="Arial" w:cs="Arial"/>
                <w:color w:val="000000" w:themeColor="text1"/>
              </w:rPr>
              <w:t>at Ly</w:t>
            </w:r>
            <w:r w:rsidR="00B514CC">
              <w:rPr>
                <w:rFonts w:ascii="Arial" w:eastAsia="Arial" w:hAnsi="Arial" w:cs="Arial"/>
                <w:color w:val="000000" w:themeColor="text1"/>
              </w:rPr>
              <w:t>n</w:t>
            </w:r>
            <w:r w:rsidRPr="0B7B1EF4">
              <w:rPr>
                <w:rFonts w:ascii="Arial" w:eastAsia="Arial" w:hAnsi="Arial" w:cs="Arial"/>
                <w:color w:val="000000" w:themeColor="text1"/>
              </w:rPr>
              <w:t>don Walk, Blyth.</w:t>
            </w:r>
          </w:p>
          <w:p w14:paraId="0CA4E85B" w14:textId="67F4826F" w:rsidR="4C478AE9" w:rsidRDefault="4C478AE9" w:rsidP="4C478AE9">
            <w:pPr>
              <w:spacing w:after="0" w:line="300" w:lineRule="exact"/>
              <w:contextualSpacing/>
              <w:rPr>
                <w:rFonts w:ascii="Arial" w:hAnsi="Arial" w:cs="Arial"/>
              </w:rPr>
            </w:pPr>
          </w:p>
          <w:p w14:paraId="1E74FDC8" w14:textId="3808B441" w:rsidR="000A3BA3" w:rsidRPr="00D05A8B" w:rsidRDefault="2B2723D8" w:rsidP="0924A801">
            <w:pPr>
              <w:spacing w:after="0" w:line="300" w:lineRule="exact"/>
              <w:contextualSpacing/>
              <w:rPr>
                <w:rFonts w:ascii="Arial" w:hAnsi="Arial" w:cs="Arial"/>
              </w:rPr>
            </w:pPr>
            <w:r w:rsidRPr="0924A801">
              <w:rPr>
                <w:rFonts w:ascii="Arial" w:hAnsi="Arial" w:cs="Arial"/>
              </w:rPr>
              <w:t xml:space="preserve">Supply </w:t>
            </w:r>
            <w:r w:rsidR="00E8255B">
              <w:rPr>
                <w:rFonts w:ascii="Arial" w:hAnsi="Arial" w:cs="Arial"/>
              </w:rPr>
              <w:t xml:space="preserve">labour </w:t>
            </w:r>
            <w:r w:rsidRPr="0924A801">
              <w:rPr>
                <w:rFonts w:ascii="Arial" w:hAnsi="Arial" w:cs="Arial"/>
              </w:rPr>
              <w:t xml:space="preserve">and install </w:t>
            </w:r>
            <w:r w:rsidR="4CFE5D9E" w:rsidRPr="0924A801">
              <w:rPr>
                <w:rFonts w:ascii="Arial" w:hAnsi="Arial" w:cs="Arial"/>
              </w:rPr>
              <w:t>as per attached drawings.</w:t>
            </w:r>
          </w:p>
        </w:tc>
      </w:tr>
      <w:tr w:rsidR="000A3BA3" w:rsidRPr="00D05A8B" w14:paraId="0C54C963" w14:textId="77777777" w:rsidTr="086DBE37">
        <w:trPr>
          <w:trHeight w:val="759"/>
          <w:jc w:val="center"/>
        </w:trPr>
        <w:tc>
          <w:tcPr>
            <w:tcW w:w="2208" w:type="dxa"/>
          </w:tcPr>
          <w:p w14:paraId="5B00280C" w14:textId="77777777" w:rsidR="000A3BA3" w:rsidRPr="00D05A8B" w:rsidRDefault="000A3BA3" w:rsidP="00653811">
            <w:pPr>
              <w:jc w:val="both"/>
              <w:rPr>
                <w:rFonts w:ascii="Arial" w:hAnsi="Arial" w:cs="Arial"/>
              </w:rPr>
            </w:pPr>
            <w:r w:rsidRPr="00D05A8B">
              <w:rPr>
                <w:rFonts w:ascii="Arial" w:hAnsi="Arial" w:cs="Arial"/>
              </w:rPr>
              <w:t>Contracting Authority:</w:t>
            </w:r>
          </w:p>
        </w:tc>
        <w:tc>
          <w:tcPr>
            <w:tcW w:w="8223" w:type="dxa"/>
            <w:vAlign w:val="center"/>
          </w:tcPr>
          <w:p w14:paraId="3C11154F" w14:textId="092F81A1" w:rsidR="00897C7D" w:rsidRPr="00765EF2" w:rsidRDefault="00765EF2" w:rsidP="00897C7D">
            <w:pPr>
              <w:spacing w:before="120"/>
              <w:contextualSpacing/>
              <w:rPr>
                <w:rFonts w:ascii="Arial" w:hAnsi="Arial" w:cs="Arial"/>
              </w:rPr>
            </w:pPr>
            <w:r w:rsidRPr="00765EF2">
              <w:rPr>
                <w:rFonts w:ascii="Arial" w:hAnsi="Arial" w:cs="Arial"/>
              </w:rPr>
              <w:t>Advance Northumberland Developments Limited</w:t>
            </w:r>
            <w:r w:rsidR="00897C7D" w:rsidRPr="00765EF2">
              <w:rPr>
                <w:rFonts w:ascii="Arial" w:hAnsi="Arial" w:cs="Arial"/>
              </w:rPr>
              <w:t xml:space="preserve"> (Advance), is the Contracting Authority.</w:t>
            </w:r>
          </w:p>
          <w:p w14:paraId="5400B536" w14:textId="77777777" w:rsidR="000E45FB" w:rsidRPr="00653811" w:rsidRDefault="000E45FB" w:rsidP="000E45FB">
            <w:pPr>
              <w:spacing w:before="120"/>
              <w:contextualSpacing/>
              <w:rPr>
                <w:rFonts w:ascii="Arial" w:hAnsi="Arial" w:cs="Arial"/>
                <w:highlight w:val="yellow"/>
              </w:rPr>
            </w:pPr>
          </w:p>
          <w:p w14:paraId="3A34BAEC" w14:textId="77777777" w:rsidR="000E45FB" w:rsidRPr="00B5248C" w:rsidRDefault="000E45FB" w:rsidP="000E45FB">
            <w:pPr>
              <w:spacing w:before="120"/>
              <w:contextualSpacing/>
              <w:rPr>
                <w:rFonts w:ascii="Arial" w:hAnsi="Arial" w:cs="Arial"/>
              </w:rPr>
            </w:pPr>
            <w:r w:rsidRPr="001F4090">
              <w:rPr>
                <w:rFonts w:ascii="Arial" w:hAnsi="Arial" w:cs="Arial"/>
              </w:rPr>
              <w:t>Advance is a unique economic regeneration company, established by Northumberland County Council with a clear remit to improve prosperity, quality of life and increase business activity throughout the communities of Northumberland.  Advance is Northumberland County Council’s primary regeneration delivery vehicle. It employs a wide range of investment, development and regeneration capabilities to shape places and promote economic growth and prosperity in Northumberland.</w:t>
            </w:r>
          </w:p>
          <w:p w14:paraId="13F3D591" w14:textId="77777777" w:rsidR="000A3BA3" w:rsidRPr="00D05A8B" w:rsidRDefault="000A3BA3" w:rsidP="00653811">
            <w:pPr>
              <w:contextualSpacing/>
              <w:jc w:val="both"/>
              <w:rPr>
                <w:rFonts w:ascii="Arial" w:hAnsi="Arial" w:cs="Arial"/>
              </w:rPr>
            </w:pPr>
          </w:p>
        </w:tc>
      </w:tr>
      <w:tr w:rsidR="000A3BA3" w:rsidRPr="00D05A8B" w14:paraId="68DC9FBF" w14:textId="77777777" w:rsidTr="086DBE37">
        <w:trPr>
          <w:trHeight w:val="647"/>
          <w:jc w:val="center"/>
        </w:trPr>
        <w:tc>
          <w:tcPr>
            <w:tcW w:w="2208" w:type="dxa"/>
          </w:tcPr>
          <w:p w14:paraId="2BBE86CD" w14:textId="77777777" w:rsidR="000A3BA3" w:rsidRPr="001F4090" w:rsidRDefault="000A3BA3" w:rsidP="00653811">
            <w:pPr>
              <w:jc w:val="both"/>
              <w:rPr>
                <w:rFonts w:ascii="Arial" w:hAnsi="Arial" w:cs="Arial"/>
              </w:rPr>
            </w:pPr>
            <w:r w:rsidRPr="001F4090">
              <w:rPr>
                <w:rFonts w:ascii="Arial" w:hAnsi="Arial" w:cs="Arial"/>
              </w:rPr>
              <w:t>Public Contract Type:</w:t>
            </w:r>
          </w:p>
        </w:tc>
        <w:tc>
          <w:tcPr>
            <w:tcW w:w="8223" w:type="dxa"/>
            <w:vAlign w:val="center"/>
          </w:tcPr>
          <w:p w14:paraId="474623EA" w14:textId="08AC3F91" w:rsidR="000A3BA3" w:rsidRPr="001561E6" w:rsidRDefault="001561E6" w:rsidP="042B9F41">
            <w:pPr>
              <w:jc w:val="both"/>
              <w:rPr>
                <w:rFonts w:ascii="Arial" w:hAnsi="Arial" w:cs="Arial"/>
              </w:rPr>
            </w:pPr>
            <w:r w:rsidRPr="001561E6">
              <w:rPr>
                <w:rFonts w:ascii="Arial" w:hAnsi="Arial" w:cs="Arial"/>
              </w:rPr>
              <w:t>Works</w:t>
            </w:r>
          </w:p>
        </w:tc>
      </w:tr>
      <w:tr w:rsidR="00D04A2E" w:rsidRPr="00D05A8B" w14:paraId="371B74A9" w14:textId="77777777" w:rsidTr="086DBE37">
        <w:trPr>
          <w:trHeight w:val="647"/>
          <w:jc w:val="center"/>
        </w:trPr>
        <w:tc>
          <w:tcPr>
            <w:tcW w:w="2208" w:type="dxa"/>
          </w:tcPr>
          <w:p w14:paraId="596FD1D0" w14:textId="33DC8585" w:rsidR="00D04A2E" w:rsidRPr="001F4090" w:rsidRDefault="00D04A2E" w:rsidP="0B7B1EF4">
            <w:pPr>
              <w:jc w:val="both"/>
              <w:rPr>
                <w:rFonts w:ascii="Arial" w:hAnsi="Arial" w:cs="Arial"/>
                <w:highlight w:val="red"/>
              </w:rPr>
            </w:pPr>
            <w:r w:rsidRPr="00B35E21">
              <w:rPr>
                <w:rFonts w:ascii="Arial" w:hAnsi="Arial" w:cs="Arial"/>
              </w:rPr>
              <w:t>Form of Contract</w:t>
            </w:r>
          </w:p>
        </w:tc>
        <w:tc>
          <w:tcPr>
            <w:tcW w:w="8223" w:type="dxa"/>
            <w:vAlign w:val="center"/>
          </w:tcPr>
          <w:p w14:paraId="31D0ECDC" w14:textId="0C094D77" w:rsidR="00D04A2E" w:rsidRPr="001F4090" w:rsidRDefault="00B35E21" w:rsidP="0B7B1EF4">
            <w:pPr>
              <w:jc w:val="both"/>
              <w:rPr>
                <w:rFonts w:ascii="Arial" w:hAnsi="Arial" w:cs="Arial"/>
                <w:highlight w:val="red"/>
                <w:lang w:val="en-US"/>
              </w:rPr>
            </w:pPr>
            <w:r w:rsidRPr="00B35E21">
              <w:rPr>
                <w:rFonts w:ascii="Arial" w:hAnsi="Arial" w:cs="Arial"/>
                <w:lang w:val="en-US"/>
              </w:rPr>
              <w:t>Ascent Homes Terms of Engagement</w:t>
            </w:r>
          </w:p>
        </w:tc>
      </w:tr>
      <w:tr w:rsidR="000A3BA3" w:rsidRPr="00D05A8B" w14:paraId="7670273C" w14:textId="77777777" w:rsidTr="086DBE37">
        <w:trPr>
          <w:trHeight w:val="740"/>
          <w:jc w:val="center"/>
        </w:trPr>
        <w:tc>
          <w:tcPr>
            <w:tcW w:w="2208" w:type="dxa"/>
          </w:tcPr>
          <w:p w14:paraId="72E9571F" w14:textId="77777777" w:rsidR="000A3BA3" w:rsidRPr="001F4090" w:rsidRDefault="000A3BA3" w:rsidP="00653811">
            <w:pPr>
              <w:jc w:val="both"/>
              <w:rPr>
                <w:rFonts w:ascii="Arial" w:hAnsi="Arial" w:cs="Arial"/>
              </w:rPr>
            </w:pPr>
            <w:r w:rsidRPr="001F4090">
              <w:rPr>
                <w:rFonts w:ascii="Arial" w:hAnsi="Arial" w:cs="Arial"/>
              </w:rPr>
              <w:t xml:space="preserve">Procurement </w:t>
            </w:r>
            <w:r w:rsidR="00AD30E3" w:rsidRPr="001F4090">
              <w:rPr>
                <w:rFonts w:ascii="Arial" w:hAnsi="Arial" w:cs="Arial"/>
              </w:rPr>
              <w:t>Approach:</w:t>
            </w:r>
          </w:p>
        </w:tc>
        <w:tc>
          <w:tcPr>
            <w:tcW w:w="8223" w:type="dxa"/>
            <w:vAlign w:val="center"/>
          </w:tcPr>
          <w:p w14:paraId="7CC04050" w14:textId="379D3AB3" w:rsidR="000A3BA3" w:rsidRPr="001F4090" w:rsidRDefault="000A3BA3" w:rsidP="00653811">
            <w:pPr>
              <w:jc w:val="both"/>
              <w:rPr>
                <w:rFonts w:ascii="Arial" w:hAnsi="Arial" w:cs="Arial"/>
                <w:lang w:val="en-US"/>
              </w:rPr>
            </w:pPr>
            <w:r w:rsidRPr="001F4090">
              <w:rPr>
                <w:rFonts w:ascii="Arial" w:hAnsi="Arial" w:cs="Arial"/>
                <w:iCs/>
              </w:rPr>
              <w:t>Open Procedure</w:t>
            </w:r>
          </w:p>
        </w:tc>
      </w:tr>
      <w:tr w:rsidR="000A3BA3" w:rsidRPr="00D05A8B" w14:paraId="6A59F0B4" w14:textId="77777777" w:rsidTr="086DBE37">
        <w:trPr>
          <w:jc w:val="center"/>
        </w:trPr>
        <w:tc>
          <w:tcPr>
            <w:tcW w:w="2208" w:type="dxa"/>
          </w:tcPr>
          <w:p w14:paraId="479E1179" w14:textId="77777777" w:rsidR="000A3BA3" w:rsidRPr="00D05A8B" w:rsidRDefault="000A3BA3" w:rsidP="00653811">
            <w:pPr>
              <w:jc w:val="both"/>
              <w:rPr>
                <w:rFonts w:ascii="Arial" w:hAnsi="Arial" w:cs="Arial"/>
              </w:rPr>
            </w:pPr>
            <w:r w:rsidRPr="00D05A8B">
              <w:rPr>
                <w:rFonts w:ascii="Arial" w:hAnsi="Arial" w:cs="Arial"/>
              </w:rPr>
              <w:t>Insurance Requirements:</w:t>
            </w:r>
          </w:p>
        </w:tc>
        <w:tc>
          <w:tcPr>
            <w:tcW w:w="8223" w:type="dxa"/>
          </w:tcPr>
          <w:p w14:paraId="16111F5C" w14:textId="77777777" w:rsidR="00DE0181" w:rsidRPr="00D05A8B" w:rsidRDefault="00DE0181" w:rsidP="00653811">
            <w:pPr>
              <w:jc w:val="both"/>
              <w:rPr>
                <w:rFonts w:ascii="Arial" w:hAnsi="Arial" w:cs="Arial"/>
              </w:rPr>
            </w:pPr>
            <w:r w:rsidRPr="00D05A8B">
              <w:rPr>
                <w:rFonts w:ascii="Arial" w:hAnsi="Arial" w:cs="Arial"/>
              </w:rPr>
              <w:t xml:space="preserve">The successful Tenderer will need to provide the following insurance cover per </w:t>
            </w:r>
            <w:proofErr w:type="gramStart"/>
            <w:r w:rsidRPr="00D05A8B">
              <w:rPr>
                <w:rFonts w:ascii="Arial" w:hAnsi="Arial" w:cs="Arial"/>
              </w:rPr>
              <w:t>12 month</w:t>
            </w:r>
            <w:proofErr w:type="gramEnd"/>
            <w:r w:rsidRPr="00D05A8B">
              <w:rPr>
                <w:rFonts w:ascii="Arial" w:hAnsi="Arial" w:cs="Arial"/>
              </w:rPr>
              <w:t xml:space="preserve"> period:</w:t>
            </w:r>
          </w:p>
          <w:p w14:paraId="79F812D2" w14:textId="77777777" w:rsidR="00DE0181" w:rsidRPr="00C81222" w:rsidRDefault="1788354A" w:rsidP="042B9F41">
            <w:pPr>
              <w:numPr>
                <w:ilvl w:val="0"/>
                <w:numId w:val="2"/>
              </w:numPr>
              <w:contextualSpacing/>
              <w:jc w:val="both"/>
              <w:rPr>
                <w:rFonts w:ascii="Arial" w:hAnsi="Arial" w:cs="Arial"/>
              </w:rPr>
            </w:pPr>
            <w:r w:rsidRPr="00C81222">
              <w:rPr>
                <w:rFonts w:ascii="Arial" w:hAnsi="Arial" w:cs="Arial"/>
              </w:rPr>
              <w:t xml:space="preserve">Public Liability </w:t>
            </w:r>
          </w:p>
          <w:p w14:paraId="3CF6EE09" w14:textId="213C9F65" w:rsidR="00DE0181" w:rsidRPr="00C81222" w:rsidRDefault="1788354A" w:rsidP="042B9F41">
            <w:pPr>
              <w:ind w:left="720"/>
              <w:contextualSpacing/>
              <w:jc w:val="both"/>
              <w:rPr>
                <w:rFonts w:ascii="Arial" w:hAnsi="Arial" w:cs="Arial"/>
              </w:rPr>
            </w:pPr>
            <w:r w:rsidRPr="00C81222">
              <w:rPr>
                <w:rFonts w:ascii="Arial" w:hAnsi="Arial" w:cs="Arial"/>
              </w:rPr>
              <w:t xml:space="preserve">Cover for no less than </w:t>
            </w:r>
            <w:r w:rsidR="00FE474E" w:rsidRPr="00C81222">
              <w:rPr>
                <w:rFonts w:ascii="Arial" w:hAnsi="Arial" w:cs="Arial"/>
              </w:rPr>
              <w:t>£</w:t>
            </w:r>
            <w:r w:rsidR="00DE2E37" w:rsidRPr="00C81222">
              <w:rPr>
                <w:rFonts w:ascii="Arial" w:hAnsi="Arial" w:cs="Arial"/>
              </w:rPr>
              <w:t>5</w:t>
            </w:r>
            <w:r w:rsidR="0E209B02" w:rsidRPr="00C81222">
              <w:rPr>
                <w:rFonts w:ascii="Arial" w:hAnsi="Arial" w:cs="Arial"/>
              </w:rPr>
              <w:t xml:space="preserve"> </w:t>
            </w:r>
            <w:r w:rsidR="006D57A1" w:rsidRPr="00C81222">
              <w:rPr>
                <w:rFonts w:ascii="Arial" w:hAnsi="Arial" w:cs="Arial"/>
              </w:rPr>
              <w:t>Million</w:t>
            </w:r>
          </w:p>
          <w:p w14:paraId="6816B0E6" w14:textId="77777777" w:rsidR="00DE0181" w:rsidRPr="00C81222" w:rsidRDefault="1788354A" w:rsidP="042B9F41">
            <w:pPr>
              <w:numPr>
                <w:ilvl w:val="0"/>
                <w:numId w:val="2"/>
              </w:numPr>
              <w:contextualSpacing/>
              <w:jc w:val="both"/>
              <w:rPr>
                <w:rFonts w:ascii="Arial" w:hAnsi="Arial" w:cs="Arial"/>
              </w:rPr>
            </w:pPr>
            <w:r w:rsidRPr="00C81222">
              <w:rPr>
                <w:rFonts w:ascii="Arial" w:hAnsi="Arial" w:cs="Arial"/>
              </w:rPr>
              <w:t xml:space="preserve">Employers Liability </w:t>
            </w:r>
          </w:p>
          <w:p w14:paraId="498D5B65" w14:textId="6D2958FF" w:rsidR="00DE0181" w:rsidRPr="00C81222" w:rsidRDefault="006D57A1" w:rsidP="042B9F41">
            <w:pPr>
              <w:ind w:left="720"/>
              <w:contextualSpacing/>
              <w:jc w:val="both"/>
              <w:rPr>
                <w:rFonts w:ascii="Arial" w:hAnsi="Arial" w:cs="Arial"/>
              </w:rPr>
            </w:pPr>
            <w:r w:rsidRPr="00C81222">
              <w:rPr>
                <w:rFonts w:ascii="Arial" w:hAnsi="Arial" w:cs="Arial"/>
              </w:rPr>
              <w:t xml:space="preserve">Cover for no less than </w:t>
            </w:r>
            <w:r w:rsidR="00FE474E" w:rsidRPr="00C81222">
              <w:rPr>
                <w:rFonts w:ascii="Arial" w:hAnsi="Arial" w:cs="Arial"/>
              </w:rPr>
              <w:t>£</w:t>
            </w:r>
            <w:r w:rsidR="00DE2E37" w:rsidRPr="00C81222">
              <w:rPr>
                <w:rFonts w:ascii="Arial" w:hAnsi="Arial" w:cs="Arial"/>
              </w:rPr>
              <w:t>5</w:t>
            </w:r>
            <w:r w:rsidRPr="00C81222">
              <w:rPr>
                <w:rFonts w:ascii="Arial" w:hAnsi="Arial" w:cs="Arial"/>
              </w:rPr>
              <w:t xml:space="preserve"> Million</w:t>
            </w:r>
          </w:p>
          <w:p w14:paraId="4EF8047D" w14:textId="77777777" w:rsidR="00DE0181" w:rsidRPr="00745E77" w:rsidRDefault="1788354A" w:rsidP="0B7B1EF4">
            <w:pPr>
              <w:numPr>
                <w:ilvl w:val="0"/>
                <w:numId w:val="2"/>
              </w:numPr>
              <w:contextualSpacing/>
              <w:jc w:val="both"/>
              <w:rPr>
                <w:rFonts w:ascii="Arial" w:hAnsi="Arial" w:cs="Arial"/>
                <w:strike/>
              </w:rPr>
            </w:pPr>
            <w:r w:rsidRPr="00745E77">
              <w:rPr>
                <w:rFonts w:ascii="Arial" w:hAnsi="Arial" w:cs="Arial"/>
                <w:strike/>
              </w:rPr>
              <w:t>Professional Indemnity</w:t>
            </w:r>
          </w:p>
          <w:p w14:paraId="1BD0FE3D" w14:textId="10F283A0" w:rsidR="00DE0181" w:rsidRPr="00745E77" w:rsidRDefault="1788354A" w:rsidP="0B7B1EF4">
            <w:pPr>
              <w:ind w:left="720"/>
              <w:contextualSpacing/>
              <w:jc w:val="both"/>
              <w:rPr>
                <w:rFonts w:ascii="Arial" w:hAnsi="Arial" w:cs="Arial"/>
                <w:strike/>
              </w:rPr>
            </w:pPr>
            <w:r w:rsidRPr="00745E77">
              <w:rPr>
                <w:rFonts w:ascii="Arial" w:hAnsi="Arial" w:cs="Arial"/>
                <w:strike/>
              </w:rPr>
              <w:t>Cover for no less than</w:t>
            </w:r>
            <w:r w:rsidR="3FF8264F" w:rsidRPr="00745E77">
              <w:rPr>
                <w:rFonts w:ascii="Arial" w:hAnsi="Arial" w:cs="Arial"/>
                <w:strike/>
              </w:rPr>
              <w:t xml:space="preserve"> £</w:t>
            </w:r>
            <w:r w:rsidR="00DE2E37" w:rsidRPr="00745E77">
              <w:rPr>
                <w:rFonts w:ascii="Arial" w:hAnsi="Arial" w:cs="Arial"/>
                <w:strike/>
              </w:rPr>
              <w:t>1</w:t>
            </w:r>
            <w:r w:rsidR="3FF8264F" w:rsidRPr="00745E77">
              <w:rPr>
                <w:rFonts w:ascii="Arial" w:hAnsi="Arial" w:cs="Arial"/>
                <w:strike/>
              </w:rPr>
              <w:t xml:space="preserve"> Million</w:t>
            </w:r>
            <w:r w:rsidR="6011BB06" w:rsidRPr="00745E77">
              <w:rPr>
                <w:rFonts w:ascii="Arial" w:hAnsi="Arial" w:cs="Arial"/>
                <w:strike/>
              </w:rPr>
              <w:t xml:space="preserve"> – </w:t>
            </w:r>
            <w:r w:rsidR="6011BB06" w:rsidRPr="00952D06">
              <w:rPr>
                <w:rFonts w:ascii="Arial" w:hAnsi="Arial" w:cs="Arial"/>
              </w:rPr>
              <w:t>N/A</w:t>
            </w:r>
          </w:p>
          <w:p w14:paraId="58A1A298" w14:textId="37B320E7" w:rsidR="042B9F41" w:rsidRDefault="042B9F41" w:rsidP="042B9F41">
            <w:pPr>
              <w:ind w:left="720"/>
              <w:contextualSpacing/>
              <w:jc w:val="both"/>
              <w:rPr>
                <w:rFonts w:ascii="Arial" w:hAnsi="Arial" w:cs="Arial"/>
              </w:rPr>
            </w:pPr>
          </w:p>
          <w:p w14:paraId="6B6A5C0B" w14:textId="77777777" w:rsidR="000A3BA3" w:rsidRPr="00D05A8B" w:rsidRDefault="00DE0181" w:rsidP="00653811">
            <w:pPr>
              <w:jc w:val="both"/>
              <w:rPr>
                <w:rFonts w:ascii="Arial" w:hAnsi="Arial" w:cs="Arial"/>
              </w:rPr>
            </w:pPr>
            <w:r w:rsidRPr="00D05A8B">
              <w:rPr>
                <w:rFonts w:ascii="Arial" w:hAnsi="Arial" w:cs="Arial"/>
              </w:rPr>
              <w:t xml:space="preserve">All risk insurance must be included as standard in the </w:t>
            </w:r>
            <w:r w:rsidR="008036ED">
              <w:rPr>
                <w:rFonts w:ascii="Arial" w:hAnsi="Arial" w:cs="Arial"/>
              </w:rPr>
              <w:t>T</w:t>
            </w:r>
            <w:r w:rsidRPr="00D05A8B">
              <w:rPr>
                <w:rFonts w:ascii="Arial" w:hAnsi="Arial" w:cs="Arial"/>
              </w:rPr>
              <w:t>endered prices.</w:t>
            </w:r>
          </w:p>
        </w:tc>
      </w:tr>
      <w:tr w:rsidR="000A3BA3" w:rsidRPr="00D05A8B" w14:paraId="69F063F5" w14:textId="77777777" w:rsidTr="086DBE37">
        <w:trPr>
          <w:jc w:val="center"/>
        </w:trPr>
        <w:tc>
          <w:tcPr>
            <w:tcW w:w="2208" w:type="dxa"/>
          </w:tcPr>
          <w:p w14:paraId="17741A03" w14:textId="77777777" w:rsidR="000A3BA3" w:rsidRPr="00D05A8B" w:rsidRDefault="000A3BA3" w:rsidP="000A3BA3">
            <w:pPr>
              <w:rPr>
                <w:rFonts w:ascii="Arial" w:hAnsi="Arial" w:cs="Arial"/>
              </w:rPr>
            </w:pPr>
            <w:r w:rsidRPr="00D05A8B">
              <w:rPr>
                <w:rFonts w:ascii="Arial" w:hAnsi="Arial" w:cs="Arial"/>
              </w:rPr>
              <w:t>Period of Contract:</w:t>
            </w:r>
          </w:p>
        </w:tc>
        <w:tc>
          <w:tcPr>
            <w:tcW w:w="8223" w:type="dxa"/>
          </w:tcPr>
          <w:p w14:paraId="48D0AE0F" w14:textId="74FD5E78" w:rsidR="000A3BA3" w:rsidRPr="00726A3B" w:rsidRDefault="5CC4E361" w:rsidP="0924A801">
            <w:pPr>
              <w:rPr>
                <w:rFonts w:ascii="Arial" w:hAnsi="Arial" w:cs="Arial"/>
              </w:rPr>
            </w:pPr>
            <w:r w:rsidRPr="4C478AE9">
              <w:rPr>
                <w:rFonts w:ascii="Arial" w:hAnsi="Arial" w:cs="Arial"/>
              </w:rPr>
              <w:t xml:space="preserve">The programme </w:t>
            </w:r>
            <w:r w:rsidR="58683450" w:rsidRPr="4C478AE9">
              <w:rPr>
                <w:rFonts w:ascii="Arial" w:hAnsi="Arial" w:cs="Arial"/>
              </w:rPr>
              <w:t xml:space="preserve">of </w:t>
            </w:r>
            <w:r w:rsidRPr="4C478AE9">
              <w:rPr>
                <w:rFonts w:ascii="Arial" w:hAnsi="Arial" w:cs="Arial"/>
              </w:rPr>
              <w:t xml:space="preserve">works is </w:t>
            </w:r>
            <w:r w:rsidR="00750361" w:rsidRPr="00C81222">
              <w:rPr>
                <w:rFonts w:ascii="Arial" w:hAnsi="Arial" w:cs="Arial"/>
              </w:rPr>
              <w:t>August</w:t>
            </w:r>
            <w:r w:rsidR="6A733906" w:rsidRPr="00C81222">
              <w:rPr>
                <w:rFonts w:ascii="Arial" w:hAnsi="Arial" w:cs="Arial"/>
              </w:rPr>
              <w:t xml:space="preserve"> </w:t>
            </w:r>
            <w:r w:rsidR="37DC0151" w:rsidRPr="00C81222">
              <w:rPr>
                <w:rFonts w:ascii="Arial" w:hAnsi="Arial" w:cs="Arial"/>
              </w:rPr>
              <w:t>20</w:t>
            </w:r>
            <w:r w:rsidR="273E60B3" w:rsidRPr="00C81222">
              <w:rPr>
                <w:rFonts w:ascii="Arial" w:hAnsi="Arial" w:cs="Arial"/>
              </w:rPr>
              <w:t>24</w:t>
            </w:r>
            <w:r w:rsidR="37DC0151" w:rsidRPr="00C81222">
              <w:rPr>
                <w:rFonts w:ascii="Arial" w:hAnsi="Arial" w:cs="Arial"/>
              </w:rPr>
              <w:t xml:space="preserve"> to </w:t>
            </w:r>
            <w:r w:rsidR="007C0B76" w:rsidRPr="00C81222">
              <w:rPr>
                <w:rFonts w:ascii="Arial" w:hAnsi="Arial" w:cs="Arial"/>
              </w:rPr>
              <w:t>November 2024</w:t>
            </w:r>
            <w:r w:rsidRPr="00C81222">
              <w:rPr>
                <w:rFonts w:ascii="Arial" w:hAnsi="Arial" w:cs="Arial"/>
              </w:rPr>
              <w:t>.</w:t>
            </w:r>
            <w:r w:rsidRPr="4C478AE9">
              <w:rPr>
                <w:rFonts w:ascii="Arial" w:hAnsi="Arial" w:cs="Arial"/>
              </w:rPr>
              <w:t xml:space="preserve"> </w:t>
            </w:r>
          </w:p>
          <w:p w14:paraId="5C1698CA" w14:textId="52D25D90" w:rsidR="000A3BA3" w:rsidRPr="00726A3B" w:rsidRDefault="201B3F68" w:rsidP="042B9F41">
            <w:pPr>
              <w:rPr>
                <w:rFonts w:ascii="Arial" w:hAnsi="Arial" w:cs="Arial"/>
              </w:rPr>
            </w:pPr>
            <w:r w:rsidRPr="00726A3B">
              <w:rPr>
                <w:rFonts w:ascii="Arial" w:hAnsi="Arial" w:cs="Arial"/>
              </w:rPr>
              <w:lastRenderedPageBreak/>
              <w:t>There is no option to extend.</w:t>
            </w:r>
          </w:p>
        </w:tc>
      </w:tr>
      <w:tr w:rsidR="000A3BA3" w:rsidRPr="00D05A8B" w14:paraId="4690FEF2" w14:textId="77777777" w:rsidTr="086DBE37">
        <w:trPr>
          <w:jc w:val="center"/>
        </w:trPr>
        <w:tc>
          <w:tcPr>
            <w:tcW w:w="2208" w:type="dxa"/>
          </w:tcPr>
          <w:p w14:paraId="4637A165" w14:textId="77777777" w:rsidR="000A3BA3" w:rsidRPr="00D05A8B" w:rsidRDefault="000A3BA3" w:rsidP="00653811">
            <w:pPr>
              <w:jc w:val="both"/>
              <w:rPr>
                <w:rFonts w:ascii="Arial" w:hAnsi="Arial" w:cs="Arial"/>
              </w:rPr>
            </w:pPr>
            <w:r w:rsidRPr="00D05A8B">
              <w:rPr>
                <w:rFonts w:ascii="Arial" w:hAnsi="Arial" w:cs="Arial"/>
              </w:rPr>
              <w:lastRenderedPageBreak/>
              <w:t>Procuring Officer:</w:t>
            </w:r>
          </w:p>
        </w:tc>
        <w:tc>
          <w:tcPr>
            <w:tcW w:w="8223" w:type="dxa"/>
          </w:tcPr>
          <w:p w14:paraId="7A6E5F74" w14:textId="589D64C7" w:rsidR="6D52F804" w:rsidRPr="00726A3B" w:rsidRDefault="6D52F804" w:rsidP="042B9F41">
            <w:pPr>
              <w:jc w:val="both"/>
            </w:pPr>
            <w:r w:rsidRPr="00726A3B">
              <w:rPr>
                <w:rFonts w:ascii="Arial" w:hAnsi="Arial" w:cs="Arial"/>
              </w:rPr>
              <w:t>Deborah Evans Head of Business Operations.</w:t>
            </w:r>
          </w:p>
          <w:p w14:paraId="131277F7" w14:textId="108177DC" w:rsidR="004961E1" w:rsidRPr="00726A3B" w:rsidRDefault="00D858B2" w:rsidP="00D858B2">
            <w:pPr>
              <w:jc w:val="both"/>
              <w:rPr>
                <w:rFonts w:ascii="Arial" w:hAnsi="Arial" w:cs="Arial"/>
              </w:rPr>
            </w:pPr>
            <w:r w:rsidRPr="086DBE37">
              <w:rPr>
                <w:rFonts w:ascii="Arial" w:hAnsi="Arial" w:cs="Arial"/>
              </w:rPr>
              <w:t xml:space="preserve">Any queries must be addressed to </w:t>
            </w:r>
            <w:r w:rsidR="42C458CC" w:rsidRPr="086DBE37">
              <w:rPr>
                <w:rFonts w:ascii="Arial" w:hAnsi="Arial" w:cs="Arial"/>
              </w:rPr>
              <w:t xml:space="preserve">Advance Northumberland via the </w:t>
            </w:r>
            <w:proofErr w:type="spellStart"/>
            <w:r w:rsidRPr="086DBE37">
              <w:rPr>
                <w:rFonts w:ascii="Arial" w:hAnsi="Arial" w:cs="Arial"/>
              </w:rPr>
              <w:t>ProContract</w:t>
            </w:r>
            <w:proofErr w:type="spellEnd"/>
            <w:r w:rsidRPr="086DBE37">
              <w:rPr>
                <w:rFonts w:ascii="Arial" w:hAnsi="Arial" w:cs="Arial"/>
              </w:rPr>
              <w:t xml:space="preserve"> E-tendering Portal.  Any queries must be raised by </w:t>
            </w:r>
            <w:r w:rsidR="130C64B9" w:rsidRPr="086DBE37">
              <w:rPr>
                <w:rFonts w:ascii="Arial" w:hAnsi="Arial" w:cs="Arial"/>
              </w:rPr>
              <w:t>12</w:t>
            </w:r>
            <w:r w:rsidRPr="086DBE37">
              <w:rPr>
                <w:rFonts w:ascii="Arial" w:hAnsi="Arial" w:cs="Arial"/>
              </w:rPr>
              <w:t>pm</w:t>
            </w:r>
            <w:r w:rsidR="44CAEB98" w:rsidRPr="086DBE37">
              <w:rPr>
                <w:rFonts w:ascii="Arial" w:hAnsi="Arial" w:cs="Arial"/>
              </w:rPr>
              <w:t xml:space="preserve"> on </w:t>
            </w:r>
            <w:r w:rsidR="009022B9" w:rsidRPr="086DBE37">
              <w:rPr>
                <w:rFonts w:ascii="Arial" w:hAnsi="Arial" w:cs="Arial"/>
              </w:rPr>
              <w:t xml:space="preserve">July </w:t>
            </w:r>
            <w:r w:rsidR="603CF728" w:rsidRPr="086DBE37">
              <w:rPr>
                <w:rFonts w:ascii="Arial" w:hAnsi="Arial" w:cs="Arial"/>
              </w:rPr>
              <w:t>2</w:t>
            </w:r>
            <w:r w:rsidR="00DA0674">
              <w:rPr>
                <w:rFonts w:ascii="Arial" w:hAnsi="Arial" w:cs="Arial"/>
              </w:rPr>
              <w:t>9</w:t>
            </w:r>
            <w:r w:rsidR="2FAFC251" w:rsidRPr="086DBE37">
              <w:rPr>
                <w:rFonts w:ascii="Arial" w:hAnsi="Arial" w:cs="Arial"/>
                <w:vertAlign w:val="superscript"/>
              </w:rPr>
              <w:t>th</w:t>
            </w:r>
            <w:r w:rsidR="603CF728" w:rsidRPr="086DBE37">
              <w:rPr>
                <w:rFonts w:ascii="Arial" w:hAnsi="Arial" w:cs="Arial"/>
              </w:rPr>
              <w:t>, 2024,</w:t>
            </w:r>
            <w:r w:rsidRPr="086DBE37">
              <w:rPr>
                <w:rFonts w:ascii="Arial" w:hAnsi="Arial" w:cs="Arial"/>
              </w:rPr>
              <w:t xml:space="preserve"> no less than </w:t>
            </w:r>
            <w:r w:rsidR="3A5E140F" w:rsidRPr="086DBE37">
              <w:rPr>
                <w:rFonts w:ascii="Arial" w:hAnsi="Arial" w:cs="Arial"/>
                <w:b/>
                <w:bCs/>
              </w:rPr>
              <w:t>FIVE</w:t>
            </w:r>
            <w:r w:rsidRPr="086DBE37">
              <w:rPr>
                <w:rFonts w:ascii="Arial" w:hAnsi="Arial" w:cs="Arial"/>
              </w:rPr>
              <w:t xml:space="preserve"> calendar days before the Tender Return Deadline to allow sufficient time for the Contracting Authority to respond.  Failure to submit queries in good time, may result in responses not being made.</w:t>
            </w:r>
          </w:p>
        </w:tc>
      </w:tr>
      <w:tr w:rsidR="000A3BA3" w:rsidRPr="00D05A8B" w14:paraId="4E0C63B2" w14:textId="77777777" w:rsidTr="086DBE37">
        <w:trPr>
          <w:jc w:val="center"/>
        </w:trPr>
        <w:tc>
          <w:tcPr>
            <w:tcW w:w="2208" w:type="dxa"/>
          </w:tcPr>
          <w:p w14:paraId="439156F1" w14:textId="77777777" w:rsidR="000A3BA3" w:rsidRPr="00D05A8B" w:rsidRDefault="000A3BA3" w:rsidP="00653811">
            <w:pPr>
              <w:jc w:val="both"/>
              <w:rPr>
                <w:rFonts w:ascii="Arial" w:hAnsi="Arial" w:cs="Arial"/>
              </w:rPr>
            </w:pPr>
            <w:r w:rsidRPr="00D05A8B">
              <w:rPr>
                <w:rFonts w:ascii="Arial" w:hAnsi="Arial" w:cs="Arial"/>
              </w:rPr>
              <w:t>Tender Submission instructions:</w:t>
            </w:r>
          </w:p>
        </w:tc>
        <w:tc>
          <w:tcPr>
            <w:tcW w:w="8223" w:type="dxa"/>
          </w:tcPr>
          <w:p w14:paraId="39C12AE7" w14:textId="77777777" w:rsidR="00DE0181" w:rsidRPr="00726A3B" w:rsidRDefault="00DE0181" w:rsidP="00653811">
            <w:pPr>
              <w:jc w:val="both"/>
              <w:rPr>
                <w:rFonts w:ascii="Arial" w:hAnsi="Arial" w:cs="Arial"/>
              </w:rPr>
            </w:pPr>
            <w:r w:rsidRPr="00726A3B">
              <w:rPr>
                <w:rFonts w:ascii="Arial" w:hAnsi="Arial" w:cs="Arial"/>
              </w:rPr>
              <w:t xml:space="preserve">Tenders and all associated documentation must be submitted via the </w:t>
            </w:r>
            <w:proofErr w:type="spellStart"/>
            <w:r w:rsidRPr="00726A3B">
              <w:rPr>
                <w:rFonts w:ascii="Arial" w:hAnsi="Arial" w:cs="Arial"/>
              </w:rPr>
              <w:t>ProContract</w:t>
            </w:r>
            <w:proofErr w:type="spellEnd"/>
            <w:r w:rsidRPr="00726A3B">
              <w:rPr>
                <w:rFonts w:ascii="Arial" w:hAnsi="Arial" w:cs="Arial"/>
              </w:rPr>
              <w:t xml:space="preserve"> E-tendering Portal by the date and time detailed below.</w:t>
            </w:r>
          </w:p>
          <w:p w14:paraId="4297A11B" w14:textId="77777777" w:rsidR="000A3BA3" w:rsidRPr="00726A3B" w:rsidRDefault="00DE0181" w:rsidP="00653811">
            <w:pPr>
              <w:jc w:val="both"/>
              <w:rPr>
                <w:rFonts w:ascii="Arial" w:hAnsi="Arial" w:cs="Arial"/>
              </w:rPr>
            </w:pPr>
            <w:r w:rsidRPr="00726A3B">
              <w:rPr>
                <w:rFonts w:ascii="Arial" w:hAnsi="Arial" w:cs="Arial"/>
              </w:rPr>
              <w:t xml:space="preserve">Tenders </w:t>
            </w:r>
            <w:r w:rsidRPr="00726A3B">
              <w:rPr>
                <w:rFonts w:ascii="Arial" w:hAnsi="Arial" w:cs="Arial"/>
                <w:b/>
              </w:rPr>
              <w:t>MUST NOT</w:t>
            </w:r>
            <w:r w:rsidRPr="00726A3B">
              <w:rPr>
                <w:rFonts w:ascii="Arial" w:hAnsi="Arial" w:cs="Arial"/>
              </w:rPr>
              <w:t xml:space="preserve"> be returned by any other means.</w:t>
            </w:r>
          </w:p>
        </w:tc>
      </w:tr>
      <w:tr w:rsidR="000A3BA3" w:rsidRPr="00D05A8B" w14:paraId="4E7B3BAE" w14:textId="77777777" w:rsidTr="086DBE37">
        <w:trPr>
          <w:trHeight w:val="779"/>
          <w:jc w:val="center"/>
        </w:trPr>
        <w:tc>
          <w:tcPr>
            <w:tcW w:w="2208" w:type="dxa"/>
          </w:tcPr>
          <w:p w14:paraId="4C598A2A" w14:textId="1732A602" w:rsidR="000A3BA3" w:rsidRPr="00D05A8B" w:rsidRDefault="00550881" w:rsidP="003D1ACD">
            <w:pPr>
              <w:jc w:val="both"/>
              <w:rPr>
                <w:rFonts w:ascii="Arial" w:hAnsi="Arial" w:cs="Arial"/>
              </w:rPr>
            </w:pPr>
            <w:r w:rsidRPr="0924A801">
              <w:rPr>
                <w:rFonts w:ascii="Arial" w:hAnsi="Arial" w:cs="Arial"/>
              </w:rPr>
              <w:t xml:space="preserve">Tender </w:t>
            </w:r>
            <w:r w:rsidR="003D1ACD" w:rsidRPr="0924A801">
              <w:rPr>
                <w:rFonts w:ascii="Arial" w:hAnsi="Arial" w:cs="Arial"/>
              </w:rPr>
              <w:t>Return Deadline</w:t>
            </w:r>
            <w:r w:rsidR="00505A11" w:rsidRPr="0924A801">
              <w:rPr>
                <w:rFonts w:ascii="Arial" w:hAnsi="Arial" w:cs="Arial"/>
              </w:rPr>
              <w:t xml:space="preserve"> </w:t>
            </w:r>
            <w:r w:rsidRPr="0924A801">
              <w:rPr>
                <w:rFonts w:ascii="Arial" w:hAnsi="Arial" w:cs="Arial"/>
              </w:rPr>
              <w:t>(</w:t>
            </w:r>
            <w:r w:rsidR="003D1ACD" w:rsidRPr="0924A801">
              <w:rPr>
                <w:rFonts w:ascii="Arial" w:hAnsi="Arial" w:cs="Arial"/>
              </w:rPr>
              <w:t xml:space="preserve">latest </w:t>
            </w:r>
            <w:r w:rsidR="00505A11" w:rsidRPr="0924A801">
              <w:rPr>
                <w:rFonts w:ascii="Arial" w:hAnsi="Arial" w:cs="Arial"/>
              </w:rPr>
              <w:t>d</w:t>
            </w:r>
            <w:r w:rsidR="003D1ACD" w:rsidRPr="0924A801">
              <w:rPr>
                <w:rFonts w:ascii="Arial" w:hAnsi="Arial" w:cs="Arial"/>
              </w:rPr>
              <w:t xml:space="preserve">ate </w:t>
            </w:r>
            <w:r w:rsidRPr="0924A801">
              <w:rPr>
                <w:rFonts w:ascii="Arial" w:hAnsi="Arial" w:cs="Arial"/>
              </w:rPr>
              <w:t>for return of the Tender)</w:t>
            </w:r>
            <w:r w:rsidR="000A3BA3" w:rsidRPr="0924A801">
              <w:rPr>
                <w:rFonts w:ascii="Arial" w:hAnsi="Arial" w:cs="Arial"/>
              </w:rPr>
              <w:t>:</w:t>
            </w:r>
          </w:p>
        </w:tc>
        <w:tc>
          <w:tcPr>
            <w:tcW w:w="8223" w:type="dxa"/>
          </w:tcPr>
          <w:p w14:paraId="221659AE" w14:textId="07CDEDFC" w:rsidR="000A3BA3" w:rsidRPr="00726A3B" w:rsidRDefault="009E2C87" w:rsidP="0924A801">
            <w:pPr>
              <w:jc w:val="both"/>
              <w:rPr>
                <w:rFonts w:ascii="Arial" w:hAnsi="Arial" w:cs="Arial"/>
                <w:b/>
                <w:bCs/>
                <w:u w:val="single"/>
              </w:rPr>
            </w:pPr>
            <w:r w:rsidRPr="009E2C87">
              <w:rPr>
                <w:rFonts w:ascii="Arial" w:hAnsi="Arial" w:cs="Arial"/>
                <w:b/>
                <w:bCs/>
                <w:u w:val="single"/>
              </w:rPr>
              <w:t>August 2nd 2024</w:t>
            </w:r>
          </w:p>
        </w:tc>
      </w:tr>
    </w:tbl>
    <w:p w14:paraId="5FB0D95F" w14:textId="77777777" w:rsidR="00EC2B5F" w:rsidRPr="00653811" w:rsidRDefault="005B7D32" w:rsidP="002D2D9A">
      <w:pPr>
        <w:pStyle w:val="ListParagraph"/>
        <w:numPr>
          <w:ilvl w:val="0"/>
          <w:numId w:val="6"/>
        </w:numPr>
        <w:ind w:left="709"/>
        <w:rPr>
          <w:rFonts w:ascii="Arial" w:hAnsi="Arial" w:cs="Arial"/>
          <w:b/>
        </w:rPr>
      </w:pPr>
      <w:r w:rsidRPr="00D05A8B">
        <w:rPr>
          <w:rFonts w:ascii="Arial" w:hAnsi="Arial" w:cs="Arial"/>
        </w:rPr>
        <w:br w:type="page"/>
      </w:r>
      <w:r w:rsidR="00EC2B5F" w:rsidRPr="00653811">
        <w:rPr>
          <w:rFonts w:ascii="Arial" w:hAnsi="Arial" w:cs="Arial"/>
          <w:b/>
        </w:rPr>
        <w:lastRenderedPageBreak/>
        <w:t>IMPORTANT NOTICE</w:t>
      </w:r>
    </w:p>
    <w:p w14:paraId="1E900C9F" w14:textId="77777777" w:rsidR="00EC2B5F" w:rsidRPr="00D05A8B" w:rsidRDefault="00EC2B5F" w:rsidP="00653811">
      <w:pPr>
        <w:jc w:val="both"/>
        <w:rPr>
          <w:rFonts w:ascii="Arial" w:hAnsi="Arial" w:cs="Arial"/>
        </w:rPr>
      </w:pPr>
      <w:r w:rsidRPr="00D05A8B">
        <w:rPr>
          <w:rFonts w:ascii="Arial" w:hAnsi="Arial" w:cs="Arial"/>
        </w:rPr>
        <w:t>The Contracting Authority has issued this Invitation to Tender (“ITT”) to Tenderers, to allow them and their professional advisers to prepare a Tender for this Contract and for no other purpose.</w:t>
      </w:r>
    </w:p>
    <w:p w14:paraId="1740F3F3" w14:textId="77777777" w:rsidR="00EC2B5F" w:rsidRPr="00D05A8B" w:rsidRDefault="00EC2B5F" w:rsidP="00653811">
      <w:pPr>
        <w:jc w:val="both"/>
        <w:rPr>
          <w:rFonts w:ascii="Arial" w:hAnsi="Arial" w:cs="Arial"/>
          <w:b/>
        </w:rPr>
      </w:pPr>
      <w:r w:rsidRPr="00D05A8B">
        <w:rPr>
          <w:rFonts w:ascii="Arial" w:hAnsi="Arial" w:cs="Arial"/>
          <w:b/>
        </w:rPr>
        <w:t>Confidentiality and Freedom of Information</w:t>
      </w:r>
    </w:p>
    <w:p w14:paraId="31DB6FFE" w14:textId="51F7B45F" w:rsidR="00EC2B5F" w:rsidRPr="00D05A8B" w:rsidRDefault="00EC2B5F" w:rsidP="00653811">
      <w:pPr>
        <w:jc w:val="both"/>
        <w:rPr>
          <w:rFonts w:ascii="Arial" w:hAnsi="Arial" w:cs="Arial"/>
        </w:rPr>
      </w:pPr>
      <w:r w:rsidRPr="00D05A8B">
        <w:rPr>
          <w:rFonts w:ascii="Arial" w:hAnsi="Arial" w:cs="Arial"/>
        </w:rPr>
        <w:t xml:space="preserve">This </w:t>
      </w:r>
      <w:r w:rsidR="000F0D6B">
        <w:rPr>
          <w:rFonts w:ascii="Arial" w:hAnsi="Arial" w:cs="Arial"/>
        </w:rPr>
        <w:t>ITT</w:t>
      </w:r>
      <w:r w:rsidRPr="00D05A8B">
        <w:rPr>
          <w:rFonts w:ascii="Arial" w:hAnsi="Arial" w:cs="Arial"/>
        </w:rPr>
        <w:t xml:space="preserve"> is made available on the condition that its contents (including the fact that the Tenderer has received this </w:t>
      </w:r>
      <w:r w:rsidR="000F0D6B">
        <w:rPr>
          <w:rFonts w:ascii="Arial" w:hAnsi="Arial" w:cs="Arial"/>
        </w:rPr>
        <w:t>ITT</w:t>
      </w:r>
      <w:r w:rsidRPr="00D05A8B">
        <w:rPr>
          <w:rFonts w:ascii="Arial" w:hAnsi="Arial" w:cs="Arial"/>
        </w:rPr>
        <w:t xml:space="preserve">) are kept confidential by the Tenderer and is not copied, reproduced, distributed or passed to any other person at any time, except for the purpose of enabling the Tenderer to submit a </w:t>
      </w:r>
      <w:r w:rsidR="008036ED">
        <w:rPr>
          <w:rFonts w:ascii="Arial" w:hAnsi="Arial" w:cs="Arial"/>
        </w:rPr>
        <w:t>T</w:t>
      </w:r>
      <w:r w:rsidRPr="00D05A8B">
        <w:rPr>
          <w:rFonts w:ascii="Arial" w:hAnsi="Arial" w:cs="Arial"/>
        </w:rPr>
        <w:t xml:space="preserve">ender.  If Tenderers are unable or unwilling to keep to this </w:t>
      </w:r>
      <w:proofErr w:type="gramStart"/>
      <w:r w:rsidRPr="00D05A8B">
        <w:rPr>
          <w:rFonts w:ascii="Arial" w:hAnsi="Arial" w:cs="Arial"/>
        </w:rPr>
        <w:t>rule</w:t>
      </w:r>
      <w:proofErr w:type="gramEnd"/>
      <w:r w:rsidRPr="00D05A8B">
        <w:rPr>
          <w:rFonts w:ascii="Arial" w:hAnsi="Arial" w:cs="Arial"/>
        </w:rPr>
        <w:t xml:space="preserve"> they</w:t>
      </w:r>
      <w:r w:rsidR="00505A11">
        <w:rPr>
          <w:rFonts w:ascii="Arial" w:hAnsi="Arial" w:cs="Arial"/>
        </w:rPr>
        <w:t>:</w:t>
      </w:r>
    </w:p>
    <w:p w14:paraId="4A643E63" w14:textId="77777777" w:rsidR="00EC2B5F" w:rsidRPr="00D05A8B" w:rsidRDefault="00DA21B2" w:rsidP="002D2D9A">
      <w:pPr>
        <w:numPr>
          <w:ilvl w:val="0"/>
          <w:numId w:val="1"/>
        </w:numPr>
        <w:jc w:val="both"/>
        <w:rPr>
          <w:rFonts w:ascii="Arial" w:hAnsi="Arial" w:cs="Arial"/>
        </w:rPr>
      </w:pPr>
      <w:r>
        <w:rPr>
          <w:rFonts w:ascii="Arial" w:hAnsi="Arial" w:cs="Arial"/>
        </w:rPr>
        <w:t xml:space="preserve">should </w:t>
      </w:r>
      <w:r w:rsidR="00EC2B5F" w:rsidRPr="00D05A8B">
        <w:rPr>
          <w:rFonts w:ascii="Arial" w:hAnsi="Arial" w:cs="Arial"/>
        </w:rPr>
        <w:t>destroy this ITT and all associated documents at once; and</w:t>
      </w:r>
    </w:p>
    <w:p w14:paraId="02BA3103" w14:textId="77777777" w:rsidR="00EC2B5F" w:rsidRPr="00D05A8B" w:rsidRDefault="00DA21B2" w:rsidP="002D2D9A">
      <w:pPr>
        <w:numPr>
          <w:ilvl w:val="0"/>
          <w:numId w:val="1"/>
        </w:numPr>
        <w:jc w:val="both"/>
        <w:rPr>
          <w:rFonts w:ascii="Arial" w:hAnsi="Arial" w:cs="Arial"/>
        </w:rPr>
      </w:pPr>
      <w:r>
        <w:rPr>
          <w:rFonts w:ascii="Arial" w:hAnsi="Arial" w:cs="Arial"/>
        </w:rPr>
        <w:t xml:space="preserve">should </w:t>
      </w:r>
      <w:r w:rsidR="00EC2B5F" w:rsidRPr="00D05A8B">
        <w:rPr>
          <w:rFonts w:ascii="Arial" w:hAnsi="Arial" w:cs="Arial"/>
        </w:rPr>
        <w:t>not keep any electronic or paper copies.</w:t>
      </w:r>
    </w:p>
    <w:p w14:paraId="3BF6F9C9" w14:textId="77777777" w:rsidR="00EC2B5F" w:rsidRPr="00D05A8B" w:rsidRDefault="00EC2B5F" w:rsidP="00653811">
      <w:pPr>
        <w:jc w:val="both"/>
        <w:rPr>
          <w:rFonts w:ascii="Arial" w:hAnsi="Arial" w:cs="Arial"/>
        </w:rPr>
      </w:pPr>
      <w:r w:rsidRPr="00D05A8B">
        <w:rPr>
          <w:rFonts w:ascii="Arial" w:hAnsi="Arial" w:cs="Arial"/>
        </w:rPr>
        <w:t>As a public body, the Contracting Authority is subject to the provisions of the Freedom of Information Act 2000 (FOIA) in respect of information it holds (including third-party information).  Any member of the public or other interested party may make a request for information under this act.</w:t>
      </w:r>
    </w:p>
    <w:p w14:paraId="0CD9689F" w14:textId="77777777" w:rsidR="00EC2B5F" w:rsidRPr="00D05A8B" w:rsidRDefault="00EC2B5F" w:rsidP="00653811">
      <w:pPr>
        <w:jc w:val="both"/>
        <w:rPr>
          <w:rFonts w:ascii="Arial" w:hAnsi="Arial" w:cs="Arial"/>
        </w:rPr>
      </w:pPr>
      <w:r w:rsidRPr="00D05A8B">
        <w:rPr>
          <w:rFonts w:ascii="Arial" w:hAnsi="Arial" w:cs="Arial"/>
        </w:rPr>
        <w:t xml:space="preserve">Tenderers should be aware that, in compliance with its transparency obligations, the Contracting Authority routinely publishes details of its </w:t>
      </w:r>
      <w:r w:rsidR="00494CAF">
        <w:rPr>
          <w:rFonts w:ascii="Arial" w:hAnsi="Arial" w:cs="Arial"/>
        </w:rPr>
        <w:t xml:space="preserve">awarded </w:t>
      </w:r>
      <w:r w:rsidR="00F90DAD">
        <w:rPr>
          <w:rFonts w:ascii="Arial" w:hAnsi="Arial" w:cs="Arial"/>
        </w:rPr>
        <w:t>c</w:t>
      </w:r>
      <w:r w:rsidRPr="00D05A8B">
        <w:rPr>
          <w:rFonts w:ascii="Arial" w:hAnsi="Arial" w:cs="Arial"/>
        </w:rPr>
        <w:t xml:space="preserve">ontract, including the </w:t>
      </w:r>
      <w:r w:rsidR="00F90DAD">
        <w:rPr>
          <w:rFonts w:ascii="Arial" w:hAnsi="Arial" w:cs="Arial"/>
        </w:rPr>
        <w:t>c</w:t>
      </w:r>
      <w:r w:rsidRPr="00D05A8B">
        <w:rPr>
          <w:rFonts w:ascii="Arial" w:hAnsi="Arial" w:cs="Arial"/>
        </w:rPr>
        <w:t xml:space="preserve">ontract values and the identities of its suppliers on its website without consulting the </w:t>
      </w:r>
      <w:r w:rsidR="00494CAF">
        <w:rPr>
          <w:rFonts w:ascii="Arial" w:hAnsi="Arial" w:cs="Arial"/>
        </w:rPr>
        <w:t>supplier</w:t>
      </w:r>
      <w:r w:rsidRPr="00D05A8B">
        <w:rPr>
          <w:rFonts w:ascii="Arial" w:hAnsi="Arial" w:cs="Arial"/>
        </w:rPr>
        <w:t xml:space="preserve"> of that information.</w:t>
      </w:r>
    </w:p>
    <w:p w14:paraId="0B8F42A7" w14:textId="14864BFD" w:rsidR="00EC2B5F" w:rsidRPr="00D05A8B" w:rsidRDefault="00EC2B5F" w:rsidP="00653811">
      <w:pPr>
        <w:jc w:val="both"/>
        <w:rPr>
          <w:rFonts w:ascii="Arial" w:hAnsi="Arial" w:cs="Arial"/>
        </w:rPr>
      </w:pPr>
      <w:r w:rsidRPr="00D05A8B">
        <w:rPr>
          <w:rFonts w:ascii="Arial" w:hAnsi="Arial" w:cs="Arial"/>
        </w:rPr>
        <w:t xml:space="preserve">The Contracting Authority shall treat all Tenderers’ responses as confidential during the procurement process.  Requests for information received following the procurement process shall be considered on a case-by-case basis, applying the principles of the FOIA, which permits certain information to be withheld, for example where disclosure would be prejudicial to a party’s commercial interests and in accordance with the Contracting Authority’s transparency obligations.  </w:t>
      </w:r>
      <w:r w:rsidR="00505A11" w:rsidRPr="00D05A8B">
        <w:rPr>
          <w:rFonts w:ascii="Arial" w:hAnsi="Arial" w:cs="Arial"/>
        </w:rPr>
        <w:t>Therefore,</w:t>
      </w:r>
      <w:r w:rsidRPr="00D05A8B">
        <w:rPr>
          <w:rFonts w:ascii="Arial" w:hAnsi="Arial" w:cs="Arial"/>
        </w:rPr>
        <w:t xml:space="preserve"> Tenderers are responsible for ensuring that any confidential or commercially sensitive information, the disclosure of which would be likely to diminish the Tenderer’s competitive edge has been clearly identified to the Contracting Authority in the template provided at Schedule 7.</w:t>
      </w:r>
    </w:p>
    <w:p w14:paraId="11FCBE90" w14:textId="77777777" w:rsidR="00EC2B5F" w:rsidRDefault="00EC2B5F" w:rsidP="00653811">
      <w:pPr>
        <w:jc w:val="both"/>
        <w:rPr>
          <w:rFonts w:ascii="Arial" w:hAnsi="Arial" w:cs="Arial"/>
        </w:rPr>
      </w:pPr>
      <w:r w:rsidRPr="00D05A8B">
        <w:rPr>
          <w:rFonts w:ascii="Arial" w:hAnsi="Arial" w:cs="Arial"/>
        </w:rPr>
        <w:t xml:space="preserve">Tenderers must not take part in any publicity activities with any part of the media about the </w:t>
      </w:r>
      <w:r w:rsidR="008036ED">
        <w:rPr>
          <w:rFonts w:ascii="Arial" w:hAnsi="Arial" w:cs="Arial"/>
        </w:rPr>
        <w:t>C</w:t>
      </w:r>
      <w:r w:rsidRPr="00D05A8B">
        <w:rPr>
          <w:rFonts w:ascii="Arial" w:hAnsi="Arial" w:cs="Arial"/>
        </w:rPr>
        <w:t xml:space="preserve">ontract or this ITT process without </w:t>
      </w:r>
      <w:r w:rsidR="000F0D6B">
        <w:rPr>
          <w:rFonts w:ascii="Arial" w:hAnsi="Arial" w:cs="Arial"/>
        </w:rPr>
        <w:t>obtaining</w:t>
      </w:r>
      <w:r w:rsidRPr="00D05A8B">
        <w:rPr>
          <w:rFonts w:ascii="Arial" w:hAnsi="Arial" w:cs="Arial"/>
        </w:rPr>
        <w:t xml:space="preserve"> the express </w:t>
      </w:r>
      <w:r w:rsidR="0076698B">
        <w:rPr>
          <w:rFonts w:ascii="Arial" w:hAnsi="Arial" w:cs="Arial"/>
        </w:rPr>
        <w:t xml:space="preserve">prior </w:t>
      </w:r>
      <w:r w:rsidRPr="00D05A8B">
        <w:rPr>
          <w:rFonts w:ascii="Arial" w:hAnsi="Arial" w:cs="Arial"/>
        </w:rPr>
        <w:t xml:space="preserve">written agreement </w:t>
      </w:r>
      <w:r w:rsidR="0076698B">
        <w:rPr>
          <w:rFonts w:ascii="Arial" w:hAnsi="Arial" w:cs="Arial"/>
        </w:rPr>
        <w:t>of</w:t>
      </w:r>
      <w:r w:rsidRPr="00D05A8B">
        <w:rPr>
          <w:rFonts w:ascii="Arial" w:hAnsi="Arial" w:cs="Arial"/>
        </w:rPr>
        <w:t xml:space="preserve"> the </w:t>
      </w:r>
      <w:r w:rsidR="008F4455" w:rsidRPr="00D05A8B">
        <w:rPr>
          <w:rFonts w:ascii="Arial" w:hAnsi="Arial" w:cs="Arial"/>
        </w:rPr>
        <w:t>C</w:t>
      </w:r>
      <w:r w:rsidRPr="00D05A8B">
        <w:rPr>
          <w:rFonts w:ascii="Arial" w:hAnsi="Arial" w:cs="Arial"/>
        </w:rPr>
        <w:t xml:space="preserve">ontracting </w:t>
      </w:r>
      <w:r w:rsidR="008F4455" w:rsidRPr="00D05A8B">
        <w:rPr>
          <w:rFonts w:ascii="Arial" w:hAnsi="Arial" w:cs="Arial"/>
        </w:rPr>
        <w:t>A</w:t>
      </w:r>
      <w:r w:rsidRPr="00D05A8B">
        <w:rPr>
          <w:rFonts w:ascii="Arial" w:hAnsi="Arial" w:cs="Arial"/>
        </w:rPr>
        <w:t xml:space="preserve">uthority.  </w:t>
      </w:r>
      <w:r w:rsidR="0076698B">
        <w:rPr>
          <w:rFonts w:ascii="Arial" w:hAnsi="Arial" w:cs="Arial"/>
        </w:rPr>
        <w:t xml:space="preserve">When requesting prior written </w:t>
      </w:r>
      <w:r w:rsidR="00A31C6E">
        <w:rPr>
          <w:rFonts w:ascii="Arial" w:hAnsi="Arial" w:cs="Arial"/>
        </w:rPr>
        <w:t>agreement T</w:t>
      </w:r>
      <w:r w:rsidR="0076698B">
        <w:rPr>
          <w:rFonts w:ascii="Arial" w:hAnsi="Arial" w:cs="Arial"/>
        </w:rPr>
        <w:t>enderers should detail the proposed media coverage including</w:t>
      </w:r>
      <w:r w:rsidRPr="00D05A8B">
        <w:rPr>
          <w:rFonts w:ascii="Arial" w:hAnsi="Arial" w:cs="Arial"/>
        </w:rPr>
        <w:t xml:space="preserve"> format and content of any publicity.</w:t>
      </w:r>
    </w:p>
    <w:p w14:paraId="28274F24" w14:textId="77777777" w:rsidR="00EC2B5F" w:rsidRPr="00D05A8B" w:rsidRDefault="00D66962" w:rsidP="00653811">
      <w:pPr>
        <w:jc w:val="both"/>
        <w:rPr>
          <w:rFonts w:ascii="Arial" w:hAnsi="Arial" w:cs="Arial"/>
        </w:rPr>
      </w:pPr>
      <w:r>
        <w:rPr>
          <w:rFonts w:ascii="Arial" w:hAnsi="Arial" w:cs="Arial"/>
        </w:rPr>
        <w:br w:type="page"/>
      </w:r>
      <w:r w:rsidR="00EC2B5F" w:rsidRPr="00D05A8B">
        <w:rPr>
          <w:rFonts w:ascii="Arial" w:hAnsi="Arial" w:cs="Arial"/>
        </w:rPr>
        <w:lastRenderedPageBreak/>
        <w:t>This ITT is made available in good faith.  While the information contained in this ITT is believed to be correct at the time of issue, the Contracting Authority, its advisors, or any other awarding authorities will not accept any liability for its accuracy, adequacy or completeness, nor will any express or implied warranty be given.  This exclusion extends to liability in relation to any statement, opinion or conclusion contained in or any omission from this ITT (including its appendices) and in respect of any other written or oral communication transmitted (or otherwise made available) to any Tenderer.  This exclusion does not extend to any fraudulent misrepresentation made by or on behalf of the Contracting Authority.</w:t>
      </w:r>
    </w:p>
    <w:p w14:paraId="0713CDBB" w14:textId="77777777" w:rsidR="00EC2B5F" w:rsidRPr="00D05A8B" w:rsidRDefault="00EC2B5F" w:rsidP="00653811">
      <w:pPr>
        <w:jc w:val="both"/>
        <w:rPr>
          <w:rFonts w:ascii="Arial" w:hAnsi="Arial" w:cs="Arial"/>
        </w:rPr>
      </w:pPr>
      <w:r w:rsidRPr="00D05A8B">
        <w:rPr>
          <w:rFonts w:ascii="Arial" w:hAnsi="Arial" w:cs="Arial"/>
        </w:rPr>
        <w:t xml:space="preserve">Neither the issue of this ITT nor any of the information presented in it should be regarded as a commitment or representation on the part of the </w:t>
      </w:r>
      <w:r w:rsidR="008B0C40">
        <w:rPr>
          <w:rFonts w:ascii="Arial" w:hAnsi="Arial" w:cs="Arial"/>
        </w:rPr>
        <w:t>C</w:t>
      </w:r>
      <w:r w:rsidRPr="00D05A8B">
        <w:rPr>
          <w:rFonts w:ascii="Arial" w:hAnsi="Arial" w:cs="Arial"/>
        </w:rPr>
        <w:t xml:space="preserve">ontracting </w:t>
      </w:r>
      <w:r w:rsidR="008B0C40">
        <w:rPr>
          <w:rFonts w:ascii="Arial" w:hAnsi="Arial" w:cs="Arial"/>
        </w:rPr>
        <w:t>A</w:t>
      </w:r>
      <w:r w:rsidRPr="00D05A8B">
        <w:rPr>
          <w:rFonts w:ascii="Arial" w:hAnsi="Arial" w:cs="Arial"/>
        </w:rPr>
        <w:t>uthority (or any other person) to enter into a contractual agreement.</w:t>
      </w:r>
    </w:p>
    <w:p w14:paraId="24933432" w14:textId="6F9EBDCE" w:rsidR="00EC2B5F" w:rsidRPr="00D05A8B" w:rsidRDefault="00EC2B5F" w:rsidP="0051096E">
      <w:pPr>
        <w:jc w:val="both"/>
        <w:rPr>
          <w:rFonts w:ascii="Arial" w:hAnsi="Arial" w:cs="Arial"/>
        </w:rPr>
      </w:pPr>
      <w:r w:rsidRPr="00D05A8B">
        <w:rPr>
          <w:rFonts w:ascii="Arial" w:hAnsi="Arial" w:cs="Arial"/>
        </w:rPr>
        <w:t xml:space="preserve">The Contracting Authority reserves the right to cancel the </w:t>
      </w:r>
      <w:r w:rsidR="008036ED">
        <w:rPr>
          <w:rFonts w:ascii="Arial" w:hAnsi="Arial" w:cs="Arial"/>
        </w:rPr>
        <w:t>T</w:t>
      </w:r>
      <w:r w:rsidRPr="00D05A8B">
        <w:rPr>
          <w:rFonts w:ascii="Arial" w:hAnsi="Arial" w:cs="Arial"/>
        </w:rPr>
        <w:t xml:space="preserve">ender process at any point and/or to choose not to award any </w:t>
      </w:r>
      <w:r w:rsidR="008036ED">
        <w:rPr>
          <w:rFonts w:ascii="Arial" w:hAnsi="Arial" w:cs="Arial"/>
        </w:rPr>
        <w:t>C</w:t>
      </w:r>
      <w:r w:rsidRPr="00D05A8B">
        <w:rPr>
          <w:rFonts w:ascii="Arial" w:hAnsi="Arial" w:cs="Arial"/>
        </w:rPr>
        <w:t xml:space="preserve">ontract (or lot) </w:t>
      </w:r>
      <w:proofErr w:type="gramStart"/>
      <w:r w:rsidRPr="00D05A8B">
        <w:rPr>
          <w:rFonts w:ascii="Arial" w:hAnsi="Arial" w:cs="Arial"/>
        </w:rPr>
        <w:t>as a result of</w:t>
      </w:r>
      <w:proofErr w:type="gramEnd"/>
      <w:r w:rsidRPr="00D05A8B">
        <w:rPr>
          <w:rFonts w:ascii="Arial" w:hAnsi="Arial" w:cs="Arial"/>
        </w:rPr>
        <w:t xml:space="preserve"> the current procurement process. </w:t>
      </w:r>
      <w:r w:rsidR="000E3BB5" w:rsidRPr="00D05A8B">
        <w:rPr>
          <w:rFonts w:ascii="Arial" w:hAnsi="Arial" w:cs="Arial"/>
        </w:rPr>
        <w:t xml:space="preserve">The Contracting Authority makes no guarantee of any volumes of </w:t>
      </w:r>
      <w:r w:rsidR="00F44E9C" w:rsidRPr="00D05A8B">
        <w:rPr>
          <w:rFonts w:ascii="Arial" w:hAnsi="Arial" w:cs="Arial"/>
        </w:rPr>
        <w:t>work placed</w:t>
      </w:r>
      <w:r w:rsidR="000E3BB5" w:rsidRPr="00D05A8B">
        <w:rPr>
          <w:rFonts w:ascii="Arial" w:hAnsi="Arial" w:cs="Arial"/>
        </w:rPr>
        <w:t xml:space="preserve"> under the Contract.  </w:t>
      </w:r>
      <w:r w:rsidRPr="00D05A8B">
        <w:rPr>
          <w:rFonts w:ascii="Arial" w:hAnsi="Arial" w:cs="Arial"/>
        </w:rPr>
        <w:t xml:space="preserve"> The Contracting Authority is not liable for any costs or expenditure resulting from any cancellation or amendment of this </w:t>
      </w:r>
      <w:r w:rsidR="008036ED">
        <w:rPr>
          <w:rFonts w:ascii="Arial" w:hAnsi="Arial" w:cs="Arial"/>
        </w:rPr>
        <w:t>T</w:t>
      </w:r>
      <w:r w:rsidRPr="00D05A8B">
        <w:rPr>
          <w:rFonts w:ascii="Arial" w:hAnsi="Arial" w:cs="Arial"/>
        </w:rPr>
        <w:t xml:space="preserve">ender process or for any other costs </w:t>
      </w:r>
      <w:r w:rsidR="00AD30E3">
        <w:rPr>
          <w:rFonts w:ascii="Arial" w:hAnsi="Arial" w:cs="Arial"/>
        </w:rPr>
        <w:t>which</w:t>
      </w:r>
      <w:r w:rsidR="00AD30E3" w:rsidRPr="00D05A8B">
        <w:rPr>
          <w:rFonts w:ascii="Arial" w:hAnsi="Arial" w:cs="Arial"/>
        </w:rPr>
        <w:t xml:space="preserve"> </w:t>
      </w:r>
      <w:r w:rsidR="008036ED">
        <w:rPr>
          <w:rFonts w:ascii="Arial" w:hAnsi="Arial" w:cs="Arial"/>
        </w:rPr>
        <w:t>T</w:t>
      </w:r>
      <w:r w:rsidRPr="00D05A8B">
        <w:rPr>
          <w:rFonts w:ascii="Arial" w:hAnsi="Arial" w:cs="Arial"/>
        </w:rPr>
        <w:t xml:space="preserve">enderers may incur by tendering for this </w:t>
      </w:r>
      <w:r w:rsidR="008036ED">
        <w:rPr>
          <w:rFonts w:ascii="Arial" w:hAnsi="Arial" w:cs="Arial"/>
        </w:rPr>
        <w:t>C</w:t>
      </w:r>
      <w:r w:rsidRPr="00D05A8B">
        <w:rPr>
          <w:rFonts w:ascii="Arial" w:hAnsi="Arial" w:cs="Arial"/>
        </w:rPr>
        <w:t>ontract.</w:t>
      </w:r>
    </w:p>
    <w:p w14:paraId="3E463B41" w14:textId="77777777" w:rsidR="000A3BA3" w:rsidRDefault="00610971" w:rsidP="002D2D9A">
      <w:pPr>
        <w:pStyle w:val="ListParagraph"/>
        <w:numPr>
          <w:ilvl w:val="0"/>
          <w:numId w:val="6"/>
        </w:numPr>
        <w:tabs>
          <w:tab w:val="left" w:pos="709"/>
        </w:tabs>
        <w:ind w:left="709"/>
        <w:rPr>
          <w:rFonts w:ascii="Arial" w:hAnsi="Arial" w:cs="Arial"/>
          <w:b/>
        </w:rPr>
      </w:pPr>
      <w:r w:rsidRPr="00653811">
        <w:rPr>
          <w:rFonts w:ascii="Arial" w:hAnsi="Arial" w:cs="Arial"/>
          <w:b/>
        </w:rPr>
        <w:t>IMPORTANT INFORMATION FOR TENDERERS</w:t>
      </w:r>
    </w:p>
    <w:p w14:paraId="275C0555" w14:textId="77777777" w:rsidR="00F86A91" w:rsidRPr="00653811" w:rsidRDefault="00F86A91" w:rsidP="00653811">
      <w:pPr>
        <w:pStyle w:val="ListParagraph"/>
        <w:tabs>
          <w:tab w:val="left" w:pos="709"/>
        </w:tabs>
        <w:ind w:left="709"/>
        <w:rPr>
          <w:rFonts w:ascii="Arial" w:hAnsi="Arial" w:cs="Arial"/>
          <w:b/>
        </w:rPr>
      </w:pPr>
    </w:p>
    <w:p w14:paraId="4C450D97" w14:textId="7F1DE274" w:rsidR="002C1400" w:rsidRDefault="002C1400" w:rsidP="00627248">
      <w:pPr>
        <w:pStyle w:val="ListParagraph"/>
        <w:numPr>
          <w:ilvl w:val="1"/>
          <w:numId w:val="6"/>
        </w:numPr>
        <w:ind w:left="709" w:hanging="709"/>
        <w:jc w:val="both"/>
        <w:rPr>
          <w:rFonts w:ascii="Arial" w:hAnsi="Arial" w:cs="Arial"/>
        </w:rPr>
      </w:pPr>
      <w:r w:rsidRPr="0051096E">
        <w:rPr>
          <w:rFonts w:ascii="Arial" w:hAnsi="Arial" w:cs="Arial"/>
        </w:rPr>
        <w:t xml:space="preserve">The Contracting Authority is issuing this Tender in accordance with its Standing Financial Instructions. The contract value is below the current Public Contracts Regulations (2015) threshold. The Contracting Authority will conduct this tender process in line with procurement best practice </w:t>
      </w:r>
      <w:proofErr w:type="gramStart"/>
      <w:r w:rsidRPr="0051096E">
        <w:rPr>
          <w:rFonts w:ascii="Arial" w:hAnsi="Arial" w:cs="Arial"/>
        </w:rPr>
        <w:t>and also</w:t>
      </w:r>
      <w:proofErr w:type="gramEnd"/>
      <w:r w:rsidRPr="0051096E">
        <w:rPr>
          <w:rFonts w:ascii="Arial" w:hAnsi="Arial" w:cs="Arial"/>
        </w:rPr>
        <w:t xml:space="preserve"> in line with the principles of the EC Treaty to afford fairness, competition and transparency in public procurement.</w:t>
      </w:r>
    </w:p>
    <w:p w14:paraId="38856929" w14:textId="77777777" w:rsidR="00505A11" w:rsidRPr="0051096E" w:rsidRDefault="00505A11" w:rsidP="00505A11">
      <w:pPr>
        <w:pStyle w:val="ListParagraph"/>
        <w:ind w:left="709"/>
        <w:jc w:val="both"/>
        <w:rPr>
          <w:rFonts w:ascii="Arial" w:hAnsi="Arial" w:cs="Arial"/>
        </w:rPr>
      </w:pPr>
    </w:p>
    <w:p w14:paraId="102748D4" w14:textId="69E8E975" w:rsidR="003F04DC" w:rsidRDefault="000A31F4" w:rsidP="002D2D9A">
      <w:pPr>
        <w:pStyle w:val="ListParagraph"/>
        <w:numPr>
          <w:ilvl w:val="1"/>
          <w:numId w:val="6"/>
        </w:numPr>
        <w:ind w:left="709" w:hanging="709"/>
        <w:jc w:val="both"/>
        <w:rPr>
          <w:rFonts w:ascii="Arial" w:hAnsi="Arial" w:cs="Arial"/>
        </w:rPr>
      </w:pPr>
      <w:r w:rsidRPr="0051096E">
        <w:rPr>
          <w:rFonts w:ascii="Arial" w:hAnsi="Arial" w:cs="Arial"/>
        </w:rPr>
        <w:t xml:space="preserve">This ITT contains further information about the procurement process, the </w:t>
      </w:r>
      <w:r w:rsidR="0051096E" w:rsidRPr="0051096E">
        <w:rPr>
          <w:rFonts w:ascii="Arial" w:hAnsi="Arial" w:cs="Arial"/>
        </w:rPr>
        <w:t xml:space="preserve">Works </w:t>
      </w:r>
      <w:r w:rsidR="008C15D4" w:rsidRPr="0051096E">
        <w:rPr>
          <w:rFonts w:ascii="Arial" w:hAnsi="Arial" w:cs="Arial"/>
        </w:rPr>
        <w:t xml:space="preserve">required </w:t>
      </w:r>
      <w:r w:rsidR="003F04DC" w:rsidRPr="0051096E">
        <w:rPr>
          <w:rFonts w:ascii="Arial" w:hAnsi="Arial" w:cs="Arial"/>
        </w:rPr>
        <w:t xml:space="preserve">and assessment questions for Tenderers to complete.  Each Tenderer’s response should be detailed enough to allow the Contracting Authority to </w:t>
      </w:r>
      <w:r w:rsidR="0009021F" w:rsidRPr="0051096E">
        <w:rPr>
          <w:rFonts w:ascii="Arial" w:hAnsi="Arial" w:cs="Arial"/>
        </w:rPr>
        <w:t>evaluate in</w:t>
      </w:r>
      <w:r w:rsidR="0009021F">
        <w:rPr>
          <w:rFonts w:ascii="Arial" w:hAnsi="Arial" w:cs="Arial"/>
        </w:rPr>
        <w:t xml:space="preserve"> accordance with the evaluation criteria</w:t>
      </w:r>
      <w:r w:rsidR="003F04DC" w:rsidRPr="00653811">
        <w:rPr>
          <w:rFonts w:ascii="Arial" w:hAnsi="Arial" w:cs="Arial"/>
        </w:rPr>
        <w:t xml:space="preserve">. </w:t>
      </w:r>
    </w:p>
    <w:p w14:paraId="4E21A0DE" w14:textId="77777777" w:rsidR="00527792" w:rsidRPr="00653811" w:rsidRDefault="00527792" w:rsidP="00653811">
      <w:pPr>
        <w:pStyle w:val="ListParagraph"/>
        <w:ind w:left="709" w:hanging="709"/>
        <w:jc w:val="both"/>
        <w:rPr>
          <w:rFonts w:ascii="Arial" w:hAnsi="Arial" w:cs="Arial"/>
        </w:rPr>
      </w:pPr>
    </w:p>
    <w:p w14:paraId="3144FC27" w14:textId="4B0EAD58" w:rsidR="00D858B2" w:rsidRDefault="003F04DC" w:rsidP="0051096E">
      <w:pPr>
        <w:pStyle w:val="ListParagraph"/>
        <w:numPr>
          <w:ilvl w:val="1"/>
          <w:numId w:val="6"/>
        </w:numPr>
        <w:ind w:left="709" w:hanging="709"/>
        <w:jc w:val="both"/>
        <w:rPr>
          <w:rFonts w:ascii="Arial" w:hAnsi="Arial" w:cs="Arial"/>
        </w:rPr>
      </w:pPr>
      <w:r w:rsidRPr="00653811">
        <w:rPr>
          <w:rFonts w:ascii="Arial" w:hAnsi="Arial" w:cs="Arial"/>
        </w:rPr>
        <w:t xml:space="preserve">The Contracting Authority is using the </w:t>
      </w:r>
      <w:proofErr w:type="spellStart"/>
      <w:r w:rsidRPr="00653811">
        <w:rPr>
          <w:rFonts w:ascii="Arial" w:hAnsi="Arial" w:cs="Arial"/>
        </w:rPr>
        <w:t>ProContract</w:t>
      </w:r>
      <w:proofErr w:type="spellEnd"/>
      <w:r w:rsidRPr="00653811">
        <w:rPr>
          <w:rFonts w:ascii="Arial" w:hAnsi="Arial" w:cs="Arial"/>
        </w:rPr>
        <w:t xml:space="preserve"> E-tendering portal to conduct the procurement process.  The </w:t>
      </w:r>
      <w:proofErr w:type="spellStart"/>
      <w:r w:rsidRPr="00653811">
        <w:rPr>
          <w:rFonts w:ascii="Arial" w:hAnsi="Arial" w:cs="Arial"/>
        </w:rPr>
        <w:t>ProContract</w:t>
      </w:r>
      <w:proofErr w:type="spellEnd"/>
      <w:r w:rsidRPr="00653811">
        <w:rPr>
          <w:rFonts w:ascii="Arial" w:hAnsi="Arial" w:cs="Arial"/>
        </w:rPr>
        <w:t xml:space="preserve"> E-tendering portal can be accessed at </w:t>
      </w:r>
      <w:hyperlink r:id="rId12" w:history="1">
        <w:r w:rsidR="00D66962" w:rsidRPr="00653811">
          <w:rPr>
            <w:rStyle w:val="Hyperlink"/>
            <w:rFonts w:ascii="Arial" w:hAnsi="Arial" w:cs="Arial"/>
          </w:rPr>
          <w:t>https://procontract.due-north.com</w:t>
        </w:r>
      </w:hyperlink>
      <w:r w:rsidR="00D66962">
        <w:rPr>
          <w:rFonts w:ascii="Arial" w:hAnsi="Arial" w:cs="Arial"/>
        </w:rPr>
        <w:t xml:space="preserve"> </w:t>
      </w:r>
      <w:r w:rsidRPr="00653811">
        <w:rPr>
          <w:rFonts w:ascii="Arial" w:hAnsi="Arial" w:cs="Arial"/>
        </w:rPr>
        <w:t xml:space="preserve"> All communications (including submission of </w:t>
      </w:r>
      <w:r w:rsidR="00C4060D" w:rsidRPr="00653811">
        <w:rPr>
          <w:rFonts w:ascii="Arial" w:hAnsi="Arial" w:cs="Arial"/>
        </w:rPr>
        <w:t>T</w:t>
      </w:r>
      <w:r w:rsidRPr="00653811">
        <w:rPr>
          <w:rFonts w:ascii="Arial" w:hAnsi="Arial" w:cs="Arial"/>
        </w:rPr>
        <w:t xml:space="preserve">enders) </w:t>
      </w:r>
      <w:r w:rsidR="00610971" w:rsidRPr="00653811">
        <w:rPr>
          <w:rFonts w:ascii="Arial" w:hAnsi="Arial" w:cs="Arial"/>
        </w:rPr>
        <w:t xml:space="preserve">must be </w:t>
      </w:r>
      <w:r w:rsidRPr="00653811">
        <w:rPr>
          <w:rFonts w:ascii="Arial" w:hAnsi="Arial" w:cs="Arial"/>
        </w:rPr>
        <w:t xml:space="preserve">via the </w:t>
      </w:r>
      <w:proofErr w:type="spellStart"/>
      <w:r w:rsidRPr="00653811">
        <w:rPr>
          <w:rFonts w:ascii="Arial" w:hAnsi="Arial" w:cs="Arial"/>
        </w:rPr>
        <w:t>ProContract</w:t>
      </w:r>
      <w:proofErr w:type="spellEnd"/>
      <w:r w:rsidRPr="00653811">
        <w:rPr>
          <w:rFonts w:ascii="Arial" w:hAnsi="Arial" w:cs="Arial"/>
        </w:rPr>
        <w:t xml:space="preserve"> E-tendering portal.</w:t>
      </w:r>
    </w:p>
    <w:p w14:paraId="2B12EFE5" w14:textId="77777777" w:rsidR="0051096E" w:rsidRPr="0051096E" w:rsidRDefault="0051096E" w:rsidP="0051096E">
      <w:pPr>
        <w:pStyle w:val="ListParagraph"/>
        <w:rPr>
          <w:rFonts w:ascii="Arial" w:hAnsi="Arial" w:cs="Arial"/>
        </w:rPr>
      </w:pPr>
    </w:p>
    <w:p w14:paraId="3E8A33F8" w14:textId="77777777" w:rsidR="00D858B2" w:rsidRPr="008B00BB" w:rsidRDefault="00D858B2" w:rsidP="002D2D9A">
      <w:pPr>
        <w:pStyle w:val="ListParagraph"/>
        <w:numPr>
          <w:ilvl w:val="1"/>
          <w:numId w:val="6"/>
        </w:numPr>
        <w:ind w:left="709" w:hanging="709"/>
        <w:jc w:val="both"/>
        <w:rPr>
          <w:rFonts w:ascii="Arial" w:hAnsi="Arial" w:cs="Arial"/>
        </w:rPr>
      </w:pPr>
      <w:r>
        <w:rPr>
          <w:rFonts w:ascii="Arial" w:hAnsi="Arial" w:cs="Arial"/>
        </w:rPr>
        <w:t xml:space="preserve">This ITT does not constitute an offer by the Contracting Authority of any kind. This ITT is only an invitation to treat by the Contracting Authority. By signing and returning Schedule 3 Tenderers are making an offer as described in Schedule 3. </w:t>
      </w:r>
    </w:p>
    <w:p w14:paraId="56F875BA" w14:textId="77777777" w:rsidR="00610971" w:rsidRPr="00D05A8B" w:rsidRDefault="00610971" w:rsidP="007E0B16">
      <w:pPr>
        <w:rPr>
          <w:rFonts w:ascii="Arial" w:hAnsi="Arial" w:cs="Arial"/>
        </w:rPr>
      </w:pPr>
    </w:p>
    <w:p w14:paraId="14C94919" w14:textId="77777777" w:rsidR="005B7D32" w:rsidRPr="00D05A8B" w:rsidRDefault="005B7D32">
      <w:pPr>
        <w:rPr>
          <w:rFonts w:ascii="Arial" w:hAnsi="Arial" w:cs="Arial"/>
          <w:b/>
        </w:rPr>
      </w:pPr>
      <w:r w:rsidRPr="00D05A8B">
        <w:rPr>
          <w:rFonts w:ascii="Arial" w:hAnsi="Arial" w:cs="Arial"/>
          <w:b/>
        </w:rPr>
        <w:br w:type="page"/>
      </w:r>
    </w:p>
    <w:p w14:paraId="09060679" w14:textId="77777777" w:rsidR="00E83481" w:rsidRDefault="00E83481" w:rsidP="002D2D9A">
      <w:pPr>
        <w:pStyle w:val="ListParagraph"/>
        <w:numPr>
          <w:ilvl w:val="0"/>
          <w:numId w:val="6"/>
        </w:numPr>
        <w:tabs>
          <w:tab w:val="left" w:pos="709"/>
        </w:tabs>
        <w:ind w:left="709"/>
        <w:rPr>
          <w:rFonts w:ascii="Arial" w:hAnsi="Arial" w:cs="Arial"/>
          <w:b/>
        </w:rPr>
      </w:pPr>
      <w:r w:rsidRPr="00653811">
        <w:rPr>
          <w:rFonts w:ascii="Arial" w:hAnsi="Arial" w:cs="Arial"/>
          <w:b/>
        </w:rPr>
        <w:lastRenderedPageBreak/>
        <w:t>TIMETABLE</w:t>
      </w:r>
    </w:p>
    <w:p w14:paraId="473300E3" w14:textId="77777777" w:rsidR="00BE2694" w:rsidRPr="00653811" w:rsidRDefault="00BE2694" w:rsidP="00653811">
      <w:pPr>
        <w:pStyle w:val="ListParagraph"/>
        <w:tabs>
          <w:tab w:val="left" w:pos="709"/>
        </w:tabs>
        <w:ind w:left="709"/>
        <w:rPr>
          <w:rFonts w:ascii="Arial" w:hAnsi="Arial" w:cs="Arial"/>
          <w:b/>
        </w:rPr>
      </w:pPr>
    </w:p>
    <w:p w14:paraId="0AB5CF66" w14:textId="77777777" w:rsidR="00A52232" w:rsidRPr="00653811" w:rsidRDefault="00A52232" w:rsidP="002D2D9A">
      <w:pPr>
        <w:pStyle w:val="ListParagraph"/>
        <w:numPr>
          <w:ilvl w:val="1"/>
          <w:numId w:val="6"/>
        </w:numPr>
        <w:ind w:left="709" w:hanging="709"/>
        <w:jc w:val="both"/>
        <w:rPr>
          <w:rFonts w:ascii="Arial" w:hAnsi="Arial" w:cs="Arial"/>
        </w:rPr>
      </w:pPr>
      <w:r w:rsidRPr="00653811">
        <w:rPr>
          <w:rFonts w:ascii="Arial" w:hAnsi="Arial" w:cs="Arial"/>
        </w:rPr>
        <w:t>The key dates for this procurement are currently anticipated to be as follows:</w:t>
      </w:r>
    </w:p>
    <w:tbl>
      <w:tblPr>
        <w:tblStyle w:val="TableGrid"/>
        <w:tblW w:w="0" w:type="auto"/>
        <w:tblLook w:val="04A0" w:firstRow="1" w:lastRow="0" w:firstColumn="1" w:lastColumn="0" w:noHBand="0" w:noVBand="1"/>
      </w:tblPr>
      <w:tblGrid>
        <w:gridCol w:w="4516"/>
        <w:gridCol w:w="4500"/>
      </w:tblGrid>
      <w:tr w:rsidR="00A52232" w:rsidRPr="00D05A8B" w14:paraId="7C381F45" w14:textId="77777777" w:rsidTr="086DBE37">
        <w:tc>
          <w:tcPr>
            <w:tcW w:w="4516" w:type="dxa"/>
          </w:tcPr>
          <w:p w14:paraId="7BE221BE" w14:textId="77777777" w:rsidR="00A52232" w:rsidRPr="004E63E3" w:rsidRDefault="00A52232" w:rsidP="00A52232">
            <w:pPr>
              <w:rPr>
                <w:rFonts w:ascii="Arial" w:hAnsi="Arial" w:cs="Arial"/>
              </w:rPr>
            </w:pPr>
          </w:p>
          <w:p w14:paraId="2D355DE0" w14:textId="77777777" w:rsidR="00A52232" w:rsidRPr="004E63E3" w:rsidRDefault="00A52232" w:rsidP="00A52232">
            <w:pPr>
              <w:rPr>
                <w:rFonts w:ascii="Arial" w:hAnsi="Arial" w:cs="Arial"/>
                <w:b/>
              </w:rPr>
            </w:pPr>
            <w:r w:rsidRPr="004E63E3">
              <w:rPr>
                <w:rFonts w:ascii="Arial" w:hAnsi="Arial" w:cs="Arial"/>
                <w:b/>
              </w:rPr>
              <w:t>Stage</w:t>
            </w:r>
          </w:p>
          <w:p w14:paraId="735F2AEC" w14:textId="77777777" w:rsidR="00A52232" w:rsidRPr="004E63E3" w:rsidRDefault="00A52232" w:rsidP="00A52232">
            <w:pPr>
              <w:rPr>
                <w:rFonts w:ascii="Arial" w:hAnsi="Arial" w:cs="Arial"/>
              </w:rPr>
            </w:pPr>
          </w:p>
        </w:tc>
        <w:tc>
          <w:tcPr>
            <w:tcW w:w="4500" w:type="dxa"/>
          </w:tcPr>
          <w:p w14:paraId="24FE83B1" w14:textId="77777777" w:rsidR="00A52232" w:rsidRPr="004E63E3" w:rsidRDefault="00A52232" w:rsidP="00A52232">
            <w:pPr>
              <w:rPr>
                <w:rFonts w:ascii="Arial" w:hAnsi="Arial" w:cs="Arial"/>
              </w:rPr>
            </w:pPr>
          </w:p>
          <w:p w14:paraId="530EDCC4" w14:textId="77777777" w:rsidR="00A52232" w:rsidRPr="004E63E3" w:rsidRDefault="00A52232" w:rsidP="00A52232">
            <w:pPr>
              <w:rPr>
                <w:rFonts w:ascii="Arial" w:hAnsi="Arial" w:cs="Arial"/>
                <w:b/>
              </w:rPr>
            </w:pPr>
            <w:r w:rsidRPr="004E63E3">
              <w:rPr>
                <w:rFonts w:ascii="Arial" w:hAnsi="Arial" w:cs="Arial"/>
                <w:b/>
              </w:rPr>
              <w:t>Date(s) and Time(s)</w:t>
            </w:r>
          </w:p>
        </w:tc>
      </w:tr>
      <w:tr w:rsidR="00A52232" w:rsidRPr="00D05A8B" w14:paraId="78D4A635" w14:textId="77777777" w:rsidTr="086DBE37">
        <w:tc>
          <w:tcPr>
            <w:tcW w:w="4516" w:type="dxa"/>
          </w:tcPr>
          <w:p w14:paraId="3FD79C28" w14:textId="77777777" w:rsidR="00A52232" w:rsidRPr="004E63E3" w:rsidRDefault="00A52232" w:rsidP="00A52232">
            <w:pPr>
              <w:rPr>
                <w:rFonts w:ascii="Arial" w:hAnsi="Arial" w:cs="Arial"/>
              </w:rPr>
            </w:pPr>
          </w:p>
          <w:p w14:paraId="4D8E92FB" w14:textId="77777777" w:rsidR="00A52232" w:rsidRPr="004E63E3" w:rsidRDefault="00A52232" w:rsidP="00A52232">
            <w:pPr>
              <w:rPr>
                <w:rFonts w:ascii="Arial" w:hAnsi="Arial" w:cs="Arial"/>
              </w:rPr>
            </w:pPr>
            <w:r w:rsidRPr="004E63E3">
              <w:rPr>
                <w:rFonts w:ascii="Arial" w:hAnsi="Arial" w:cs="Arial"/>
              </w:rPr>
              <w:t>Issue of Invitation to Tender</w:t>
            </w:r>
          </w:p>
          <w:p w14:paraId="71A988F6" w14:textId="77777777" w:rsidR="00A52232" w:rsidRPr="004E63E3" w:rsidRDefault="00A52232" w:rsidP="00A52232">
            <w:pPr>
              <w:rPr>
                <w:rFonts w:ascii="Arial" w:hAnsi="Arial" w:cs="Arial"/>
              </w:rPr>
            </w:pPr>
          </w:p>
        </w:tc>
        <w:tc>
          <w:tcPr>
            <w:tcW w:w="4500" w:type="dxa"/>
          </w:tcPr>
          <w:p w14:paraId="36E6F424" w14:textId="77777777" w:rsidR="00A52232" w:rsidRPr="009E2C87" w:rsidRDefault="00A52232" w:rsidP="4C478AE9">
            <w:pPr>
              <w:rPr>
                <w:rFonts w:ascii="Arial" w:hAnsi="Arial" w:cs="Arial"/>
              </w:rPr>
            </w:pPr>
          </w:p>
          <w:p w14:paraId="42CE20FF" w14:textId="392088C5" w:rsidR="004E63E3" w:rsidRPr="009E2C87" w:rsidRDefault="18E2ADF6" w:rsidP="086DBE37">
            <w:pPr>
              <w:rPr>
                <w:rFonts w:ascii="Arial" w:hAnsi="Arial" w:cs="Arial"/>
              </w:rPr>
            </w:pPr>
            <w:r w:rsidRPr="009E2C87">
              <w:rPr>
                <w:rFonts w:ascii="Arial" w:hAnsi="Arial" w:cs="Arial"/>
              </w:rPr>
              <w:t xml:space="preserve">July </w:t>
            </w:r>
            <w:r w:rsidR="009E2C87" w:rsidRPr="009E2C87">
              <w:rPr>
                <w:rFonts w:ascii="Arial" w:hAnsi="Arial" w:cs="Arial"/>
              </w:rPr>
              <w:t>12</w:t>
            </w:r>
            <w:r w:rsidRPr="009E2C87">
              <w:rPr>
                <w:rFonts w:ascii="Arial" w:hAnsi="Arial" w:cs="Arial"/>
                <w:vertAlign w:val="superscript"/>
              </w:rPr>
              <w:t>th</w:t>
            </w:r>
            <w:r w:rsidRPr="009E2C87">
              <w:rPr>
                <w:rFonts w:ascii="Arial" w:hAnsi="Arial" w:cs="Arial"/>
              </w:rPr>
              <w:t xml:space="preserve"> 2024</w:t>
            </w:r>
          </w:p>
        </w:tc>
      </w:tr>
      <w:tr w:rsidR="00101ED5" w:rsidRPr="00D05A8B" w14:paraId="7ECCF695" w14:textId="77777777" w:rsidTr="086DBE37">
        <w:tc>
          <w:tcPr>
            <w:tcW w:w="4516" w:type="dxa"/>
          </w:tcPr>
          <w:p w14:paraId="39CD214C" w14:textId="77777777" w:rsidR="00101ED5" w:rsidRPr="004E63E3" w:rsidRDefault="00101ED5" w:rsidP="00A52232">
            <w:pPr>
              <w:rPr>
                <w:rFonts w:ascii="Arial" w:hAnsi="Arial" w:cs="Arial"/>
              </w:rPr>
            </w:pPr>
            <w:r w:rsidRPr="004E63E3">
              <w:rPr>
                <w:rFonts w:ascii="Arial" w:hAnsi="Arial" w:cs="Arial"/>
              </w:rPr>
              <w:t>Site Visits (by appointment only)</w:t>
            </w:r>
          </w:p>
          <w:p w14:paraId="142F8422" w14:textId="18FCEAEC" w:rsidR="00101ED5" w:rsidRPr="004E63E3" w:rsidRDefault="00101ED5" w:rsidP="00A52232">
            <w:pPr>
              <w:rPr>
                <w:rFonts w:ascii="Arial" w:hAnsi="Arial" w:cs="Arial"/>
              </w:rPr>
            </w:pPr>
          </w:p>
        </w:tc>
        <w:tc>
          <w:tcPr>
            <w:tcW w:w="4500" w:type="dxa"/>
          </w:tcPr>
          <w:p w14:paraId="77BDB1C6" w14:textId="7485EC89" w:rsidR="00101ED5" w:rsidRPr="004E63E3" w:rsidRDefault="1E86FD2F" w:rsidP="0924A801">
            <w:pPr>
              <w:spacing w:line="300" w:lineRule="exact"/>
              <w:rPr>
                <w:rFonts w:ascii="Arial" w:hAnsi="Arial" w:cs="Arial"/>
              </w:rPr>
            </w:pPr>
            <w:r w:rsidRPr="4C478AE9">
              <w:rPr>
                <w:rFonts w:ascii="Arial" w:hAnsi="Arial" w:cs="Arial"/>
              </w:rPr>
              <w:t>Not Applicable</w:t>
            </w:r>
          </w:p>
          <w:p w14:paraId="7DECC19F" w14:textId="77777777" w:rsidR="00101ED5" w:rsidRPr="004E63E3" w:rsidRDefault="00101ED5" w:rsidP="4C478AE9">
            <w:pPr>
              <w:rPr>
                <w:rFonts w:ascii="Arial" w:hAnsi="Arial" w:cs="Arial"/>
                <w:highlight w:val="yellow"/>
              </w:rPr>
            </w:pPr>
          </w:p>
        </w:tc>
      </w:tr>
      <w:tr w:rsidR="00A52232" w:rsidRPr="00D05A8B" w14:paraId="57E36684" w14:textId="77777777" w:rsidTr="086DBE37">
        <w:tc>
          <w:tcPr>
            <w:tcW w:w="4516" w:type="dxa"/>
          </w:tcPr>
          <w:p w14:paraId="10F93BB7" w14:textId="77777777" w:rsidR="00A52232" w:rsidRPr="004E63E3" w:rsidRDefault="00A52232" w:rsidP="00A52232">
            <w:pPr>
              <w:rPr>
                <w:rFonts w:ascii="Arial" w:hAnsi="Arial" w:cs="Arial"/>
              </w:rPr>
            </w:pPr>
          </w:p>
          <w:p w14:paraId="447483B8" w14:textId="77777777" w:rsidR="00A52232" w:rsidRPr="004E63E3" w:rsidRDefault="00A52232" w:rsidP="00A52232">
            <w:pPr>
              <w:rPr>
                <w:rFonts w:ascii="Arial" w:hAnsi="Arial" w:cs="Arial"/>
              </w:rPr>
            </w:pPr>
            <w:r w:rsidRPr="004E63E3">
              <w:rPr>
                <w:rFonts w:ascii="Arial" w:hAnsi="Arial" w:cs="Arial"/>
              </w:rPr>
              <w:t xml:space="preserve">Deadline for receipt of </w:t>
            </w:r>
            <w:r w:rsidR="008835EF" w:rsidRPr="004E63E3">
              <w:rPr>
                <w:rFonts w:ascii="Arial" w:hAnsi="Arial" w:cs="Arial"/>
              </w:rPr>
              <w:t>queries</w:t>
            </w:r>
          </w:p>
          <w:p w14:paraId="44EDF213" w14:textId="77777777" w:rsidR="00A52232" w:rsidRPr="004E63E3" w:rsidRDefault="00A52232" w:rsidP="00A52232">
            <w:pPr>
              <w:rPr>
                <w:rFonts w:ascii="Arial" w:hAnsi="Arial" w:cs="Arial"/>
              </w:rPr>
            </w:pPr>
          </w:p>
        </w:tc>
        <w:tc>
          <w:tcPr>
            <w:tcW w:w="4500" w:type="dxa"/>
          </w:tcPr>
          <w:p w14:paraId="776CA0A2" w14:textId="77777777" w:rsidR="00A52232" w:rsidRPr="004E63E3" w:rsidRDefault="00A52232" w:rsidP="4C478AE9">
            <w:pPr>
              <w:rPr>
                <w:rFonts w:ascii="Arial" w:hAnsi="Arial" w:cs="Arial"/>
                <w:highlight w:val="yellow"/>
              </w:rPr>
            </w:pPr>
          </w:p>
          <w:p w14:paraId="1D5B6FF9" w14:textId="3B157BD7" w:rsidR="004E63E3" w:rsidRPr="004E63E3" w:rsidRDefault="00DA0674" w:rsidP="086DBE37">
            <w:pPr>
              <w:rPr>
                <w:rFonts w:ascii="Arial" w:hAnsi="Arial" w:cs="Arial"/>
              </w:rPr>
            </w:pPr>
            <w:r>
              <w:rPr>
                <w:rFonts w:ascii="Arial" w:hAnsi="Arial" w:cs="Arial"/>
              </w:rPr>
              <w:t>July 29</w:t>
            </w:r>
            <w:r w:rsidRPr="00DA0674">
              <w:rPr>
                <w:rFonts w:ascii="Arial" w:hAnsi="Arial" w:cs="Arial"/>
                <w:vertAlign w:val="superscript"/>
              </w:rPr>
              <w:t>th</w:t>
            </w:r>
            <w:r>
              <w:rPr>
                <w:rFonts w:ascii="Arial" w:hAnsi="Arial" w:cs="Arial"/>
              </w:rPr>
              <w:t xml:space="preserve"> </w:t>
            </w:r>
            <w:r w:rsidR="437992C5" w:rsidRPr="086DBE37">
              <w:rPr>
                <w:rFonts w:ascii="Arial" w:hAnsi="Arial" w:cs="Arial"/>
              </w:rPr>
              <w:t>2024</w:t>
            </w:r>
          </w:p>
        </w:tc>
      </w:tr>
      <w:tr w:rsidR="00A52232" w:rsidRPr="00D05A8B" w14:paraId="16AFD5DD" w14:textId="77777777" w:rsidTr="086DBE37">
        <w:tc>
          <w:tcPr>
            <w:tcW w:w="4516" w:type="dxa"/>
          </w:tcPr>
          <w:p w14:paraId="49E0C599" w14:textId="77777777" w:rsidR="00A52232" w:rsidRPr="004E63E3" w:rsidRDefault="00A52232" w:rsidP="00A52232">
            <w:pPr>
              <w:rPr>
                <w:rFonts w:ascii="Arial" w:hAnsi="Arial" w:cs="Arial"/>
              </w:rPr>
            </w:pPr>
          </w:p>
          <w:p w14:paraId="4F094AC9" w14:textId="71202ED2" w:rsidR="00A52232" w:rsidRPr="004E63E3" w:rsidRDefault="00550881" w:rsidP="00A52232">
            <w:pPr>
              <w:rPr>
                <w:rFonts w:ascii="Arial" w:hAnsi="Arial" w:cs="Arial"/>
              </w:rPr>
            </w:pPr>
            <w:r w:rsidRPr="004E63E3">
              <w:rPr>
                <w:rFonts w:ascii="Arial" w:hAnsi="Arial" w:cs="Arial"/>
              </w:rPr>
              <w:t xml:space="preserve">Tender </w:t>
            </w:r>
            <w:r w:rsidR="003D1ACD" w:rsidRPr="004E63E3">
              <w:rPr>
                <w:rFonts w:ascii="Arial" w:hAnsi="Arial" w:cs="Arial"/>
              </w:rPr>
              <w:t xml:space="preserve">Return </w:t>
            </w:r>
            <w:r w:rsidR="00A52232" w:rsidRPr="004E63E3">
              <w:rPr>
                <w:rFonts w:ascii="Arial" w:hAnsi="Arial" w:cs="Arial"/>
              </w:rPr>
              <w:t>Deadline</w:t>
            </w:r>
            <w:r w:rsidR="00505A11" w:rsidRPr="004E63E3">
              <w:rPr>
                <w:rFonts w:ascii="Arial" w:hAnsi="Arial" w:cs="Arial"/>
              </w:rPr>
              <w:t xml:space="preserve"> </w:t>
            </w:r>
            <w:r w:rsidRPr="004E63E3">
              <w:rPr>
                <w:rFonts w:ascii="Arial" w:hAnsi="Arial" w:cs="Arial"/>
              </w:rPr>
              <w:t>(</w:t>
            </w:r>
            <w:r w:rsidR="003D1ACD" w:rsidRPr="004E63E3">
              <w:rPr>
                <w:rFonts w:ascii="Arial" w:hAnsi="Arial" w:cs="Arial"/>
              </w:rPr>
              <w:t xml:space="preserve">deadline </w:t>
            </w:r>
            <w:r w:rsidR="00A52232" w:rsidRPr="004E63E3">
              <w:rPr>
                <w:rFonts w:ascii="Arial" w:hAnsi="Arial" w:cs="Arial"/>
              </w:rPr>
              <w:t xml:space="preserve">for </w:t>
            </w:r>
            <w:r w:rsidR="00610971" w:rsidRPr="004E63E3">
              <w:rPr>
                <w:rFonts w:ascii="Arial" w:hAnsi="Arial" w:cs="Arial"/>
              </w:rPr>
              <w:t xml:space="preserve">receipt </w:t>
            </w:r>
            <w:r w:rsidR="00A52232" w:rsidRPr="004E63E3">
              <w:rPr>
                <w:rFonts w:ascii="Arial" w:hAnsi="Arial" w:cs="Arial"/>
              </w:rPr>
              <w:t>of Tenders</w:t>
            </w:r>
            <w:r w:rsidRPr="004E63E3">
              <w:rPr>
                <w:rFonts w:ascii="Arial" w:hAnsi="Arial" w:cs="Arial"/>
              </w:rPr>
              <w:t>)</w:t>
            </w:r>
          </w:p>
          <w:p w14:paraId="3286D072" w14:textId="77777777" w:rsidR="00A52232" w:rsidRPr="004E63E3" w:rsidRDefault="00A52232" w:rsidP="00A52232">
            <w:pPr>
              <w:rPr>
                <w:rFonts w:ascii="Arial" w:hAnsi="Arial" w:cs="Arial"/>
              </w:rPr>
            </w:pPr>
          </w:p>
        </w:tc>
        <w:tc>
          <w:tcPr>
            <w:tcW w:w="4500" w:type="dxa"/>
          </w:tcPr>
          <w:p w14:paraId="78F76D91" w14:textId="77777777" w:rsidR="00A52232" w:rsidRPr="004E63E3" w:rsidRDefault="00A52232" w:rsidP="4C478AE9">
            <w:pPr>
              <w:rPr>
                <w:rFonts w:ascii="Arial" w:hAnsi="Arial" w:cs="Arial"/>
                <w:highlight w:val="yellow"/>
              </w:rPr>
            </w:pPr>
          </w:p>
          <w:p w14:paraId="1431F7AE" w14:textId="56440D87" w:rsidR="00A52232" w:rsidRPr="004E63E3" w:rsidRDefault="00F83090" w:rsidP="086DBE37">
            <w:pPr>
              <w:rPr>
                <w:rFonts w:ascii="Arial" w:hAnsi="Arial" w:cs="Arial"/>
              </w:rPr>
            </w:pPr>
            <w:r>
              <w:rPr>
                <w:rFonts w:ascii="Arial" w:hAnsi="Arial" w:cs="Arial"/>
              </w:rPr>
              <w:t>August</w:t>
            </w:r>
            <w:r w:rsidR="00460FCB">
              <w:rPr>
                <w:rFonts w:ascii="Arial" w:hAnsi="Arial" w:cs="Arial"/>
              </w:rPr>
              <w:t xml:space="preserve"> </w:t>
            </w:r>
            <w:r w:rsidR="00DA0674">
              <w:rPr>
                <w:rFonts w:ascii="Arial" w:hAnsi="Arial" w:cs="Arial"/>
              </w:rPr>
              <w:t>2</w:t>
            </w:r>
            <w:r w:rsidR="00DA0674" w:rsidRPr="00DA0674">
              <w:rPr>
                <w:rFonts w:ascii="Arial" w:hAnsi="Arial" w:cs="Arial"/>
                <w:vertAlign w:val="superscript"/>
              </w:rPr>
              <w:t>nd</w:t>
            </w:r>
            <w:proofErr w:type="gramStart"/>
            <w:r w:rsidR="00DA0674">
              <w:rPr>
                <w:rFonts w:ascii="Arial" w:hAnsi="Arial" w:cs="Arial"/>
              </w:rPr>
              <w:t xml:space="preserve"> </w:t>
            </w:r>
            <w:r w:rsidR="22D86A3C" w:rsidRPr="086DBE37">
              <w:rPr>
                <w:rFonts w:ascii="Arial" w:hAnsi="Arial" w:cs="Arial"/>
              </w:rPr>
              <w:t>2024</w:t>
            </w:r>
            <w:proofErr w:type="gramEnd"/>
          </w:p>
          <w:p w14:paraId="473350CE" w14:textId="437B78CB" w:rsidR="004E63E3" w:rsidRPr="004E63E3" w:rsidRDefault="004E63E3" w:rsidP="4C478AE9">
            <w:pPr>
              <w:rPr>
                <w:rFonts w:ascii="Arial" w:hAnsi="Arial" w:cs="Arial"/>
                <w:highlight w:val="yellow"/>
              </w:rPr>
            </w:pPr>
          </w:p>
        </w:tc>
      </w:tr>
      <w:tr w:rsidR="00A52232" w:rsidRPr="00D05A8B" w14:paraId="757B9C86" w14:textId="77777777" w:rsidTr="086DBE37">
        <w:tc>
          <w:tcPr>
            <w:tcW w:w="4516" w:type="dxa"/>
          </w:tcPr>
          <w:p w14:paraId="72AC4FC1" w14:textId="77777777" w:rsidR="00A52232" w:rsidRPr="004E63E3" w:rsidRDefault="00A52232" w:rsidP="00A52232">
            <w:pPr>
              <w:rPr>
                <w:rFonts w:ascii="Arial" w:hAnsi="Arial" w:cs="Arial"/>
              </w:rPr>
            </w:pPr>
          </w:p>
          <w:p w14:paraId="577CA276" w14:textId="77777777" w:rsidR="00A52232" w:rsidRPr="004E63E3" w:rsidRDefault="00A52232" w:rsidP="00A52232">
            <w:pPr>
              <w:rPr>
                <w:rFonts w:ascii="Arial" w:hAnsi="Arial" w:cs="Arial"/>
              </w:rPr>
            </w:pPr>
            <w:r w:rsidRPr="004E63E3">
              <w:rPr>
                <w:rFonts w:ascii="Arial" w:hAnsi="Arial" w:cs="Arial"/>
              </w:rPr>
              <w:t>Evaluation of Tenders</w:t>
            </w:r>
            <w:r w:rsidR="00610971" w:rsidRPr="004E63E3">
              <w:rPr>
                <w:rFonts w:ascii="Arial" w:hAnsi="Arial" w:cs="Arial"/>
              </w:rPr>
              <w:t xml:space="preserve"> including verification of self-certification information</w:t>
            </w:r>
          </w:p>
          <w:p w14:paraId="637172BD" w14:textId="77777777" w:rsidR="00A52232" w:rsidRPr="004E63E3" w:rsidRDefault="00A52232" w:rsidP="00A52232">
            <w:pPr>
              <w:rPr>
                <w:rFonts w:ascii="Arial" w:hAnsi="Arial" w:cs="Arial"/>
              </w:rPr>
            </w:pPr>
          </w:p>
        </w:tc>
        <w:tc>
          <w:tcPr>
            <w:tcW w:w="4500" w:type="dxa"/>
          </w:tcPr>
          <w:p w14:paraId="124BAFC1" w14:textId="77777777" w:rsidR="00A52232" w:rsidRPr="00702925" w:rsidRDefault="00A52232" w:rsidP="4C478AE9">
            <w:pPr>
              <w:rPr>
                <w:rFonts w:ascii="Arial" w:hAnsi="Arial" w:cs="Arial"/>
                <w:highlight w:val="yellow"/>
              </w:rPr>
            </w:pPr>
          </w:p>
          <w:p w14:paraId="4157526E" w14:textId="21B7F651" w:rsidR="004E63E3" w:rsidRPr="00702925" w:rsidRDefault="00A013DB" w:rsidP="086DBE37">
            <w:pPr>
              <w:rPr>
                <w:rFonts w:ascii="Arial" w:hAnsi="Arial" w:cs="Arial"/>
              </w:rPr>
            </w:pPr>
            <w:r>
              <w:rPr>
                <w:rFonts w:ascii="Arial" w:hAnsi="Arial" w:cs="Arial"/>
              </w:rPr>
              <w:t xml:space="preserve">August </w:t>
            </w:r>
            <w:r w:rsidR="0034102A">
              <w:rPr>
                <w:rFonts w:ascii="Arial" w:hAnsi="Arial" w:cs="Arial"/>
              </w:rPr>
              <w:t>5</w:t>
            </w:r>
            <w:r w:rsidRPr="00A013DB">
              <w:rPr>
                <w:rFonts w:ascii="Arial" w:hAnsi="Arial" w:cs="Arial"/>
                <w:vertAlign w:val="superscript"/>
              </w:rPr>
              <w:t>th</w:t>
            </w:r>
            <w:proofErr w:type="gramStart"/>
            <w:r>
              <w:rPr>
                <w:rFonts w:ascii="Arial" w:hAnsi="Arial" w:cs="Arial"/>
              </w:rPr>
              <w:t xml:space="preserve"> </w:t>
            </w:r>
            <w:r w:rsidR="7010D913" w:rsidRPr="086DBE37">
              <w:rPr>
                <w:rFonts w:ascii="Arial" w:hAnsi="Arial" w:cs="Arial"/>
              </w:rPr>
              <w:t>2024</w:t>
            </w:r>
            <w:proofErr w:type="gramEnd"/>
          </w:p>
          <w:p w14:paraId="7CA23296" w14:textId="5E212C4B" w:rsidR="004E63E3" w:rsidRPr="00702925" w:rsidRDefault="004E63E3" w:rsidP="4C478AE9">
            <w:pPr>
              <w:rPr>
                <w:rFonts w:ascii="Arial" w:hAnsi="Arial" w:cs="Arial"/>
                <w:highlight w:val="yellow"/>
              </w:rPr>
            </w:pPr>
          </w:p>
        </w:tc>
      </w:tr>
      <w:tr w:rsidR="00A52232" w:rsidRPr="00D05A8B" w14:paraId="5FAA6DC0" w14:textId="77777777" w:rsidTr="086DBE37">
        <w:tc>
          <w:tcPr>
            <w:tcW w:w="4516" w:type="dxa"/>
          </w:tcPr>
          <w:p w14:paraId="48CAC09B" w14:textId="77777777" w:rsidR="00A52232" w:rsidRPr="004E63E3" w:rsidRDefault="00A52232" w:rsidP="00A52232">
            <w:pPr>
              <w:rPr>
                <w:rFonts w:ascii="Arial" w:hAnsi="Arial" w:cs="Arial"/>
              </w:rPr>
            </w:pPr>
          </w:p>
          <w:p w14:paraId="254BCA69" w14:textId="77777777" w:rsidR="00A52232" w:rsidRPr="004E63E3" w:rsidRDefault="00A52232" w:rsidP="00A52232">
            <w:pPr>
              <w:rPr>
                <w:rFonts w:ascii="Arial" w:hAnsi="Arial" w:cs="Arial"/>
              </w:rPr>
            </w:pPr>
            <w:r w:rsidRPr="004E63E3">
              <w:rPr>
                <w:rFonts w:ascii="Arial" w:hAnsi="Arial" w:cs="Arial"/>
              </w:rPr>
              <w:t xml:space="preserve">Notification of </w:t>
            </w:r>
            <w:r w:rsidR="008835EF" w:rsidRPr="004E63E3">
              <w:rPr>
                <w:rFonts w:ascii="Arial" w:hAnsi="Arial" w:cs="Arial"/>
              </w:rPr>
              <w:t>d</w:t>
            </w:r>
            <w:r w:rsidRPr="004E63E3">
              <w:rPr>
                <w:rFonts w:ascii="Arial" w:hAnsi="Arial" w:cs="Arial"/>
              </w:rPr>
              <w:t>ecision</w:t>
            </w:r>
          </w:p>
          <w:p w14:paraId="67A0D849" w14:textId="77777777" w:rsidR="00A52232" w:rsidRPr="004E63E3" w:rsidRDefault="00A52232" w:rsidP="00A52232">
            <w:pPr>
              <w:rPr>
                <w:rFonts w:ascii="Arial" w:hAnsi="Arial" w:cs="Arial"/>
              </w:rPr>
            </w:pPr>
          </w:p>
        </w:tc>
        <w:tc>
          <w:tcPr>
            <w:tcW w:w="4500" w:type="dxa"/>
          </w:tcPr>
          <w:p w14:paraId="209666ED" w14:textId="77777777" w:rsidR="00A52232" w:rsidRPr="004E63E3" w:rsidRDefault="00A52232" w:rsidP="4C478AE9">
            <w:pPr>
              <w:rPr>
                <w:rFonts w:ascii="Arial" w:hAnsi="Arial" w:cs="Arial"/>
                <w:highlight w:val="yellow"/>
              </w:rPr>
            </w:pPr>
          </w:p>
          <w:p w14:paraId="44F755FC" w14:textId="7B09856B" w:rsidR="004E63E3" w:rsidRPr="004E63E3" w:rsidRDefault="68843AA4" w:rsidP="086DBE37">
            <w:pPr>
              <w:rPr>
                <w:rFonts w:ascii="Arial" w:hAnsi="Arial" w:cs="Arial"/>
              </w:rPr>
            </w:pPr>
            <w:r w:rsidRPr="086DBE37">
              <w:rPr>
                <w:rFonts w:ascii="Arial" w:hAnsi="Arial" w:cs="Arial"/>
              </w:rPr>
              <w:t xml:space="preserve">August </w:t>
            </w:r>
            <w:r w:rsidR="0034102A">
              <w:rPr>
                <w:rFonts w:ascii="Arial" w:hAnsi="Arial" w:cs="Arial"/>
              </w:rPr>
              <w:t>7</w:t>
            </w:r>
            <w:r w:rsidR="001C2B87" w:rsidRPr="001C2B87">
              <w:rPr>
                <w:rFonts w:ascii="Arial" w:hAnsi="Arial" w:cs="Arial"/>
                <w:vertAlign w:val="superscript"/>
              </w:rPr>
              <w:t>th</w:t>
            </w:r>
            <w:r w:rsidR="001C2B87">
              <w:rPr>
                <w:rFonts w:ascii="Arial" w:hAnsi="Arial" w:cs="Arial"/>
              </w:rPr>
              <w:t xml:space="preserve"> </w:t>
            </w:r>
            <w:r w:rsidRPr="086DBE37">
              <w:rPr>
                <w:rFonts w:ascii="Arial" w:hAnsi="Arial" w:cs="Arial"/>
              </w:rPr>
              <w:t>2024</w:t>
            </w:r>
          </w:p>
        </w:tc>
      </w:tr>
      <w:tr w:rsidR="00D858B2" w:rsidRPr="00D05A8B" w14:paraId="5B1B0749" w14:textId="77777777" w:rsidTr="086DBE37">
        <w:tc>
          <w:tcPr>
            <w:tcW w:w="4516" w:type="dxa"/>
            <w:vAlign w:val="center"/>
          </w:tcPr>
          <w:p w14:paraId="4B6DC401" w14:textId="425941FA" w:rsidR="00D858B2" w:rsidRPr="004E63E3" w:rsidRDefault="17540DB5" w:rsidP="00D858B2">
            <w:pPr>
              <w:spacing w:before="120" w:after="120"/>
              <w:rPr>
                <w:rFonts w:ascii="Arial" w:hAnsi="Arial" w:cs="Arial"/>
              </w:rPr>
            </w:pPr>
            <w:r w:rsidRPr="004E63E3">
              <w:rPr>
                <w:rFonts w:ascii="Arial" w:hAnsi="Arial" w:cs="Arial"/>
              </w:rPr>
              <w:t>Expected</w:t>
            </w:r>
            <w:r w:rsidR="00D858B2" w:rsidRPr="004E63E3">
              <w:rPr>
                <w:rFonts w:ascii="Arial" w:hAnsi="Arial" w:cs="Arial"/>
              </w:rPr>
              <w:t xml:space="preserve"> Contract commencement </w:t>
            </w:r>
          </w:p>
        </w:tc>
        <w:tc>
          <w:tcPr>
            <w:tcW w:w="4500" w:type="dxa"/>
            <w:vAlign w:val="center"/>
          </w:tcPr>
          <w:p w14:paraId="7553C67F" w14:textId="54DE691B" w:rsidR="00D858B2" w:rsidRPr="004E63E3" w:rsidRDefault="00E4390F" w:rsidP="0D48471F">
            <w:pPr>
              <w:spacing w:before="120" w:after="120"/>
              <w:rPr>
                <w:rFonts w:ascii="Arial" w:hAnsi="Arial" w:cs="Arial"/>
                <w:highlight w:val="yellow"/>
              </w:rPr>
            </w:pPr>
            <w:r>
              <w:rPr>
                <w:rFonts w:ascii="Arial" w:hAnsi="Arial" w:cs="Arial"/>
              </w:rPr>
              <w:t xml:space="preserve">September </w:t>
            </w:r>
            <w:r w:rsidR="001748BA">
              <w:rPr>
                <w:rFonts w:ascii="Arial" w:hAnsi="Arial" w:cs="Arial"/>
              </w:rPr>
              <w:t>9</w:t>
            </w:r>
            <w:r w:rsidRPr="00E4390F">
              <w:rPr>
                <w:rFonts w:ascii="Arial" w:hAnsi="Arial" w:cs="Arial"/>
                <w:vertAlign w:val="superscript"/>
              </w:rPr>
              <w:t>th</w:t>
            </w:r>
            <w:proofErr w:type="gramStart"/>
            <w:r>
              <w:rPr>
                <w:rFonts w:ascii="Arial" w:hAnsi="Arial" w:cs="Arial"/>
              </w:rPr>
              <w:t xml:space="preserve"> </w:t>
            </w:r>
            <w:r w:rsidR="1BBF362C" w:rsidRPr="086DBE37">
              <w:rPr>
                <w:rFonts w:ascii="Arial" w:hAnsi="Arial" w:cs="Arial"/>
              </w:rPr>
              <w:t>202</w:t>
            </w:r>
            <w:r w:rsidR="3F1A9221" w:rsidRPr="086DBE37">
              <w:rPr>
                <w:rFonts w:ascii="Arial" w:hAnsi="Arial" w:cs="Arial"/>
              </w:rPr>
              <w:t>4</w:t>
            </w:r>
            <w:proofErr w:type="gramEnd"/>
            <w:r w:rsidR="18D66798" w:rsidRPr="086DBE37">
              <w:rPr>
                <w:rFonts w:ascii="Arial" w:eastAsia="Arial" w:hAnsi="Arial" w:cs="Arial"/>
              </w:rPr>
              <w:t xml:space="preserve"> as per the construction programme</w:t>
            </w:r>
          </w:p>
          <w:p w14:paraId="4D05304E" w14:textId="353AD19B" w:rsidR="004E63E3" w:rsidRPr="004E63E3" w:rsidRDefault="004E63E3" w:rsidP="4C478AE9">
            <w:pPr>
              <w:spacing w:before="120" w:after="120"/>
              <w:rPr>
                <w:rFonts w:ascii="Arial" w:hAnsi="Arial" w:cs="Arial"/>
                <w:highlight w:val="yellow"/>
              </w:rPr>
            </w:pPr>
          </w:p>
        </w:tc>
      </w:tr>
    </w:tbl>
    <w:p w14:paraId="4194AB96" w14:textId="77777777" w:rsidR="00A52232" w:rsidRPr="00D05A8B" w:rsidRDefault="00A52232" w:rsidP="00A52232">
      <w:pPr>
        <w:rPr>
          <w:rFonts w:ascii="Arial" w:hAnsi="Arial" w:cs="Arial"/>
          <w:b/>
        </w:rPr>
      </w:pPr>
    </w:p>
    <w:p w14:paraId="7F87732E" w14:textId="77777777" w:rsidR="00162D51" w:rsidRPr="00653811" w:rsidRDefault="005E150E" w:rsidP="002D2D9A">
      <w:pPr>
        <w:pStyle w:val="ListParagraph"/>
        <w:numPr>
          <w:ilvl w:val="1"/>
          <w:numId w:val="6"/>
        </w:numPr>
        <w:tabs>
          <w:tab w:val="left" w:pos="709"/>
        </w:tabs>
        <w:ind w:left="709" w:hanging="709"/>
        <w:jc w:val="both"/>
        <w:rPr>
          <w:rFonts w:ascii="Arial" w:hAnsi="Arial" w:cs="Arial"/>
        </w:rPr>
      </w:pPr>
      <w:r w:rsidRPr="00653811">
        <w:rPr>
          <w:rFonts w:ascii="Arial" w:hAnsi="Arial" w:cs="Arial"/>
        </w:rPr>
        <w:t xml:space="preserve">The Contracting Authority reserves the right to change the Timetable set out above at its </w:t>
      </w:r>
      <w:r w:rsidR="0009021F">
        <w:rPr>
          <w:rFonts w:ascii="Arial" w:hAnsi="Arial" w:cs="Arial"/>
        </w:rPr>
        <w:t xml:space="preserve">sole </w:t>
      </w:r>
      <w:r w:rsidRPr="00653811">
        <w:rPr>
          <w:rFonts w:ascii="Arial" w:hAnsi="Arial" w:cs="Arial"/>
        </w:rPr>
        <w:t xml:space="preserve">discretion.  Any changes to the </w:t>
      </w:r>
      <w:r w:rsidR="0009021F">
        <w:rPr>
          <w:rFonts w:ascii="Arial" w:hAnsi="Arial" w:cs="Arial"/>
        </w:rPr>
        <w:t>T</w:t>
      </w:r>
      <w:r w:rsidRPr="00653811">
        <w:rPr>
          <w:rFonts w:ascii="Arial" w:hAnsi="Arial" w:cs="Arial"/>
        </w:rPr>
        <w:t>imetable shall be notified to all Tenderers as soon as practicable.</w:t>
      </w:r>
    </w:p>
    <w:p w14:paraId="0A5A95D0" w14:textId="5255B16B" w:rsidR="005B7D32" w:rsidRPr="00D05A8B" w:rsidRDefault="005B7D32">
      <w:pPr>
        <w:rPr>
          <w:rFonts w:ascii="Arial" w:hAnsi="Arial" w:cs="Arial"/>
        </w:rPr>
      </w:pPr>
    </w:p>
    <w:p w14:paraId="503207D5" w14:textId="77777777" w:rsidR="00A52232" w:rsidRPr="00653811" w:rsidRDefault="008835EF" w:rsidP="002D2D9A">
      <w:pPr>
        <w:pStyle w:val="ListParagraph"/>
        <w:numPr>
          <w:ilvl w:val="0"/>
          <w:numId w:val="6"/>
        </w:numPr>
        <w:tabs>
          <w:tab w:val="left" w:pos="709"/>
        </w:tabs>
        <w:ind w:left="709"/>
        <w:jc w:val="both"/>
        <w:rPr>
          <w:rFonts w:ascii="Arial" w:hAnsi="Arial" w:cs="Arial"/>
        </w:rPr>
      </w:pPr>
      <w:r w:rsidRPr="00653811">
        <w:rPr>
          <w:rFonts w:ascii="Arial" w:hAnsi="Arial" w:cs="Arial"/>
          <w:b/>
        </w:rPr>
        <w:t xml:space="preserve">TENDERERS QUERIES </w:t>
      </w:r>
      <w:r w:rsidR="000A3BA3" w:rsidRPr="00653811">
        <w:rPr>
          <w:rFonts w:ascii="Arial" w:hAnsi="Arial" w:cs="Arial"/>
          <w:b/>
        </w:rPr>
        <w:t xml:space="preserve">DURING </w:t>
      </w:r>
      <w:r w:rsidR="00E127D6" w:rsidRPr="00653811">
        <w:rPr>
          <w:rFonts w:ascii="Arial" w:hAnsi="Arial" w:cs="Arial"/>
          <w:b/>
        </w:rPr>
        <w:t xml:space="preserve">THE </w:t>
      </w:r>
      <w:r w:rsidR="000A3BA3" w:rsidRPr="00653811">
        <w:rPr>
          <w:rFonts w:ascii="Arial" w:hAnsi="Arial" w:cs="Arial"/>
          <w:b/>
        </w:rPr>
        <w:t>PROCESS</w:t>
      </w:r>
    </w:p>
    <w:p w14:paraId="2A6343DB" w14:textId="77777777" w:rsidR="00527792" w:rsidRPr="00653811" w:rsidRDefault="00527792" w:rsidP="00653811">
      <w:pPr>
        <w:pStyle w:val="ListParagraph"/>
        <w:tabs>
          <w:tab w:val="left" w:pos="709"/>
        </w:tabs>
        <w:ind w:left="709"/>
        <w:jc w:val="both"/>
        <w:rPr>
          <w:rFonts w:ascii="Arial" w:hAnsi="Arial" w:cs="Arial"/>
        </w:rPr>
      </w:pPr>
    </w:p>
    <w:p w14:paraId="3D2EFB5B" w14:textId="77777777" w:rsidR="00A52232" w:rsidRPr="00653811" w:rsidRDefault="00A52232" w:rsidP="002D2D9A">
      <w:pPr>
        <w:pStyle w:val="ListParagraph"/>
        <w:numPr>
          <w:ilvl w:val="1"/>
          <w:numId w:val="6"/>
        </w:numPr>
        <w:ind w:left="709" w:hanging="709"/>
        <w:jc w:val="both"/>
        <w:rPr>
          <w:rFonts w:ascii="Arial" w:hAnsi="Arial" w:cs="Arial"/>
          <w:b/>
        </w:rPr>
      </w:pPr>
      <w:r w:rsidRPr="00653811">
        <w:rPr>
          <w:rFonts w:ascii="Arial" w:hAnsi="Arial" w:cs="Arial"/>
        </w:rPr>
        <w:t xml:space="preserve">Any questions </w:t>
      </w:r>
      <w:r w:rsidR="0009021F">
        <w:rPr>
          <w:rFonts w:ascii="Arial" w:hAnsi="Arial" w:cs="Arial"/>
        </w:rPr>
        <w:t>/</w:t>
      </w:r>
      <w:r w:rsidRPr="00653811">
        <w:rPr>
          <w:rFonts w:ascii="Arial" w:hAnsi="Arial" w:cs="Arial"/>
        </w:rPr>
        <w:t xml:space="preserve"> </w:t>
      </w:r>
      <w:r w:rsidR="0009021F">
        <w:rPr>
          <w:rFonts w:ascii="Arial" w:hAnsi="Arial" w:cs="Arial"/>
        </w:rPr>
        <w:t>clarification</w:t>
      </w:r>
      <w:r w:rsidR="008835EF" w:rsidRPr="00653811">
        <w:rPr>
          <w:rFonts w:ascii="Arial" w:hAnsi="Arial" w:cs="Arial"/>
        </w:rPr>
        <w:t>s</w:t>
      </w:r>
      <w:r w:rsidRPr="00653811">
        <w:rPr>
          <w:rFonts w:ascii="Arial" w:hAnsi="Arial" w:cs="Arial"/>
        </w:rPr>
        <w:t xml:space="preserve"> relating to this ITT must be submitted via the </w:t>
      </w:r>
      <w:proofErr w:type="spellStart"/>
      <w:r w:rsidRPr="00653811">
        <w:rPr>
          <w:rFonts w:ascii="Arial" w:hAnsi="Arial" w:cs="Arial"/>
        </w:rPr>
        <w:t>ProContract</w:t>
      </w:r>
      <w:proofErr w:type="spellEnd"/>
      <w:r w:rsidRPr="00653811">
        <w:rPr>
          <w:rFonts w:ascii="Arial" w:hAnsi="Arial" w:cs="Arial"/>
        </w:rPr>
        <w:t xml:space="preserve"> E-tendering portal.</w:t>
      </w:r>
    </w:p>
    <w:p w14:paraId="4E6DA0E2" w14:textId="77777777" w:rsidR="00527792" w:rsidRPr="00653811" w:rsidRDefault="00527792" w:rsidP="00DA21B2">
      <w:pPr>
        <w:pStyle w:val="ListParagraph"/>
        <w:ind w:left="709" w:hanging="709"/>
        <w:jc w:val="both"/>
        <w:rPr>
          <w:rFonts w:ascii="Arial" w:hAnsi="Arial" w:cs="Arial"/>
          <w:b/>
        </w:rPr>
      </w:pPr>
    </w:p>
    <w:p w14:paraId="5EC1DB3C" w14:textId="77777777" w:rsidR="002D7524" w:rsidRPr="00D05A8B" w:rsidRDefault="002D7524" w:rsidP="002D2D9A">
      <w:pPr>
        <w:pStyle w:val="ListParagraph"/>
        <w:numPr>
          <w:ilvl w:val="1"/>
          <w:numId w:val="6"/>
        </w:numPr>
        <w:ind w:left="709" w:hanging="709"/>
        <w:jc w:val="both"/>
      </w:pPr>
      <w:r w:rsidRPr="00653811">
        <w:rPr>
          <w:rFonts w:ascii="Arial" w:hAnsi="Arial" w:cs="Arial"/>
        </w:rPr>
        <w:t>Any que</w:t>
      </w:r>
      <w:r>
        <w:rPr>
          <w:rFonts w:ascii="Arial" w:hAnsi="Arial" w:cs="Arial"/>
        </w:rPr>
        <w:t>stions / clarifications</w:t>
      </w:r>
      <w:r w:rsidRPr="00653811">
        <w:rPr>
          <w:rFonts w:ascii="Arial" w:hAnsi="Arial" w:cs="Arial"/>
        </w:rPr>
        <w:t xml:space="preserve"> must be addressed to the Procuring Officer via the </w:t>
      </w:r>
      <w:proofErr w:type="spellStart"/>
      <w:r w:rsidRPr="00653811">
        <w:rPr>
          <w:rFonts w:ascii="Arial" w:hAnsi="Arial" w:cs="Arial"/>
        </w:rPr>
        <w:t>ProContract</w:t>
      </w:r>
      <w:proofErr w:type="spellEnd"/>
      <w:r w:rsidRPr="00653811">
        <w:rPr>
          <w:rFonts w:ascii="Arial" w:hAnsi="Arial" w:cs="Arial"/>
        </w:rPr>
        <w:t xml:space="preserve"> E-tendering Portal.  Any </w:t>
      </w:r>
      <w:r>
        <w:rPr>
          <w:rFonts w:ascii="Arial" w:hAnsi="Arial" w:cs="Arial"/>
        </w:rPr>
        <w:t>questions / clarifications</w:t>
      </w:r>
      <w:r w:rsidRPr="00653811">
        <w:rPr>
          <w:rFonts w:ascii="Arial" w:hAnsi="Arial" w:cs="Arial"/>
        </w:rPr>
        <w:t xml:space="preserve"> must be raised </w:t>
      </w:r>
      <w:r>
        <w:rPr>
          <w:rFonts w:ascii="Arial" w:hAnsi="Arial" w:cs="Arial"/>
        </w:rPr>
        <w:t xml:space="preserve">no less </w:t>
      </w:r>
      <w:r w:rsidRPr="00E10DF3">
        <w:rPr>
          <w:rFonts w:ascii="Arial" w:hAnsi="Arial" w:cs="Arial"/>
        </w:rPr>
        <w:t>than [EIGHT] calendar days</w:t>
      </w:r>
      <w:r w:rsidRPr="00653811">
        <w:rPr>
          <w:rFonts w:ascii="Arial" w:hAnsi="Arial" w:cs="Arial"/>
        </w:rPr>
        <w:t xml:space="preserve"> before the </w:t>
      </w:r>
      <w:r>
        <w:rPr>
          <w:rFonts w:ascii="Arial" w:hAnsi="Arial" w:cs="Arial"/>
        </w:rPr>
        <w:t xml:space="preserve">Tender Return Deadline (see paragraph 4.1 above) to </w:t>
      </w:r>
      <w:r w:rsidRPr="00653811">
        <w:rPr>
          <w:rFonts w:ascii="Arial" w:hAnsi="Arial" w:cs="Arial"/>
        </w:rPr>
        <w:t xml:space="preserve">allow sufficient time for the Contracting Authority to respond.  </w:t>
      </w:r>
      <w:r>
        <w:rPr>
          <w:rFonts w:ascii="Arial" w:hAnsi="Arial" w:cs="Arial"/>
        </w:rPr>
        <w:t xml:space="preserve">Where the Contracting Authority supplies additional or amended information to all Tenderers, the Tender Response Deadline may be extended accordingly, which will be done at </w:t>
      </w:r>
      <w:r>
        <w:rPr>
          <w:rFonts w:ascii="Arial" w:hAnsi="Arial" w:cs="Arial"/>
        </w:rPr>
        <w:lastRenderedPageBreak/>
        <w:t xml:space="preserve">the Contracting Authority’s sole discretion. If, however, the Public Contract Regulations require an extension of the Tender Response Deadline then the Contracting Authority must extend the deadline in accordance with the regulations. </w:t>
      </w:r>
    </w:p>
    <w:p w14:paraId="4E048488" w14:textId="77777777" w:rsidR="00527792" w:rsidRDefault="00527792" w:rsidP="00DA21B2">
      <w:pPr>
        <w:pStyle w:val="ListParagraph"/>
        <w:ind w:left="709" w:hanging="709"/>
        <w:jc w:val="both"/>
        <w:rPr>
          <w:rFonts w:ascii="Arial" w:hAnsi="Arial" w:cs="Arial"/>
        </w:rPr>
      </w:pPr>
    </w:p>
    <w:p w14:paraId="1E5D394A" w14:textId="18CE2DA5" w:rsidR="00A52232" w:rsidRDefault="00A52232" w:rsidP="002D2D9A">
      <w:pPr>
        <w:pStyle w:val="ListParagraph"/>
        <w:numPr>
          <w:ilvl w:val="1"/>
          <w:numId w:val="6"/>
        </w:numPr>
        <w:ind w:left="709" w:hanging="709"/>
        <w:jc w:val="both"/>
        <w:rPr>
          <w:rFonts w:ascii="Arial" w:hAnsi="Arial" w:cs="Arial"/>
        </w:rPr>
      </w:pPr>
      <w:r w:rsidRPr="00653811">
        <w:rPr>
          <w:rFonts w:ascii="Arial" w:hAnsi="Arial" w:cs="Arial"/>
        </w:rPr>
        <w:t>The Contracting Authority will respond to all reasonable</w:t>
      </w:r>
      <w:r w:rsidR="009008F0" w:rsidRPr="00653811">
        <w:rPr>
          <w:rFonts w:ascii="Arial" w:hAnsi="Arial" w:cs="Arial"/>
        </w:rPr>
        <w:t xml:space="preserve"> </w:t>
      </w:r>
      <w:r w:rsidR="008835EF" w:rsidRPr="00653811">
        <w:rPr>
          <w:rFonts w:ascii="Arial" w:hAnsi="Arial" w:cs="Arial"/>
        </w:rPr>
        <w:t>que</w:t>
      </w:r>
      <w:r w:rsidR="0009021F">
        <w:rPr>
          <w:rFonts w:ascii="Arial" w:hAnsi="Arial" w:cs="Arial"/>
        </w:rPr>
        <w:t>stions / clarifications</w:t>
      </w:r>
      <w:r w:rsidRPr="00653811">
        <w:rPr>
          <w:rFonts w:ascii="Arial" w:hAnsi="Arial" w:cs="Arial"/>
        </w:rPr>
        <w:t xml:space="preserve"> as soon as possible</w:t>
      </w:r>
      <w:r w:rsidR="009008F0" w:rsidRPr="00653811">
        <w:rPr>
          <w:rFonts w:ascii="Arial" w:hAnsi="Arial" w:cs="Arial"/>
        </w:rPr>
        <w:t xml:space="preserve"> via </w:t>
      </w:r>
      <w:r w:rsidRPr="00653811">
        <w:rPr>
          <w:rFonts w:ascii="Arial" w:hAnsi="Arial" w:cs="Arial"/>
        </w:rPr>
        <w:t xml:space="preserve">the </w:t>
      </w:r>
      <w:proofErr w:type="spellStart"/>
      <w:r w:rsidRPr="00653811">
        <w:rPr>
          <w:rFonts w:ascii="Arial" w:hAnsi="Arial" w:cs="Arial"/>
        </w:rPr>
        <w:t>ProContract</w:t>
      </w:r>
      <w:proofErr w:type="spellEnd"/>
      <w:r w:rsidRPr="00653811">
        <w:rPr>
          <w:rFonts w:ascii="Arial" w:hAnsi="Arial" w:cs="Arial"/>
        </w:rPr>
        <w:t xml:space="preserve"> E-tendering portal</w:t>
      </w:r>
      <w:r w:rsidR="0009021F">
        <w:rPr>
          <w:rFonts w:ascii="Arial" w:hAnsi="Arial" w:cs="Arial"/>
        </w:rPr>
        <w:t xml:space="preserve"> Clarifications Log</w:t>
      </w:r>
      <w:r w:rsidRPr="00653811">
        <w:rPr>
          <w:rFonts w:ascii="Arial" w:hAnsi="Arial" w:cs="Arial"/>
        </w:rPr>
        <w:t xml:space="preserve">.  If a Tenderer wishes the Contracting Authority to treat a </w:t>
      </w:r>
      <w:r w:rsidR="0009021F">
        <w:rPr>
          <w:rFonts w:ascii="Arial" w:hAnsi="Arial" w:cs="Arial"/>
        </w:rPr>
        <w:t xml:space="preserve">question / clarification </w:t>
      </w:r>
      <w:r w:rsidRPr="00653811">
        <w:rPr>
          <w:rFonts w:ascii="Arial" w:hAnsi="Arial" w:cs="Arial"/>
        </w:rPr>
        <w:t xml:space="preserve">as confidential and not issue the response to all </w:t>
      </w:r>
      <w:proofErr w:type="gramStart"/>
      <w:r w:rsidRPr="00653811">
        <w:rPr>
          <w:rFonts w:ascii="Arial" w:hAnsi="Arial" w:cs="Arial"/>
        </w:rPr>
        <w:t>Tenderers</w:t>
      </w:r>
      <w:proofErr w:type="gramEnd"/>
      <w:r w:rsidRPr="00653811">
        <w:rPr>
          <w:rFonts w:ascii="Arial" w:hAnsi="Arial" w:cs="Arial"/>
        </w:rPr>
        <w:t xml:space="preserve"> it must state this when submitting the </w:t>
      </w:r>
      <w:r w:rsidR="0009021F">
        <w:rPr>
          <w:rFonts w:ascii="Arial" w:hAnsi="Arial" w:cs="Arial"/>
        </w:rPr>
        <w:t>question / clarification</w:t>
      </w:r>
      <w:r w:rsidRPr="00653811">
        <w:rPr>
          <w:rFonts w:ascii="Arial" w:hAnsi="Arial" w:cs="Arial"/>
        </w:rPr>
        <w:t>.  If, the Contracting Authority</w:t>
      </w:r>
      <w:r w:rsidR="0009021F">
        <w:rPr>
          <w:rFonts w:ascii="Arial" w:hAnsi="Arial" w:cs="Arial"/>
        </w:rPr>
        <w:t xml:space="preserve"> determines at its sole discretion that the question / clarification</w:t>
      </w:r>
      <w:r w:rsidRPr="00653811">
        <w:rPr>
          <w:rFonts w:ascii="Arial" w:hAnsi="Arial" w:cs="Arial"/>
        </w:rPr>
        <w:t xml:space="preserve"> is not confidential, the Contracting Authority will inform the Tenderer and it will have an opportunity to withdraw it.  If the </w:t>
      </w:r>
      <w:r w:rsidR="008835EF" w:rsidRPr="00653811">
        <w:rPr>
          <w:rFonts w:ascii="Arial" w:hAnsi="Arial" w:cs="Arial"/>
        </w:rPr>
        <w:t>query</w:t>
      </w:r>
      <w:r w:rsidRPr="00653811">
        <w:rPr>
          <w:rFonts w:ascii="Arial" w:hAnsi="Arial" w:cs="Arial"/>
        </w:rPr>
        <w:t xml:space="preserve"> is not withdrawn, the response will be issued to all Tenderers.</w:t>
      </w:r>
    </w:p>
    <w:p w14:paraId="796B843A" w14:textId="77777777" w:rsidR="00527792" w:rsidRPr="00653811" w:rsidRDefault="00527792" w:rsidP="00653811">
      <w:pPr>
        <w:pStyle w:val="ListParagraph"/>
        <w:ind w:left="709" w:hanging="709"/>
        <w:rPr>
          <w:rFonts w:ascii="Arial" w:hAnsi="Arial" w:cs="Arial"/>
        </w:rPr>
      </w:pPr>
    </w:p>
    <w:p w14:paraId="2CBC95B0" w14:textId="5495FB15" w:rsidR="00527792" w:rsidRDefault="00A52232" w:rsidP="002D2D9A">
      <w:pPr>
        <w:pStyle w:val="ListParagraph"/>
        <w:numPr>
          <w:ilvl w:val="1"/>
          <w:numId w:val="6"/>
        </w:numPr>
        <w:ind w:left="709" w:hanging="709"/>
        <w:jc w:val="both"/>
        <w:rPr>
          <w:rFonts w:ascii="Arial" w:hAnsi="Arial" w:cs="Arial"/>
        </w:rPr>
      </w:pPr>
      <w:r w:rsidRPr="00653811">
        <w:rPr>
          <w:rFonts w:ascii="Arial" w:hAnsi="Arial" w:cs="Arial"/>
        </w:rPr>
        <w:t>Tenderers are advised not to rely on communications</w:t>
      </w:r>
      <w:r w:rsidR="008835EF" w:rsidRPr="00653811">
        <w:rPr>
          <w:rFonts w:ascii="Arial" w:hAnsi="Arial" w:cs="Arial"/>
        </w:rPr>
        <w:t xml:space="preserve"> issued </w:t>
      </w:r>
      <w:r w:rsidR="00531199" w:rsidRPr="00653811">
        <w:rPr>
          <w:rFonts w:ascii="Arial" w:hAnsi="Arial" w:cs="Arial"/>
        </w:rPr>
        <w:t>via any method</w:t>
      </w:r>
      <w:r w:rsidR="00550881">
        <w:rPr>
          <w:rFonts w:ascii="Arial" w:hAnsi="Arial" w:cs="Arial"/>
        </w:rPr>
        <w:t xml:space="preserve"> other than </w:t>
      </w:r>
      <w:r w:rsidR="00550881" w:rsidRPr="00653811">
        <w:rPr>
          <w:rFonts w:ascii="Arial" w:hAnsi="Arial" w:cs="Arial"/>
        </w:rPr>
        <w:t xml:space="preserve">the </w:t>
      </w:r>
      <w:proofErr w:type="spellStart"/>
      <w:r w:rsidR="00550881">
        <w:rPr>
          <w:rFonts w:ascii="Arial" w:hAnsi="Arial" w:cs="Arial"/>
        </w:rPr>
        <w:t>ProContract</w:t>
      </w:r>
      <w:proofErr w:type="spellEnd"/>
      <w:r w:rsidR="00550881">
        <w:rPr>
          <w:rFonts w:ascii="Arial" w:hAnsi="Arial" w:cs="Arial"/>
        </w:rPr>
        <w:t xml:space="preserve"> </w:t>
      </w:r>
      <w:r w:rsidR="00550881" w:rsidRPr="00653811">
        <w:rPr>
          <w:rFonts w:ascii="Arial" w:hAnsi="Arial" w:cs="Arial"/>
        </w:rPr>
        <w:t>E-tendering portal</w:t>
      </w:r>
      <w:r w:rsidR="00531199" w:rsidRPr="00653811">
        <w:rPr>
          <w:rFonts w:ascii="Arial" w:hAnsi="Arial" w:cs="Arial"/>
        </w:rPr>
        <w:t>.</w:t>
      </w:r>
    </w:p>
    <w:p w14:paraId="59C75B13" w14:textId="77777777" w:rsidR="00A52232" w:rsidRPr="00653811" w:rsidRDefault="00A52232" w:rsidP="00653811">
      <w:pPr>
        <w:pStyle w:val="ListParagraph"/>
        <w:ind w:left="709" w:hanging="709"/>
        <w:jc w:val="both"/>
        <w:rPr>
          <w:rFonts w:ascii="Arial" w:hAnsi="Arial" w:cs="Arial"/>
        </w:rPr>
      </w:pPr>
    </w:p>
    <w:p w14:paraId="4FFDD572" w14:textId="77777777" w:rsidR="00A52232" w:rsidRDefault="00A52232" w:rsidP="002D2D9A">
      <w:pPr>
        <w:pStyle w:val="ListParagraph"/>
        <w:numPr>
          <w:ilvl w:val="1"/>
          <w:numId w:val="6"/>
        </w:numPr>
        <w:ind w:left="709" w:hanging="709"/>
        <w:jc w:val="both"/>
        <w:rPr>
          <w:rFonts w:ascii="Arial" w:hAnsi="Arial" w:cs="Arial"/>
        </w:rPr>
      </w:pPr>
      <w:r w:rsidRPr="00653811">
        <w:rPr>
          <w:rFonts w:ascii="Arial" w:hAnsi="Arial" w:cs="Arial"/>
        </w:rPr>
        <w:t xml:space="preserve">The Contracting Authority reserves the right to issue extra documentation </w:t>
      </w:r>
      <w:r w:rsidR="00550881">
        <w:rPr>
          <w:rFonts w:ascii="Arial" w:hAnsi="Arial" w:cs="Arial"/>
        </w:rPr>
        <w:t xml:space="preserve">prior to </w:t>
      </w:r>
      <w:r w:rsidR="003D1ACD">
        <w:rPr>
          <w:rFonts w:ascii="Arial" w:hAnsi="Arial" w:cs="Arial"/>
        </w:rPr>
        <w:t>Tender Return D</w:t>
      </w:r>
      <w:r w:rsidR="00550881">
        <w:rPr>
          <w:rFonts w:ascii="Arial" w:hAnsi="Arial" w:cs="Arial"/>
        </w:rPr>
        <w:t xml:space="preserve">eadline (detailed at </w:t>
      </w:r>
      <w:r w:rsidR="00AF661C">
        <w:rPr>
          <w:rFonts w:ascii="Arial" w:hAnsi="Arial" w:cs="Arial"/>
        </w:rPr>
        <w:t xml:space="preserve">paragraph </w:t>
      </w:r>
      <w:r w:rsidR="00550881">
        <w:rPr>
          <w:rFonts w:ascii="Arial" w:hAnsi="Arial" w:cs="Arial"/>
        </w:rPr>
        <w:t xml:space="preserve">4.1 above) </w:t>
      </w:r>
      <w:r w:rsidRPr="00653811">
        <w:rPr>
          <w:rFonts w:ascii="Arial" w:hAnsi="Arial" w:cs="Arial"/>
        </w:rPr>
        <w:t>to clarify any issue or amend any aspect of the ITT.  Any extra documentation that the Contracting Authority may issue will form part of the ITT.  Also, it will add to and/or supersede any part of the ITT to the extent indicated.</w:t>
      </w:r>
    </w:p>
    <w:p w14:paraId="57F265AE" w14:textId="77777777" w:rsidR="00527792" w:rsidRPr="00653811" w:rsidRDefault="00527792" w:rsidP="00653811">
      <w:pPr>
        <w:pStyle w:val="ListParagraph"/>
        <w:ind w:left="709" w:hanging="709"/>
        <w:rPr>
          <w:rFonts w:ascii="Arial" w:hAnsi="Arial" w:cs="Arial"/>
        </w:rPr>
      </w:pPr>
    </w:p>
    <w:p w14:paraId="0933BA4D" w14:textId="77777777" w:rsidR="00A52232" w:rsidRPr="00653811" w:rsidRDefault="00A52232" w:rsidP="002D2D9A">
      <w:pPr>
        <w:pStyle w:val="ListParagraph"/>
        <w:numPr>
          <w:ilvl w:val="1"/>
          <w:numId w:val="6"/>
        </w:numPr>
        <w:ind w:left="709" w:hanging="709"/>
        <w:jc w:val="both"/>
        <w:rPr>
          <w:rFonts w:ascii="Arial" w:hAnsi="Arial" w:cs="Arial"/>
        </w:rPr>
      </w:pPr>
      <w:r w:rsidRPr="00653811">
        <w:rPr>
          <w:rFonts w:ascii="Arial" w:hAnsi="Arial" w:cs="Arial"/>
        </w:rPr>
        <w:t xml:space="preserve">Tenderers must obtain at their own expense all information required for the preparation of their </w:t>
      </w:r>
      <w:r w:rsidR="00C4060D" w:rsidRPr="00653811">
        <w:rPr>
          <w:rFonts w:ascii="Arial" w:hAnsi="Arial" w:cs="Arial"/>
        </w:rPr>
        <w:t>T</w:t>
      </w:r>
      <w:r w:rsidRPr="00653811">
        <w:rPr>
          <w:rFonts w:ascii="Arial" w:hAnsi="Arial" w:cs="Arial"/>
        </w:rPr>
        <w:t>ender.</w:t>
      </w:r>
    </w:p>
    <w:p w14:paraId="207ED9A4" w14:textId="77777777" w:rsidR="00527792" w:rsidRDefault="00527792" w:rsidP="00653811">
      <w:pPr>
        <w:pStyle w:val="ListParagraph"/>
        <w:ind w:left="709" w:hanging="709"/>
        <w:jc w:val="both"/>
        <w:rPr>
          <w:rFonts w:ascii="Arial" w:hAnsi="Arial" w:cs="Arial"/>
        </w:rPr>
      </w:pPr>
    </w:p>
    <w:p w14:paraId="3D702EDD" w14:textId="77777777" w:rsidR="00A52232" w:rsidRDefault="00A52232" w:rsidP="002D2D9A">
      <w:pPr>
        <w:pStyle w:val="ListParagraph"/>
        <w:numPr>
          <w:ilvl w:val="1"/>
          <w:numId w:val="6"/>
        </w:numPr>
        <w:ind w:left="709" w:hanging="709"/>
        <w:jc w:val="both"/>
        <w:rPr>
          <w:rFonts w:ascii="Arial" w:hAnsi="Arial" w:cs="Arial"/>
        </w:rPr>
      </w:pPr>
      <w:r w:rsidRPr="00653811">
        <w:rPr>
          <w:rFonts w:ascii="Arial" w:hAnsi="Arial" w:cs="Arial"/>
        </w:rPr>
        <w:t xml:space="preserve">The </w:t>
      </w:r>
      <w:r w:rsidR="008036ED" w:rsidRPr="00653811">
        <w:rPr>
          <w:rFonts w:ascii="Arial" w:hAnsi="Arial" w:cs="Arial"/>
        </w:rPr>
        <w:t>C</w:t>
      </w:r>
      <w:r w:rsidRPr="00653811">
        <w:rPr>
          <w:rFonts w:ascii="Arial" w:hAnsi="Arial" w:cs="Arial"/>
        </w:rPr>
        <w:t>ontract requires the successful Tenderer to adhere to the Contracting Authority’s policies</w:t>
      </w:r>
      <w:r w:rsidR="00550881">
        <w:rPr>
          <w:rFonts w:ascii="Arial" w:hAnsi="Arial" w:cs="Arial"/>
        </w:rPr>
        <w:t xml:space="preserve"> as detailed in the </w:t>
      </w:r>
      <w:r w:rsidR="00E67946">
        <w:rPr>
          <w:rFonts w:ascii="Arial" w:hAnsi="Arial" w:cs="Arial"/>
        </w:rPr>
        <w:t xml:space="preserve">Contract </w:t>
      </w:r>
      <w:r w:rsidR="00550881">
        <w:rPr>
          <w:rFonts w:ascii="Arial" w:hAnsi="Arial" w:cs="Arial"/>
        </w:rPr>
        <w:t>Terms and Conditions (Schedule</w:t>
      </w:r>
      <w:r w:rsidR="00E67946">
        <w:rPr>
          <w:rFonts w:ascii="Arial" w:hAnsi="Arial" w:cs="Arial"/>
        </w:rPr>
        <w:t xml:space="preserve"> 8</w:t>
      </w:r>
      <w:r w:rsidR="00550881">
        <w:rPr>
          <w:rFonts w:ascii="Arial" w:hAnsi="Arial" w:cs="Arial"/>
        </w:rPr>
        <w:t>)</w:t>
      </w:r>
      <w:r w:rsidRPr="00653811">
        <w:rPr>
          <w:rFonts w:ascii="Arial" w:hAnsi="Arial" w:cs="Arial"/>
        </w:rPr>
        <w:t xml:space="preserve">.  Tenderers are advised to satisfy themselves that they understand </w:t>
      </w:r>
      <w:proofErr w:type="gramStart"/>
      <w:r w:rsidRPr="00653811">
        <w:rPr>
          <w:rFonts w:ascii="Arial" w:hAnsi="Arial" w:cs="Arial"/>
        </w:rPr>
        <w:t>all of</w:t>
      </w:r>
      <w:proofErr w:type="gramEnd"/>
      <w:r w:rsidRPr="00653811">
        <w:rPr>
          <w:rFonts w:ascii="Arial" w:hAnsi="Arial" w:cs="Arial"/>
        </w:rPr>
        <w:t xml:space="preserve"> the Contracting Authority’s policies relevant to the </w:t>
      </w:r>
      <w:r w:rsidR="008036ED" w:rsidRPr="00653811">
        <w:rPr>
          <w:rFonts w:ascii="Arial" w:hAnsi="Arial" w:cs="Arial"/>
        </w:rPr>
        <w:t>C</w:t>
      </w:r>
      <w:r w:rsidRPr="00653811">
        <w:rPr>
          <w:rFonts w:ascii="Arial" w:hAnsi="Arial" w:cs="Arial"/>
        </w:rPr>
        <w:t xml:space="preserve">ontract before submitting their </w:t>
      </w:r>
      <w:r w:rsidR="00C4060D" w:rsidRPr="00653811">
        <w:rPr>
          <w:rFonts w:ascii="Arial" w:hAnsi="Arial" w:cs="Arial"/>
        </w:rPr>
        <w:t>T</w:t>
      </w:r>
      <w:r w:rsidRPr="00653811">
        <w:rPr>
          <w:rFonts w:ascii="Arial" w:hAnsi="Arial" w:cs="Arial"/>
        </w:rPr>
        <w:t>ender.</w:t>
      </w:r>
      <w:r w:rsidR="000401B6" w:rsidRPr="00653811">
        <w:rPr>
          <w:rFonts w:ascii="Arial" w:hAnsi="Arial" w:cs="Arial"/>
        </w:rPr>
        <w:t xml:space="preserve"> </w:t>
      </w:r>
    </w:p>
    <w:p w14:paraId="13C2964D" w14:textId="77777777" w:rsidR="00977183" w:rsidRPr="00653811" w:rsidRDefault="00977183" w:rsidP="00653811">
      <w:pPr>
        <w:pStyle w:val="ListParagraph"/>
        <w:rPr>
          <w:rFonts w:ascii="Arial" w:hAnsi="Arial" w:cs="Arial"/>
        </w:rPr>
      </w:pPr>
    </w:p>
    <w:p w14:paraId="2B0CBC6D" w14:textId="77777777" w:rsidR="00DE0181" w:rsidRDefault="00A52232" w:rsidP="002D2D9A">
      <w:pPr>
        <w:pStyle w:val="ListParagraph"/>
        <w:numPr>
          <w:ilvl w:val="1"/>
          <w:numId w:val="6"/>
        </w:numPr>
        <w:ind w:left="709" w:hanging="709"/>
        <w:jc w:val="both"/>
        <w:rPr>
          <w:rFonts w:ascii="Arial" w:hAnsi="Arial" w:cs="Arial"/>
        </w:rPr>
      </w:pPr>
      <w:r w:rsidRPr="00653811">
        <w:rPr>
          <w:rFonts w:ascii="Arial" w:hAnsi="Arial" w:cs="Arial"/>
        </w:rPr>
        <w:t xml:space="preserve">The Tender submission must be received in line with the relevant instructions no later than the time and date indicated.  The Contracting Authority </w:t>
      </w:r>
      <w:r w:rsidR="00550881">
        <w:rPr>
          <w:rFonts w:ascii="Arial" w:hAnsi="Arial" w:cs="Arial"/>
        </w:rPr>
        <w:t>will</w:t>
      </w:r>
      <w:r w:rsidRPr="00653811">
        <w:rPr>
          <w:rFonts w:ascii="Arial" w:hAnsi="Arial" w:cs="Arial"/>
        </w:rPr>
        <w:t xml:space="preserve"> not accept any </w:t>
      </w:r>
      <w:r w:rsidR="00C4060D" w:rsidRPr="00653811">
        <w:rPr>
          <w:rFonts w:ascii="Arial" w:hAnsi="Arial" w:cs="Arial"/>
        </w:rPr>
        <w:t>T</w:t>
      </w:r>
      <w:r w:rsidRPr="00653811">
        <w:rPr>
          <w:rFonts w:ascii="Arial" w:hAnsi="Arial" w:cs="Arial"/>
        </w:rPr>
        <w:t xml:space="preserve">ender </w:t>
      </w:r>
      <w:r w:rsidR="004D44F8">
        <w:rPr>
          <w:rFonts w:ascii="Arial" w:hAnsi="Arial" w:cs="Arial"/>
        </w:rPr>
        <w:t xml:space="preserve">received </w:t>
      </w:r>
      <w:r w:rsidRPr="00653811">
        <w:rPr>
          <w:rFonts w:ascii="Arial" w:hAnsi="Arial" w:cs="Arial"/>
        </w:rPr>
        <w:t xml:space="preserve">after the </w:t>
      </w:r>
      <w:r w:rsidR="003D1ACD">
        <w:rPr>
          <w:rFonts w:ascii="Arial" w:hAnsi="Arial" w:cs="Arial"/>
        </w:rPr>
        <w:t>Tender Return D</w:t>
      </w:r>
      <w:r w:rsidRPr="00653811">
        <w:rPr>
          <w:rFonts w:ascii="Arial" w:hAnsi="Arial" w:cs="Arial"/>
        </w:rPr>
        <w:t>eadline.</w:t>
      </w:r>
      <w:r w:rsidR="00550881">
        <w:rPr>
          <w:rFonts w:ascii="Arial" w:hAnsi="Arial" w:cs="Arial"/>
        </w:rPr>
        <w:t xml:space="preserve"> For the avoidance of doubt to be considered as having been submitted prior to the </w:t>
      </w:r>
      <w:r w:rsidR="003D1ACD">
        <w:rPr>
          <w:rFonts w:ascii="Arial" w:hAnsi="Arial" w:cs="Arial"/>
        </w:rPr>
        <w:t>T</w:t>
      </w:r>
      <w:r w:rsidR="00550881">
        <w:rPr>
          <w:rFonts w:ascii="Arial" w:hAnsi="Arial" w:cs="Arial"/>
        </w:rPr>
        <w:t xml:space="preserve">ender </w:t>
      </w:r>
      <w:r w:rsidR="003D1ACD">
        <w:rPr>
          <w:rFonts w:ascii="Arial" w:hAnsi="Arial" w:cs="Arial"/>
        </w:rPr>
        <w:t>Return D</w:t>
      </w:r>
      <w:r w:rsidR="00A31C6E">
        <w:rPr>
          <w:rFonts w:ascii="Arial" w:hAnsi="Arial" w:cs="Arial"/>
        </w:rPr>
        <w:t>eadline the T</w:t>
      </w:r>
      <w:r w:rsidR="00550881">
        <w:rPr>
          <w:rFonts w:ascii="Arial" w:hAnsi="Arial" w:cs="Arial"/>
        </w:rPr>
        <w:t xml:space="preserve">ender must be fully uploaded and received by the Contracting Authority in full. It is the </w:t>
      </w:r>
      <w:r w:rsidR="00A31C6E">
        <w:rPr>
          <w:rFonts w:ascii="Arial" w:hAnsi="Arial" w:cs="Arial"/>
        </w:rPr>
        <w:t>T</w:t>
      </w:r>
      <w:r w:rsidR="00550881">
        <w:rPr>
          <w:rFonts w:ascii="Arial" w:hAnsi="Arial" w:cs="Arial"/>
        </w:rPr>
        <w:t xml:space="preserve">enderers responsibility to ensure the bid is fully uploaded in sufficient time prior to the </w:t>
      </w:r>
      <w:r w:rsidR="003D1ACD">
        <w:rPr>
          <w:rFonts w:ascii="Arial" w:hAnsi="Arial" w:cs="Arial"/>
        </w:rPr>
        <w:t>T</w:t>
      </w:r>
      <w:r w:rsidR="00550881">
        <w:rPr>
          <w:rFonts w:ascii="Arial" w:hAnsi="Arial" w:cs="Arial"/>
        </w:rPr>
        <w:t xml:space="preserve">ender </w:t>
      </w:r>
      <w:r w:rsidR="003D1ACD">
        <w:rPr>
          <w:rFonts w:ascii="Arial" w:hAnsi="Arial" w:cs="Arial"/>
        </w:rPr>
        <w:t>Return D</w:t>
      </w:r>
      <w:r w:rsidR="00550881">
        <w:rPr>
          <w:rFonts w:ascii="Arial" w:hAnsi="Arial" w:cs="Arial"/>
        </w:rPr>
        <w:t>eadline.</w:t>
      </w:r>
    </w:p>
    <w:p w14:paraId="22A55AC5" w14:textId="77777777" w:rsidR="00527792" w:rsidRPr="00653811" w:rsidRDefault="00527792" w:rsidP="00653811">
      <w:pPr>
        <w:pStyle w:val="ListParagraph"/>
        <w:ind w:left="851"/>
        <w:jc w:val="both"/>
        <w:rPr>
          <w:rFonts w:ascii="Arial" w:hAnsi="Arial" w:cs="Arial"/>
        </w:rPr>
      </w:pPr>
    </w:p>
    <w:p w14:paraId="3C9801BF" w14:textId="77777777" w:rsidR="000A3BA3" w:rsidRDefault="000A3BA3" w:rsidP="002D2D9A">
      <w:pPr>
        <w:pStyle w:val="ListParagraph"/>
        <w:numPr>
          <w:ilvl w:val="0"/>
          <w:numId w:val="6"/>
        </w:numPr>
        <w:tabs>
          <w:tab w:val="left" w:pos="709"/>
        </w:tabs>
        <w:ind w:left="851" w:hanging="851"/>
        <w:rPr>
          <w:rFonts w:ascii="Arial" w:hAnsi="Arial" w:cs="Arial"/>
          <w:b/>
        </w:rPr>
      </w:pPr>
      <w:r w:rsidRPr="00653811">
        <w:rPr>
          <w:rFonts w:ascii="Arial" w:hAnsi="Arial" w:cs="Arial"/>
          <w:b/>
        </w:rPr>
        <w:t>TENDER SUBMISSION REQUIREMENTS</w:t>
      </w:r>
    </w:p>
    <w:p w14:paraId="2E87CF7C" w14:textId="77777777" w:rsidR="00527792" w:rsidRPr="00653811" w:rsidRDefault="00527792" w:rsidP="00653811">
      <w:pPr>
        <w:pStyle w:val="ListParagraph"/>
        <w:tabs>
          <w:tab w:val="left" w:pos="709"/>
        </w:tabs>
        <w:ind w:left="851"/>
        <w:rPr>
          <w:rFonts w:ascii="Arial" w:hAnsi="Arial" w:cs="Arial"/>
          <w:b/>
        </w:rPr>
      </w:pPr>
    </w:p>
    <w:p w14:paraId="2B2F8C62"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Tenders must be written in the English Language.</w:t>
      </w:r>
    </w:p>
    <w:p w14:paraId="5A295840" w14:textId="77777777" w:rsidR="00D10464" w:rsidRDefault="00D10464" w:rsidP="00653811">
      <w:pPr>
        <w:pStyle w:val="ListParagraph"/>
        <w:ind w:left="709"/>
        <w:jc w:val="both"/>
        <w:rPr>
          <w:rFonts w:ascii="Arial" w:hAnsi="Arial" w:cs="Arial"/>
        </w:rPr>
      </w:pPr>
    </w:p>
    <w:p w14:paraId="7F2B887B" w14:textId="77777777" w:rsidR="003D1ACD" w:rsidRPr="003D1ACD" w:rsidRDefault="00D10464" w:rsidP="002D2D9A">
      <w:pPr>
        <w:pStyle w:val="ListParagraph"/>
        <w:numPr>
          <w:ilvl w:val="1"/>
          <w:numId w:val="6"/>
        </w:numPr>
        <w:ind w:left="709" w:hanging="709"/>
        <w:rPr>
          <w:rFonts w:ascii="Arial" w:hAnsi="Arial" w:cs="Arial"/>
        </w:rPr>
      </w:pPr>
      <w:r w:rsidRPr="003D1ACD">
        <w:rPr>
          <w:rFonts w:ascii="Arial" w:hAnsi="Arial" w:cs="Arial"/>
        </w:rPr>
        <w:t>Tenderers must respond in line with instructions set out in this ITT.</w:t>
      </w:r>
    </w:p>
    <w:p w14:paraId="441FD2D7" w14:textId="77777777" w:rsidR="003D1ACD" w:rsidRPr="00653811" w:rsidRDefault="003D1ACD" w:rsidP="003D1ACD">
      <w:pPr>
        <w:pStyle w:val="ListParagraph"/>
        <w:ind w:left="709"/>
        <w:rPr>
          <w:rFonts w:ascii="Arial" w:hAnsi="Arial" w:cs="Arial"/>
        </w:rPr>
      </w:pPr>
    </w:p>
    <w:p w14:paraId="13E85B33" w14:textId="775E8ED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lastRenderedPageBreak/>
        <w:t xml:space="preserve">Only one </w:t>
      </w:r>
      <w:r w:rsidR="00C4060D" w:rsidRPr="00653811">
        <w:rPr>
          <w:rFonts w:ascii="Arial" w:hAnsi="Arial" w:cs="Arial"/>
        </w:rPr>
        <w:t>T</w:t>
      </w:r>
      <w:r w:rsidRPr="00653811">
        <w:rPr>
          <w:rFonts w:ascii="Arial" w:hAnsi="Arial" w:cs="Arial"/>
        </w:rPr>
        <w:t xml:space="preserve">ender submission is allowed from each Tenderer.  If a Tenderer submits more than one </w:t>
      </w:r>
      <w:r w:rsidR="00C4060D" w:rsidRPr="00653811">
        <w:rPr>
          <w:rFonts w:ascii="Arial" w:hAnsi="Arial" w:cs="Arial"/>
        </w:rPr>
        <w:t>T</w:t>
      </w:r>
      <w:r w:rsidRPr="00653811">
        <w:rPr>
          <w:rFonts w:ascii="Arial" w:hAnsi="Arial" w:cs="Arial"/>
        </w:rPr>
        <w:t>ender; the Contracting Authority will evaluate the one with the latest time of submission and disregard the other(s).</w:t>
      </w:r>
      <w:r w:rsidR="003D1ACD">
        <w:rPr>
          <w:rFonts w:ascii="Arial" w:hAnsi="Arial" w:cs="Arial"/>
        </w:rPr>
        <w:t xml:space="preserve"> For the avoidance of doubt the Contracting Authority will not accept multiple competing </w:t>
      </w:r>
      <w:r w:rsidR="00A31C6E">
        <w:rPr>
          <w:rFonts w:ascii="Arial" w:hAnsi="Arial" w:cs="Arial"/>
        </w:rPr>
        <w:t>T</w:t>
      </w:r>
      <w:r w:rsidR="003D1ACD">
        <w:rPr>
          <w:rFonts w:ascii="Arial" w:hAnsi="Arial" w:cs="Arial"/>
        </w:rPr>
        <w:t xml:space="preserve">enders from a single organisation </w:t>
      </w:r>
      <w:r w:rsidR="00505A11">
        <w:rPr>
          <w:rFonts w:ascii="Arial" w:hAnsi="Arial" w:cs="Arial"/>
        </w:rPr>
        <w:t>e.g.,</w:t>
      </w:r>
      <w:r w:rsidR="003D1ACD">
        <w:rPr>
          <w:rFonts w:ascii="Arial" w:hAnsi="Arial" w:cs="Arial"/>
        </w:rPr>
        <w:t xml:space="preserve"> as </w:t>
      </w:r>
      <w:r w:rsidR="00505A11">
        <w:rPr>
          <w:rFonts w:ascii="Arial" w:hAnsi="Arial" w:cs="Arial"/>
        </w:rPr>
        <w:t>an</w:t>
      </w:r>
      <w:r w:rsidR="003D1ACD">
        <w:rPr>
          <w:rFonts w:ascii="Arial" w:hAnsi="Arial" w:cs="Arial"/>
        </w:rPr>
        <w:t xml:space="preserve"> independent bid and / or part of a (multiple) consortium bid(s).</w:t>
      </w:r>
    </w:p>
    <w:p w14:paraId="53FF65E1" w14:textId="77777777" w:rsidR="00527792" w:rsidRPr="00653811" w:rsidRDefault="00527792" w:rsidP="00653811">
      <w:pPr>
        <w:pStyle w:val="ListParagraph"/>
        <w:ind w:left="709" w:hanging="709"/>
        <w:rPr>
          <w:rFonts w:ascii="Arial" w:hAnsi="Arial" w:cs="Arial"/>
        </w:rPr>
      </w:pPr>
    </w:p>
    <w:p w14:paraId="07F444FB"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Where possible, Tenderers should utilise file compression software when submitting their Tender.</w:t>
      </w:r>
    </w:p>
    <w:p w14:paraId="4106F54D" w14:textId="77777777" w:rsidR="003928B5" w:rsidRPr="00653811" w:rsidRDefault="003928B5" w:rsidP="00653811">
      <w:pPr>
        <w:pStyle w:val="ListParagraph"/>
        <w:ind w:left="709" w:hanging="709"/>
        <w:jc w:val="both"/>
        <w:rPr>
          <w:rFonts w:ascii="Arial" w:hAnsi="Arial" w:cs="Arial"/>
        </w:rPr>
      </w:pPr>
    </w:p>
    <w:p w14:paraId="42FD5394"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Where documents are embedded within other documents, Tenderers must upload separate copies of the embedded documents.</w:t>
      </w:r>
    </w:p>
    <w:p w14:paraId="0B7C2EFC" w14:textId="77777777" w:rsidR="003928B5" w:rsidRPr="00653811" w:rsidRDefault="003928B5" w:rsidP="00653811">
      <w:pPr>
        <w:pStyle w:val="ListParagraph"/>
        <w:ind w:left="709" w:hanging="709"/>
        <w:jc w:val="both"/>
        <w:rPr>
          <w:rFonts w:ascii="Arial" w:hAnsi="Arial" w:cs="Arial"/>
        </w:rPr>
      </w:pPr>
    </w:p>
    <w:p w14:paraId="36232156" w14:textId="3BCE21D5" w:rsidR="002D7524" w:rsidRDefault="002D7524" w:rsidP="002D2D9A">
      <w:pPr>
        <w:pStyle w:val="ListParagraph"/>
        <w:numPr>
          <w:ilvl w:val="1"/>
          <w:numId w:val="6"/>
        </w:numPr>
        <w:ind w:left="709" w:hanging="709"/>
        <w:jc w:val="both"/>
        <w:rPr>
          <w:rFonts w:ascii="Arial" w:hAnsi="Arial" w:cs="Arial"/>
        </w:rPr>
      </w:pPr>
      <w:r>
        <w:rPr>
          <w:rFonts w:ascii="Arial" w:hAnsi="Arial" w:cs="Arial"/>
        </w:rPr>
        <w:t>By submitting a Tender, Tenderers hereby confirm t</w:t>
      </w:r>
      <w:r w:rsidRPr="00653811">
        <w:rPr>
          <w:rFonts w:ascii="Arial" w:hAnsi="Arial" w:cs="Arial"/>
        </w:rPr>
        <w:t xml:space="preserve">he Tender (including price) </w:t>
      </w:r>
      <w:r>
        <w:rPr>
          <w:rFonts w:ascii="Arial" w:hAnsi="Arial" w:cs="Arial"/>
        </w:rPr>
        <w:t>will</w:t>
      </w:r>
      <w:r w:rsidRPr="00653811">
        <w:rPr>
          <w:rFonts w:ascii="Arial" w:hAnsi="Arial" w:cs="Arial"/>
        </w:rPr>
        <w:t xml:space="preserve"> remain valid</w:t>
      </w:r>
      <w:r>
        <w:rPr>
          <w:rFonts w:ascii="Arial" w:hAnsi="Arial" w:cs="Arial"/>
        </w:rPr>
        <w:t xml:space="preserve">, </w:t>
      </w:r>
      <w:r w:rsidRPr="0051096E">
        <w:rPr>
          <w:rFonts w:ascii="Arial" w:hAnsi="Arial" w:cs="Arial"/>
        </w:rPr>
        <w:t>open and capable of the Contracting Authority’s acceptance for a minimum period of ninety (90) days from</w:t>
      </w:r>
      <w:r w:rsidRPr="00653811">
        <w:rPr>
          <w:rFonts w:ascii="Arial" w:hAnsi="Arial" w:cs="Arial"/>
        </w:rPr>
        <w:t xml:space="preserve"> the </w:t>
      </w:r>
      <w:r>
        <w:rPr>
          <w:rFonts w:ascii="Arial" w:hAnsi="Arial" w:cs="Arial"/>
        </w:rPr>
        <w:t>Tender Return Deadline (see paragraph 4.1 above)</w:t>
      </w:r>
      <w:r w:rsidRPr="00653811">
        <w:rPr>
          <w:rFonts w:ascii="Arial" w:hAnsi="Arial" w:cs="Arial"/>
        </w:rPr>
        <w:t>.</w:t>
      </w:r>
    </w:p>
    <w:p w14:paraId="7CC2A506" w14:textId="77777777" w:rsidR="003928B5" w:rsidRPr="00653811" w:rsidRDefault="003928B5" w:rsidP="00653811">
      <w:pPr>
        <w:pStyle w:val="ListParagraph"/>
        <w:ind w:left="709" w:hanging="709"/>
        <w:jc w:val="both"/>
        <w:rPr>
          <w:rFonts w:ascii="Arial" w:hAnsi="Arial" w:cs="Arial"/>
        </w:rPr>
      </w:pPr>
    </w:p>
    <w:p w14:paraId="5241CDA4"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 xml:space="preserve">The </w:t>
      </w:r>
      <w:r w:rsidR="00C4060D" w:rsidRPr="00653811">
        <w:rPr>
          <w:rFonts w:ascii="Arial" w:hAnsi="Arial" w:cs="Arial"/>
        </w:rPr>
        <w:t>T</w:t>
      </w:r>
      <w:r w:rsidRPr="00653811">
        <w:rPr>
          <w:rFonts w:ascii="Arial" w:hAnsi="Arial" w:cs="Arial"/>
        </w:rPr>
        <w:t xml:space="preserve">ender must not be qualified in any way.  The </w:t>
      </w:r>
      <w:r w:rsidR="00C4060D" w:rsidRPr="00653811">
        <w:rPr>
          <w:rFonts w:ascii="Arial" w:hAnsi="Arial" w:cs="Arial"/>
        </w:rPr>
        <w:t>T</w:t>
      </w:r>
      <w:r w:rsidRPr="00653811">
        <w:rPr>
          <w:rFonts w:ascii="Arial" w:hAnsi="Arial" w:cs="Arial"/>
        </w:rPr>
        <w:t xml:space="preserve">ender must be clear, concise and complete.  The Contracting Authority </w:t>
      </w:r>
      <w:r w:rsidR="00A31C6E">
        <w:rPr>
          <w:rFonts w:ascii="Arial" w:hAnsi="Arial" w:cs="Arial"/>
        </w:rPr>
        <w:t xml:space="preserve">will evaluate Tenders in accordance with the </w:t>
      </w:r>
      <w:r w:rsidR="00AF661C">
        <w:rPr>
          <w:rFonts w:ascii="Arial" w:hAnsi="Arial" w:cs="Arial"/>
        </w:rPr>
        <w:t>award</w:t>
      </w:r>
      <w:r w:rsidR="00A31C6E">
        <w:rPr>
          <w:rFonts w:ascii="Arial" w:hAnsi="Arial" w:cs="Arial"/>
        </w:rPr>
        <w:t xml:space="preserve"> criteria </w:t>
      </w:r>
      <w:r w:rsidR="00AF661C">
        <w:rPr>
          <w:rFonts w:ascii="Arial" w:hAnsi="Arial" w:cs="Arial"/>
        </w:rPr>
        <w:t xml:space="preserve">(see paragraph 14) </w:t>
      </w:r>
      <w:r w:rsidR="00A31C6E">
        <w:rPr>
          <w:rFonts w:ascii="Arial" w:hAnsi="Arial" w:cs="Arial"/>
        </w:rPr>
        <w:t xml:space="preserve">and </w:t>
      </w:r>
      <w:r w:rsidRPr="00653811">
        <w:rPr>
          <w:rFonts w:ascii="Arial" w:hAnsi="Arial" w:cs="Arial"/>
        </w:rPr>
        <w:t xml:space="preserve">reserves the right to exclude </w:t>
      </w:r>
      <w:r w:rsidR="00A31C6E">
        <w:rPr>
          <w:rFonts w:ascii="Arial" w:hAnsi="Arial" w:cs="Arial"/>
        </w:rPr>
        <w:t>any Tender</w:t>
      </w:r>
      <w:r w:rsidRPr="00653811">
        <w:rPr>
          <w:rFonts w:ascii="Arial" w:hAnsi="Arial" w:cs="Arial"/>
        </w:rPr>
        <w:t xml:space="preserve"> from the procurement if it contains any ambiguities, caveats or lacks clarity.  Tenderers should submit only such information as is necessary to respond effectively to this ITT; Tenderers will be evaluated </w:t>
      </w:r>
      <w:proofErr w:type="gramStart"/>
      <w:r w:rsidRPr="00653811">
        <w:rPr>
          <w:rFonts w:ascii="Arial" w:hAnsi="Arial" w:cs="Arial"/>
        </w:rPr>
        <w:t>on the basis of</w:t>
      </w:r>
      <w:proofErr w:type="gramEnd"/>
      <w:r w:rsidRPr="00653811">
        <w:rPr>
          <w:rFonts w:ascii="Arial" w:hAnsi="Arial" w:cs="Arial"/>
        </w:rPr>
        <w:t xml:space="preserve"> information submitted by the </w:t>
      </w:r>
      <w:r w:rsidR="003D1ACD">
        <w:rPr>
          <w:rFonts w:ascii="Arial" w:hAnsi="Arial" w:cs="Arial"/>
        </w:rPr>
        <w:t>Tender Return D</w:t>
      </w:r>
      <w:r w:rsidRPr="00653811">
        <w:rPr>
          <w:rFonts w:ascii="Arial" w:hAnsi="Arial" w:cs="Arial"/>
        </w:rPr>
        <w:t>eadline.</w:t>
      </w:r>
    </w:p>
    <w:p w14:paraId="417AED29" w14:textId="77777777" w:rsidR="003928B5" w:rsidRPr="00653811" w:rsidRDefault="003928B5" w:rsidP="00653811">
      <w:pPr>
        <w:pStyle w:val="ListParagraph"/>
        <w:ind w:left="709" w:hanging="709"/>
        <w:jc w:val="both"/>
        <w:rPr>
          <w:rFonts w:ascii="Arial" w:hAnsi="Arial" w:cs="Arial"/>
        </w:rPr>
      </w:pPr>
    </w:p>
    <w:p w14:paraId="23E91CE8"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 xml:space="preserve">Any signatures must be made by a person who is authorised to commit the Tenderer to the </w:t>
      </w:r>
      <w:r w:rsidR="008036ED" w:rsidRPr="00653811">
        <w:rPr>
          <w:rFonts w:ascii="Arial" w:hAnsi="Arial" w:cs="Arial"/>
        </w:rPr>
        <w:t>C</w:t>
      </w:r>
      <w:r w:rsidRPr="00653811">
        <w:rPr>
          <w:rFonts w:ascii="Arial" w:hAnsi="Arial" w:cs="Arial"/>
        </w:rPr>
        <w:t>ontract.</w:t>
      </w:r>
      <w:r w:rsidR="00DA21B2">
        <w:rPr>
          <w:rFonts w:ascii="Arial" w:hAnsi="Arial" w:cs="Arial"/>
        </w:rPr>
        <w:t xml:space="preserve"> For the avoidance of doubt, an electronic signature is acceptable for the ITT, but wet signature will be required at Contract stage.</w:t>
      </w:r>
    </w:p>
    <w:p w14:paraId="4106B00C" w14:textId="77777777" w:rsidR="003928B5" w:rsidRPr="00653811" w:rsidRDefault="003928B5" w:rsidP="00653811">
      <w:pPr>
        <w:pStyle w:val="ListParagraph"/>
        <w:ind w:left="709" w:hanging="709"/>
        <w:jc w:val="both"/>
        <w:rPr>
          <w:rFonts w:ascii="Arial" w:hAnsi="Arial" w:cs="Arial"/>
        </w:rPr>
      </w:pPr>
    </w:p>
    <w:p w14:paraId="389C85F1" w14:textId="77777777" w:rsidR="007A51D9" w:rsidRDefault="005E150E" w:rsidP="002D2D9A">
      <w:pPr>
        <w:pStyle w:val="ListParagraph"/>
        <w:numPr>
          <w:ilvl w:val="1"/>
          <w:numId w:val="6"/>
        </w:numPr>
        <w:ind w:left="709" w:hanging="709"/>
        <w:jc w:val="both"/>
        <w:rPr>
          <w:rFonts w:ascii="Arial" w:hAnsi="Arial" w:cs="Arial"/>
        </w:rPr>
      </w:pPr>
      <w:r w:rsidRPr="00653811">
        <w:rPr>
          <w:rFonts w:ascii="Arial" w:hAnsi="Arial" w:cs="Arial"/>
        </w:rPr>
        <w:t xml:space="preserve">If Tenderers believe that they are unable to submit a </w:t>
      </w:r>
      <w:r w:rsidR="00C4060D" w:rsidRPr="00653811">
        <w:rPr>
          <w:rFonts w:ascii="Arial" w:hAnsi="Arial" w:cs="Arial"/>
        </w:rPr>
        <w:t>T</w:t>
      </w:r>
      <w:r w:rsidRPr="00653811">
        <w:rPr>
          <w:rFonts w:ascii="Arial" w:hAnsi="Arial" w:cs="Arial"/>
        </w:rPr>
        <w:t>ender via the electronic system, or if Tenderers need help or further information to be able to use the E-tendering process, they must contact the</w:t>
      </w:r>
      <w:r w:rsidR="00A1596D" w:rsidRPr="00653811">
        <w:rPr>
          <w:rFonts w:ascii="Arial" w:hAnsi="Arial" w:cs="Arial"/>
        </w:rPr>
        <w:t xml:space="preserve"> Portal Host, </w:t>
      </w:r>
      <w:r w:rsidR="009008F0" w:rsidRPr="00653811">
        <w:rPr>
          <w:rFonts w:ascii="Arial" w:hAnsi="Arial" w:cs="Arial"/>
        </w:rPr>
        <w:t xml:space="preserve">at </w:t>
      </w:r>
      <w:hyperlink r:id="rId13" w:history="1">
        <w:r w:rsidR="00747F09" w:rsidRPr="003928B5">
          <w:rPr>
            <w:rStyle w:val="Hyperlink"/>
            <w:rFonts w:ascii="Arial" w:hAnsi="Arial" w:cs="Arial"/>
          </w:rPr>
          <w:t>ProContractSuppliers@proactis.com</w:t>
        </w:r>
      </w:hyperlink>
      <w:r w:rsidR="00747F09" w:rsidRPr="00653811">
        <w:rPr>
          <w:rFonts w:ascii="Arial" w:hAnsi="Arial" w:cs="Arial"/>
        </w:rPr>
        <w:t>.</w:t>
      </w:r>
      <w:r w:rsidRPr="00653811">
        <w:rPr>
          <w:rFonts w:ascii="Arial" w:hAnsi="Arial" w:cs="Arial"/>
        </w:rPr>
        <w:t xml:space="preserve">  This is to allow for any technical queries to be investigated and resolved.</w:t>
      </w:r>
      <w:r w:rsidR="007A51D9" w:rsidRPr="00653811">
        <w:rPr>
          <w:rFonts w:ascii="Arial" w:hAnsi="Arial" w:cs="Arial"/>
        </w:rPr>
        <w:t xml:space="preserve"> Tender</w:t>
      </w:r>
      <w:r w:rsidR="00D21F6D" w:rsidRPr="00653811">
        <w:rPr>
          <w:rFonts w:ascii="Arial" w:hAnsi="Arial" w:cs="Arial"/>
        </w:rPr>
        <w:t>er</w:t>
      </w:r>
      <w:r w:rsidR="007A51D9" w:rsidRPr="00653811">
        <w:rPr>
          <w:rFonts w:ascii="Arial" w:hAnsi="Arial" w:cs="Arial"/>
        </w:rPr>
        <w:t xml:space="preserve">s are to note that it is their responsibility to upload </w:t>
      </w:r>
      <w:r w:rsidR="00C4060D" w:rsidRPr="00653811">
        <w:rPr>
          <w:rFonts w:ascii="Arial" w:hAnsi="Arial" w:cs="Arial"/>
        </w:rPr>
        <w:t>T</w:t>
      </w:r>
      <w:r w:rsidR="007A51D9" w:rsidRPr="00653811">
        <w:rPr>
          <w:rFonts w:ascii="Arial" w:hAnsi="Arial" w:cs="Arial"/>
        </w:rPr>
        <w:t xml:space="preserve">ender submissions by the </w:t>
      </w:r>
      <w:r w:rsidR="003D1ACD">
        <w:rPr>
          <w:rFonts w:ascii="Arial" w:hAnsi="Arial" w:cs="Arial"/>
        </w:rPr>
        <w:t>Tender Return D</w:t>
      </w:r>
      <w:r w:rsidR="007A51D9" w:rsidRPr="00653811">
        <w:rPr>
          <w:rFonts w:ascii="Arial" w:hAnsi="Arial" w:cs="Arial"/>
        </w:rPr>
        <w:t>eadline and to allow sufficient time for any technical queries to be resolved.</w:t>
      </w:r>
    </w:p>
    <w:p w14:paraId="67CB3043" w14:textId="77777777" w:rsidR="003928B5" w:rsidRPr="00653811" w:rsidRDefault="003928B5" w:rsidP="00653811">
      <w:pPr>
        <w:pStyle w:val="ListParagraph"/>
        <w:ind w:left="709" w:hanging="709"/>
        <w:jc w:val="both"/>
        <w:rPr>
          <w:rFonts w:ascii="Arial" w:hAnsi="Arial" w:cs="Arial"/>
        </w:rPr>
      </w:pPr>
    </w:p>
    <w:p w14:paraId="79075FA4" w14:textId="77777777" w:rsidR="00E01084" w:rsidRPr="00653811" w:rsidRDefault="006D57A1" w:rsidP="002D2D9A">
      <w:pPr>
        <w:pStyle w:val="ListParagraph"/>
        <w:numPr>
          <w:ilvl w:val="1"/>
          <w:numId w:val="6"/>
        </w:numPr>
        <w:ind w:left="709" w:hanging="709"/>
        <w:jc w:val="both"/>
        <w:rPr>
          <w:rFonts w:ascii="Arial" w:hAnsi="Arial" w:cs="Arial"/>
        </w:rPr>
      </w:pPr>
      <w:r w:rsidRPr="007B31F7">
        <w:rPr>
          <w:rFonts w:ascii="Arial" w:hAnsi="Arial" w:cs="Arial"/>
        </w:rPr>
        <w:t>A Tender r</w:t>
      </w:r>
      <w:r w:rsidR="005B395A" w:rsidRPr="007B31F7">
        <w:rPr>
          <w:rFonts w:ascii="Arial" w:hAnsi="Arial" w:cs="Arial"/>
        </w:rPr>
        <w:t xml:space="preserve">eturn check list is provided as part of Schedule 3 – Form of </w:t>
      </w:r>
      <w:r w:rsidR="009008F0" w:rsidRPr="007B31F7">
        <w:rPr>
          <w:rFonts w:ascii="Arial" w:hAnsi="Arial" w:cs="Arial"/>
        </w:rPr>
        <w:t>T</w:t>
      </w:r>
      <w:r w:rsidR="005B395A" w:rsidRPr="007B31F7">
        <w:rPr>
          <w:rFonts w:ascii="Arial" w:hAnsi="Arial" w:cs="Arial"/>
        </w:rPr>
        <w:t>ender</w:t>
      </w:r>
      <w:r w:rsidR="00E01084" w:rsidRPr="00653811">
        <w:rPr>
          <w:rFonts w:ascii="Arial" w:hAnsi="Arial" w:cs="Arial"/>
          <w:b/>
        </w:rPr>
        <w:t>.</w:t>
      </w:r>
    </w:p>
    <w:p w14:paraId="2AED0699" w14:textId="77777777" w:rsidR="005E150E" w:rsidRPr="00D05A8B" w:rsidRDefault="005E150E" w:rsidP="00653811">
      <w:pPr>
        <w:contextualSpacing/>
        <w:jc w:val="both"/>
        <w:rPr>
          <w:rFonts w:ascii="Arial" w:hAnsi="Arial" w:cs="Arial"/>
          <w:b/>
        </w:rPr>
      </w:pPr>
    </w:p>
    <w:p w14:paraId="6222E456" w14:textId="77777777" w:rsidR="005E150E" w:rsidRDefault="005E150E" w:rsidP="002D2D9A">
      <w:pPr>
        <w:pStyle w:val="ListParagraph"/>
        <w:numPr>
          <w:ilvl w:val="0"/>
          <w:numId w:val="6"/>
        </w:numPr>
        <w:tabs>
          <w:tab w:val="left" w:pos="709"/>
        </w:tabs>
        <w:ind w:left="851" w:hanging="851"/>
        <w:rPr>
          <w:rFonts w:ascii="Arial" w:hAnsi="Arial" w:cs="Arial"/>
          <w:b/>
        </w:rPr>
      </w:pPr>
      <w:r w:rsidRPr="00653811">
        <w:rPr>
          <w:rFonts w:ascii="Arial" w:hAnsi="Arial" w:cs="Arial"/>
          <w:b/>
        </w:rPr>
        <w:t>SUBCONTRACTING AND CONSORT</w:t>
      </w:r>
      <w:r w:rsidR="009008F0" w:rsidRPr="00653811">
        <w:rPr>
          <w:rFonts w:ascii="Arial" w:hAnsi="Arial" w:cs="Arial"/>
          <w:b/>
        </w:rPr>
        <w:t>IU</w:t>
      </w:r>
      <w:r w:rsidRPr="00653811">
        <w:rPr>
          <w:rFonts w:ascii="Arial" w:hAnsi="Arial" w:cs="Arial"/>
          <w:b/>
        </w:rPr>
        <w:t>M BID REQUIR</w:t>
      </w:r>
      <w:r w:rsidR="00953AFB" w:rsidRPr="00653811">
        <w:rPr>
          <w:rFonts w:ascii="Arial" w:hAnsi="Arial" w:cs="Arial"/>
          <w:b/>
        </w:rPr>
        <w:t>E</w:t>
      </w:r>
      <w:r w:rsidRPr="00653811">
        <w:rPr>
          <w:rFonts w:ascii="Arial" w:hAnsi="Arial" w:cs="Arial"/>
          <w:b/>
        </w:rPr>
        <w:t>MENTS</w:t>
      </w:r>
    </w:p>
    <w:p w14:paraId="6F9E9F64" w14:textId="77777777" w:rsidR="003928B5" w:rsidRPr="00653811" w:rsidRDefault="003928B5" w:rsidP="00653811">
      <w:pPr>
        <w:pStyle w:val="ListParagraph"/>
        <w:tabs>
          <w:tab w:val="left" w:pos="709"/>
        </w:tabs>
        <w:ind w:left="851"/>
        <w:rPr>
          <w:rFonts w:ascii="Arial" w:hAnsi="Arial" w:cs="Arial"/>
          <w:b/>
        </w:rPr>
      </w:pPr>
    </w:p>
    <w:p w14:paraId="3355AB9A" w14:textId="77777777" w:rsidR="002D7524" w:rsidRDefault="002D7524" w:rsidP="002D2D9A">
      <w:pPr>
        <w:pStyle w:val="ListParagraph"/>
        <w:numPr>
          <w:ilvl w:val="1"/>
          <w:numId w:val="6"/>
        </w:numPr>
        <w:ind w:left="709" w:hanging="709"/>
        <w:jc w:val="both"/>
        <w:rPr>
          <w:rFonts w:ascii="Arial" w:hAnsi="Arial" w:cs="Arial"/>
        </w:rPr>
      </w:pPr>
      <w:r w:rsidRPr="00653811">
        <w:rPr>
          <w:rFonts w:ascii="Arial" w:hAnsi="Arial" w:cs="Arial"/>
        </w:rPr>
        <w:t xml:space="preserve">The Contracting Authority requires all Tenderers to identify whether and which </w:t>
      </w:r>
      <w:proofErr w:type="gramStart"/>
      <w:r w:rsidRPr="00653811">
        <w:rPr>
          <w:rFonts w:ascii="Arial" w:hAnsi="Arial" w:cs="Arial"/>
        </w:rPr>
        <w:t>subcontracting</w:t>
      </w:r>
      <w:proofErr w:type="gramEnd"/>
      <w:r w:rsidRPr="00653811">
        <w:rPr>
          <w:rFonts w:ascii="Arial" w:hAnsi="Arial" w:cs="Arial"/>
        </w:rPr>
        <w:t xml:space="preserve"> or consortium arrangements apply in the case of their Tender and in </w:t>
      </w:r>
      <w:r w:rsidRPr="00653811">
        <w:rPr>
          <w:rFonts w:ascii="Arial" w:hAnsi="Arial" w:cs="Arial"/>
        </w:rPr>
        <w:lastRenderedPageBreak/>
        <w:t xml:space="preserve">particular specify the share </w:t>
      </w:r>
      <w:r>
        <w:rPr>
          <w:rFonts w:ascii="Arial" w:hAnsi="Arial" w:cs="Arial"/>
        </w:rPr>
        <w:t xml:space="preserve">and detail </w:t>
      </w:r>
      <w:r w:rsidRPr="00653811">
        <w:rPr>
          <w:rFonts w:ascii="Arial" w:hAnsi="Arial" w:cs="Arial"/>
        </w:rPr>
        <w:t>of the Contract it intends to sub-contract</w:t>
      </w:r>
      <w:r>
        <w:rPr>
          <w:rFonts w:ascii="Arial" w:hAnsi="Arial" w:cs="Arial"/>
        </w:rPr>
        <w:t xml:space="preserve"> and</w:t>
      </w:r>
      <w:r w:rsidRPr="00653811">
        <w:rPr>
          <w:rFonts w:ascii="Arial" w:hAnsi="Arial" w:cs="Arial"/>
        </w:rPr>
        <w:t xml:space="preserve"> any proposed sub-contractors.  The Contracting Authority expects the entity which is the Tenderer to be the party to any Contract which the Contracting Authority </w:t>
      </w:r>
      <w:proofErr w:type="gramStart"/>
      <w:r w:rsidRPr="00653811">
        <w:rPr>
          <w:rFonts w:ascii="Arial" w:hAnsi="Arial" w:cs="Arial"/>
        </w:rPr>
        <w:t xml:space="preserve">enters </w:t>
      </w:r>
      <w:r>
        <w:rPr>
          <w:rFonts w:ascii="Arial" w:hAnsi="Arial" w:cs="Arial"/>
        </w:rPr>
        <w:t>into</w:t>
      </w:r>
      <w:proofErr w:type="gramEnd"/>
      <w:r w:rsidRPr="00653811">
        <w:rPr>
          <w:rFonts w:ascii="Arial" w:hAnsi="Arial" w:cs="Arial"/>
        </w:rPr>
        <w:t xml:space="preserve"> in connection with the Contract.  If the Tenderer is a </w:t>
      </w:r>
      <w:r>
        <w:rPr>
          <w:rFonts w:ascii="Arial" w:hAnsi="Arial" w:cs="Arial"/>
        </w:rPr>
        <w:t xml:space="preserve">not a single legal entity but is a </w:t>
      </w:r>
      <w:r w:rsidRPr="00653811">
        <w:rPr>
          <w:rFonts w:ascii="Arial" w:hAnsi="Arial" w:cs="Arial"/>
        </w:rPr>
        <w:t xml:space="preserve">consortium, </w:t>
      </w:r>
      <w:r>
        <w:rPr>
          <w:rFonts w:ascii="Arial" w:hAnsi="Arial" w:cs="Arial"/>
        </w:rPr>
        <w:t>p</w:t>
      </w:r>
      <w:r w:rsidRPr="00653811">
        <w:rPr>
          <w:rFonts w:ascii="Arial" w:hAnsi="Arial" w:cs="Arial"/>
        </w:rPr>
        <w:t xml:space="preserve">artnership or the like, all members of it will be </w:t>
      </w:r>
      <w:r>
        <w:rPr>
          <w:rFonts w:ascii="Arial" w:hAnsi="Arial" w:cs="Arial"/>
        </w:rPr>
        <w:t xml:space="preserve">required to </w:t>
      </w:r>
      <w:proofErr w:type="gramStart"/>
      <w:r>
        <w:rPr>
          <w:rFonts w:ascii="Arial" w:hAnsi="Arial" w:cs="Arial"/>
        </w:rPr>
        <w:t>enter into</w:t>
      </w:r>
      <w:proofErr w:type="gramEnd"/>
      <w:r>
        <w:rPr>
          <w:rFonts w:ascii="Arial" w:hAnsi="Arial" w:cs="Arial"/>
        </w:rPr>
        <w:t xml:space="preserve"> the Contract and will be </w:t>
      </w:r>
      <w:r w:rsidRPr="00653811">
        <w:rPr>
          <w:rFonts w:ascii="Arial" w:hAnsi="Arial" w:cs="Arial"/>
        </w:rPr>
        <w:t>jointly and severally liable under any such Contract.</w:t>
      </w:r>
      <w:r>
        <w:rPr>
          <w:rFonts w:ascii="Arial" w:hAnsi="Arial" w:cs="Arial"/>
        </w:rPr>
        <w:t xml:space="preserve"> During the life of the contract the successful bidder may subcontract in accordance with the terms and conditions of the contract. </w:t>
      </w:r>
    </w:p>
    <w:p w14:paraId="78A4F88D" w14:textId="77777777" w:rsidR="00A31C6E" w:rsidRPr="00653811" w:rsidRDefault="00A31C6E" w:rsidP="00A31C6E">
      <w:pPr>
        <w:pStyle w:val="ListParagraph"/>
        <w:ind w:left="709"/>
        <w:jc w:val="both"/>
        <w:rPr>
          <w:rFonts w:ascii="Arial" w:hAnsi="Arial" w:cs="Arial"/>
        </w:rPr>
      </w:pPr>
    </w:p>
    <w:p w14:paraId="6BE02F9B" w14:textId="77777777" w:rsidR="003928B5" w:rsidRDefault="00E3761A" w:rsidP="002D2D9A">
      <w:pPr>
        <w:pStyle w:val="ListParagraph"/>
        <w:numPr>
          <w:ilvl w:val="1"/>
          <w:numId w:val="6"/>
        </w:numPr>
        <w:ind w:left="709" w:hanging="709"/>
        <w:jc w:val="both"/>
        <w:rPr>
          <w:rFonts w:ascii="Arial" w:hAnsi="Arial" w:cs="Arial"/>
        </w:rPr>
      </w:pPr>
      <w:r w:rsidRPr="00653811">
        <w:rPr>
          <w:rFonts w:ascii="Arial" w:hAnsi="Arial" w:cs="Arial"/>
        </w:rPr>
        <w:t>Any changes to</w:t>
      </w:r>
      <w:r w:rsidR="006B5CD9">
        <w:rPr>
          <w:rFonts w:ascii="Arial" w:hAnsi="Arial" w:cs="Arial"/>
        </w:rPr>
        <w:t xml:space="preserve"> Consortium or</w:t>
      </w:r>
      <w:r w:rsidRPr="00653811">
        <w:rPr>
          <w:rFonts w:ascii="Arial" w:hAnsi="Arial" w:cs="Arial"/>
        </w:rPr>
        <w:t xml:space="preserve"> subcontracting arrangements must be notified to the Contracting Authority</w:t>
      </w:r>
      <w:r w:rsidR="006B5CD9">
        <w:rPr>
          <w:rFonts w:ascii="Arial" w:hAnsi="Arial" w:cs="Arial"/>
        </w:rPr>
        <w:t xml:space="preserve"> immediately</w:t>
      </w:r>
      <w:r w:rsidRPr="00653811">
        <w:rPr>
          <w:rFonts w:ascii="Arial" w:hAnsi="Arial" w:cs="Arial"/>
        </w:rPr>
        <w:t>.</w:t>
      </w:r>
    </w:p>
    <w:p w14:paraId="128F4D37" w14:textId="77777777" w:rsidR="003928B5" w:rsidRPr="00653811" w:rsidRDefault="003928B5" w:rsidP="00653811">
      <w:pPr>
        <w:pStyle w:val="ListParagraph"/>
        <w:ind w:left="709" w:hanging="709"/>
        <w:rPr>
          <w:rFonts w:ascii="Arial" w:hAnsi="Arial" w:cs="Arial"/>
        </w:rPr>
      </w:pPr>
    </w:p>
    <w:p w14:paraId="1E91ECDB" w14:textId="1A3AD9B9" w:rsidR="003928B5" w:rsidRPr="0051096E" w:rsidRDefault="003928B5" w:rsidP="002D2D9A">
      <w:pPr>
        <w:pStyle w:val="ListParagraph"/>
        <w:numPr>
          <w:ilvl w:val="1"/>
          <w:numId w:val="6"/>
        </w:numPr>
        <w:ind w:left="709" w:hanging="709"/>
        <w:jc w:val="both"/>
        <w:rPr>
          <w:rFonts w:ascii="Arial" w:hAnsi="Arial" w:cs="Arial"/>
        </w:rPr>
      </w:pPr>
      <w:r w:rsidRPr="00CA3EB2">
        <w:rPr>
          <w:rFonts w:ascii="Arial" w:hAnsi="Arial" w:cs="Arial"/>
        </w:rPr>
        <w:t xml:space="preserve">If your organisation is a consortium then </w:t>
      </w:r>
      <w:proofErr w:type="gramStart"/>
      <w:r w:rsidRPr="00CA3EB2">
        <w:rPr>
          <w:rFonts w:ascii="Arial" w:hAnsi="Arial" w:cs="Arial"/>
        </w:rPr>
        <w:t>all of</w:t>
      </w:r>
      <w:proofErr w:type="gramEnd"/>
      <w:r w:rsidRPr="00CA3EB2">
        <w:rPr>
          <w:rFonts w:ascii="Arial" w:hAnsi="Arial" w:cs="Arial"/>
        </w:rPr>
        <w:t xml:space="preserve"> the sections of </w:t>
      </w:r>
      <w:r w:rsidRPr="0051096E">
        <w:rPr>
          <w:rFonts w:ascii="Arial" w:hAnsi="Arial" w:cs="Arial"/>
        </w:rPr>
        <w:t>the</w:t>
      </w:r>
      <w:r w:rsidRPr="0051096E">
        <w:t xml:space="preserve"> </w:t>
      </w:r>
      <w:r w:rsidRPr="0051096E">
        <w:rPr>
          <w:rFonts w:ascii="Arial" w:hAnsi="Arial" w:cs="Arial"/>
        </w:rPr>
        <w:t>Suitability Assessment</w:t>
      </w:r>
      <w:r w:rsidRPr="0051096E">
        <w:t xml:space="preserve"> </w:t>
      </w:r>
      <w:r w:rsidRPr="0051096E">
        <w:rPr>
          <w:rFonts w:ascii="Arial" w:hAnsi="Arial" w:cs="Arial"/>
        </w:rPr>
        <w:t xml:space="preserve">(Schedule 1) part one and part two must be answered by each member of the consortium.  Only the lead member need answer the Tender Response Document </w:t>
      </w:r>
      <w:r w:rsidR="006B5CD9" w:rsidRPr="0051096E">
        <w:rPr>
          <w:rFonts w:ascii="Arial" w:hAnsi="Arial" w:cs="Arial"/>
        </w:rPr>
        <w:t xml:space="preserve">(Schedule 5) </w:t>
      </w:r>
      <w:r w:rsidRPr="0051096E">
        <w:rPr>
          <w:rFonts w:ascii="Arial" w:hAnsi="Arial" w:cs="Arial"/>
        </w:rPr>
        <w:t>and Pricing Schedule but should do so on behalf of the entire consortium.</w:t>
      </w:r>
    </w:p>
    <w:p w14:paraId="5F385809" w14:textId="77777777" w:rsidR="003928B5" w:rsidRPr="0051096E" w:rsidRDefault="003928B5" w:rsidP="00653811">
      <w:pPr>
        <w:pStyle w:val="ListParagraph"/>
        <w:ind w:left="709" w:hanging="709"/>
        <w:rPr>
          <w:rFonts w:ascii="Arial" w:hAnsi="Arial" w:cs="Arial"/>
        </w:rPr>
      </w:pPr>
    </w:p>
    <w:p w14:paraId="0F96403E" w14:textId="77777777" w:rsidR="006B5CD9" w:rsidRPr="0051096E" w:rsidRDefault="003928B5" w:rsidP="002D2D9A">
      <w:pPr>
        <w:pStyle w:val="ListParagraph"/>
        <w:numPr>
          <w:ilvl w:val="1"/>
          <w:numId w:val="6"/>
        </w:numPr>
        <w:ind w:left="709" w:hanging="709"/>
        <w:jc w:val="both"/>
        <w:rPr>
          <w:rFonts w:ascii="Arial" w:hAnsi="Arial" w:cs="Arial"/>
        </w:rPr>
      </w:pPr>
      <w:r w:rsidRPr="0051096E">
        <w:rPr>
          <w:rFonts w:ascii="Arial" w:hAnsi="Arial" w:cs="Arial"/>
        </w:rPr>
        <w:t>During the procurement process any changes to the composition of the consortium or partnership must be notified to the Contracting Authority immediately</w:t>
      </w:r>
      <w:r w:rsidR="006B5CD9" w:rsidRPr="0051096E">
        <w:rPr>
          <w:rFonts w:ascii="Arial" w:hAnsi="Arial" w:cs="Arial"/>
        </w:rPr>
        <w:t>:</w:t>
      </w:r>
    </w:p>
    <w:p w14:paraId="122B3E60" w14:textId="77777777" w:rsidR="006B5CD9" w:rsidRPr="0051096E" w:rsidRDefault="006B5CD9" w:rsidP="006B5CD9">
      <w:pPr>
        <w:pStyle w:val="ListParagraph"/>
        <w:ind w:left="1701" w:hanging="992"/>
        <w:rPr>
          <w:rFonts w:ascii="Arial" w:hAnsi="Arial" w:cs="Arial"/>
        </w:rPr>
      </w:pPr>
    </w:p>
    <w:p w14:paraId="2004B707" w14:textId="1F65F5EF" w:rsidR="006B5CD9" w:rsidRPr="0051096E" w:rsidRDefault="006B5CD9" w:rsidP="002D2D9A">
      <w:pPr>
        <w:pStyle w:val="ListParagraph"/>
        <w:numPr>
          <w:ilvl w:val="2"/>
          <w:numId w:val="6"/>
        </w:numPr>
        <w:ind w:left="1701" w:hanging="992"/>
        <w:jc w:val="both"/>
        <w:rPr>
          <w:rFonts w:ascii="Arial" w:hAnsi="Arial" w:cs="Arial"/>
        </w:rPr>
      </w:pPr>
      <w:r w:rsidRPr="0051096E">
        <w:rPr>
          <w:rFonts w:ascii="Arial" w:hAnsi="Arial" w:cs="Arial"/>
        </w:rPr>
        <w:t>if the changes occur prior to the Tender Return Deadline t</w:t>
      </w:r>
      <w:r w:rsidR="003928B5" w:rsidRPr="0051096E">
        <w:rPr>
          <w:rFonts w:ascii="Arial" w:hAnsi="Arial" w:cs="Arial"/>
        </w:rPr>
        <w:t xml:space="preserve">he new consortium or partnership member will be required to complete the Suitability Assessment (Schedule 1), which will be assessed in accordance with the Tender evaluation </w:t>
      </w:r>
      <w:r w:rsidR="00505A11" w:rsidRPr="0051096E">
        <w:rPr>
          <w:rFonts w:ascii="Arial" w:hAnsi="Arial" w:cs="Arial"/>
        </w:rPr>
        <w:t>criteria.</w:t>
      </w:r>
    </w:p>
    <w:p w14:paraId="6FEE4C53" w14:textId="77777777" w:rsidR="006B5CD9" w:rsidRDefault="006B5CD9" w:rsidP="006B5CD9">
      <w:pPr>
        <w:pStyle w:val="ListParagraph"/>
        <w:ind w:left="1701" w:hanging="992"/>
        <w:jc w:val="both"/>
        <w:rPr>
          <w:rFonts w:ascii="Arial" w:hAnsi="Arial" w:cs="Arial"/>
        </w:rPr>
      </w:pPr>
    </w:p>
    <w:p w14:paraId="23F3029E" w14:textId="77777777" w:rsidR="003928B5" w:rsidRDefault="006B5CD9" w:rsidP="002D2D9A">
      <w:pPr>
        <w:pStyle w:val="ListParagraph"/>
        <w:numPr>
          <w:ilvl w:val="2"/>
          <w:numId w:val="6"/>
        </w:numPr>
        <w:ind w:left="1701" w:hanging="992"/>
        <w:jc w:val="both"/>
        <w:rPr>
          <w:rFonts w:ascii="Arial" w:hAnsi="Arial" w:cs="Arial"/>
        </w:rPr>
      </w:pPr>
      <w:r>
        <w:rPr>
          <w:rFonts w:ascii="Arial" w:hAnsi="Arial" w:cs="Arial"/>
        </w:rPr>
        <w:t>if the changes occur after the Tender Return Deadline the consortium will be excluded from the procurement process</w:t>
      </w:r>
      <w:r w:rsidR="003928B5" w:rsidRPr="003928B5">
        <w:rPr>
          <w:rFonts w:ascii="Arial" w:hAnsi="Arial" w:cs="Arial"/>
        </w:rPr>
        <w:t>.</w:t>
      </w:r>
    </w:p>
    <w:p w14:paraId="3CB8219E" w14:textId="77777777" w:rsidR="003928B5" w:rsidRPr="00653811" w:rsidRDefault="003928B5" w:rsidP="00653811">
      <w:pPr>
        <w:pStyle w:val="ListParagraph"/>
        <w:rPr>
          <w:rFonts w:ascii="Arial" w:hAnsi="Arial" w:cs="Arial"/>
        </w:rPr>
      </w:pPr>
    </w:p>
    <w:p w14:paraId="7EEE8967" w14:textId="77777777" w:rsidR="003928B5" w:rsidRDefault="003928B5" w:rsidP="002D2D9A">
      <w:pPr>
        <w:pStyle w:val="ListParagraph"/>
        <w:numPr>
          <w:ilvl w:val="0"/>
          <w:numId w:val="6"/>
        </w:numPr>
        <w:tabs>
          <w:tab w:val="left" w:pos="709"/>
        </w:tabs>
        <w:ind w:left="709" w:hanging="709"/>
        <w:rPr>
          <w:rFonts w:ascii="Arial" w:hAnsi="Arial" w:cs="Arial"/>
          <w:b/>
        </w:rPr>
      </w:pPr>
      <w:r w:rsidRPr="003928B5">
        <w:rPr>
          <w:rFonts w:ascii="Arial" w:hAnsi="Arial" w:cs="Arial"/>
          <w:b/>
        </w:rPr>
        <w:t>TENDER CONDUCT AND CONFLICTS OF INTEREST</w:t>
      </w:r>
    </w:p>
    <w:p w14:paraId="201A40E9" w14:textId="77777777" w:rsidR="001B2E84" w:rsidRDefault="001B2E84" w:rsidP="00653811">
      <w:pPr>
        <w:pStyle w:val="ListParagraph"/>
        <w:tabs>
          <w:tab w:val="left" w:pos="709"/>
        </w:tabs>
        <w:ind w:left="709"/>
        <w:rPr>
          <w:rFonts w:ascii="Arial" w:hAnsi="Arial" w:cs="Arial"/>
          <w:b/>
        </w:rPr>
      </w:pPr>
    </w:p>
    <w:p w14:paraId="2A38F44D" w14:textId="77777777" w:rsidR="001B2E84" w:rsidRDefault="001B2E84" w:rsidP="002D2D9A">
      <w:pPr>
        <w:pStyle w:val="ListParagraph"/>
        <w:numPr>
          <w:ilvl w:val="1"/>
          <w:numId w:val="6"/>
        </w:numPr>
        <w:tabs>
          <w:tab w:val="left" w:pos="709"/>
        </w:tabs>
        <w:ind w:left="709" w:hanging="709"/>
        <w:rPr>
          <w:rFonts w:ascii="Arial" w:hAnsi="Arial" w:cs="Arial"/>
        </w:rPr>
      </w:pPr>
      <w:r w:rsidRPr="00653811">
        <w:rPr>
          <w:rFonts w:ascii="Arial" w:hAnsi="Arial" w:cs="Arial"/>
        </w:rPr>
        <w:t>Any attempt by Tenderers or their advisors to influence the contract award process in any way may result in the Tenderer being disqualified.  Specifically, Tenderers shall not directly or indirectly at any time:</w:t>
      </w:r>
    </w:p>
    <w:p w14:paraId="6600F6A7" w14:textId="77777777" w:rsidR="000B6FAC" w:rsidRDefault="000B6FAC" w:rsidP="00653811">
      <w:pPr>
        <w:pStyle w:val="ListParagraph"/>
        <w:tabs>
          <w:tab w:val="left" w:pos="851"/>
        </w:tabs>
        <w:ind w:left="851"/>
        <w:rPr>
          <w:rFonts w:ascii="Arial" w:hAnsi="Arial" w:cs="Arial"/>
        </w:rPr>
      </w:pPr>
    </w:p>
    <w:p w14:paraId="4E0345D9" w14:textId="77777777" w:rsidR="000B6FAC" w:rsidRDefault="000B6FAC" w:rsidP="002D2D9A">
      <w:pPr>
        <w:pStyle w:val="ListParagraph"/>
        <w:numPr>
          <w:ilvl w:val="2"/>
          <w:numId w:val="6"/>
        </w:numPr>
        <w:ind w:left="1701" w:hanging="992"/>
        <w:jc w:val="both"/>
        <w:rPr>
          <w:rFonts w:ascii="Arial" w:hAnsi="Arial" w:cs="Arial"/>
        </w:rPr>
      </w:pPr>
      <w:r w:rsidRPr="00CA3EB2">
        <w:rPr>
          <w:rFonts w:ascii="Arial" w:hAnsi="Arial" w:cs="Arial"/>
        </w:rPr>
        <w:t>Devise or amend the content of their Tender in accordance with any agreement or arrangement with any other person, other than in good faith with a person who is a proposed partner, supplier, consortium member or provider of finance.</w:t>
      </w:r>
    </w:p>
    <w:p w14:paraId="6E9B8639" w14:textId="77777777" w:rsidR="000B6FAC" w:rsidRPr="00CA3EB2" w:rsidRDefault="000B6FAC" w:rsidP="006B5CD9">
      <w:pPr>
        <w:pStyle w:val="ListParagraph"/>
        <w:ind w:left="1701" w:hanging="992"/>
        <w:jc w:val="both"/>
        <w:rPr>
          <w:rFonts w:ascii="Arial" w:hAnsi="Arial" w:cs="Arial"/>
        </w:rPr>
      </w:pPr>
    </w:p>
    <w:p w14:paraId="5F79243A" w14:textId="77777777" w:rsidR="000B6FAC" w:rsidRPr="00CA3EB2" w:rsidRDefault="000B6FAC" w:rsidP="002D2D9A">
      <w:pPr>
        <w:pStyle w:val="ListParagraph"/>
        <w:numPr>
          <w:ilvl w:val="2"/>
          <w:numId w:val="6"/>
        </w:numPr>
        <w:ind w:left="1701" w:hanging="992"/>
        <w:jc w:val="both"/>
        <w:rPr>
          <w:rFonts w:ascii="Arial" w:hAnsi="Arial" w:cs="Arial"/>
        </w:rPr>
      </w:pPr>
      <w:r w:rsidRPr="00CA3EB2">
        <w:rPr>
          <w:rFonts w:ascii="Arial" w:hAnsi="Arial" w:cs="Arial"/>
        </w:rPr>
        <w:t>Enter into any agreement or arrangement with any other person as to the form or content of any other Tender or offer to pay any sum of money or valuable consideration to any person to effect changes to the form or content of any other Tender.</w:t>
      </w:r>
    </w:p>
    <w:p w14:paraId="456FB816" w14:textId="77777777" w:rsidR="000B6FAC" w:rsidRPr="00CA3EB2" w:rsidRDefault="000B6FAC" w:rsidP="006B5CD9">
      <w:pPr>
        <w:pStyle w:val="ListParagraph"/>
        <w:ind w:left="1701" w:hanging="992"/>
        <w:jc w:val="both"/>
        <w:rPr>
          <w:rFonts w:ascii="Arial" w:hAnsi="Arial" w:cs="Arial"/>
        </w:rPr>
      </w:pPr>
    </w:p>
    <w:p w14:paraId="69F5F6DC" w14:textId="77777777" w:rsidR="000B6FAC" w:rsidRPr="00CA3EB2" w:rsidRDefault="000B6FAC" w:rsidP="002D2D9A">
      <w:pPr>
        <w:pStyle w:val="ListParagraph"/>
        <w:numPr>
          <w:ilvl w:val="2"/>
          <w:numId w:val="6"/>
        </w:numPr>
        <w:ind w:left="1701" w:hanging="992"/>
        <w:jc w:val="both"/>
        <w:rPr>
          <w:rFonts w:ascii="Arial" w:hAnsi="Arial" w:cs="Arial"/>
        </w:rPr>
      </w:pPr>
      <w:r w:rsidRPr="00CA3EB2">
        <w:rPr>
          <w:rFonts w:ascii="Arial" w:hAnsi="Arial" w:cs="Arial"/>
        </w:rPr>
        <w:lastRenderedPageBreak/>
        <w:t>Enter into any agreement or arrangement with any other person that has the effect of prohibiting or excluding that person from submitting a Tender.</w:t>
      </w:r>
    </w:p>
    <w:p w14:paraId="1C0C5215" w14:textId="77777777" w:rsidR="000B6FAC" w:rsidRPr="00CA3EB2" w:rsidRDefault="000B6FAC" w:rsidP="006B5CD9">
      <w:pPr>
        <w:pStyle w:val="ListParagraph"/>
        <w:ind w:left="1701" w:hanging="992"/>
        <w:jc w:val="both"/>
        <w:rPr>
          <w:rFonts w:ascii="Arial" w:hAnsi="Arial" w:cs="Arial"/>
        </w:rPr>
      </w:pPr>
    </w:p>
    <w:p w14:paraId="1FB5A248" w14:textId="77777777" w:rsidR="000B6FAC" w:rsidRPr="00CA3EB2" w:rsidRDefault="000B6FAC" w:rsidP="002D2D9A">
      <w:pPr>
        <w:pStyle w:val="ListParagraph"/>
        <w:numPr>
          <w:ilvl w:val="2"/>
          <w:numId w:val="6"/>
        </w:numPr>
        <w:ind w:left="1701" w:hanging="992"/>
        <w:jc w:val="both"/>
        <w:rPr>
          <w:rFonts w:ascii="Arial" w:hAnsi="Arial" w:cs="Arial"/>
        </w:rPr>
      </w:pPr>
      <w:r w:rsidRPr="00CA3EB2">
        <w:rPr>
          <w:rFonts w:ascii="Arial" w:hAnsi="Arial" w:cs="Arial"/>
        </w:rPr>
        <w:t>Canvass any employees</w:t>
      </w:r>
      <w:r w:rsidR="00E67946">
        <w:rPr>
          <w:rFonts w:ascii="Arial" w:hAnsi="Arial" w:cs="Arial"/>
        </w:rPr>
        <w:t>, members</w:t>
      </w:r>
      <w:r w:rsidRPr="00CA3EB2">
        <w:rPr>
          <w:rFonts w:ascii="Arial" w:hAnsi="Arial" w:cs="Arial"/>
        </w:rPr>
        <w:t xml:space="preserve"> or agents of the Contracting Authority in relation to this procurement.</w:t>
      </w:r>
    </w:p>
    <w:p w14:paraId="161F75E8" w14:textId="77777777" w:rsidR="000B6FAC" w:rsidRPr="00CA3EB2" w:rsidRDefault="000B6FAC" w:rsidP="006B5CD9">
      <w:pPr>
        <w:pStyle w:val="ListParagraph"/>
        <w:ind w:left="1701" w:hanging="992"/>
        <w:jc w:val="both"/>
        <w:rPr>
          <w:rFonts w:ascii="Arial" w:hAnsi="Arial" w:cs="Arial"/>
        </w:rPr>
      </w:pPr>
    </w:p>
    <w:p w14:paraId="4FFAFF46" w14:textId="77777777" w:rsidR="000B6FAC" w:rsidRDefault="000B6FAC" w:rsidP="002D2D9A">
      <w:pPr>
        <w:pStyle w:val="ListParagraph"/>
        <w:numPr>
          <w:ilvl w:val="2"/>
          <w:numId w:val="6"/>
        </w:numPr>
        <w:ind w:left="1701" w:hanging="992"/>
        <w:jc w:val="both"/>
        <w:rPr>
          <w:rFonts w:ascii="Arial" w:hAnsi="Arial" w:cs="Arial"/>
        </w:rPr>
      </w:pPr>
      <w:r w:rsidRPr="00CA3EB2">
        <w:rPr>
          <w:rFonts w:ascii="Arial" w:hAnsi="Arial" w:cs="Arial"/>
        </w:rPr>
        <w:t>Attempt to obtain information from any of the employees</w:t>
      </w:r>
      <w:r w:rsidR="00E67946">
        <w:rPr>
          <w:rFonts w:ascii="Arial" w:hAnsi="Arial" w:cs="Arial"/>
        </w:rPr>
        <w:t>, members</w:t>
      </w:r>
      <w:r w:rsidRPr="00CA3EB2">
        <w:rPr>
          <w:rFonts w:ascii="Arial" w:hAnsi="Arial" w:cs="Arial"/>
        </w:rPr>
        <w:t xml:space="preserve"> or agents of the Contracting Authority or their advisors concerning another Tenderer or Tender.</w:t>
      </w:r>
    </w:p>
    <w:p w14:paraId="6B2010E5" w14:textId="77777777" w:rsidR="000B6FAC" w:rsidRPr="00653811" w:rsidRDefault="000B6FAC" w:rsidP="006B5CD9">
      <w:pPr>
        <w:pStyle w:val="ListParagraph"/>
        <w:ind w:left="1701" w:hanging="992"/>
        <w:rPr>
          <w:rFonts w:ascii="Arial" w:hAnsi="Arial" w:cs="Arial"/>
        </w:rPr>
      </w:pPr>
    </w:p>
    <w:p w14:paraId="483513AF" w14:textId="77777777" w:rsidR="000B6FAC" w:rsidRDefault="000B6FAC" w:rsidP="002D2D9A">
      <w:pPr>
        <w:pStyle w:val="ListParagraph"/>
        <w:numPr>
          <w:ilvl w:val="1"/>
          <w:numId w:val="6"/>
        </w:numPr>
        <w:tabs>
          <w:tab w:val="left" w:pos="709"/>
        </w:tabs>
        <w:ind w:left="709" w:hanging="709"/>
        <w:rPr>
          <w:rFonts w:ascii="Arial" w:hAnsi="Arial" w:cs="Arial"/>
        </w:rPr>
      </w:pPr>
      <w:r w:rsidRPr="000B6FAC">
        <w:rPr>
          <w:rFonts w:ascii="Arial" w:hAnsi="Arial" w:cs="Arial"/>
        </w:rPr>
        <w:t>Tenderers must make the Contracting Authority aware at the earliest possible opportunity where a potential conflict of interest exist</w:t>
      </w:r>
      <w:r w:rsidR="00E67946">
        <w:rPr>
          <w:rFonts w:ascii="Arial" w:hAnsi="Arial" w:cs="Arial"/>
        </w:rPr>
        <w:t>s</w:t>
      </w:r>
      <w:r w:rsidRPr="000B6FAC">
        <w:rPr>
          <w:rFonts w:ascii="Arial" w:hAnsi="Arial" w:cs="Arial"/>
        </w:rPr>
        <w:t xml:space="preserve"> between the Tenderer, the Contracting Authority and/or its advisors.  Any Tenderer who fails to comply with this requirement may be disqualified from the procurement at the discretion of the Contracting Authority.</w:t>
      </w:r>
      <w:r w:rsidR="00C41D06">
        <w:rPr>
          <w:rFonts w:ascii="Arial" w:hAnsi="Arial" w:cs="Arial"/>
        </w:rPr>
        <w:t xml:space="preserve"> The Contracting Authority reserves the right to exclude Tenderer where an unaddressed conflict of interest is identified.</w:t>
      </w:r>
    </w:p>
    <w:p w14:paraId="3740E908" w14:textId="77777777" w:rsidR="00E67946" w:rsidRDefault="00E67946" w:rsidP="00E67946">
      <w:pPr>
        <w:pStyle w:val="ListParagraph"/>
        <w:tabs>
          <w:tab w:val="left" w:pos="709"/>
        </w:tabs>
        <w:ind w:left="709"/>
        <w:rPr>
          <w:rFonts w:ascii="Arial" w:hAnsi="Arial" w:cs="Arial"/>
        </w:rPr>
      </w:pPr>
    </w:p>
    <w:p w14:paraId="5038A42F" w14:textId="77777777" w:rsidR="00E83481" w:rsidRDefault="00E83481" w:rsidP="002D2D9A">
      <w:pPr>
        <w:pStyle w:val="ListParagraph"/>
        <w:numPr>
          <w:ilvl w:val="0"/>
          <w:numId w:val="6"/>
        </w:numPr>
        <w:tabs>
          <w:tab w:val="left" w:pos="709"/>
        </w:tabs>
        <w:ind w:left="709" w:hanging="709"/>
        <w:rPr>
          <w:rFonts w:ascii="Arial" w:hAnsi="Arial" w:cs="Arial"/>
          <w:b/>
        </w:rPr>
      </w:pPr>
      <w:r w:rsidRPr="00653811">
        <w:rPr>
          <w:rFonts w:ascii="Arial" w:hAnsi="Arial" w:cs="Arial"/>
          <w:b/>
        </w:rPr>
        <w:t>CONTRACT TERMS</w:t>
      </w:r>
      <w:r w:rsidR="00FE474E" w:rsidRPr="00653811">
        <w:rPr>
          <w:rFonts w:ascii="Arial" w:hAnsi="Arial" w:cs="Arial"/>
          <w:b/>
        </w:rPr>
        <w:t xml:space="preserve"> </w:t>
      </w:r>
    </w:p>
    <w:p w14:paraId="27FF7578" w14:textId="77777777" w:rsidR="000B6FAC" w:rsidRPr="00653811" w:rsidRDefault="000B6FAC" w:rsidP="00653811">
      <w:pPr>
        <w:pStyle w:val="ListParagraph"/>
        <w:tabs>
          <w:tab w:val="left" w:pos="709"/>
        </w:tabs>
        <w:ind w:left="709"/>
        <w:rPr>
          <w:rFonts w:ascii="Arial" w:hAnsi="Arial" w:cs="Arial"/>
          <w:b/>
        </w:rPr>
      </w:pPr>
    </w:p>
    <w:p w14:paraId="0E4A40A2"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 xml:space="preserve">The draft Contract is </w:t>
      </w:r>
      <w:r w:rsidR="00DD5B55" w:rsidRPr="00653811">
        <w:rPr>
          <w:rFonts w:ascii="Arial" w:hAnsi="Arial" w:cs="Arial"/>
        </w:rPr>
        <w:t xml:space="preserve">provided </w:t>
      </w:r>
      <w:r w:rsidR="008C76E7" w:rsidRPr="00653811">
        <w:rPr>
          <w:rFonts w:ascii="Arial" w:hAnsi="Arial" w:cs="Arial"/>
        </w:rPr>
        <w:t>in Schedule</w:t>
      </w:r>
      <w:r w:rsidRPr="00653811">
        <w:rPr>
          <w:rFonts w:ascii="Arial" w:hAnsi="Arial" w:cs="Arial"/>
        </w:rPr>
        <w:t xml:space="preserve"> 8.  By submitting a Tender, Tenderers are agreeing to be bound by</w:t>
      </w:r>
      <w:r w:rsidR="00414FB8" w:rsidRPr="00653811">
        <w:rPr>
          <w:rFonts w:ascii="Arial" w:hAnsi="Arial" w:cs="Arial"/>
        </w:rPr>
        <w:t xml:space="preserve"> the terms of this ITT and</w:t>
      </w:r>
      <w:r w:rsidR="002D2820">
        <w:rPr>
          <w:rFonts w:ascii="Arial" w:hAnsi="Arial" w:cs="Arial"/>
        </w:rPr>
        <w:t xml:space="preserve">, if the Tender is successful, to </w:t>
      </w:r>
      <w:proofErr w:type="gramStart"/>
      <w:r w:rsidR="002D2820">
        <w:rPr>
          <w:rFonts w:ascii="Arial" w:hAnsi="Arial" w:cs="Arial"/>
        </w:rPr>
        <w:t>enter into</w:t>
      </w:r>
      <w:proofErr w:type="gramEnd"/>
      <w:r w:rsidR="002D2820">
        <w:rPr>
          <w:rFonts w:ascii="Arial" w:hAnsi="Arial" w:cs="Arial"/>
        </w:rPr>
        <w:t xml:space="preserve"> </w:t>
      </w:r>
      <w:r w:rsidR="00414FB8" w:rsidRPr="00653811">
        <w:rPr>
          <w:rFonts w:ascii="Arial" w:hAnsi="Arial" w:cs="Arial"/>
        </w:rPr>
        <w:t>the C</w:t>
      </w:r>
      <w:r w:rsidRPr="00653811">
        <w:rPr>
          <w:rFonts w:ascii="Arial" w:hAnsi="Arial" w:cs="Arial"/>
        </w:rPr>
        <w:t>ontract without further negotiation or amendment.</w:t>
      </w:r>
    </w:p>
    <w:p w14:paraId="519E37A1" w14:textId="77777777" w:rsidR="000B6FAC" w:rsidRPr="00653811" w:rsidRDefault="000B6FAC" w:rsidP="00653811">
      <w:pPr>
        <w:pStyle w:val="ListParagraph"/>
        <w:ind w:left="709" w:hanging="709"/>
        <w:jc w:val="both"/>
        <w:rPr>
          <w:rFonts w:ascii="Arial" w:hAnsi="Arial" w:cs="Arial"/>
        </w:rPr>
      </w:pPr>
    </w:p>
    <w:p w14:paraId="3DC8FED8" w14:textId="77777777" w:rsidR="00162D51" w:rsidRPr="00653811" w:rsidRDefault="00E3761A" w:rsidP="002D2D9A">
      <w:pPr>
        <w:pStyle w:val="ListParagraph"/>
        <w:numPr>
          <w:ilvl w:val="1"/>
          <w:numId w:val="6"/>
        </w:numPr>
        <w:ind w:left="709" w:hanging="709"/>
        <w:jc w:val="both"/>
        <w:rPr>
          <w:rFonts w:ascii="Arial" w:hAnsi="Arial" w:cs="Arial"/>
          <w:b/>
        </w:rPr>
      </w:pPr>
      <w:r w:rsidRPr="00653811">
        <w:rPr>
          <w:rFonts w:ascii="Arial" w:hAnsi="Arial" w:cs="Arial"/>
        </w:rPr>
        <w:t>Any amendments to the Contracting Authority’s Contract or any alternative Terms and Conditions submitted by the Tenderer shall not be acceptable or considered by the Contracting Authority.</w:t>
      </w:r>
    </w:p>
    <w:p w14:paraId="62E578C3" w14:textId="77777777" w:rsidR="000B6FAC" w:rsidRPr="00653811" w:rsidRDefault="000B6FAC" w:rsidP="00653811">
      <w:pPr>
        <w:pStyle w:val="ListParagraph"/>
        <w:rPr>
          <w:rFonts w:ascii="Arial" w:hAnsi="Arial" w:cs="Arial"/>
          <w:b/>
        </w:rPr>
      </w:pPr>
    </w:p>
    <w:p w14:paraId="1856B7F2" w14:textId="77777777" w:rsidR="000A3BA3" w:rsidRDefault="00E83481" w:rsidP="002D2D9A">
      <w:pPr>
        <w:pStyle w:val="ListParagraph"/>
        <w:numPr>
          <w:ilvl w:val="0"/>
          <w:numId w:val="6"/>
        </w:numPr>
        <w:tabs>
          <w:tab w:val="left" w:pos="709"/>
        </w:tabs>
        <w:ind w:left="709" w:hanging="709"/>
        <w:rPr>
          <w:rFonts w:ascii="Arial" w:hAnsi="Arial" w:cs="Arial"/>
          <w:b/>
        </w:rPr>
      </w:pPr>
      <w:r w:rsidRPr="00653811">
        <w:rPr>
          <w:rFonts w:ascii="Arial" w:hAnsi="Arial" w:cs="Arial"/>
          <w:b/>
        </w:rPr>
        <w:t>FREEDOM OF INFORMATION ACT AND ENVIRONMENTAL INFORMATION STATEMENT</w:t>
      </w:r>
    </w:p>
    <w:p w14:paraId="51DB6FFE" w14:textId="77777777" w:rsidR="000B6FAC" w:rsidRPr="00653811" w:rsidRDefault="000B6FAC" w:rsidP="00653811">
      <w:pPr>
        <w:pStyle w:val="ListParagraph"/>
        <w:tabs>
          <w:tab w:val="left" w:pos="709"/>
        </w:tabs>
        <w:ind w:left="709"/>
        <w:rPr>
          <w:rFonts w:ascii="Arial" w:hAnsi="Arial" w:cs="Arial"/>
          <w:b/>
        </w:rPr>
      </w:pPr>
    </w:p>
    <w:p w14:paraId="6A643C23"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 xml:space="preserve">The Contracting Authority is subject to The Freedom of Information Act 2000 (Act) and </w:t>
      </w:r>
      <w:r w:rsidR="00843A0A" w:rsidRPr="00653811">
        <w:rPr>
          <w:rFonts w:ascii="Arial" w:hAnsi="Arial" w:cs="Arial"/>
        </w:rPr>
        <w:t>t</w:t>
      </w:r>
      <w:r w:rsidRPr="00653811">
        <w:rPr>
          <w:rFonts w:ascii="Arial" w:hAnsi="Arial" w:cs="Arial"/>
        </w:rPr>
        <w:t>he Environmental Information Regulations 2004 (EIR).</w:t>
      </w:r>
    </w:p>
    <w:p w14:paraId="2263F4E4" w14:textId="77777777" w:rsidR="000B6FAC" w:rsidRPr="00653811" w:rsidRDefault="000B6FAC" w:rsidP="00653811">
      <w:pPr>
        <w:pStyle w:val="ListParagraph"/>
        <w:ind w:left="709" w:hanging="709"/>
        <w:jc w:val="both"/>
        <w:rPr>
          <w:rFonts w:ascii="Arial" w:hAnsi="Arial" w:cs="Arial"/>
        </w:rPr>
      </w:pPr>
    </w:p>
    <w:p w14:paraId="6FB69110"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As part of the Contracting Authority’s duties under the Act or EIR, the Contracting Authority may need to disclose information about the procurement process or the Contract to anyone who makes a reasonable request.</w:t>
      </w:r>
    </w:p>
    <w:p w14:paraId="49E80288" w14:textId="77777777" w:rsidR="000B6FAC" w:rsidRPr="00653811" w:rsidRDefault="000B6FAC" w:rsidP="00653811">
      <w:pPr>
        <w:pStyle w:val="ListParagraph"/>
        <w:ind w:left="709" w:hanging="709"/>
        <w:jc w:val="both"/>
        <w:rPr>
          <w:rFonts w:ascii="Arial" w:hAnsi="Arial" w:cs="Arial"/>
        </w:rPr>
      </w:pPr>
    </w:p>
    <w:p w14:paraId="64B5EEA6" w14:textId="77777777" w:rsidR="000B6FAC" w:rsidRPr="00653811" w:rsidRDefault="005E150E" w:rsidP="002D2D9A">
      <w:pPr>
        <w:pStyle w:val="ListParagraph"/>
        <w:numPr>
          <w:ilvl w:val="1"/>
          <w:numId w:val="6"/>
        </w:numPr>
        <w:ind w:left="709" w:hanging="709"/>
        <w:jc w:val="both"/>
        <w:rPr>
          <w:rFonts w:ascii="Arial" w:hAnsi="Arial" w:cs="Arial"/>
        </w:rPr>
      </w:pPr>
      <w:r w:rsidRPr="00653811">
        <w:rPr>
          <w:rFonts w:ascii="Arial" w:hAnsi="Arial" w:cs="Arial"/>
        </w:rPr>
        <w:t xml:space="preserve">If Tenderers </w:t>
      </w:r>
      <w:r w:rsidR="00E3761A" w:rsidRPr="00653811">
        <w:rPr>
          <w:rFonts w:ascii="Arial" w:hAnsi="Arial" w:cs="Arial"/>
        </w:rPr>
        <w:t xml:space="preserve">consider </w:t>
      </w:r>
      <w:r w:rsidRPr="00653811">
        <w:rPr>
          <w:rFonts w:ascii="Arial" w:hAnsi="Arial" w:cs="Arial"/>
        </w:rPr>
        <w:t xml:space="preserve">that any of the information given in their Tender is commercially sensitive (meaning it could reasonably cause prejudice to the organisation if disclosed to a third party); then Tenderers should clearly mark this as ‘Not for disclosure to third </w:t>
      </w:r>
      <w:proofErr w:type="gramStart"/>
      <w:r w:rsidRPr="00653811">
        <w:rPr>
          <w:rFonts w:ascii="Arial" w:hAnsi="Arial" w:cs="Arial"/>
        </w:rPr>
        <w:t>parties‘</w:t>
      </w:r>
      <w:proofErr w:type="gramEnd"/>
      <w:r w:rsidRPr="00653811">
        <w:rPr>
          <w:rFonts w:ascii="Arial" w:hAnsi="Arial" w:cs="Arial"/>
        </w:rPr>
        <w:t>.  Tenderers should also give valid reasons in support of the information being exempt from disclosure under the Act and</w:t>
      </w:r>
      <w:r w:rsidR="002D2820">
        <w:rPr>
          <w:rFonts w:ascii="Arial" w:hAnsi="Arial" w:cs="Arial"/>
        </w:rPr>
        <w:t xml:space="preserve"> / or</w:t>
      </w:r>
      <w:r w:rsidRPr="00653811">
        <w:rPr>
          <w:rFonts w:ascii="Arial" w:hAnsi="Arial" w:cs="Arial"/>
        </w:rPr>
        <w:t xml:space="preserve"> the EIR</w:t>
      </w:r>
      <w:r w:rsidR="00EB26C1" w:rsidRPr="00653811">
        <w:rPr>
          <w:rFonts w:ascii="Arial" w:hAnsi="Arial" w:cs="Arial"/>
        </w:rPr>
        <w:t xml:space="preserve"> This information should be provided in ITT Schedule 7 – Commercially Sensitive Information</w:t>
      </w:r>
      <w:r w:rsidR="00162D51" w:rsidRPr="00653811">
        <w:rPr>
          <w:rFonts w:ascii="Arial" w:hAnsi="Arial" w:cs="Arial"/>
        </w:rPr>
        <w:t>.</w:t>
      </w:r>
    </w:p>
    <w:p w14:paraId="32914EF1" w14:textId="77777777" w:rsidR="00DD5B55" w:rsidRPr="00D05A8B" w:rsidRDefault="00DD5B55" w:rsidP="00653811">
      <w:pPr>
        <w:pStyle w:val="ListParagraph"/>
        <w:ind w:left="709" w:hanging="709"/>
      </w:pPr>
    </w:p>
    <w:p w14:paraId="0B8E37F7" w14:textId="77777777" w:rsidR="005E150E" w:rsidRPr="00653811" w:rsidRDefault="005E150E" w:rsidP="002D2D9A">
      <w:pPr>
        <w:pStyle w:val="ListParagraph"/>
        <w:numPr>
          <w:ilvl w:val="1"/>
          <w:numId w:val="6"/>
        </w:numPr>
        <w:ind w:left="709" w:hanging="709"/>
        <w:jc w:val="both"/>
        <w:rPr>
          <w:rFonts w:ascii="Arial" w:hAnsi="Arial" w:cs="Arial"/>
        </w:rPr>
      </w:pPr>
      <w:r w:rsidRPr="00653811">
        <w:rPr>
          <w:rFonts w:ascii="Arial" w:hAnsi="Arial" w:cs="Arial"/>
        </w:rPr>
        <w:lastRenderedPageBreak/>
        <w:t>The Contracting Authority will aim to consult with Tenderers and consider comments and any objections before the Contracting Authority releases any information to a third party under the Act and/or the EIR.  However</w:t>
      </w:r>
      <w:r w:rsidR="002D2820">
        <w:rPr>
          <w:rFonts w:ascii="Arial" w:hAnsi="Arial" w:cs="Arial"/>
        </w:rPr>
        <w:t xml:space="preserve">, irrespective of whether a Tenderer has marked information as ‘Not for disclosure to third parties’ and / or completed Schedule 7, </w:t>
      </w:r>
      <w:r w:rsidRPr="00653811">
        <w:rPr>
          <w:rFonts w:ascii="Arial" w:hAnsi="Arial" w:cs="Arial"/>
        </w:rPr>
        <w:t xml:space="preserve">the Contracting Authority </w:t>
      </w:r>
      <w:r w:rsidR="002D2820">
        <w:rPr>
          <w:rFonts w:ascii="Arial" w:hAnsi="Arial" w:cs="Arial"/>
        </w:rPr>
        <w:t xml:space="preserve">shall determine </w:t>
      </w:r>
      <w:r w:rsidRPr="00653811">
        <w:rPr>
          <w:rFonts w:ascii="Arial" w:hAnsi="Arial" w:cs="Arial"/>
        </w:rPr>
        <w:t>in its absolute discretion whether any information is:</w:t>
      </w:r>
    </w:p>
    <w:p w14:paraId="6A05ABFC" w14:textId="77777777" w:rsidR="005E150E" w:rsidRPr="00D05A8B" w:rsidRDefault="005E150E" w:rsidP="002D2D9A">
      <w:pPr>
        <w:numPr>
          <w:ilvl w:val="0"/>
          <w:numId w:val="3"/>
        </w:numPr>
        <w:ind w:left="1418" w:hanging="284"/>
        <w:contextualSpacing/>
        <w:jc w:val="both"/>
        <w:rPr>
          <w:rFonts w:ascii="Arial" w:hAnsi="Arial" w:cs="Arial"/>
        </w:rPr>
      </w:pPr>
      <w:r w:rsidRPr="00D05A8B">
        <w:rPr>
          <w:rFonts w:ascii="Arial" w:hAnsi="Arial" w:cs="Arial"/>
        </w:rPr>
        <w:t>Exempt from the Act or the EIR; or</w:t>
      </w:r>
    </w:p>
    <w:p w14:paraId="76A3D7A8" w14:textId="77777777" w:rsidR="005E150E" w:rsidRPr="00D05A8B" w:rsidRDefault="005E150E" w:rsidP="002D2D9A">
      <w:pPr>
        <w:numPr>
          <w:ilvl w:val="0"/>
          <w:numId w:val="3"/>
        </w:numPr>
        <w:ind w:left="1418" w:hanging="284"/>
        <w:contextualSpacing/>
        <w:jc w:val="both"/>
        <w:rPr>
          <w:rFonts w:ascii="Arial" w:hAnsi="Arial" w:cs="Arial"/>
        </w:rPr>
      </w:pPr>
      <w:r w:rsidRPr="00D05A8B">
        <w:rPr>
          <w:rFonts w:ascii="Arial" w:hAnsi="Arial" w:cs="Arial"/>
        </w:rPr>
        <w:t>to be disclosed in response to a request of information</w:t>
      </w:r>
    </w:p>
    <w:p w14:paraId="06954491" w14:textId="77777777" w:rsidR="005E150E" w:rsidRPr="00D05A8B" w:rsidRDefault="005E150E" w:rsidP="002D2820">
      <w:pPr>
        <w:spacing w:after="0"/>
        <w:contextualSpacing/>
        <w:jc w:val="both"/>
        <w:rPr>
          <w:rFonts w:ascii="Arial" w:hAnsi="Arial" w:cs="Arial"/>
        </w:rPr>
      </w:pPr>
    </w:p>
    <w:p w14:paraId="27741DF5" w14:textId="77777777" w:rsidR="00FA4248" w:rsidRPr="00653811" w:rsidRDefault="005E150E" w:rsidP="002D2D9A">
      <w:pPr>
        <w:pStyle w:val="ListParagraph"/>
        <w:numPr>
          <w:ilvl w:val="1"/>
          <w:numId w:val="6"/>
        </w:numPr>
        <w:ind w:left="709" w:hanging="709"/>
        <w:jc w:val="both"/>
        <w:rPr>
          <w:rFonts w:ascii="Arial" w:hAnsi="Arial" w:cs="Arial"/>
        </w:rPr>
      </w:pPr>
      <w:r w:rsidRPr="00653811">
        <w:rPr>
          <w:rFonts w:ascii="Arial" w:hAnsi="Arial" w:cs="Arial"/>
        </w:rPr>
        <w:t>The Contracting Authority must make its decision on disclosure in line with the provisions of the Act or the EIR and can only withhold information if it is covered by an exemption from disclosure under either.</w:t>
      </w:r>
    </w:p>
    <w:p w14:paraId="2CAE0B15" w14:textId="77777777" w:rsidR="005E150E" w:rsidRPr="00653811" w:rsidRDefault="005E150E" w:rsidP="00653811">
      <w:pPr>
        <w:pStyle w:val="ListParagraph"/>
        <w:ind w:left="709"/>
        <w:jc w:val="both"/>
        <w:rPr>
          <w:rFonts w:ascii="Arial" w:hAnsi="Arial" w:cs="Arial"/>
        </w:rPr>
      </w:pPr>
    </w:p>
    <w:p w14:paraId="2BEBFE9F" w14:textId="77777777" w:rsidR="005E150E" w:rsidRDefault="005E150E" w:rsidP="002D2D9A">
      <w:pPr>
        <w:pStyle w:val="ListParagraph"/>
        <w:numPr>
          <w:ilvl w:val="1"/>
          <w:numId w:val="6"/>
        </w:numPr>
        <w:ind w:left="709" w:hanging="709"/>
        <w:jc w:val="both"/>
        <w:rPr>
          <w:rFonts w:ascii="Arial" w:hAnsi="Arial" w:cs="Arial"/>
        </w:rPr>
      </w:pPr>
      <w:r w:rsidRPr="00653811">
        <w:rPr>
          <w:rFonts w:ascii="Arial" w:hAnsi="Arial" w:cs="Arial"/>
        </w:rPr>
        <w:t>The Contracting Authority will not be held liable for any loss or prejudice caused by the disclosure of information that:</w:t>
      </w:r>
    </w:p>
    <w:p w14:paraId="1793D302" w14:textId="77777777" w:rsidR="00B14FF7" w:rsidRPr="00653811" w:rsidRDefault="00B14FF7" w:rsidP="00653811">
      <w:pPr>
        <w:pStyle w:val="ListParagraph"/>
        <w:rPr>
          <w:rFonts w:ascii="Arial" w:hAnsi="Arial" w:cs="Arial"/>
        </w:rPr>
      </w:pPr>
    </w:p>
    <w:p w14:paraId="1D12C4E0" w14:textId="6BA9C9C1" w:rsidR="005E150E" w:rsidRDefault="005E150E" w:rsidP="002D2D9A">
      <w:pPr>
        <w:pStyle w:val="ListParagraph"/>
        <w:numPr>
          <w:ilvl w:val="2"/>
          <w:numId w:val="6"/>
        </w:numPr>
        <w:ind w:left="1701" w:hanging="992"/>
        <w:jc w:val="both"/>
        <w:rPr>
          <w:rFonts w:ascii="Arial" w:hAnsi="Arial" w:cs="Arial"/>
        </w:rPr>
      </w:pPr>
      <w:r w:rsidRPr="00653811">
        <w:rPr>
          <w:rFonts w:ascii="Arial" w:hAnsi="Arial" w:cs="Arial"/>
        </w:rPr>
        <w:t>Has not been clearly marked as ‘not for disclosure to third parties’ with supporting reasons (referring to the relevant category of exemption under the Act or EIR where possible</w:t>
      </w:r>
      <w:r w:rsidR="00505A11" w:rsidRPr="00653811">
        <w:rPr>
          <w:rFonts w:ascii="Arial" w:hAnsi="Arial" w:cs="Arial"/>
        </w:rPr>
        <w:t>).</w:t>
      </w:r>
    </w:p>
    <w:p w14:paraId="74179459" w14:textId="77777777" w:rsidR="00B14FF7" w:rsidRPr="00653811" w:rsidRDefault="00B14FF7" w:rsidP="002D2820">
      <w:pPr>
        <w:pStyle w:val="ListParagraph"/>
        <w:ind w:left="1701" w:hanging="992"/>
        <w:jc w:val="both"/>
        <w:rPr>
          <w:rFonts w:ascii="Arial" w:hAnsi="Arial" w:cs="Arial"/>
        </w:rPr>
      </w:pPr>
    </w:p>
    <w:p w14:paraId="47A30568" w14:textId="77777777" w:rsidR="005E150E" w:rsidRDefault="005E150E" w:rsidP="002D2D9A">
      <w:pPr>
        <w:pStyle w:val="ListParagraph"/>
        <w:numPr>
          <w:ilvl w:val="2"/>
          <w:numId w:val="6"/>
        </w:numPr>
        <w:ind w:left="1701" w:hanging="992"/>
        <w:jc w:val="both"/>
        <w:rPr>
          <w:rFonts w:ascii="Arial" w:hAnsi="Arial" w:cs="Arial"/>
        </w:rPr>
      </w:pPr>
      <w:r w:rsidRPr="00653811">
        <w:rPr>
          <w:rFonts w:ascii="Arial" w:hAnsi="Arial" w:cs="Arial"/>
        </w:rPr>
        <w:t xml:space="preserve">Does not fall into a category of information that is exempt from disclosure under the Act or EIR (for example, a trade secret or would be likely to prejudice the commercial interests of any person); </w:t>
      </w:r>
      <w:r w:rsidR="00C743A1">
        <w:rPr>
          <w:rFonts w:ascii="Arial" w:hAnsi="Arial" w:cs="Arial"/>
        </w:rPr>
        <w:t>or</w:t>
      </w:r>
    </w:p>
    <w:p w14:paraId="54132FFC" w14:textId="77777777" w:rsidR="00B14FF7" w:rsidRPr="00653811" w:rsidRDefault="00B14FF7" w:rsidP="002D2820">
      <w:pPr>
        <w:pStyle w:val="ListParagraph"/>
        <w:ind w:left="1701" w:hanging="992"/>
        <w:rPr>
          <w:rFonts w:ascii="Arial" w:hAnsi="Arial" w:cs="Arial"/>
        </w:rPr>
      </w:pPr>
    </w:p>
    <w:p w14:paraId="7F24C224" w14:textId="77777777" w:rsidR="000A156B" w:rsidRDefault="005E150E" w:rsidP="002D2D9A">
      <w:pPr>
        <w:pStyle w:val="ListParagraph"/>
        <w:numPr>
          <w:ilvl w:val="2"/>
          <w:numId w:val="6"/>
        </w:numPr>
        <w:spacing w:after="0"/>
        <w:ind w:left="1701" w:hanging="992"/>
      </w:pPr>
      <w:r w:rsidRPr="00653811">
        <w:rPr>
          <w:rFonts w:ascii="Arial" w:hAnsi="Arial" w:cs="Arial"/>
        </w:rPr>
        <w:t>Where it is in the public interest to disclose this and there is no legal duty to withhold it.</w:t>
      </w:r>
    </w:p>
    <w:p w14:paraId="4038D8FD" w14:textId="77777777" w:rsidR="000A156B" w:rsidRPr="000A156B" w:rsidRDefault="000A156B" w:rsidP="000A156B">
      <w:pPr>
        <w:pStyle w:val="ListParagraph"/>
        <w:spacing w:after="0"/>
        <w:ind w:left="1701"/>
      </w:pPr>
    </w:p>
    <w:p w14:paraId="5FE929C4" w14:textId="77777777" w:rsidR="00E83481" w:rsidRDefault="00E83481" w:rsidP="002D2D9A">
      <w:pPr>
        <w:pStyle w:val="ListParagraph"/>
        <w:numPr>
          <w:ilvl w:val="0"/>
          <w:numId w:val="6"/>
        </w:numPr>
        <w:tabs>
          <w:tab w:val="left" w:pos="709"/>
        </w:tabs>
        <w:ind w:left="709" w:hanging="709"/>
        <w:jc w:val="both"/>
        <w:rPr>
          <w:rFonts w:ascii="Arial" w:hAnsi="Arial" w:cs="Arial"/>
          <w:b/>
        </w:rPr>
      </w:pPr>
      <w:r w:rsidRPr="00653811">
        <w:rPr>
          <w:rFonts w:ascii="Arial" w:hAnsi="Arial" w:cs="Arial"/>
          <w:b/>
        </w:rPr>
        <w:t>EQUALITY AND DIVERSITY</w:t>
      </w:r>
    </w:p>
    <w:p w14:paraId="0EF42577" w14:textId="77777777" w:rsidR="00B14FF7" w:rsidRPr="00653811" w:rsidRDefault="00B14FF7" w:rsidP="00653811">
      <w:pPr>
        <w:pStyle w:val="ListParagraph"/>
        <w:tabs>
          <w:tab w:val="left" w:pos="709"/>
        </w:tabs>
        <w:ind w:left="709"/>
        <w:jc w:val="both"/>
        <w:rPr>
          <w:rFonts w:ascii="Arial" w:hAnsi="Arial" w:cs="Arial"/>
          <w:b/>
        </w:rPr>
      </w:pPr>
    </w:p>
    <w:p w14:paraId="474DF0DD" w14:textId="77777777" w:rsidR="00047357" w:rsidRDefault="00047357" w:rsidP="002D2D9A">
      <w:pPr>
        <w:pStyle w:val="ListParagraph"/>
        <w:numPr>
          <w:ilvl w:val="1"/>
          <w:numId w:val="6"/>
        </w:numPr>
        <w:ind w:left="709" w:hanging="709"/>
        <w:jc w:val="both"/>
        <w:rPr>
          <w:rFonts w:ascii="Arial" w:hAnsi="Arial" w:cs="Arial"/>
        </w:rPr>
      </w:pPr>
      <w:r w:rsidRPr="00653811">
        <w:rPr>
          <w:rFonts w:ascii="Arial" w:hAnsi="Arial" w:cs="Arial"/>
        </w:rPr>
        <w:t xml:space="preserve">The Contracting Authority is committed to providing its services in a way that promotes equality of opportunity at every possibility.  The Contracting Authority expects the successful Tenderer to be equally committed to equality and diversity in its employment practices and service provision.  The Contracting Authority </w:t>
      </w:r>
      <w:r w:rsidR="00E3761A" w:rsidRPr="00653811">
        <w:rPr>
          <w:rFonts w:ascii="Arial" w:hAnsi="Arial" w:cs="Arial"/>
        </w:rPr>
        <w:t xml:space="preserve">will ensure compliance with all </w:t>
      </w:r>
      <w:r w:rsidRPr="00653811">
        <w:rPr>
          <w:rFonts w:ascii="Arial" w:hAnsi="Arial" w:cs="Arial"/>
        </w:rPr>
        <w:t>anti-discrimination legislation</w:t>
      </w:r>
      <w:r w:rsidR="00C743A1">
        <w:rPr>
          <w:rFonts w:ascii="Arial" w:hAnsi="Arial" w:cs="Arial"/>
        </w:rPr>
        <w:t xml:space="preserve"> via contract management to monitor arrangements.</w:t>
      </w:r>
    </w:p>
    <w:p w14:paraId="141E35B0" w14:textId="77777777" w:rsidR="00B14FF7" w:rsidRPr="00653811" w:rsidRDefault="00B14FF7" w:rsidP="00653811">
      <w:pPr>
        <w:pStyle w:val="ListParagraph"/>
        <w:ind w:left="851"/>
        <w:jc w:val="both"/>
        <w:rPr>
          <w:rFonts w:ascii="Arial" w:hAnsi="Arial" w:cs="Arial"/>
        </w:rPr>
      </w:pPr>
    </w:p>
    <w:p w14:paraId="65FE6DE3" w14:textId="77777777" w:rsidR="00047357" w:rsidRDefault="00047357" w:rsidP="002D2D9A">
      <w:pPr>
        <w:pStyle w:val="ListParagraph"/>
        <w:numPr>
          <w:ilvl w:val="1"/>
          <w:numId w:val="6"/>
        </w:numPr>
        <w:ind w:left="709" w:hanging="709"/>
        <w:jc w:val="both"/>
        <w:rPr>
          <w:rFonts w:ascii="Arial" w:hAnsi="Arial" w:cs="Arial"/>
        </w:rPr>
      </w:pPr>
      <w:r w:rsidRPr="00653811">
        <w:rPr>
          <w:rFonts w:ascii="Arial" w:hAnsi="Arial" w:cs="Arial"/>
        </w:rPr>
        <w:t>Expectation of the Tenderer</w:t>
      </w:r>
    </w:p>
    <w:p w14:paraId="6CCA8C35" w14:textId="77777777" w:rsidR="00D10464" w:rsidRPr="00653811" w:rsidRDefault="00D10464" w:rsidP="00653811">
      <w:pPr>
        <w:pStyle w:val="ListParagraph"/>
        <w:rPr>
          <w:rFonts w:ascii="Arial" w:hAnsi="Arial" w:cs="Arial"/>
        </w:rPr>
      </w:pPr>
    </w:p>
    <w:p w14:paraId="3171B8ED" w14:textId="77777777" w:rsidR="00047357" w:rsidRDefault="00047357" w:rsidP="002D2D9A">
      <w:pPr>
        <w:pStyle w:val="ListParagraph"/>
        <w:numPr>
          <w:ilvl w:val="2"/>
          <w:numId w:val="6"/>
        </w:numPr>
        <w:ind w:left="1701" w:hanging="992"/>
        <w:jc w:val="both"/>
        <w:rPr>
          <w:rFonts w:ascii="Arial" w:hAnsi="Arial" w:cs="Arial"/>
        </w:rPr>
      </w:pPr>
      <w:r w:rsidRPr="00653811">
        <w:rPr>
          <w:rFonts w:ascii="Arial" w:hAnsi="Arial" w:cs="Arial"/>
        </w:rPr>
        <w:t xml:space="preserve">Tenderers should note that the </w:t>
      </w:r>
      <w:r w:rsidR="009C7CA0">
        <w:rPr>
          <w:rFonts w:ascii="Arial" w:hAnsi="Arial" w:cs="Arial"/>
        </w:rPr>
        <w:t>Terms and Conditions of the Contract (Schedule 8) require</w:t>
      </w:r>
      <w:r w:rsidRPr="00653811">
        <w:rPr>
          <w:rFonts w:ascii="Arial" w:hAnsi="Arial" w:cs="Arial"/>
        </w:rPr>
        <w:t xml:space="preserve"> the successful Tenderer </w:t>
      </w:r>
      <w:r w:rsidR="009C7CA0">
        <w:rPr>
          <w:rFonts w:ascii="Arial" w:hAnsi="Arial" w:cs="Arial"/>
        </w:rPr>
        <w:t>to</w:t>
      </w:r>
      <w:r w:rsidR="00E3761A" w:rsidRPr="00653811">
        <w:rPr>
          <w:rFonts w:ascii="Arial" w:hAnsi="Arial" w:cs="Arial"/>
        </w:rPr>
        <w:t xml:space="preserve"> adhere</w:t>
      </w:r>
      <w:r w:rsidRPr="00653811">
        <w:rPr>
          <w:rFonts w:ascii="Arial" w:hAnsi="Arial" w:cs="Arial"/>
        </w:rPr>
        <w:t xml:space="preserve"> to </w:t>
      </w:r>
      <w:r w:rsidR="009C7CA0">
        <w:rPr>
          <w:rFonts w:ascii="Arial" w:hAnsi="Arial" w:cs="Arial"/>
        </w:rPr>
        <w:t>equality and diversity</w:t>
      </w:r>
      <w:r w:rsidRPr="00653811">
        <w:rPr>
          <w:rFonts w:ascii="Arial" w:hAnsi="Arial" w:cs="Arial"/>
        </w:rPr>
        <w:t xml:space="preserve"> obligations.  The Contracting Authority will, if </w:t>
      </w:r>
      <w:r w:rsidR="00E3761A" w:rsidRPr="00653811">
        <w:rPr>
          <w:rFonts w:ascii="Arial" w:hAnsi="Arial" w:cs="Arial"/>
        </w:rPr>
        <w:t>appropriate</w:t>
      </w:r>
      <w:r w:rsidRPr="00653811">
        <w:rPr>
          <w:rFonts w:ascii="Arial" w:hAnsi="Arial" w:cs="Arial"/>
        </w:rPr>
        <w:t xml:space="preserve">, monitor </w:t>
      </w:r>
      <w:r w:rsidR="00E3761A" w:rsidRPr="00653811">
        <w:rPr>
          <w:rFonts w:ascii="Arial" w:hAnsi="Arial" w:cs="Arial"/>
        </w:rPr>
        <w:t xml:space="preserve">compliance </w:t>
      </w:r>
      <w:r w:rsidRPr="00653811">
        <w:rPr>
          <w:rFonts w:ascii="Arial" w:hAnsi="Arial" w:cs="Arial"/>
        </w:rPr>
        <w:t xml:space="preserve">throughout the </w:t>
      </w:r>
      <w:r w:rsidR="008036ED" w:rsidRPr="00653811">
        <w:rPr>
          <w:rFonts w:ascii="Arial" w:hAnsi="Arial" w:cs="Arial"/>
        </w:rPr>
        <w:t>C</w:t>
      </w:r>
      <w:r w:rsidRPr="00653811">
        <w:rPr>
          <w:rFonts w:ascii="Arial" w:hAnsi="Arial" w:cs="Arial"/>
        </w:rPr>
        <w:t>ontract period.</w:t>
      </w:r>
    </w:p>
    <w:p w14:paraId="72D036AF" w14:textId="77777777" w:rsidR="00B14FF7" w:rsidRPr="00653811" w:rsidRDefault="00B14FF7" w:rsidP="00653811">
      <w:pPr>
        <w:pStyle w:val="ListParagraph"/>
        <w:ind w:left="709" w:hanging="709"/>
        <w:jc w:val="both"/>
        <w:rPr>
          <w:rFonts w:ascii="Arial" w:hAnsi="Arial" w:cs="Arial"/>
        </w:rPr>
      </w:pPr>
    </w:p>
    <w:p w14:paraId="38CEC891" w14:textId="77777777" w:rsidR="00047357" w:rsidRDefault="00E3761A" w:rsidP="002D2D9A">
      <w:pPr>
        <w:pStyle w:val="ListParagraph"/>
        <w:numPr>
          <w:ilvl w:val="1"/>
          <w:numId w:val="6"/>
        </w:numPr>
        <w:ind w:left="709" w:hanging="709"/>
        <w:jc w:val="both"/>
        <w:rPr>
          <w:rFonts w:ascii="Arial" w:hAnsi="Arial" w:cs="Arial"/>
        </w:rPr>
      </w:pPr>
      <w:r w:rsidRPr="00653811">
        <w:rPr>
          <w:rFonts w:ascii="Arial" w:hAnsi="Arial" w:cs="Arial"/>
        </w:rPr>
        <w:t>Compliance with</w:t>
      </w:r>
      <w:r w:rsidR="00047357" w:rsidRPr="00653811">
        <w:rPr>
          <w:rFonts w:ascii="Arial" w:hAnsi="Arial" w:cs="Arial"/>
        </w:rPr>
        <w:t xml:space="preserve"> </w:t>
      </w:r>
      <w:r w:rsidRPr="00653811">
        <w:rPr>
          <w:rFonts w:ascii="Arial" w:hAnsi="Arial" w:cs="Arial"/>
        </w:rPr>
        <w:t>E</w:t>
      </w:r>
      <w:r w:rsidR="00A74B6D" w:rsidRPr="00653811">
        <w:rPr>
          <w:rFonts w:ascii="Arial" w:hAnsi="Arial" w:cs="Arial"/>
        </w:rPr>
        <w:t>quality L</w:t>
      </w:r>
      <w:r w:rsidR="00047357" w:rsidRPr="00653811">
        <w:rPr>
          <w:rFonts w:ascii="Arial" w:hAnsi="Arial" w:cs="Arial"/>
        </w:rPr>
        <w:t>egislation</w:t>
      </w:r>
    </w:p>
    <w:p w14:paraId="6FF13937" w14:textId="77777777" w:rsidR="00B14FF7" w:rsidRPr="00653811" w:rsidRDefault="00B14FF7" w:rsidP="00653811">
      <w:pPr>
        <w:pStyle w:val="ListParagraph"/>
        <w:ind w:left="851"/>
        <w:jc w:val="both"/>
        <w:rPr>
          <w:rFonts w:ascii="Arial" w:hAnsi="Arial" w:cs="Arial"/>
        </w:rPr>
      </w:pPr>
    </w:p>
    <w:p w14:paraId="142CEB51" w14:textId="77777777" w:rsidR="00047357" w:rsidRDefault="00047357" w:rsidP="002D2D9A">
      <w:pPr>
        <w:pStyle w:val="ListParagraph"/>
        <w:numPr>
          <w:ilvl w:val="2"/>
          <w:numId w:val="6"/>
        </w:numPr>
        <w:ind w:left="1701" w:hanging="992"/>
        <w:jc w:val="both"/>
        <w:rPr>
          <w:rFonts w:ascii="Arial" w:hAnsi="Arial" w:cs="Arial"/>
        </w:rPr>
      </w:pPr>
      <w:r w:rsidRPr="00653811">
        <w:rPr>
          <w:rFonts w:ascii="Arial" w:hAnsi="Arial" w:cs="Arial"/>
        </w:rPr>
        <w:lastRenderedPageBreak/>
        <w:t xml:space="preserve">The Contracting Authority </w:t>
      </w:r>
      <w:r w:rsidR="00635B5C" w:rsidRPr="00653811">
        <w:rPr>
          <w:rFonts w:ascii="Arial" w:hAnsi="Arial" w:cs="Arial"/>
        </w:rPr>
        <w:t xml:space="preserve">requires </w:t>
      </w:r>
      <w:r w:rsidR="009C7CA0">
        <w:rPr>
          <w:rFonts w:ascii="Arial" w:hAnsi="Arial" w:cs="Arial"/>
        </w:rPr>
        <w:t>the Tenderer</w:t>
      </w:r>
      <w:r w:rsidRPr="00653811">
        <w:rPr>
          <w:rFonts w:ascii="Arial" w:hAnsi="Arial" w:cs="Arial"/>
        </w:rPr>
        <w:t xml:space="preserve"> to demonstrate that they </w:t>
      </w:r>
      <w:r w:rsidR="00635B5C" w:rsidRPr="00653811">
        <w:rPr>
          <w:rFonts w:ascii="Arial" w:hAnsi="Arial" w:cs="Arial"/>
        </w:rPr>
        <w:t>comply with</w:t>
      </w:r>
      <w:r w:rsidRPr="00653811">
        <w:rPr>
          <w:rFonts w:ascii="Arial" w:hAnsi="Arial" w:cs="Arial"/>
        </w:rPr>
        <w:t xml:space="preserve"> equality in employment legislation.  The levels of compliance become more demanding depending on the number of employees employed by the organisation.  Organisations employing less than five employees face minimum requirements, whilst organisations employing 50 or more employees need to meet more comprehensive criteria</w:t>
      </w:r>
      <w:r w:rsidR="009C7CA0">
        <w:rPr>
          <w:rFonts w:ascii="Arial" w:hAnsi="Arial" w:cs="Arial"/>
        </w:rPr>
        <w:t xml:space="preserve"> as set out in 11.3.2 below</w:t>
      </w:r>
      <w:r w:rsidRPr="00653811">
        <w:rPr>
          <w:rFonts w:ascii="Arial" w:hAnsi="Arial" w:cs="Arial"/>
        </w:rPr>
        <w:t xml:space="preserve">.  The Contracting Authority may work with </w:t>
      </w:r>
      <w:r w:rsidR="009C7CA0">
        <w:rPr>
          <w:rFonts w:ascii="Arial" w:hAnsi="Arial" w:cs="Arial"/>
        </w:rPr>
        <w:t>the successful Tenderer</w:t>
      </w:r>
      <w:r w:rsidRPr="00653811">
        <w:rPr>
          <w:rFonts w:ascii="Arial" w:hAnsi="Arial" w:cs="Arial"/>
        </w:rPr>
        <w:t xml:space="preserve"> during the </w:t>
      </w:r>
      <w:r w:rsidR="008036ED" w:rsidRPr="00653811">
        <w:rPr>
          <w:rFonts w:ascii="Arial" w:hAnsi="Arial" w:cs="Arial"/>
        </w:rPr>
        <w:t>C</w:t>
      </w:r>
      <w:r w:rsidRPr="00653811">
        <w:rPr>
          <w:rFonts w:ascii="Arial" w:hAnsi="Arial" w:cs="Arial"/>
        </w:rPr>
        <w:t xml:space="preserve">ontract period, to </w:t>
      </w:r>
      <w:r w:rsidR="009C7CA0">
        <w:rPr>
          <w:rFonts w:ascii="Arial" w:hAnsi="Arial" w:cs="Arial"/>
        </w:rPr>
        <w:t>en</w:t>
      </w:r>
      <w:r w:rsidRPr="00653811">
        <w:rPr>
          <w:rFonts w:ascii="Arial" w:hAnsi="Arial" w:cs="Arial"/>
        </w:rPr>
        <w:t xml:space="preserve">sure </w:t>
      </w:r>
      <w:r w:rsidR="009C7CA0">
        <w:rPr>
          <w:rFonts w:ascii="Arial" w:hAnsi="Arial" w:cs="Arial"/>
        </w:rPr>
        <w:t>ongoing</w:t>
      </w:r>
      <w:r w:rsidRPr="00653811">
        <w:rPr>
          <w:rFonts w:ascii="Arial" w:hAnsi="Arial" w:cs="Arial"/>
        </w:rPr>
        <w:t xml:space="preserve"> </w:t>
      </w:r>
      <w:r w:rsidR="00635B5C" w:rsidRPr="00653811">
        <w:rPr>
          <w:rFonts w:ascii="Arial" w:hAnsi="Arial" w:cs="Arial"/>
        </w:rPr>
        <w:t>compl</w:t>
      </w:r>
      <w:r w:rsidR="009C7CA0">
        <w:rPr>
          <w:rFonts w:ascii="Arial" w:hAnsi="Arial" w:cs="Arial"/>
        </w:rPr>
        <w:t>iance</w:t>
      </w:r>
      <w:r w:rsidR="00635B5C" w:rsidRPr="00653811">
        <w:rPr>
          <w:rFonts w:ascii="Arial" w:hAnsi="Arial" w:cs="Arial"/>
        </w:rPr>
        <w:t xml:space="preserve"> with equality in </w:t>
      </w:r>
      <w:r w:rsidRPr="00653811">
        <w:rPr>
          <w:rFonts w:ascii="Arial" w:hAnsi="Arial" w:cs="Arial"/>
        </w:rPr>
        <w:t>employment legislation.</w:t>
      </w:r>
    </w:p>
    <w:p w14:paraId="1A4C517A" w14:textId="77777777" w:rsidR="009C7CA0" w:rsidRPr="00653811" w:rsidRDefault="009C7CA0" w:rsidP="009C7CA0">
      <w:pPr>
        <w:pStyle w:val="ListParagraph"/>
        <w:ind w:left="1701"/>
        <w:jc w:val="both"/>
        <w:rPr>
          <w:rFonts w:ascii="Arial" w:hAnsi="Arial" w:cs="Arial"/>
        </w:rPr>
      </w:pPr>
    </w:p>
    <w:p w14:paraId="7CDE80FF" w14:textId="1A42B60E" w:rsidR="002D7524" w:rsidRPr="005F07B3" w:rsidRDefault="002D7524" w:rsidP="002D2D9A">
      <w:pPr>
        <w:pStyle w:val="ListParagraph"/>
        <w:numPr>
          <w:ilvl w:val="2"/>
          <w:numId w:val="7"/>
        </w:numPr>
        <w:rPr>
          <w:rFonts w:ascii="Arial" w:hAnsi="Arial" w:cs="Arial"/>
        </w:rPr>
      </w:pPr>
      <w:r w:rsidRPr="005F07B3">
        <w:rPr>
          <w:rFonts w:ascii="Arial" w:hAnsi="Arial" w:cs="Arial"/>
        </w:rPr>
        <w:t>The rules on equality can be found at:</w:t>
      </w:r>
    </w:p>
    <w:p w14:paraId="7F07A201" w14:textId="77777777" w:rsidR="002D7524" w:rsidRPr="005F07B3" w:rsidRDefault="002D7524" w:rsidP="002D7524">
      <w:pPr>
        <w:pStyle w:val="ListParagraph"/>
        <w:rPr>
          <w:rFonts w:ascii="Arial" w:hAnsi="Arial" w:cs="Arial"/>
        </w:rPr>
      </w:pPr>
    </w:p>
    <w:p w14:paraId="62DF0BCE" w14:textId="77777777" w:rsidR="002D7524" w:rsidRPr="005F07B3" w:rsidRDefault="007113A2" w:rsidP="002D7524">
      <w:pPr>
        <w:pStyle w:val="ListParagraph"/>
        <w:ind w:left="1701"/>
        <w:rPr>
          <w:rFonts w:ascii="Arial" w:hAnsi="Arial" w:cs="Arial"/>
        </w:rPr>
      </w:pPr>
      <w:hyperlink r:id="rId14" w:history="1">
        <w:r w:rsidR="002D7524" w:rsidRPr="005F07B3">
          <w:rPr>
            <w:rStyle w:val="Hyperlink"/>
            <w:rFonts w:ascii="Arial" w:hAnsi="Arial" w:cs="Arial"/>
          </w:rPr>
          <w:t>https://www.equalityhumanrights.com/en/advice-and-guidance/guidance-employers</w:t>
        </w:r>
      </w:hyperlink>
    </w:p>
    <w:p w14:paraId="21D4B907" w14:textId="77777777" w:rsidR="002D7524" w:rsidRPr="005F07B3" w:rsidRDefault="002D7524" w:rsidP="002D7524">
      <w:pPr>
        <w:pStyle w:val="ListParagraph"/>
        <w:rPr>
          <w:rFonts w:ascii="Arial" w:hAnsi="Arial" w:cs="Arial"/>
        </w:rPr>
      </w:pPr>
    </w:p>
    <w:p w14:paraId="78CAF730" w14:textId="06904602" w:rsidR="002D7524" w:rsidRPr="005F07B3" w:rsidRDefault="00505A11" w:rsidP="002D7524">
      <w:pPr>
        <w:pStyle w:val="ListParagraph"/>
        <w:ind w:left="1701"/>
        <w:rPr>
          <w:rFonts w:ascii="Arial" w:hAnsi="Arial" w:cs="Arial"/>
        </w:rPr>
      </w:pPr>
      <w:r w:rsidRPr="005F07B3">
        <w:rPr>
          <w:rFonts w:ascii="Arial" w:hAnsi="Arial" w:cs="Arial"/>
        </w:rPr>
        <w:t>And</w:t>
      </w:r>
      <w:r w:rsidR="002D7524" w:rsidRPr="005F07B3">
        <w:rPr>
          <w:rFonts w:ascii="Arial" w:hAnsi="Arial" w:cs="Arial"/>
        </w:rPr>
        <w:t xml:space="preserve"> the Contracting Authority policy is available on its website.</w:t>
      </w:r>
    </w:p>
    <w:p w14:paraId="1D79EEBE" w14:textId="77777777" w:rsidR="00510316" w:rsidRPr="005F07B3" w:rsidRDefault="00510316">
      <w:pPr>
        <w:rPr>
          <w:rFonts w:ascii="Arial" w:hAnsi="Arial" w:cs="Arial"/>
          <w:b/>
        </w:rPr>
      </w:pPr>
    </w:p>
    <w:p w14:paraId="69C89DB4" w14:textId="05CFA9BB" w:rsidR="00E83481" w:rsidRPr="005F07B3" w:rsidRDefault="00635B5C" w:rsidP="002D2D9A">
      <w:pPr>
        <w:pStyle w:val="ListParagraph"/>
        <w:numPr>
          <w:ilvl w:val="0"/>
          <w:numId w:val="6"/>
        </w:numPr>
        <w:tabs>
          <w:tab w:val="left" w:pos="709"/>
        </w:tabs>
        <w:ind w:left="709" w:hanging="709"/>
        <w:jc w:val="both"/>
        <w:rPr>
          <w:rFonts w:ascii="Arial" w:hAnsi="Arial" w:cs="Arial"/>
          <w:b/>
        </w:rPr>
      </w:pPr>
      <w:r w:rsidRPr="005F07B3">
        <w:rPr>
          <w:rFonts w:ascii="Arial" w:hAnsi="Arial" w:cs="Arial"/>
          <w:b/>
        </w:rPr>
        <w:t>SUITABILITY</w:t>
      </w:r>
      <w:r w:rsidR="009F21B6" w:rsidRPr="005F07B3">
        <w:rPr>
          <w:rFonts w:ascii="Arial" w:hAnsi="Arial" w:cs="Arial"/>
          <w:b/>
        </w:rPr>
        <w:t xml:space="preserve"> ASSESSMENT</w:t>
      </w:r>
      <w:r w:rsidR="00940C50" w:rsidRPr="005F07B3">
        <w:rPr>
          <w:rFonts w:ascii="Arial" w:hAnsi="Arial" w:cs="Arial"/>
          <w:b/>
        </w:rPr>
        <w:t xml:space="preserve"> </w:t>
      </w:r>
      <w:r w:rsidR="00E64159" w:rsidRPr="005F07B3">
        <w:rPr>
          <w:rFonts w:ascii="Arial" w:hAnsi="Arial" w:cs="Arial"/>
          <w:b/>
        </w:rPr>
        <w:t>EVALUATION</w:t>
      </w:r>
    </w:p>
    <w:p w14:paraId="5056E273" w14:textId="77777777" w:rsidR="00B14FF7" w:rsidRPr="005F07B3" w:rsidRDefault="00B14FF7" w:rsidP="00653811">
      <w:pPr>
        <w:pStyle w:val="ListParagraph"/>
        <w:tabs>
          <w:tab w:val="left" w:pos="709"/>
        </w:tabs>
        <w:ind w:left="709"/>
        <w:jc w:val="both"/>
        <w:rPr>
          <w:rFonts w:ascii="Arial" w:hAnsi="Arial" w:cs="Arial"/>
          <w:b/>
        </w:rPr>
      </w:pPr>
    </w:p>
    <w:p w14:paraId="303A2A5F" w14:textId="62C06BB9" w:rsidR="00047357" w:rsidRPr="005F07B3" w:rsidRDefault="00047357" w:rsidP="002D2D9A">
      <w:pPr>
        <w:pStyle w:val="ListParagraph"/>
        <w:numPr>
          <w:ilvl w:val="1"/>
          <w:numId w:val="6"/>
        </w:numPr>
        <w:tabs>
          <w:tab w:val="left" w:pos="709"/>
        </w:tabs>
        <w:ind w:left="709" w:hanging="709"/>
        <w:jc w:val="both"/>
        <w:rPr>
          <w:rFonts w:ascii="Arial" w:hAnsi="Arial" w:cs="Arial"/>
        </w:rPr>
      </w:pPr>
      <w:r w:rsidRPr="005F07B3">
        <w:rPr>
          <w:rFonts w:ascii="Arial" w:hAnsi="Arial" w:cs="Arial"/>
        </w:rPr>
        <w:t xml:space="preserve">Tenderers are required to complete the </w:t>
      </w:r>
      <w:r w:rsidR="00635B5C" w:rsidRPr="005F07B3">
        <w:rPr>
          <w:rFonts w:ascii="Arial" w:hAnsi="Arial" w:cs="Arial"/>
        </w:rPr>
        <w:t>Suitability</w:t>
      </w:r>
      <w:r w:rsidR="009F21B6" w:rsidRPr="005F07B3">
        <w:rPr>
          <w:rFonts w:ascii="Arial" w:hAnsi="Arial" w:cs="Arial"/>
        </w:rPr>
        <w:t xml:space="preserve"> Assessment</w:t>
      </w:r>
      <w:r w:rsidRPr="005F07B3">
        <w:rPr>
          <w:rFonts w:ascii="Arial" w:hAnsi="Arial" w:cs="Arial"/>
        </w:rPr>
        <w:t xml:space="preserve"> (</w:t>
      </w:r>
      <w:r w:rsidR="00BE6098" w:rsidRPr="005F07B3">
        <w:rPr>
          <w:rFonts w:ascii="Arial" w:hAnsi="Arial" w:cs="Arial"/>
        </w:rPr>
        <w:t>SA</w:t>
      </w:r>
      <w:r w:rsidRPr="005F07B3">
        <w:rPr>
          <w:rFonts w:ascii="Arial" w:hAnsi="Arial" w:cs="Arial"/>
        </w:rPr>
        <w:t xml:space="preserve">), as included at Schedule 1. </w:t>
      </w:r>
    </w:p>
    <w:p w14:paraId="42785B20" w14:textId="77777777" w:rsidR="00B14FF7" w:rsidRDefault="00B14FF7" w:rsidP="00653811">
      <w:pPr>
        <w:pStyle w:val="ListParagraph"/>
        <w:tabs>
          <w:tab w:val="left" w:pos="709"/>
        </w:tabs>
        <w:ind w:left="709" w:hanging="709"/>
        <w:jc w:val="both"/>
        <w:rPr>
          <w:rFonts w:ascii="Arial" w:hAnsi="Arial" w:cs="Arial"/>
        </w:rPr>
      </w:pPr>
    </w:p>
    <w:p w14:paraId="38363190" w14:textId="5755C317" w:rsidR="002545FF" w:rsidRPr="002545FF" w:rsidRDefault="00047357" w:rsidP="002545FF">
      <w:pPr>
        <w:pStyle w:val="ListParagraph"/>
        <w:numPr>
          <w:ilvl w:val="1"/>
          <w:numId w:val="6"/>
        </w:numPr>
        <w:tabs>
          <w:tab w:val="left" w:pos="709"/>
        </w:tabs>
        <w:ind w:left="709" w:hanging="709"/>
        <w:jc w:val="both"/>
        <w:rPr>
          <w:rFonts w:ascii="Arial" w:hAnsi="Arial" w:cs="Arial"/>
          <w:b/>
        </w:rPr>
      </w:pPr>
      <w:r w:rsidRPr="002545FF">
        <w:rPr>
          <w:rFonts w:ascii="Arial" w:hAnsi="Arial" w:cs="Arial"/>
        </w:rPr>
        <w:t xml:space="preserve">The Contracting Authority reserves the right </w:t>
      </w:r>
      <w:r w:rsidR="00635B5C" w:rsidRPr="002545FF">
        <w:rPr>
          <w:rFonts w:ascii="Arial" w:hAnsi="Arial" w:cs="Arial"/>
        </w:rPr>
        <w:t>to request information at any time throughout the procurement process</w:t>
      </w:r>
      <w:r w:rsidR="00C23F7F" w:rsidRPr="002545FF">
        <w:rPr>
          <w:rFonts w:ascii="Arial" w:hAnsi="Arial" w:cs="Arial"/>
        </w:rPr>
        <w:t>.  T</w:t>
      </w:r>
      <w:r w:rsidR="00635B5C" w:rsidRPr="002545FF">
        <w:rPr>
          <w:rFonts w:ascii="Arial" w:hAnsi="Arial" w:cs="Arial"/>
        </w:rPr>
        <w:t>he Contracting Authority may elect to obtain evidence that the Tenderer can meet the specified requirements</w:t>
      </w:r>
      <w:r w:rsidR="002545FF">
        <w:rPr>
          <w:rFonts w:ascii="Arial" w:hAnsi="Arial" w:cs="Arial"/>
        </w:rPr>
        <w:t>.</w:t>
      </w:r>
    </w:p>
    <w:p w14:paraId="3F665ADE" w14:textId="77777777" w:rsidR="002545FF" w:rsidRPr="002545FF" w:rsidRDefault="002545FF" w:rsidP="002545FF">
      <w:pPr>
        <w:pStyle w:val="ListParagraph"/>
        <w:rPr>
          <w:rFonts w:ascii="Arial" w:hAnsi="Arial" w:cs="Arial"/>
          <w:b/>
        </w:rPr>
      </w:pPr>
    </w:p>
    <w:p w14:paraId="2BC2DCDD" w14:textId="77777777" w:rsidR="00047357" w:rsidRDefault="00047357" w:rsidP="002D2D9A">
      <w:pPr>
        <w:pStyle w:val="ListParagraph"/>
        <w:numPr>
          <w:ilvl w:val="1"/>
          <w:numId w:val="6"/>
        </w:numPr>
        <w:tabs>
          <w:tab w:val="left" w:pos="709"/>
        </w:tabs>
        <w:ind w:left="709" w:hanging="709"/>
        <w:jc w:val="both"/>
        <w:rPr>
          <w:rFonts w:ascii="Arial" w:hAnsi="Arial" w:cs="Arial"/>
        </w:rPr>
      </w:pPr>
      <w:r w:rsidRPr="00653811">
        <w:rPr>
          <w:rFonts w:ascii="Arial" w:hAnsi="Arial" w:cs="Arial"/>
        </w:rPr>
        <w:t xml:space="preserve">Failure in respect of any of the Pass/Fail sections </w:t>
      </w:r>
      <w:r w:rsidR="00AE2C13">
        <w:rPr>
          <w:rFonts w:ascii="Arial" w:hAnsi="Arial" w:cs="Arial"/>
        </w:rPr>
        <w:t xml:space="preserve">detailed </w:t>
      </w:r>
      <w:r w:rsidRPr="00653811">
        <w:rPr>
          <w:rFonts w:ascii="Arial" w:hAnsi="Arial" w:cs="Arial"/>
        </w:rPr>
        <w:t xml:space="preserve">below will result in your </w:t>
      </w:r>
      <w:r w:rsidR="00635B5C" w:rsidRPr="00653811">
        <w:rPr>
          <w:rFonts w:ascii="Arial" w:hAnsi="Arial" w:cs="Arial"/>
        </w:rPr>
        <w:t xml:space="preserve">Tender </w:t>
      </w:r>
      <w:r w:rsidRPr="00653811">
        <w:rPr>
          <w:rFonts w:ascii="Arial" w:hAnsi="Arial" w:cs="Arial"/>
        </w:rPr>
        <w:t>being non-compliant</w:t>
      </w:r>
      <w:r w:rsidR="00AE2C13">
        <w:rPr>
          <w:rFonts w:ascii="Arial" w:hAnsi="Arial" w:cs="Arial"/>
        </w:rPr>
        <w:t xml:space="preserve"> and excluded from the procurement process</w:t>
      </w:r>
      <w:r w:rsidRPr="00653811">
        <w:rPr>
          <w:rFonts w:ascii="Arial" w:hAnsi="Arial" w:cs="Arial"/>
        </w:rPr>
        <w:t>.</w:t>
      </w:r>
    </w:p>
    <w:p w14:paraId="6D9FC6E6" w14:textId="77777777" w:rsidR="00AF5F8A" w:rsidRDefault="00AF5F8A" w:rsidP="00653811">
      <w:pPr>
        <w:pStyle w:val="ListParagraph"/>
        <w:tabs>
          <w:tab w:val="left" w:pos="709"/>
        </w:tabs>
        <w:ind w:left="709" w:hanging="709"/>
        <w:jc w:val="both"/>
        <w:rPr>
          <w:rFonts w:ascii="Arial" w:hAnsi="Arial" w:cs="Arial"/>
        </w:rPr>
      </w:pPr>
    </w:p>
    <w:p w14:paraId="259E63BC" w14:textId="7A13285C" w:rsidR="000368F0" w:rsidRDefault="00047357" w:rsidP="002D2D9A">
      <w:pPr>
        <w:pStyle w:val="ListParagraph"/>
        <w:numPr>
          <w:ilvl w:val="1"/>
          <w:numId w:val="6"/>
        </w:numPr>
        <w:tabs>
          <w:tab w:val="left" w:pos="709"/>
        </w:tabs>
        <w:ind w:left="709" w:hanging="709"/>
        <w:jc w:val="both"/>
        <w:rPr>
          <w:rFonts w:ascii="Arial" w:hAnsi="Arial" w:cs="Arial"/>
        </w:rPr>
      </w:pPr>
      <w:r w:rsidRPr="00653811">
        <w:rPr>
          <w:rFonts w:ascii="Arial" w:hAnsi="Arial" w:cs="Arial"/>
        </w:rPr>
        <w:t xml:space="preserve">The </w:t>
      </w:r>
      <w:r w:rsidR="008B0C40" w:rsidRPr="00C741D6">
        <w:rPr>
          <w:rFonts w:ascii="Arial" w:hAnsi="Arial" w:cs="Arial"/>
        </w:rPr>
        <w:t>Suitability</w:t>
      </w:r>
      <w:r w:rsidR="009F21B6" w:rsidRPr="00C741D6">
        <w:rPr>
          <w:rFonts w:ascii="Arial" w:hAnsi="Arial" w:cs="Arial"/>
        </w:rPr>
        <w:t xml:space="preserve"> Assessment</w:t>
      </w:r>
      <w:r w:rsidRPr="00C741D6">
        <w:rPr>
          <w:rFonts w:ascii="Arial" w:hAnsi="Arial" w:cs="Arial"/>
        </w:rPr>
        <w:t xml:space="preserve"> will</w:t>
      </w:r>
      <w:r w:rsidRPr="00653811">
        <w:rPr>
          <w:rFonts w:ascii="Arial" w:hAnsi="Arial" w:cs="Arial"/>
        </w:rPr>
        <w:t xml:space="preserve"> be assessed as follows:</w:t>
      </w:r>
    </w:p>
    <w:p w14:paraId="64A38125" w14:textId="3ACEDB7C" w:rsidR="00D44C1C" w:rsidRPr="00D44C1C" w:rsidRDefault="00D44C1C" w:rsidP="00D44C1C">
      <w:pPr>
        <w:tabs>
          <w:tab w:val="left" w:pos="709"/>
        </w:tabs>
        <w:jc w:val="both"/>
        <w:rPr>
          <w:rFonts w:ascii="Arial" w:hAnsi="Arial" w:cs="Arial"/>
        </w:rPr>
      </w:pPr>
    </w:p>
    <w:tbl>
      <w:tblPr>
        <w:tblStyle w:val="TableGrid2"/>
        <w:tblW w:w="9478" w:type="dxa"/>
        <w:tblLayout w:type="fixed"/>
        <w:tblLook w:val="04A0" w:firstRow="1" w:lastRow="0" w:firstColumn="1" w:lastColumn="0" w:noHBand="0" w:noVBand="1"/>
      </w:tblPr>
      <w:tblGrid>
        <w:gridCol w:w="3321"/>
        <w:gridCol w:w="6157"/>
      </w:tblGrid>
      <w:tr w:rsidR="00D44C1C" w:rsidRPr="00D05A8B" w14:paraId="779050A4" w14:textId="77777777" w:rsidTr="00D44C1C">
        <w:trPr>
          <w:trHeight w:val="481"/>
        </w:trPr>
        <w:tc>
          <w:tcPr>
            <w:tcW w:w="3321" w:type="dxa"/>
          </w:tcPr>
          <w:p w14:paraId="02FF03F5" w14:textId="77777777" w:rsidR="00D44C1C" w:rsidRPr="00D44C1C" w:rsidRDefault="00D44C1C" w:rsidP="00513BAD">
            <w:pPr>
              <w:rPr>
                <w:rFonts w:ascii="Arial" w:hAnsi="Arial" w:cs="Arial"/>
                <w:b/>
              </w:rPr>
            </w:pPr>
          </w:p>
          <w:p w14:paraId="0C4772B9" w14:textId="77777777" w:rsidR="00D44C1C" w:rsidRPr="00D44C1C" w:rsidRDefault="00D44C1C" w:rsidP="00513BAD">
            <w:pPr>
              <w:rPr>
                <w:rFonts w:ascii="Arial" w:hAnsi="Arial" w:cs="Arial"/>
                <w:b/>
              </w:rPr>
            </w:pPr>
            <w:r w:rsidRPr="00D44C1C">
              <w:rPr>
                <w:rFonts w:ascii="Arial" w:hAnsi="Arial" w:cs="Arial"/>
                <w:b/>
              </w:rPr>
              <w:t>Section</w:t>
            </w:r>
          </w:p>
          <w:p w14:paraId="2C08D6D6" w14:textId="77777777" w:rsidR="00D44C1C" w:rsidRPr="00D44C1C" w:rsidRDefault="00D44C1C" w:rsidP="00513BAD">
            <w:pPr>
              <w:rPr>
                <w:rFonts w:ascii="Arial" w:hAnsi="Arial" w:cs="Arial"/>
                <w:b/>
              </w:rPr>
            </w:pPr>
          </w:p>
        </w:tc>
        <w:tc>
          <w:tcPr>
            <w:tcW w:w="6157" w:type="dxa"/>
          </w:tcPr>
          <w:p w14:paraId="6A269FFB" w14:textId="77777777" w:rsidR="00D44C1C" w:rsidRPr="00D44C1C" w:rsidRDefault="00D44C1C" w:rsidP="00513BAD">
            <w:pPr>
              <w:rPr>
                <w:rFonts w:ascii="Arial" w:hAnsi="Arial" w:cs="Arial"/>
                <w:b/>
              </w:rPr>
            </w:pPr>
          </w:p>
          <w:p w14:paraId="66D43F61" w14:textId="77777777" w:rsidR="00D44C1C" w:rsidRPr="00D44C1C" w:rsidRDefault="00D44C1C" w:rsidP="00513BAD">
            <w:pPr>
              <w:rPr>
                <w:rFonts w:ascii="Arial" w:hAnsi="Arial" w:cs="Arial"/>
                <w:b/>
              </w:rPr>
            </w:pPr>
            <w:r w:rsidRPr="00D44C1C">
              <w:rPr>
                <w:rFonts w:ascii="Arial" w:hAnsi="Arial" w:cs="Arial"/>
                <w:b/>
              </w:rPr>
              <w:t>Assessment</w:t>
            </w:r>
          </w:p>
        </w:tc>
      </w:tr>
      <w:tr w:rsidR="000C3D67" w:rsidRPr="00D05A8B" w14:paraId="238CA93D" w14:textId="77777777" w:rsidTr="00513BAD">
        <w:trPr>
          <w:trHeight w:val="646"/>
        </w:trPr>
        <w:tc>
          <w:tcPr>
            <w:tcW w:w="9478" w:type="dxa"/>
            <w:gridSpan w:val="2"/>
            <w:shd w:val="clear" w:color="auto" w:fill="BFBFBF" w:themeFill="background1" w:themeFillShade="BF"/>
          </w:tcPr>
          <w:p w14:paraId="76728CB3" w14:textId="77777777" w:rsidR="000C3D67" w:rsidRPr="00D05A8B" w:rsidRDefault="000C3D67" w:rsidP="00513BAD">
            <w:pPr>
              <w:rPr>
                <w:rFonts w:ascii="Arial" w:hAnsi="Arial" w:cs="Arial"/>
                <w:b/>
              </w:rPr>
            </w:pPr>
            <w:r w:rsidRPr="00D05A8B">
              <w:rPr>
                <w:rFonts w:ascii="Arial" w:hAnsi="Arial" w:cs="Arial"/>
                <w:b/>
              </w:rPr>
              <w:t>PART 1 - POTENTIAL SUPPLIER INFORMATION</w:t>
            </w:r>
          </w:p>
        </w:tc>
      </w:tr>
      <w:tr w:rsidR="000C3D67" w:rsidRPr="00D05A8B" w14:paraId="52814B8E" w14:textId="77777777" w:rsidTr="00513BAD">
        <w:tc>
          <w:tcPr>
            <w:tcW w:w="3321" w:type="dxa"/>
          </w:tcPr>
          <w:p w14:paraId="66454686" w14:textId="77777777" w:rsidR="000C3D67" w:rsidRPr="00D05A8B" w:rsidRDefault="000C3D67" w:rsidP="00513BAD">
            <w:pPr>
              <w:spacing w:before="240" w:line="276" w:lineRule="auto"/>
              <w:jc w:val="both"/>
              <w:rPr>
                <w:rFonts w:ascii="Arial" w:hAnsi="Arial" w:cs="Arial"/>
                <w:b/>
              </w:rPr>
            </w:pPr>
            <w:r w:rsidRPr="00D05A8B">
              <w:rPr>
                <w:rFonts w:ascii="Arial" w:hAnsi="Arial" w:cs="Arial"/>
                <w:b/>
              </w:rPr>
              <w:t xml:space="preserve">Section 1  </w:t>
            </w:r>
          </w:p>
          <w:p w14:paraId="0AAF79D2" w14:textId="77777777" w:rsidR="000C3D67" w:rsidRPr="00CA3EB2" w:rsidRDefault="000C3D67" w:rsidP="00513BAD">
            <w:pPr>
              <w:pStyle w:val="NoSpacing"/>
              <w:spacing w:before="240" w:after="200" w:line="276" w:lineRule="auto"/>
              <w:rPr>
                <w:rFonts w:ascii="Arial" w:hAnsi="Arial" w:cs="Arial"/>
              </w:rPr>
            </w:pPr>
            <w:r w:rsidRPr="00CA3EB2">
              <w:rPr>
                <w:rFonts w:ascii="Arial" w:hAnsi="Arial" w:cs="Arial"/>
              </w:rPr>
              <w:t>Potential Supplier Information</w:t>
            </w:r>
          </w:p>
          <w:p w14:paraId="08E1196D" w14:textId="77777777" w:rsidR="000C3D67" w:rsidRPr="00CA3EB2" w:rsidRDefault="000C3D67" w:rsidP="00513BAD">
            <w:pPr>
              <w:pStyle w:val="NoSpacing"/>
              <w:spacing w:before="240" w:after="200" w:line="276" w:lineRule="auto"/>
              <w:rPr>
                <w:rFonts w:ascii="Arial" w:hAnsi="Arial" w:cs="Arial"/>
              </w:rPr>
            </w:pPr>
            <w:r w:rsidRPr="00CA3EB2">
              <w:rPr>
                <w:rFonts w:ascii="Arial" w:hAnsi="Arial" w:cs="Arial"/>
              </w:rPr>
              <w:t xml:space="preserve">Bidding Model </w:t>
            </w:r>
          </w:p>
          <w:p w14:paraId="3E991D8D" w14:textId="77777777" w:rsidR="000C3D67" w:rsidRPr="00D05A8B" w:rsidRDefault="000C3D67" w:rsidP="00513BAD">
            <w:pPr>
              <w:pStyle w:val="NoSpacing"/>
              <w:spacing w:before="240" w:after="200" w:line="276" w:lineRule="auto"/>
              <w:rPr>
                <w:rFonts w:ascii="Arial" w:hAnsi="Arial" w:cs="Arial"/>
              </w:rPr>
            </w:pPr>
            <w:r w:rsidRPr="00CA3EB2">
              <w:rPr>
                <w:rFonts w:ascii="Arial" w:hAnsi="Arial" w:cs="Arial"/>
              </w:rPr>
              <w:lastRenderedPageBreak/>
              <w:t>Contact Details and Declaration</w:t>
            </w:r>
          </w:p>
        </w:tc>
        <w:tc>
          <w:tcPr>
            <w:tcW w:w="6157" w:type="dxa"/>
          </w:tcPr>
          <w:p w14:paraId="130F717C" w14:textId="77777777" w:rsidR="000C3D67" w:rsidRPr="00D05A8B" w:rsidRDefault="000C3D67" w:rsidP="00513BAD">
            <w:pPr>
              <w:spacing w:before="240" w:line="276" w:lineRule="auto"/>
              <w:jc w:val="both"/>
              <w:rPr>
                <w:rFonts w:ascii="Arial" w:hAnsi="Arial" w:cs="Arial"/>
              </w:rPr>
            </w:pPr>
            <w:r w:rsidRPr="00D05A8B">
              <w:rPr>
                <w:rFonts w:ascii="Arial" w:hAnsi="Arial" w:cs="Arial"/>
              </w:rPr>
              <w:lastRenderedPageBreak/>
              <w:t xml:space="preserve">This section is required to ensure the Contracting Authority has the correct details of all Organisations.  The </w:t>
            </w:r>
            <w:r>
              <w:rPr>
                <w:rFonts w:ascii="Arial" w:hAnsi="Arial" w:cs="Arial"/>
              </w:rPr>
              <w:t>Tenderer</w:t>
            </w:r>
            <w:r w:rsidRPr="00D05A8B">
              <w:rPr>
                <w:rFonts w:ascii="Arial" w:hAnsi="Arial" w:cs="Arial"/>
              </w:rPr>
              <w:t xml:space="preserve"> must complete and sign this section. A </w:t>
            </w:r>
            <w:r>
              <w:rPr>
                <w:rFonts w:ascii="Arial" w:hAnsi="Arial" w:cs="Arial"/>
              </w:rPr>
              <w:t>Tenderer</w:t>
            </w:r>
            <w:r w:rsidRPr="00D05A8B">
              <w:rPr>
                <w:rFonts w:ascii="Arial" w:hAnsi="Arial" w:cs="Arial"/>
              </w:rPr>
              <w:t xml:space="preserve"> may be excluded on the grounds of insufficient or false information.</w:t>
            </w:r>
          </w:p>
        </w:tc>
      </w:tr>
      <w:tr w:rsidR="000C3D67" w:rsidRPr="00D05A8B" w14:paraId="0C50EC41" w14:textId="77777777" w:rsidTr="00513BAD">
        <w:tc>
          <w:tcPr>
            <w:tcW w:w="9478" w:type="dxa"/>
            <w:gridSpan w:val="2"/>
            <w:shd w:val="clear" w:color="auto" w:fill="BFBFBF" w:themeFill="background1" w:themeFillShade="BF"/>
          </w:tcPr>
          <w:p w14:paraId="453C788D" w14:textId="77777777" w:rsidR="000C3D67" w:rsidRPr="00D05A8B" w:rsidRDefault="000C3D67" w:rsidP="00513BAD">
            <w:pPr>
              <w:rPr>
                <w:rFonts w:ascii="Arial" w:hAnsi="Arial" w:cs="Arial"/>
                <w:b/>
              </w:rPr>
            </w:pPr>
            <w:r w:rsidRPr="00D05A8B">
              <w:rPr>
                <w:rFonts w:ascii="Arial" w:hAnsi="Arial" w:cs="Arial"/>
                <w:b/>
              </w:rPr>
              <w:t>PART 2 – EXCLUSION GROUNDS</w:t>
            </w:r>
          </w:p>
          <w:p w14:paraId="3BE99DA1" w14:textId="77777777" w:rsidR="000C3D67" w:rsidRPr="00D05A8B" w:rsidRDefault="000C3D67" w:rsidP="00513BAD">
            <w:pPr>
              <w:rPr>
                <w:rFonts w:ascii="Arial" w:hAnsi="Arial" w:cs="Arial"/>
              </w:rPr>
            </w:pPr>
          </w:p>
        </w:tc>
      </w:tr>
      <w:tr w:rsidR="000C3D67" w:rsidRPr="00D05A8B" w14:paraId="481D6BE0" w14:textId="77777777" w:rsidTr="00513BAD">
        <w:tc>
          <w:tcPr>
            <w:tcW w:w="3321" w:type="dxa"/>
          </w:tcPr>
          <w:p w14:paraId="17842706" w14:textId="77777777" w:rsidR="000C3D67" w:rsidRPr="00D05A8B" w:rsidRDefault="000C3D67" w:rsidP="00513BAD">
            <w:pPr>
              <w:spacing w:before="240" w:line="276" w:lineRule="auto"/>
              <w:rPr>
                <w:rFonts w:ascii="Arial" w:hAnsi="Arial" w:cs="Arial"/>
                <w:b/>
              </w:rPr>
            </w:pPr>
            <w:r w:rsidRPr="00D05A8B">
              <w:rPr>
                <w:rFonts w:ascii="Arial" w:hAnsi="Arial" w:cs="Arial"/>
                <w:b/>
              </w:rPr>
              <w:t>Section 2</w:t>
            </w:r>
          </w:p>
          <w:p w14:paraId="43D9C781" w14:textId="77777777" w:rsidR="000C3D67" w:rsidRPr="00CA3EB2" w:rsidRDefault="000C3D67" w:rsidP="00513BAD">
            <w:pPr>
              <w:spacing w:before="240" w:line="276" w:lineRule="auto"/>
              <w:rPr>
                <w:rFonts w:ascii="Arial" w:hAnsi="Arial" w:cs="Arial"/>
              </w:rPr>
            </w:pPr>
            <w:r w:rsidRPr="00CA3EB2">
              <w:rPr>
                <w:rFonts w:ascii="Arial" w:hAnsi="Arial" w:cs="Arial"/>
              </w:rPr>
              <w:t>Grounds for Mandatory Exclusion</w:t>
            </w:r>
          </w:p>
          <w:p w14:paraId="14C76DCB" w14:textId="77777777" w:rsidR="000C3D67" w:rsidRPr="009C5C17" w:rsidRDefault="000C3D67" w:rsidP="00513BAD">
            <w:pPr>
              <w:spacing w:before="240" w:line="276" w:lineRule="auto"/>
              <w:rPr>
                <w:rFonts w:ascii="Arial" w:hAnsi="Arial" w:cs="Arial"/>
                <w:b/>
              </w:rPr>
            </w:pPr>
            <w:r w:rsidRPr="009C5C17">
              <w:rPr>
                <w:rFonts w:ascii="Arial" w:hAnsi="Arial" w:cs="Arial"/>
                <w:b/>
              </w:rPr>
              <w:t>Section 3</w:t>
            </w:r>
          </w:p>
          <w:p w14:paraId="41CBB4A0" w14:textId="77777777" w:rsidR="000C3D67" w:rsidRPr="00D05A8B" w:rsidRDefault="000C3D67" w:rsidP="00513BAD">
            <w:pPr>
              <w:spacing w:before="240" w:line="276" w:lineRule="auto"/>
              <w:rPr>
                <w:rFonts w:ascii="Arial" w:hAnsi="Arial" w:cs="Arial"/>
              </w:rPr>
            </w:pPr>
            <w:r w:rsidRPr="00CA3EB2">
              <w:rPr>
                <w:rFonts w:ascii="Arial" w:hAnsi="Arial" w:cs="Arial"/>
              </w:rPr>
              <w:t>Grounds for Discretionary Exclusion</w:t>
            </w:r>
          </w:p>
        </w:tc>
        <w:tc>
          <w:tcPr>
            <w:tcW w:w="6157" w:type="dxa"/>
          </w:tcPr>
          <w:p w14:paraId="3EDD3A96" w14:textId="77777777" w:rsidR="000C3D67" w:rsidRPr="00D05A8B" w:rsidRDefault="000C3D67" w:rsidP="00513BAD">
            <w:pPr>
              <w:spacing w:before="240" w:line="276" w:lineRule="auto"/>
              <w:jc w:val="both"/>
              <w:rPr>
                <w:rFonts w:ascii="Arial" w:hAnsi="Arial" w:cs="Arial"/>
              </w:rPr>
            </w:pPr>
            <w:r w:rsidRPr="00D05A8B">
              <w:rPr>
                <w:rFonts w:ascii="Arial" w:hAnsi="Arial" w:cs="Arial"/>
              </w:rPr>
              <w:t xml:space="preserve">The Contracting Authority reserves the right to exclude a </w:t>
            </w:r>
            <w:r>
              <w:rPr>
                <w:rFonts w:ascii="Arial" w:hAnsi="Arial" w:cs="Arial"/>
              </w:rPr>
              <w:t>Tenderer</w:t>
            </w:r>
            <w:r w:rsidRPr="00D05A8B">
              <w:rPr>
                <w:rFonts w:ascii="Arial" w:hAnsi="Arial" w:cs="Arial"/>
              </w:rPr>
              <w:t xml:space="preserve"> if they answer Yes to any of the questions in these Sections and fail to provide evidence of </w:t>
            </w:r>
            <w:r>
              <w:rPr>
                <w:rFonts w:ascii="Arial" w:hAnsi="Arial" w:cs="Arial"/>
              </w:rPr>
              <w:t xml:space="preserve">adequate and appropriate </w:t>
            </w:r>
            <w:r w:rsidRPr="00D05A8B">
              <w:rPr>
                <w:rFonts w:ascii="Arial" w:hAnsi="Arial" w:cs="Arial"/>
              </w:rPr>
              <w:t xml:space="preserve">Self Cleaning (in line with </w:t>
            </w:r>
            <w:r>
              <w:rPr>
                <w:rFonts w:ascii="Arial" w:hAnsi="Arial" w:cs="Arial"/>
              </w:rPr>
              <w:t>Regulation</w:t>
            </w:r>
            <w:r w:rsidRPr="00D05A8B">
              <w:rPr>
                <w:rFonts w:ascii="Arial" w:hAnsi="Arial" w:cs="Arial"/>
              </w:rPr>
              <w:t xml:space="preserve"> 57 of the Public Contracts Regulations 2015)</w:t>
            </w:r>
          </w:p>
        </w:tc>
      </w:tr>
      <w:tr w:rsidR="000C3D67" w:rsidRPr="00D05A8B" w14:paraId="7ED0D243" w14:textId="77777777" w:rsidTr="00513BAD">
        <w:tc>
          <w:tcPr>
            <w:tcW w:w="9478" w:type="dxa"/>
            <w:gridSpan w:val="2"/>
            <w:shd w:val="clear" w:color="auto" w:fill="BFBFBF" w:themeFill="background1" w:themeFillShade="BF"/>
          </w:tcPr>
          <w:p w14:paraId="2BC052FB" w14:textId="77777777" w:rsidR="000C3D67" w:rsidRPr="00D05A8B" w:rsidRDefault="000C3D67" w:rsidP="00513BAD">
            <w:pPr>
              <w:rPr>
                <w:rFonts w:ascii="Arial" w:hAnsi="Arial" w:cs="Arial"/>
                <w:b/>
              </w:rPr>
            </w:pPr>
            <w:r w:rsidRPr="00D05A8B">
              <w:rPr>
                <w:rFonts w:ascii="Arial" w:hAnsi="Arial" w:cs="Arial"/>
                <w:b/>
              </w:rPr>
              <w:t>PART 3 - SELECTION QUESTIONS</w:t>
            </w:r>
          </w:p>
          <w:p w14:paraId="0C3C4286" w14:textId="77777777" w:rsidR="000C3D67" w:rsidRPr="00D05A8B" w:rsidRDefault="000C3D67" w:rsidP="00513BAD">
            <w:pPr>
              <w:rPr>
                <w:rFonts w:ascii="Arial" w:hAnsi="Arial" w:cs="Arial"/>
              </w:rPr>
            </w:pPr>
          </w:p>
        </w:tc>
      </w:tr>
      <w:tr w:rsidR="000C3D67" w:rsidRPr="00D05A8B" w14:paraId="1C285E45" w14:textId="77777777" w:rsidTr="00513BAD">
        <w:tc>
          <w:tcPr>
            <w:tcW w:w="3321" w:type="dxa"/>
          </w:tcPr>
          <w:p w14:paraId="2C1F4E66" w14:textId="77777777" w:rsidR="000C3D67" w:rsidRPr="00D05A8B" w:rsidRDefault="000C3D67" w:rsidP="00513BAD">
            <w:pPr>
              <w:spacing w:before="240" w:line="276" w:lineRule="auto"/>
              <w:rPr>
                <w:rFonts w:ascii="Arial" w:hAnsi="Arial" w:cs="Arial"/>
                <w:b/>
              </w:rPr>
            </w:pPr>
            <w:r w:rsidRPr="00D05A8B">
              <w:rPr>
                <w:rFonts w:ascii="Arial" w:hAnsi="Arial" w:cs="Arial"/>
                <w:b/>
              </w:rPr>
              <w:t>Section 4</w:t>
            </w:r>
          </w:p>
          <w:p w14:paraId="480F74D9" w14:textId="77777777" w:rsidR="000C3D67" w:rsidRPr="00D05A8B" w:rsidRDefault="000C3D67" w:rsidP="00513BAD">
            <w:pPr>
              <w:spacing w:before="240" w:line="276" w:lineRule="auto"/>
              <w:rPr>
                <w:rFonts w:ascii="Arial" w:hAnsi="Arial" w:cs="Arial"/>
              </w:rPr>
            </w:pPr>
            <w:r w:rsidRPr="00D05A8B">
              <w:rPr>
                <w:rFonts w:ascii="Arial" w:hAnsi="Arial" w:cs="Arial"/>
              </w:rPr>
              <w:t>Economic and Financial Standing</w:t>
            </w:r>
          </w:p>
          <w:p w14:paraId="140281DA" w14:textId="77777777" w:rsidR="000C3D67" w:rsidRPr="00D05A8B" w:rsidRDefault="000C3D67" w:rsidP="00513BAD">
            <w:pPr>
              <w:spacing w:before="240" w:line="276" w:lineRule="auto"/>
              <w:rPr>
                <w:rFonts w:ascii="Arial" w:hAnsi="Arial" w:cs="Arial"/>
              </w:rPr>
            </w:pPr>
          </w:p>
          <w:p w14:paraId="3F3C3394" w14:textId="54385E01" w:rsidR="000C3D67" w:rsidRPr="00D05A8B" w:rsidRDefault="000C3D67" w:rsidP="00513BAD">
            <w:pPr>
              <w:spacing w:before="240" w:line="276" w:lineRule="auto"/>
              <w:rPr>
                <w:rFonts w:ascii="Arial" w:hAnsi="Arial" w:cs="Arial"/>
              </w:rPr>
            </w:pPr>
          </w:p>
        </w:tc>
        <w:tc>
          <w:tcPr>
            <w:tcW w:w="6157" w:type="dxa"/>
          </w:tcPr>
          <w:p w14:paraId="4FCCB6BA" w14:textId="77777777" w:rsidR="000C3D67" w:rsidRPr="00D05A8B" w:rsidRDefault="000C3D67" w:rsidP="00513BAD">
            <w:pPr>
              <w:spacing w:before="240" w:line="276" w:lineRule="auto"/>
              <w:jc w:val="both"/>
              <w:rPr>
                <w:rFonts w:ascii="Arial" w:hAnsi="Arial" w:cs="Arial"/>
              </w:rPr>
            </w:pPr>
            <w:r w:rsidRPr="00D05A8B">
              <w:rPr>
                <w:rFonts w:ascii="Arial" w:hAnsi="Arial" w:cs="Arial"/>
              </w:rPr>
              <w:t xml:space="preserve">The Contracting Authority reserves the right to fail a </w:t>
            </w:r>
            <w:r>
              <w:rPr>
                <w:rFonts w:ascii="Arial" w:hAnsi="Arial" w:cs="Arial"/>
              </w:rPr>
              <w:t>Tenderer</w:t>
            </w:r>
            <w:r w:rsidRPr="00D05A8B">
              <w:rPr>
                <w:rFonts w:ascii="Arial" w:hAnsi="Arial" w:cs="Arial"/>
              </w:rPr>
              <w:t xml:space="preserve"> if they cannot confirm as a minimum that they can provide one of the required statements.</w:t>
            </w:r>
          </w:p>
          <w:p w14:paraId="7B8AF00F" w14:textId="77777777" w:rsidR="000C3D67" w:rsidRPr="00D05A8B" w:rsidRDefault="000C3D67" w:rsidP="00513BAD">
            <w:pPr>
              <w:spacing w:before="240" w:line="276" w:lineRule="auto"/>
              <w:rPr>
                <w:rFonts w:ascii="Arial" w:hAnsi="Arial" w:cs="Arial"/>
              </w:rPr>
            </w:pPr>
          </w:p>
        </w:tc>
      </w:tr>
      <w:tr w:rsidR="000C3D67" w:rsidRPr="00D05A8B" w14:paraId="577E1E17" w14:textId="77777777" w:rsidTr="00513BAD">
        <w:tc>
          <w:tcPr>
            <w:tcW w:w="3321" w:type="dxa"/>
          </w:tcPr>
          <w:p w14:paraId="53EB43A3" w14:textId="77777777" w:rsidR="000C3D67" w:rsidRPr="00D05A8B" w:rsidRDefault="000C3D67" w:rsidP="00513BAD">
            <w:pPr>
              <w:spacing w:before="240" w:line="276" w:lineRule="auto"/>
              <w:rPr>
                <w:rFonts w:ascii="Arial" w:hAnsi="Arial" w:cs="Arial"/>
                <w:b/>
              </w:rPr>
            </w:pPr>
            <w:r w:rsidRPr="00D05A8B">
              <w:rPr>
                <w:rFonts w:ascii="Arial" w:hAnsi="Arial" w:cs="Arial"/>
                <w:b/>
              </w:rPr>
              <w:t>Section 5</w:t>
            </w:r>
          </w:p>
          <w:p w14:paraId="038EA9F9" w14:textId="77777777" w:rsidR="000C3D67" w:rsidRPr="00D05A8B" w:rsidRDefault="000C3D67" w:rsidP="00513BAD">
            <w:pPr>
              <w:spacing w:before="240" w:line="276" w:lineRule="auto"/>
              <w:rPr>
                <w:rFonts w:ascii="Arial" w:hAnsi="Arial" w:cs="Arial"/>
              </w:rPr>
            </w:pPr>
            <w:r w:rsidRPr="00D05A8B">
              <w:rPr>
                <w:rFonts w:ascii="Arial" w:hAnsi="Arial" w:cs="Arial"/>
              </w:rPr>
              <w:t>Group/Consortium Information</w:t>
            </w:r>
          </w:p>
        </w:tc>
        <w:tc>
          <w:tcPr>
            <w:tcW w:w="6157" w:type="dxa"/>
          </w:tcPr>
          <w:p w14:paraId="131B5C33" w14:textId="77777777" w:rsidR="000C3D67" w:rsidRPr="00D05A8B" w:rsidRDefault="000C3D67" w:rsidP="00513BAD">
            <w:pPr>
              <w:spacing w:before="240" w:line="276" w:lineRule="auto"/>
              <w:jc w:val="both"/>
              <w:rPr>
                <w:rFonts w:ascii="Arial" w:hAnsi="Arial" w:cs="Arial"/>
              </w:rPr>
            </w:pPr>
            <w:r w:rsidRPr="00D05A8B">
              <w:rPr>
                <w:rFonts w:ascii="Arial" w:hAnsi="Arial" w:cs="Arial"/>
              </w:rPr>
              <w:t xml:space="preserve">If you have indicated in </w:t>
            </w:r>
            <w:r w:rsidRPr="00D44C1C">
              <w:rPr>
                <w:rFonts w:ascii="Arial" w:hAnsi="Arial" w:cs="Arial"/>
              </w:rPr>
              <w:t>the Suitability Assessment question</w:t>
            </w:r>
            <w:r w:rsidRPr="00D05A8B">
              <w:rPr>
                <w:rFonts w:ascii="Arial" w:hAnsi="Arial" w:cs="Arial"/>
              </w:rPr>
              <w:t xml:space="preserve"> 1.2 that you are part of a wider group, please provide the information required in this section.</w:t>
            </w:r>
          </w:p>
          <w:p w14:paraId="1BACC07C" w14:textId="77777777" w:rsidR="000C3D67" w:rsidRPr="00D05A8B" w:rsidRDefault="000C3D67" w:rsidP="00513BAD">
            <w:pPr>
              <w:spacing w:before="240" w:line="276" w:lineRule="auto"/>
              <w:jc w:val="both"/>
              <w:rPr>
                <w:rFonts w:ascii="Arial" w:hAnsi="Arial" w:cs="Arial"/>
              </w:rPr>
            </w:pPr>
            <w:r w:rsidRPr="004060B5">
              <w:rPr>
                <w:rFonts w:ascii="Arial" w:hAnsi="Arial" w:cs="Arial"/>
                <w:b/>
              </w:rPr>
              <w:t>The section will be scored on a pass or fail basis</w:t>
            </w:r>
            <w:r w:rsidRPr="00D05A8B">
              <w:rPr>
                <w:rFonts w:ascii="Arial" w:hAnsi="Arial" w:cs="Arial"/>
              </w:rPr>
              <w:t>.</w:t>
            </w:r>
          </w:p>
          <w:p w14:paraId="4D61121D" w14:textId="77777777" w:rsidR="000C3D67" w:rsidRDefault="000C3D67" w:rsidP="00513BAD">
            <w:pPr>
              <w:spacing w:before="240" w:line="276" w:lineRule="auto"/>
              <w:jc w:val="both"/>
              <w:rPr>
                <w:rFonts w:ascii="Arial" w:hAnsi="Arial" w:cs="Arial"/>
              </w:rPr>
            </w:pPr>
            <w:r w:rsidRPr="00D05A8B">
              <w:rPr>
                <w:rFonts w:ascii="Arial" w:hAnsi="Arial" w:cs="Arial"/>
              </w:rPr>
              <w:t>If an Organisation cannot provide one of the required documents from the statements, the Contracting Authority reserves the right to exclude the Organisation.</w:t>
            </w:r>
          </w:p>
          <w:p w14:paraId="2000BDCD" w14:textId="77777777" w:rsidR="000C3D67" w:rsidRPr="00D05A8B" w:rsidRDefault="000C3D67" w:rsidP="00513BAD">
            <w:pPr>
              <w:spacing w:line="276" w:lineRule="auto"/>
              <w:jc w:val="both"/>
              <w:rPr>
                <w:rFonts w:ascii="Arial" w:hAnsi="Arial" w:cs="Arial"/>
              </w:rPr>
            </w:pPr>
          </w:p>
        </w:tc>
      </w:tr>
      <w:tr w:rsidR="000C3D67" w:rsidRPr="00D05A8B" w14:paraId="27C37C96" w14:textId="77777777" w:rsidTr="00513BAD">
        <w:tc>
          <w:tcPr>
            <w:tcW w:w="3321" w:type="dxa"/>
          </w:tcPr>
          <w:p w14:paraId="1C55302D" w14:textId="77777777" w:rsidR="000C3D67" w:rsidRPr="00D05A8B" w:rsidRDefault="000C3D67" w:rsidP="00513BAD">
            <w:pPr>
              <w:spacing w:before="240" w:line="276" w:lineRule="auto"/>
              <w:rPr>
                <w:rFonts w:ascii="Arial" w:hAnsi="Arial" w:cs="Arial"/>
                <w:b/>
              </w:rPr>
            </w:pPr>
            <w:r w:rsidRPr="00D05A8B">
              <w:rPr>
                <w:rFonts w:ascii="Arial" w:hAnsi="Arial" w:cs="Arial"/>
                <w:b/>
              </w:rPr>
              <w:t>Section 6</w:t>
            </w:r>
          </w:p>
          <w:p w14:paraId="0B25DD55" w14:textId="77777777" w:rsidR="000C3D67" w:rsidRPr="00D05A8B" w:rsidRDefault="000C3D67" w:rsidP="00513BAD">
            <w:pPr>
              <w:spacing w:before="240" w:line="276" w:lineRule="auto"/>
              <w:rPr>
                <w:rFonts w:ascii="Arial" w:hAnsi="Arial" w:cs="Arial"/>
              </w:rPr>
            </w:pPr>
            <w:r w:rsidRPr="00D05A8B">
              <w:rPr>
                <w:rFonts w:ascii="Arial" w:hAnsi="Arial" w:cs="Arial"/>
              </w:rPr>
              <w:t xml:space="preserve">Technical and Professional Ability </w:t>
            </w:r>
          </w:p>
        </w:tc>
        <w:tc>
          <w:tcPr>
            <w:tcW w:w="6157" w:type="dxa"/>
          </w:tcPr>
          <w:p w14:paraId="46A8B515" w14:textId="77777777" w:rsidR="000C3D67" w:rsidRPr="004060B5" w:rsidRDefault="000C3D67" w:rsidP="00513BAD">
            <w:pPr>
              <w:spacing w:before="240" w:line="276" w:lineRule="auto"/>
              <w:jc w:val="both"/>
              <w:rPr>
                <w:rFonts w:ascii="Arial" w:hAnsi="Arial" w:cs="Arial"/>
                <w:b/>
              </w:rPr>
            </w:pPr>
            <w:r w:rsidRPr="004060B5">
              <w:rPr>
                <w:rFonts w:ascii="Arial" w:hAnsi="Arial" w:cs="Arial"/>
                <w:b/>
              </w:rPr>
              <w:t>This section will be scored on a pass or fail basis.</w:t>
            </w:r>
          </w:p>
          <w:p w14:paraId="5137D11A" w14:textId="77777777" w:rsidR="000C3D67" w:rsidRPr="00D05A8B" w:rsidRDefault="000C3D67" w:rsidP="00513BAD">
            <w:pPr>
              <w:spacing w:before="240" w:line="276" w:lineRule="auto"/>
              <w:jc w:val="both"/>
              <w:rPr>
                <w:rFonts w:ascii="Arial" w:hAnsi="Arial" w:cs="Arial"/>
              </w:rPr>
            </w:pPr>
            <w:r w:rsidRPr="00D05A8B">
              <w:rPr>
                <w:rFonts w:ascii="Arial" w:hAnsi="Arial" w:cs="Arial"/>
              </w:rPr>
              <w:t>A</w:t>
            </w:r>
            <w:r>
              <w:rPr>
                <w:rFonts w:ascii="Arial" w:hAnsi="Arial" w:cs="Arial"/>
              </w:rPr>
              <w:t xml:space="preserve"> Tenderer</w:t>
            </w:r>
            <w:r w:rsidRPr="00D05A8B">
              <w:rPr>
                <w:rFonts w:ascii="Arial" w:hAnsi="Arial" w:cs="Arial"/>
              </w:rPr>
              <w:t xml:space="preserve"> must provide the required details of up to 3 relevant </w:t>
            </w:r>
            <w:r>
              <w:rPr>
                <w:rFonts w:ascii="Arial" w:hAnsi="Arial" w:cs="Arial"/>
              </w:rPr>
              <w:t>C</w:t>
            </w:r>
            <w:r w:rsidRPr="00D05A8B">
              <w:rPr>
                <w:rFonts w:ascii="Arial" w:hAnsi="Arial" w:cs="Arial"/>
              </w:rPr>
              <w:t>ontracts requested at 6.1 or satisfactory explanation in section 6.3 to pass this section.</w:t>
            </w:r>
          </w:p>
          <w:p w14:paraId="655DB08E" w14:textId="77777777" w:rsidR="000C3D67" w:rsidRDefault="000C3D67" w:rsidP="00513BAD">
            <w:pPr>
              <w:spacing w:before="240" w:line="276" w:lineRule="auto"/>
              <w:jc w:val="both"/>
              <w:rPr>
                <w:rFonts w:ascii="Arial" w:hAnsi="Arial" w:cs="Arial"/>
              </w:rPr>
            </w:pPr>
            <w:r w:rsidRPr="00D05A8B">
              <w:rPr>
                <w:rFonts w:ascii="Arial" w:hAnsi="Arial" w:cs="Arial"/>
              </w:rPr>
              <w:t xml:space="preserve">The Contracting Authority reserves the right to fail a </w:t>
            </w:r>
            <w:r>
              <w:rPr>
                <w:rFonts w:ascii="Arial" w:hAnsi="Arial" w:cs="Arial"/>
              </w:rPr>
              <w:t>Tenderer</w:t>
            </w:r>
            <w:r w:rsidRPr="00D05A8B">
              <w:rPr>
                <w:rFonts w:ascii="Arial" w:hAnsi="Arial" w:cs="Arial"/>
              </w:rPr>
              <w:t xml:space="preserve"> if they cannot provide the required evidence</w:t>
            </w:r>
            <w:r>
              <w:rPr>
                <w:rFonts w:ascii="Arial" w:hAnsi="Arial" w:cs="Arial"/>
              </w:rPr>
              <w:t xml:space="preserve"> requested in 6.2</w:t>
            </w:r>
            <w:r w:rsidRPr="00D05A8B">
              <w:rPr>
                <w:rFonts w:ascii="Arial" w:hAnsi="Arial" w:cs="Arial"/>
              </w:rPr>
              <w:t>.</w:t>
            </w:r>
          </w:p>
          <w:p w14:paraId="564B16D2" w14:textId="77777777" w:rsidR="000C3D67" w:rsidRPr="00D05A8B" w:rsidRDefault="000C3D67" w:rsidP="00513BAD">
            <w:pPr>
              <w:spacing w:before="240" w:line="276" w:lineRule="auto"/>
              <w:jc w:val="both"/>
              <w:rPr>
                <w:rFonts w:ascii="Arial" w:hAnsi="Arial" w:cs="Arial"/>
              </w:rPr>
            </w:pPr>
            <w:r w:rsidRPr="00D8044C">
              <w:rPr>
                <w:rFonts w:ascii="Arial" w:hAnsi="Arial" w:cs="Arial"/>
              </w:rPr>
              <w:t xml:space="preserve">If </w:t>
            </w:r>
            <w:r>
              <w:rPr>
                <w:rFonts w:ascii="Arial" w:hAnsi="Arial" w:cs="Arial"/>
              </w:rPr>
              <w:t>Tenderers</w:t>
            </w:r>
            <w:r w:rsidRPr="00D8044C">
              <w:rPr>
                <w:rFonts w:ascii="Arial" w:hAnsi="Arial" w:cs="Arial"/>
              </w:rPr>
              <w:t xml:space="preserve"> intend to use a supply chain for this </w:t>
            </w:r>
            <w:r>
              <w:rPr>
                <w:rFonts w:ascii="Arial" w:hAnsi="Arial" w:cs="Arial"/>
              </w:rPr>
              <w:t>C</w:t>
            </w:r>
            <w:r w:rsidRPr="00D8044C">
              <w:rPr>
                <w:rFonts w:ascii="Arial" w:hAnsi="Arial" w:cs="Arial"/>
              </w:rPr>
              <w:t xml:space="preserve">ontract, </w:t>
            </w:r>
            <w:r>
              <w:rPr>
                <w:rFonts w:ascii="Arial" w:hAnsi="Arial" w:cs="Arial"/>
              </w:rPr>
              <w:lastRenderedPageBreak/>
              <w:t>they</w:t>
            </w:r>
            <w:r w:rsidRPr="00D8044C">
              <w:rPr>
                <w:rFonts w:ascii="Arial" w:hAnsi="Arial" w:cs="Arial"/>
              </w:rPr>
              <w:t xml:space="preserve"> must demonstrate </w:t>
            </w:r>
            <w:r>
              <w:rPr>
                <w:rFonts w:ascii="Arial" w:hAnsi="Arial" w:cs="Arial"/>
              </w:rPr>
              <w:t>they</w:t>
            </w:r>
            <w:r w:rsidRPr="00D8044C">
              <w:rPr>
                <w:rFonts w:ascii="Arial" w:hAnsi="Arial" w:cs="Arial"/>
              </w:rPr>
              <w:t xml:space="preserve"> have effective systems in place to ensure a reliable supply chain.  If </w:t>
            </w:r>
            <w:r>
              <w:rPr>
                <w:rFonts w:ascii="Arial" w:hAnsi="Arial" w:cs="Arial"/>
              </w:rPr>
              <w:t xml:space="preserve">they </w:t>
            </w:r>
            <w:r w:rsidRPr="00D8044C">
              <w:rPr>
                <w:rFonts w:ascii="Arial" w:hAnsi="Arial" w:cs="Arial"/>
              </w:rPr>
              <w:t xml:space="preserve">do not intend to use a supply chain for this </w:t>
            </w:r>
            <w:r>
              <w:rPr>
                <w:rFonts w:ascii="Arial" w:hAnsi="Arial" w:cs="Arial"/>
              </w:rPr>
              <w:t>C</w:t>
            </w:r>
            <w:r w:rsidRPr="00D8044C">
              <w:rPr>
                <w:rFonts w:ascii="Arial" w:hAnsi="Arial" w:cs="Arial"/>
              </w:rPr>
              <w:t xml:space="preserve">ontract, </w:t>
            </w:r>
            <w:r>
              <w:rPr>
                <w:rFonts w:ascii="Arial" w:hAnsi="Arial" w:cs="Arial"/>
              </w:rPr>
              <w:t>they</w:t>
            </w:r>
            <w:r w:rsidRPr="00D8044C">
              <w:rPr>
                <w:rFonts w:ascii="Arial" w:hAnsi="Arial" w:cs="Arial"/>
              </w:rPr>
              <w:t xml:space="preserve"> are not required to complete the rest of this section</w:t>
            </w:r>
            <w:r>
              <w:rPr>
                <w:rFonts w:ascii="Arial" w:hAnsi="Arial" w:cs="Arial"/>
              </w:rPr>
              <w:t xml:space="preserve"> 6a</w:t>
            </w:r>
            <w:r w:rsidRPr="00D8044C">
              <w:rPr>
                <w:rFonts w:ascii="Arial" w:hAnsi="Arial" w:cs="Arial"/>
              </w:rPr>
              <w:t>.</w:t>
            </w:r>
          </w:p>
          <w:p w14:paraId="19B74AF6" w14:textId="77777777" w:rsidR="000C3D67" w:rsidRPr="00D05A8B" w:rsidRDefault="000C3D67" w:rsidP="00513BAD">
            <w:pPr>
              <w:spacing w:line="276" w:lineRule="auto"/>
              <w:rPr>
                <w:rFonts w:ascii="Arial" w:hAnsi="Arial" w:cs="Arial"/>
              </w:rPr>
            </w:pPr>
          </w:p>
        </w:tc>
      </w:tr>
      <w:tr w:rsidR="000C3D67" w:rsidRPr="00D05A8B" w14:paraId="03A37DF4" w14:textId="77777777" w:rsidTr="00513BAD">
        <w:tc>
          <w:tcPr>
            <w:tcW w:w="3321" w:type="dxa"/>
          </w:tcPr>
          <w:p w14:paraId="118F4955" w14:textId="77777777" w:rsidR="000C3D67" w:rsidRPr="00D05A8B" w:rsidRDefault="000C3D67" w:rsidP="00513BAD">
            <w:pPr>
              <w:spacing w:before="240" w:line="276" w:lineRule="auto"/>
              <w:rPr>
                <w:rFonts w:ascii="Arial" w:hAnsi="Arial" w:cs="Arial"/>
                <w:b/>
              </w:rPr>
            </w:pPr>
            <w:r w:rsidRPr="00D05A8B">
              <w:rPr>
                <w:rFonts w:ascii="Arial" w:hAnsi="Arial" w:cs="Arial"/>
                <w:b/>
              </w:rPr>
              <w:lastRenderedPageBreak/>
              <w:t>Section 7</w:t>
            </w:r>
          </w:p>
          <w:p w14:paraId="40FCF641" w14:textId="77777777" w:rsidR="000C3D67" w:rsidRPr="00D05A8B" w:rsidRDefault="000C3D67" w:rsidP="00513BAD">
            <w:pPr>
              <w:spacing w:before="240" w:line="276" w:lineRule="auto"/>
              <w:rPr>
                <w:rFonts w:ascii="Arial" w:hAnsi="Arial" w:cs="Arial"/>
              </w:rPr>
            </w:pPr>
            <w:r w:rsidRPr="00D05A8B">
              <w:rPr>
                <w:rFonts w:ascii="Arial" w:hAnsi="Arial" w:cs="Arial"/>
              </w:rPr>
              <w:t>Modern Slavery Act 2015</w:t>
            </w:r>
          </w:p>
          <w:p w14:paraId="437FF42E" w14:textId="77777777" w:rsidR="000C3D67" w:rsidRPr="00D05A8B" w:rsidRDefault="000C3D67" w:rsidP="00513BAD">
            <w:pPr>
              <w:spacing w:before="240" w:line="276" w:lineRule="auto"/>
              <w:rPr>
                <w:rFonts w:ascii="Arial" w:hAnsi="Arial" w:cs="Arial"/>
                <w:b/>
              </w:rPr>
            </w:pPr>
          </w:p>
        </w:tc>
        <w:tc>
          <w:tcPr>
            <w:tcW w:w="6157" w:type="dxa"/>
          </w:tcPr>
          <w:p w14:paraId="1EC75703" w14:textId="77777777" w:rsidR="000C3D67" w:rsidRDefault="000C3D67" w:rsidP="00513BAD">
            <w:pPr>
              <w:spacing w:before="240" w:line="276" w:lineRule="auto"/>
              <w:jc w:val="both"/>
              <w:rPr>
                <w:rFonts w:ascii="Arial" w:hAnsi="Arial" w:cs="Arial"/>
              </w:rPr>
            </w:pPr>
            <w:r w:rsidRPr="004060B5">
              <w:rPr>
                <w:rFonts w:ascii="Arial" w:hAnsi="Arial" w:cs="Arial"/>
                <w:b/>
              </w:rPr>
              <w:t>The section will be scored on a pass or fail basis</w:t>
            </w:r>
          </w:p>
          <w:p w14:paraId="4D20EFFC" w14:textId="2F97842E" w:rsidR="000C3D67" w:rsidRPr="00D05A8B" w:rsidRDefault="000C3D67" w:rsidP="007A081C">
            <w:pPr>
              <w:spacing w:before="240" w:line="276" w:lineRule="auto"/>
              <w:jc w:val="both"/>
              <w:rPr>
                <w:rFonts w:ascii="Arial" w:hAnsi="Arial" w:cs="Arial"/>
              </w:rPr>
            </w:pPr>
            <w:r w:rsidRPr="00D05A8B">
              <w:rPr>
                <w:rFonts w:ascii="Arial" w:hAnsi="Arial" w:cs="Arial"/>
              </w:rPr>
              <w:t>If you a</w:t>
            </w:r>
            <w:r>
              <w:rPr>
                <w:rFonts w:ascii="Arial" w:hAnsi="Arial" w:cs="Arial"/>
              </w:rPr>
              <w:t>re a</w:t>
            </w:r>
            <w:r w:rsidRPr="00D05A8B">
              <w:rPr>
                <w:rFonts w:ascii="Arial" w:hAnsi="Arial" w:cs="Arial"/>
              </w:rPr>
              <w:t xml:space="preserve"> relevant commercial organisation as defined by section 54 ("Transparency in supply chains etc.") of the Modern Slavery Act 2015 ("the Act") </w:t>
            </w:r>
            <w:r>
              <w:rPr>
                <w:rFonts w:ascii="Arial" w:hAnsi="Arial" w:cs="Arial"/>
              </w:rPr>
              <w:t>t</w:t>
            </w:r>
            <w:r w:rsidRPr="00D05A8B">
              <w:rPr>
                <w:rFonts w:ascii="Arial" w:hAnsi="Arial" w:cs="Arial"/>
              </w:rPr>
              <w:t xml:space="preserve">he Contracting Authority reserves the right to </w:t>
            </w:r>
            <w:proofErr w:type="gramStart"/>
            <w:r w:rsidRPr="00D05A8B">
              <w:rPr>
                <w:rFonts w:ascii="Arial" w:hAnsi="Arial" w:cs="Arial"/>
              </w:rPr>
              <w:t>fail</w:t>
            </w:r>
            <w:proofErr w:type="gramEnd"/>
            <w:r w:rsidRPr="00D05A8B">
              <w:rPr>
                <w:rFonts w:ascii="Arial" w:hAnsi="Arial" w:cs="Arial"/>
              </w:rPr>
              <w:t xml:space="preserve"> </w:t>
            </w:r>
            <w:r>
              <w:rPr>
                <w:rFonts w:ascii="Arial" w:hAnsi="Arial" w:cs="Arial"/>
              </w:rPr>
              <w:t>your Tender submission</w:t>
            </w:r>
            <w:r w:rsidRPr="00D05A8B">
              <w:rPr>
                <w:rFonts w:ascii="Arial" w:hAnsi="Arial" w:cs="Arial"/>
              </w:rPr>
              <w:t xml:space="preserve"> if </w:t>
            </w:r>
            <w:r>
              <w:rPr>
                <w:rFonts w:ascii="Arial" w:hAnsi="Arial" w:cs="Arial"/>
              </w:rPr>
              <w:t>you</w:t>
            </w:r>
            <w:r w:rsidRPr="00D05A8B">
              <w:rPr>
                <w:rFonts w:ascii="Arial" w:hAnsi="Arial" w:cs="Arial"/>
              </w:rPr>
              <w:t xml:space="preserve"> cannot provide the required evidence</w:t>
            </w:r>
            <w:r>
              <w:rPr>
                <w:rFonts w:ascii="Arial" w:hAnsi="Arial" w:cs="Arial"/>
              </w:rPr>
              <w:t xml:space="preserve"> required in 7.2</w:t>
            </w:r>
            <w:r w:rsidRPr="00D05A8B">
              <w:rPr>
                <w:rFonts w:ascii="Arial" w:hAnsi="Arial" w:cs="Arial"/>
              </w:rPr>
              <w:t>.</w:t>
            </w:r>
          </w:p>
        </w:tc>
      </w:tr>
      <w:tr w:rsidR="000C3D67" w:rsidRPr="00D05A8B" w14:paraId="349C35C2" w14:textId="77777777" w:rsidTr="00513BAD">
        <w:tc>
          <w:tcPr>
            <w:tcW w:w="3321" w:type="dxa"/>
          </w:tcPr>
          <w:p w14:paraId="3223A03B" w14:textId="77777777" w:rsidR="000C3D67" w:rsidRDefault="000C3D67" w:rsidP="00513BAD">
            <w:pPr>
              <w:spacing w:before="240" w:line="276" w:lineRule="auto"/>
              <w:rPr>
                <w:rFonts w:ascii="Arial" w:hAnsi="Arial" w:cs="Arial"/>
                <w:b/>
              </w:rPr>
            </w:pPr>
            <w:r w:rsidRPr="00D05A8B">
              <w:rPr>
                <w:rFonts w:ascii="Arial" w:hAnsi="Arial" w:cs="Arial"/>
                <w:b/>
              </w:rPr>
              <w:t xml:space="preserve">Section 8 </w:t>
            </w:r>
          </w:p>
          <w:p w14:paraId="1BC6BFD1" w14:textId="77777777" w:rsidR="000C3D67" w:rsidRPr="00CA3EB2" w:rsidRDefault="000C3D67" w:rsidP="00513BAD">
            <w:pPr>
              <w:spacing w:before="240" w:line="276" w:lineRule="auto"/>
              <w:rPr>
                <w:rFonts w:ascii="Arial" w:hAnsi="Arial" w:cs="Arial"/>
              </w:rPr>
            </w:pPr>
            <w:r w:rsidRPr="00CA3EB2">
              <w:rPr>
                <w:rFonts w:ascii="Arial" w:hAnsi="Arial" w:cs="Arial"/>
              </w:rPr>
              <w:t>Additional Questions</w:t>
            </w:r>
          </w:p>
          <w:p w14:paraId="32B97A3C" w14:textId="77777777" w:rsidR="000C3D67" w:rsidRPr="00D05A8B" w:rsidRDefault="000C3D67" w:rsidP="00513BAD">
            <w:pPr>
              <w:spacing w:before="240" w:line="276" w:lineRule="auto"/>
              <w:rPr>
                <w:rFonts w:ascii="Arial" w:hAnsi="Arial" w:cs="Arial"/>
              </w:rPr>
            </w:pPr>
          </w:p>
          <w:p w14:paraId="10932A50" w14:textId="77777777" w:rsidR="000C3D67" w:rsidRPr="00D05A8B" w:rsidRDefault="000C3D67" w:rsidP="00513BAD">
            <w:pPr>
              <w:spacing w:before="240" w:line="276" w:lineRule="auto"/>
              <w:rPr>
                <w:rFonts w:ascii="Arial" w:hAnsi="Arial" w:cs="Arial"/>
              </w:rPr>
            </w:pPr>
          </w:p>
        </w:tc>
        <w:tc>
          <w:tcPr>
            <w:tcW w:w="6157" w:type="dxa"/>
          </w:tcPr>
          <w:p w14:paraId="78CB02B8" w14:textId="77777777" w:rsidR="000C3D67" w:rsidRPr="00D05A8B" w:rsidRDefault="000C3D67" w:rsidP="00513BAD">
            <w:pPr>
              <w:tabs>
                <w:tab w:val="left" w:pos="3583"/>
              </w:tabs>
              <w:spacing w:before="240" w:line="276" w:lineRule="auto"/>
              <w:jc w:val="both"/>
              <w:rPr>
                <w:rFonts w:ascii="Arial" w:hAnsi="Arial" w:cs="Arial"/>
                <w:b/>
              </w:rPr>
            </w:pPr>
            <w:r w:rsidRPr="00D05A8B">
              <w:rPr>
                <w:rFonts w:ascii="Arial" w:hAnsi="Arial" w:cs="Arial"/>
                <w:b/>
              </w:rPr>
              <w:t xml:space="preserve">NOTE TO </w:t>
            </w:r>
            <w:r>
              <w:rPr>
                <w:rFonts w:ascii="Arial" w:hAnsi="Arial" w:cs="Arial"/>
                <w:b/>
              </w:rPr>
              <w:t>TENDERERS</w:t>
            </w:r>
          </w:p>
          <w:p w14:paraId="1F344DDF" w14:textId="77777777" w:rsidR="000C3D67" w:rsidRPr="00D05A8B" w:rsidRDefault="000C3D67" w:rsidP="00513BAD">
            <w:pPr>
              <w:spacing w:before="240" w:line="276" w:lineRule="auto"/>
              <w:rPr>
                <w:rFonts w:ascii="Arial" w:hAnsi="Arial" w:cs="Arial"/>
              </w:rPr>
            </w:pPr>
            <w:r>
              <w:rPr>
                <w:rFonts w:ascii="Arial" w:hAnsi="Arial" w:cs="Arial"/>
              </w:rPr>
              <w:t xml:space="preserve">Tenderers </w:t>
            </w:r>
            <w:r w:rsidRPr="00D05A8B">
              <w:rPr>
                <w:rFonts w:ascii="Arial" w:hAnsi="Arial" w:cs="Arial"/>
              </w:rPr>
              <w:t xml:space="preserve">who self-certify that they meet the requirements for the additional modules detailed below will be required to provide evidence of this if they are successful at </w:t>
            </w:r>
            <w:r>
              <w:rPr>
                <w:rFonts w:ascii="Arial" w:hAnsi="Arial" w:cs="Arial"/>
              </w:rPr>
              <w:t>C</w:t>
            </w:r>
            <w:r w:rsidRPr="00D05A8B">
              <w:rPr>
                <w:rFonts w:ascii="Arial" w:hAnsi="Arial" w:cs="Arial"/>
              </w:rPr>
              <w:t xml:space="preserve">ontract award stage. In the case of failure to provide necessary evidence, the Contracting Authority reserves the right to amend the </w:t>
            </w:r>
            <w:r>
              <w:rPr>
                <w:rFonts w:ascii="Arial" w:hAnsi="Arial" w:cs="Arial"/>
              </w:rPr>
              <w:t>C</w:t>
            </w:r>
            <w:r w:rsidRPr="00D05A8B">
              <w:rPr>
                <w:rFonts w:ascii="Arial" w:hAnsi="Arial" w:cs="Arial"/>
              </w:rPr>
              <w:t xml:space="preserve">ontract award decision and award to the next compliant </w:t>
            </w:r>
            <w:r>
              <w:rPr>
                <w:rFonts w:ascii="Arial" w:hAnsi="Arial" w:cs="Arial"/>
              </w:rPr>
              <w:t>tenderer</w:t>
            </w:r>
            <w:r w:rsidRPr="00D05A8B">
              <w:rPr>
                <w:rFonts w:ascii="Arial" w:hAnsi="Arial" w:cs="Arial"/>
              </w:rPr>
              <w:t>.</w:t>
            </w:r>
          </w:p>
        </w:tc>
      </w:tr>
      <w:tr w:rsidR="000C3D67" w:rsidRPr="00D05A8B" w14:paraId="0E3A9299" w14:textId="77777777" w:rsidTr="00513BAD">
        <w:tc>
          <w:tcPr>
            <w:tcW w:w="3321" w:type="dxa"/>
          </w:tcPr>
          <w:p w14:paraId="67C733D5" w14:textId="77777777" w:rsidR="000C3D67" w:rsidRPr="00D05A8B" w:rsidRDefault="000C3D67" w:rsidP="00513BAD">
            <w:pPr>
              <w:spacing w:before="240" w:line="276" w:lineRule="auto"/>
              <w:rPr>
                <w:rFonts w:ascii="Arial" w:hAnsi="Arial" w:cs="Arial"/>
                <w:b/>
              </w:rPr>
            </w:pPr>
            <w:r>
              <w:rPr>
                <w:rFonts w:ascii="Arial" w:hAnsi="Arial" w:cs="Arial"/>
                <w:b/>
              </w:rPr>
              <w:t xml:space="preserve"> </w:t>
            </w:r>
            <w:r w:rsidRPr="00D05A8B">
              <w:rPr>
                <w:rFonts w:ascii="Arial" w:hAnsi="Arial" w:cs="Arial"/>
                <w:b/>
              </w:rPr>
              <w:t xml:space="preserve">8.1 </w:t>
            </w:r>
          </w:p>
          <w:p w14:paraId="601C62D8" w14:textId="77777777" w:rsidR="000C3D67" w:rsidRPr="00D05A8B" w:rsidRDefault="000C3D67" w:rsidP="00513BAD">
            <w:pPr>
              <w:spacing w:before="240" w:line="276" w:lineRule="auto"/>
              <w:rPr>
                <w:rFonts w:ascii="Arial" w:hAnsi="Arial" w:cs="Arial"/>
                <w:b/>
              </w:rPr>
            </w:pPr>
            <w:r w:rsidRPr="00D05A8B">
              <w:rPr>
                <w:rFonts w:ascii="Arial" w:hAnsi="Arial" w:cs="Arial"/>
              </w:rPr>
              <w:t>Insurance</w:t>
            </w:r>
          </w:p>
          <w:p w14:paraId="3C08EAF6" w14:textId="77777777" w:rsidR="000C3D67" w:rsidRPr="00D05A8B" w:rsidRDefault="000C3D67" w:rsidP="00513BAD">
            <w:pPr>
              <w:spacing w:before="240" w:line="276" w:lineRule="auto"/>
              <w:rPr>
                <w:rFonts w:ascii="Arial" w:hAnsi="Arial" w:cs="Arial"/>
              </w:rPr>
            </w:pPr>
          </w:p>
          <w:p w14:paraId="3D2AA7D3" w14:textId="77777777" w:rsidR="000C3D67" w:rsidRPr="00D05A8B" w:rsidRDefault="000C3D67" w:rsidP="00513BAD">
            <w:pPr>
              <w:spacing w:before="240" w:line="276" w:lineRule="auto"/>
              <w:rPr>
                <w:rFonts w:ascii="Arial" w:hAnsi="Arial" w:cs="Arial"/>
              </w:rPr>
            </w:pPr>
          </w:p>
        </w:tc>
        <w:tc>
          <w:tcPr>
            <w:tcW w:w="6157" w:type="dxa"/>
          </w:tcPr>
          <w:p w14:paraId="287515EE" w14:textId="77777777" w:rsidR="000C3D67" w:rsidRPr="004060B5" w:rsidRDefault="000C3D67" w:rsidP="00513BAD">
            <w:pPr>
              <w:spacing w:before="240" w:line="276" w:lineRule="auto"/>
              <w:jc w:val="both"/>
              <w:rPr>
                <w:rFonts w:ascii="Arial" w:hAnsi="Arial" w:cs="Arial"/>
                <w:b/>
              </w:rPr>
            </w:pPr>
            <w:r w:rsidRPr="004060B5">
              <w:rPr>
                <w:rFonts w:ascii="Arial" w:hAnsi="Arial" w:cs="Arial"/>
                <w:b/>
              </w:rPr>
              <w:t>Suppliers are required to self-certify these statements.</w:t>
            </w:r>
          </w:p>
          <w:p w14:paraId="2ED721DB" w14:textId="77777777" w:rsidR="000C3D67" w:rsidRPr="00D05A8B" w:rsidRDefault="000C3D67" w:rsidP="00513BAD">
            <w:pPr>
              <w:spacing w:before="240" w:line="276" w:lineRule="auto"/>
              <w:jc w:val="both"/>
              <w:rPr>
                <w:rFonts w:ascii="Arial" w:hAnsi="Arial" w:cs="Arial"/>
              </w:rPr>
            </w:pPr>
            <w:r w:rsidRPr="00D05A8B">
              <w:rPr>
                <w:rFonts w:ascii="Arial" w:hAnsi="Arial" w:cs="Arial"/>
              </w:rPr>
              <w:t>If a</w:t>
            </w:r>
            <w:r>
              <w:rPr>
                <w:rFonts w:ascii="Arial" w:hAnsi="Arial" w:cs="Arial"/>
              </w:rPr>
              <w:t xml:space="preserve"> Tenderer</w:t>
            </w:r>
            <w:r w:rsidRPr="00D05A8B">
              <w:rPr>
                <w:rFonts w:ascii="Arial" w:hAnsi="Arial" w:cs="Arial"/>
              </w:rPr>
              <w:t xml:space="preserve"> cannot </w:t>
            </w:r>
            <w:r>
              <w:rPr>
                <w:rFonts w:ascii="Arial" w:hAnsi="Arial" w:cs="Arial"/>
              </w:rPr>
              <w:t>self-</w:t>
            </w:r>
            <w:r w:rsidRPr="00D05A8B">
              <w:rPr>
                <w:rFonts w:ascii="Arial" w:hAnsi="Arial" w:cs="Arial"/>
              </w:rPr>
              <w:t xml:space="preserve">certify compliance the Contracting Authority reserves the right to disqualify the </w:t>
            </w:r>
            <w:r>
              <w:rPr>
                <w:rFonts w:ascii="Arial" w:hAnsi="Arial" w:cs="Arial"/>
              </w:rPr>
              <w:t>Tenderer</w:t>
            </w:r>
            <w:r w:rsidRPr="00D05A8B">
              <w:rPr>
                <w:rFonts w:ascii="Arial" w:hAnsi="Arial" w:cs="Arial"/>
              </w:rPr>
              <w:t xml:space="preserve"> from the</w:t>
            </w:r>
            <w:r>
              <w:rPr>
                <w:rFonts w:ascii="Arial" w:hAnsi="Arial" w:cs="Arial"/>
              </w:rPr>
              <w:t xml:space="preserve"> procurement</w:t>
            </w:r>
            <w:r w:rsidRPr="00D05A8B">
              <w:rPr>
                <w:rFonts w:ascii="Arial" w:hAnsi="Arial" w:cs="Arial"/>
              </w:rPr>
              <w:t xml:space="preserve"> process at this point in the evaluation.</w:t>
            </w:r>
          </w:p>
        </w:tc>
      </w:tr>
      <w:tr w:rsidR="000C3D67" w:rsidRPr="00D05A8B" w14:paraId="622795E3" w14:textId="77777777" w:rsidTr="00513BAD">
        <w:tc>
          <w:tcPr>
            <w:tcW w:w="3321" w:type="dxa"/>
          </w:tcPr>
          <w:p w14:paraId="7816A85B" w14:textId="77777777" w:rsidR="000C3D67" w:rsidRPr="000C3D67" w:rsidRDefault="000C3D67" w:rsidP="00513BAD">
            <w:pPr>
              <w:spacing w:before="240" w:line="276" w:lineRule="auto"/>
              <w:rPr>
                <w:rFonts w:ascii="Arial" w:hAnsi="Arial" w:cs="Arial"/>
                <w:b/>
              </w:rPr>
            </w:pPr>
            <w:r w:rsidRPr="000C3D67">
              <w:rPr>
                <w:rFonts w:ascii="Arial" w:hAnsi="Arial" w:cs="Arial"/>
                <w:b/>
              </w:rPr>
              <w:t xml:space="preserve">8.2 </w:t>
            </w:r>
          </w:p>
          <w:p w14:paraId="1845B4C8" w14:textId="77777777" w:rsidR="000C3D67" w:rsidRPr="000C3D67" w:rsidRDefault="000C3D67" w:rsidP="00513BAD">
            <w:pPr>
              <w:spacing w:before="240" w:line="276" w:lineRule="auto"/>
              <w:rPr>
                <w:rFonts w:ascii="Arial" w:hAnsi="Arial" w:cs="Arial"/>
              </w:rPr>
            </w:pPr>
            <w:r w:rsidRPr="000C3D67">
              <w:rPr>
                <w:rFonts w:ascii="Arial" w:hAnsi="Arial" w:cs="Arial"/>
              </w:rPr>
              <w:t xml:space="preserve">Environmental Management </w:t>
            </w:r>
          </w:p>
        </w:tc>
        <w:tc>
          <w:tcPr>
            <w:tcW w:w="6157" w:type="dxa"/>
          </w:tcPr>
          <w:p w14:paraId="45350ABD" w14:textId="77777777" w:rsidR="000C3D67" w:rsidRPr="000459F4" w:rsidRDefault="000C3D67" w:rsidP="00513BAD">
            <w:pPr>
              <w:spacing w:before="240" w:line="276" w:lineRule="auto"/>
              <w:jc w:val="both"/>
              <w:rPr>
                <w:rFonts w:ascii="Arial" w:hAnsi="Arial" w:cs="Arial"/>
              </w:rPr>
            </w:pPr>
            <w:r w:rsidRPr="000459F4">
              <w:rPr>
                <w:rFonts w:ascii="Arial" w:hAnsi="Arial" w:cs="Arial"/>
                <w:b/>
              </w:rPr>
              <w:t>This Section will be scored on a pass/fail basis</w:t>
            </w:r>
            <w:r w:rsidRPr="000459F4">
              <w:rPr>
                <w:rFonts w:ascii="Arial" w:hAnsi="Arial" w:cs="Arial"/>
              </w:rPr>
              <w:t>.</w:t>
            </w:r>
          </w:p>
          <w:p w14:paraId="1EE9C356" w14:textId="77777777" w:rsidR="000C3D67" w:rsidRPr="000459F4" w:rsidRDefault="000C3D67" w:rsidP="00513BAD">
            <w:pPr>
              <w:spacing w:before="240" w:line="276" w:lineRule="auto"/>
              <w:jc w:val="both"/>
              <w:rPr>
                <w:rFonts w:ascii="Arial" w:hAnsi="Arial" w:cs="Arial"/>
              </w:rPr>
            </w:pPr>
            <w:r w:rsidRPr="000459F4">
              <w:rPr>
                <w:rFonts w:ascii="Arial" w:hAnsi="Arial" w:cs="Arial"/>
                <w:b/>
              </w:rPr>
              <w:t>PASS</w:t>
            </w:r>
            <w:r w:rsidRPr="000459F4">
              <w:rPr>
                <w:rFonts w:ascii="Arial" w:hAnsi="Arial" w:cs="Arial"/>
              </w:rPr>
              <w:t xml:space="preserve"> – The Tenderer confirms they and any sub-contractors (if used) have not been convicted of breaching environmental legislation and have not had notice served in the last three (3) years by an environmental regulator or authority or if convicted has outlined the remedial actions taken subsequently, which the Contracting Authority deems sufficient.</w:t>
            </w:r>
          </w:p>
          <w:p w14:paraId="08F78972" w14:textId="77777777" w:rsidR="000C3D67" w:rsidRPr="000459F4" w:rsidRDefault="000C3D67" w:rsidP="00513BAD">
            <w:pPr>
              <w:spacing w:before="240" w:line="276" w:lineRule="auto"/>
              <w:jc w:val="both"/>
              <w:rPr>
                <w:rFonts w:ascii="Arial" w:hAnsi="Arial" w:cs="Arial"/>
              </w:rPr>
            </w:pPr>
            <w:r w:rsidRPr="000459F4">
              <w:rPr>
                <w:rFonts w:ascii="Arial" w:hAnsi="Arial" w:cs="Arial"/>
                <w:b/>
              </w:rPr>
              <w:t>FAIL</w:t>
            </w:r>
            <w:r w:rsidRPr="000459F4">
              <w:rPr>
                <w:rFonts w:ascii="Arial" w:hAnsi="Arial" w:cs="Arial"/>
              </w:rPr>
              <w:t xml:space="preserve"> – The Tenderer confirms that they and / or any sub-contractors (if used) have been convicted of breaching environmental legislation or had notice served in the last three (3) years and has not outlined the remedial actions taken subsequently or has outlined remedial actions taken </w:t>
            </w:r>
            <w:r w:rsidRPr="000459F4">
              <w:rPr>
                <w:rFonts w:ascii="Arial" w:hAnsi="Arial" w:cs="Arial"/>
              </w:rPr>
              <w:lastRenderedPageBreak/>
              <w:t>which the Contracting Authority does not deem sufficient.</w:t>
            </w:r>
          </w:p>
          <w:p w14:paraId="1B608DAB" w14:textId="77777777" w:rsidR="000C3D67" w:rsidRPr="000459F4" w:rsidRDefault="000C3D67" w:rsidP="00513BAD">
            <w:pPr>
              <w:spacing w:line="276" w:lineRule="auto"/>
              <w:jc w:val="both"/>
              <w:rPr>
                <w:rFonts w:ascii="Arial" w:hAnsi="Arial" w:cs="Arial"/>
              </w:rPr>
            </w:pPr>
          </w:p>
        </w:tc>
      </w:tr>
      <w:tr w:rsidR="000C3D67" w:rsidRPr="00D05A8B" w14:paraId="44A9AF6C" w14:textId="77777777" w:rsidTr="00513BAD">
        <w:tc>
          <w:tcPr>
            <w:tcW w:w="3321" w:type="dxa"/>
          </w:tcPr>
          <w:p w14:paraId="23AE0B38" w14:textId="77777777" w:rsidR="000C3D67" w:rsidRPr="000C3D67" w:rsidRDefault="000C3D67" w:rsidP="00513BAD">
            <w:pPr>
              <w:spacing w:before="240" w:line="276" w:lineRule="auto"/>
              <w:rPr>
                <w:rFonts w:ascii="Arial" w:hAnsi="Arial" w:cs="Arial"/>
                <w:b/>
              </w:rPr>
            </w:pPr>
            <w:r w:rsidRPr="000C3D67">
              <w:rPr>
                <w:rFonts w:ascii="Arial" w:hAnsi="Arial" w:cs="Arial"/>
                <w:b/>
              </w:rPr>
              <w:lastRenderedPageBreak/>
              <w:t xml:space="preserve">8.3 </w:t>
            </w:r>
          </w:p>
          <w:p w14:paraId="66F13071" w14:textId="77777777" w:rsidR="000C3D67" w:rsidRPr="000C3D67" w:rsidRDefault="000C3D67" w:rsidP="00513BAD">
            <w:pPr>
              <w:spacing w:before="240" w:line="276" w:lineRule="auto"/>
              <w:rPr>
                <w:rFonts w:ascii="Arial" w:hAnsi="Arial" w:cs="Arial"/>
              </w:rPr>
            </w:pPr>
            <w:r w:rsidRPr="000C3D67">
              <w:rPr>
                <w:rFonts w:ascii="Arial" w:hAnsi="Arial" w:cs="Arial"/>
              </w:rPr>
              <w:t>Compliance with Equality Legislation</w:t>
            </w:r>
          </w:p>
        </w:tc>
        <w:tc>
          <w:tcPr>
            <w:tcW w:w="6157" w:type="dxa"/>
          </w:tcPr>
          <w:p w14:paraId="4DDC5BBB" w14:textId="77777777" w:rsidR="000C3D67" w:rsidRPr="00086E2D" w:rsidRDefault="000C3D67" w:rsidP="00513BAD">
            <w:pPr>
              <w:spacing w:before="240" w:line="276" w:lineRule="auto"/>
              <w:jc w:val="both"/>
              <w:rPr>
                <w:rFonts w:ascii="Arial" w:hAnsi="Arial" w:cs="Arial"/>
                <w:b/>
              </w:rPr>
            </w:pPr>
            <w:r w:rsidRPr="00086E2D">
              <w:rPr>
                <w:rFonts w:ascii="Arial" w:hAnsi="Arial" w:cs="Arial"/>
                <w:b/>
              </w:rPr>
              <w:t>This section will be scored on a pass/fail basis.</w:t>
            </w:r>
          </w:p>
          <w:p w14:paraId="19B7F85E" w14:textId="77777777" w:rsidR="000C3D67" w:rsidRPr="00D05A8B" w:rsidRDefault="000C3D67" w:rsidP="00513BAD">
            <w:pPr>
              <w:spacing w:before="240" w:line="276" w:lineRule="auto"/>
              <w:jc w:val="both"/>
              <w:rPr>
                <w:rFonts w:ascii="Arial" w:hAnsi="Arial" w:cs="Arial"/>
              </w:rPr>
            </w:pPr>
            <w:r w:rsidRPr="00086E2D">
              <w:rPr>
                <w:rFonts w:ascii="Arial" w:hAnsi="Arial" w:cs="Arial"/>
                <w:b/>
              </w:rPr>
              <w:t>PASS</w:t>
            </w:r>
            <w:r w:rsidRPr="00D05A8B">
              <w:rPr>
                <w:rFonts w:ascii="Arial" w:hAnsi="Arial" w:cs="Arial"/>
              </w:rPr>
              <w:t xml:space="preserve"> – The </w:t>
            </w:r>
            <w:r>
              <w:rPr>
                <w:rFonts w:ascii="Arial" w:hAnsi="Arial" w:cs="Arial"/>
              </w:rPr>
              <w:t>Tenderer</w:t>
            </w:r>
            <w:r w:rsidRPr="00D05A8B">
              <w:rPr>
                <w:rFonts w:ascii="Arial" w:hAnsi="Arial" w:cs="Arial"/>
              </w:rPr>
              <w:t xml:space="preserve"> confirms that in the last three </w:t>
            </w:r>
            <w:r>
              <w:rPr>
                <w:rFonts w:ascii="Arial" w:hAnsi="Arial" w:cs="Arial"/>
              </w:rPr>
              <w:t xml:space="preserve">(3) </w:t>
            </w:r>
            <w:r w:rsidRPr="00D05A8B">
              <w:rPr>
                <w:rFonts w:ascii="Arial" w:hAnsi="Arial" w:cs="Arial"/>
              </w:rPr>
              <w:t xml:space="preserve">years it has not had a complaint upheld following an investigation by the Equality and Human Rights Commission </w:t>
            </w:r>
            <w:r>
              <w:rPr>
                <w:rFonts w:ascii="Arial" w:hAnsi="Arial" w:cs="Arial"/>
              </w:rPr>
              <w:t xml:space="preserve">or equivalent in any other country </w:t>
            </w:r>
            <w:r w:rsidRPr="00D05A8B">
              <w:rPr>
                <w:rFonts w:ascii="Arial" w:hAnsi="Arial" w:cs="Arial"/>
              </w:rPr>
              <w:t xml:space="preserve">or if unable to do this, can demonstrate to the </w:t>
            </w:r>
            <w:r>
              <w:rPr>
                <w:rFonts w:ascii="Arial" w:hAnsi="Arial" w:cs="Arial"/>
              </w:rPr>
              <w:t xml:space="preserve">Contracting </w:t>
            </w:r>
            <w:r w:rsidRPr="00D05A8B">
              <w:rPr>
                <w:rFonts w:ascii="Arial" w:hAnsi="Arial" w:cs="Arial"/>
              </w:rPr>
              <w:t xml:space="preserve">Authority’s satisfaction that appropriate remedial action has been taken to prevent unlawful discrimination in the future. </w:t>
            </w:r>
          </w:p>
          <w:p w14:paraId="41BFE30C" w14:textId="77777777" w:rsidR="000C3D67" w:rsidRPr="00D05A8B" w:rsidRDefault="000C3D67" w:rsidP="00513BAD">
            <w:pPr>
              <w:spacing w:before="240" w:line="276" w:lineRule="auto"/>
              <w:jc w:val="both"/>
              <w:rPr>
                <w:rFonts w:ascii="Arial" w:hAnsi="Arial" w:cs="Arial"/>
              </w:rPr>
            </w:pPr>
            <w:r w:rsidRPr="00086E2D">
              <w:rPr>
                <w:rFonts w:ascii="Arial" w:hAnsi="Arial" w:cs="Arial"/>
                <w:b/>
              </w:rPr>
              <w:t>FAIL</w:t>
            </w:r>
            <w:r w:rsidRPr="00D05A8B">
              <w:rPr>
                <w:rFonts w:ascii="Arial" w:hAnsi="Arial" w:cs="Arial"/>
              </w:rPr>
              <w:t xml:space="preserve"> – In the last three years the</w:t>
            </w:r>
            <w:r>
              <w:rPr>
                <w:rFonts w:ascii="Arial" w:hAnsi="Arial" w:cs="Arial"/>
              </w:rPr>
              <w:t xml:space="preserve"> Tenderer</w:t>
            </w:r>
            <w:r w:rsidRPr="00D05A8B">
              <w:rPr>
                <w:rFonts w:ascii="Arial" w:hAnsi="Arial" w:cs="Arial"/>
              </w:rPr>
              <w:t xml:space="preserve"> has had a complaint upheld following an investigation by the Equality and Human Rights Commission</w:t>
            </w:r>
            <w:r>
              <w:rPr>
                <w:rFonts w:ascii="Arial" w:hAnsi="Arial" w:cs="Arial"/>
              </w:rPr>
              <w:t xml:space="preserve"> or equivalent in any other country</w:t>
            </w:r>
            <w:r w:rsidRPr="00D05A8B">
              <w:rPr>
                <w:rFonts w:ascii="Arial" w:hAnsi="Arial" w:cs="Arial"/>
              </w:rPr>
              <w:t xml:space="preserve"> and is unable to demonstrate to the </w:t>
            </w:r>
            <w:r>
              <w:rPr>
                <w:rFonts w:ascii="Arial" w:hAnsi="Arial" w:cs="Arial"/>
              </w:rPr>
              <w:t xml:space="preserve">Contracting </w:t>
            </w:r>
            <w:r w:rsidRPr="00D05A8B">
              <w:rPr>
                <w:rFonts w:ascii="Arial" w:hAnsi="Arial" w:cs="Arial"/>
              </w:rPr>
              <w:t xml:space="preserve">Authority’s satisfaction that appropriate remedial action has been taken to prevent unlawful discrimination in the future. </w:t>
            </w:r>
          </w:p>
          <w:p w14:paraId="79762656" w14:textId="77777777" w:rsidR="000C3D67" w:rsidRPr="00D05A8B" w:rsidRDefault="000C3D67" w:rsidP="00513BAD">
            <w:pPr>
              <w:spacing w:line="276" w:lineRule="auto"/>
              <w:rPr>
                <w:rFonts w:ascii="Arial" w:hAnsi="Arial" w:cs="Arial"/>
              </w:rPr>
            </w:pPr>
            <w:r w:rsidRPr="00D05A8B">
              <w:rPr>
                <w:rFonts w:ascii="Arial" w:hAnsi="Arial" w:cs="Arial"/>
              </w:rPr>
              <w:t xml:space="preserve">   </w:t>
            </w:r>
          </w:p>
        </w:tc>
      </w:tr>
      <w:tr w:rsidR="000C3D67" w:rsidRPr="00D05A8B" w14:paraId="63329180" w14:textId="77777777" w:rsidTr="00513BAD">
        <w:tc>
          <w:tcPr>
            <w:tcW w:w="3321" w:type="dxa"/>
          </w:tcPr>
          <w:p w14:paraId="1DCE1D8F" w14:textId="77777777" w:rsidR="000C3D67" w:rsidRPr="00D05A8B" w:rsidRDefault="000C3D67" w:rsidP="00513BAD">
            <w:pPr>
              <w:spacing w:before="240" w:line="276" w:lineRule="auto"/>
              <w:rPr>
                <w:rFonts w:ascii="Arial" w:hAnsi="Arial" w:cs="Arial"/>
                <w:b/>
              </w:rPr>
            </w:pPr>
            <w:r>
              <w:rPr>
                <w:rFonts w:ascii="Arial" w:hAnsi="Arial" w:cs="Arial"/>
                <w:b/>
              </w:rPr>
              <w:t>8.4</w:t>
            </w:r>
          </w:p>
          <w:p w14:paraId="0750C255" w14:textId="2B3B9C38" w:rsidR="000C3D67" w:rsidRPr="00D05A8B" w:rsidRDefault="000C3D67" w:rsidP="00513BAD">
            <w:pPr>
              <w:spacing w:before="240" w:line="276" w:lineRule="auto"/>
              <w:rPr>
                <w:rFonts w:ascii="Arial" w:hAnsi="Arial" w:cs="Arial"/>
              </w:rPr>
            </w:pPr>
            <w:r w:rsidRPr="00C85ECE">
              <w:rPr>
                <w:rFonts w:ascii="Arial" w:hAnsi="Arial" w:cs="Arial"/>
              </w:rPr>
              <w:t xml:space="preserve">Health and Safety </w:t>
            </w:r>
          </w:p>
          <w:p w14:paraId="403BE004" w14:textId="77777777" w:rsidR="000C3D67" w:rsidRPr="00D05A8B" w:rsidRDefault="000C3D67" w:rsidP="00513BAD">
            <w:pPr>
              <w:spacing w:before="240" w:line="276" w:lineRule="auto"/>
              <w:rPr>
                <w:rFonts w:ascii="Arial" w:hAnsi="Arial" w:cs="Arial"/>
              </w:rPr>
            </w:pPr>
          </w:p>
        </w:tc>
        <w:tc>
          <w:tcPr>
            <w:tcW w:w="6157" w:type="dxa"/>
          </w:tcPr>
          <w:p w14:paraId="32A8AE2A" w14:textId="77777777" w:rsidR="000C3D67" w:rsidRPr="00D05A8B" w:rsidRDefault="000C3D67" w:rsidP="00513BAD">
            <w:pPr>
              <w:spacing w:before="240" w:line="276" w:lineRule="auto"/>
              <w:jc w:val="both"/>
              <w:rPr>
                <w:rFonts w:ascii="Arial" w:hAnsi="Arial" w:cs="Arial"/>
              </w:rPr>
            </w:pPr>
            <w:r w:rsidRPr="00D05A8B">
              <w:rPr>
                <w:rFonts w:ascii="Arial" w:hAnsi="Arial" w:cs="Arial"/>
              </w:rPr>
              <w:t xml:space="preserve">This Health and Safety question is to be scored on a pass/fail basis depending upon </w:t>
            </w:r>
            <w:r>
              <w:rPr>
                <w:rFonts w:ascii="Arial" w:hAnsi="Arial" w:cs="Arial"/>
              </w:rPr>
              <w:t xml:space="preserve">the Tenderer’s </w:t>
            </w:r>
            <w:r w:rsidRPr="00D05A8B">
              <w:rPr>
                <w:rFonts w:ascii="Arial" w:hAnsi="Arial" w:cs="Arial"/>
              </w:rPr>
              <w:t xml:space="preserve">ability to demonstrate </w:t>
            </w:r>
            <w:r>
              <w:rPr>
                <w:rFonts w:ascii="Arial" w:hAnsi="Arial" w:cs="Arial"/>
              </w:rPr>
              <w:t>it</w:t>
            </w:r>
            <w:r w:rsidRPr="00D05A8B">
              <w:rPr>
                <w:rFonts w:ascii="Arial" w:hAnsi="Arial" w:cs="Arial"/>
              </w:rPr>
              <w:t xml:space="preserve"> has appropriate arrangements in place to adequately comply with Health and Safety and Fire Safety legislation.</w:t>
            </w:r>
          </w:p>
          <w:p w14:paraId="0C2E45D2" w14:textId="77777777" w:rsidR="000C3D67" w:rsidRPr="00D05A8B" w:rsidRDefault="000C3D67" w:rsidP="00513BAD">
            <w:pPr>
              <w:spacing w:before="240" w:line="276" w:lineRule="auto"/>
              <w:jc w:val="both"/>
              <w:rPr>
                <w:rFonts w:ascii="Arial" w:hAnsi="Arial" w:cs="Arial"/>
              </w:rPr>
            </w:pPr>
            <w:r w:rsidRPr="00086E2D">
              <w:rPr>
                <w:rFonts w:ascii="Arial" w:hAnsi="Arial" w:cs="Arial"/>
                <w:b/>
              </w:rPr>
              <w:t>PASS</w:t>
            </w:r>
            <w:r w:rsidRPr="00D05A8B">
              <w:rPr>
                <w:rFonts w:ascii="Arial" w:hAnsi="Arial" w:cs="Arial"/>
              </w:rPr>
              <w:t xml:space="preserve"> – The </w:t>
            </w:r>
            <w:r>
              <w:rPr>
                <w:rFonts w:ascii="Arial" w:hAnsi="Arial" w:cs="Arial"/>
              </w:rPr>
              <w:t>Tenderer</w:t>
            </w:r>
            <w:r w:rsidRPr="00D05A8B">
              <w:rPr>
                <w:rFonts w:ascii="Arial" w:hAnsi="Arial" w:cs="Arial"/>
              </w:rPr>
              <w:t xml:space="preserve"> self-certifying numbers a-</w:t>
            </w:r>
            <w:r>
              <w:rPr>
                <w:rFonts w:ascii="Arial" w:hAnsi="Arial" w:cs="Arial"/>
              </w:rPr>
              <w:t>l</w:t>
            </w:r>
            <w:r w:rsidRPr="00D05A8B">
              <w:rPr>
                <w:rFonts w:ascii="Arial" w:hAnsi="Arial" w:cs="Arial"/>
              </w:rPr>
              <w:t>.</w:t>
            </w:r>
          </w:p>
          <w:p w14:paraId="6639447B" w14:textId="77777777" w:rsidR="000C3D67" w:rsidRDefault="000C3D67" w:rsidP="00513BAD">
            <w:pPr>
              <w:spacing w:before="240" w:line="276" w:lineRule="auto"/>
              <w:jc w:val="both"/>
              <w:rPr>
                <w:rFonts w:ascii="Arial" w:hAnsi="Arial" w:cs="Arial"/>
              </w:rPr>
            </w:pPr>
            <w:r w:rsidRPr="00086E2D">
              <w:rPr>
                <w:rFonts w:ascii="Arial" w:hAnsi="Arial" w:cs="Arial"/>
                <w:b/>
              </w:rPr>
              <w:t>FAIL</w:t>
            </w:r>
            <w:r w:rsidRPr="00D05A8B">
              <w:rPr>
                <w:rFonts w:ascii="Arial" w:hAnsi="Arial" w:cs="Arial"/>
              </w:rPr>
              <w:t xml:space="preserve"> – Failure by the </w:t>
            </w:r>
            <w:r>
              <w:rPr>
                <w:rFonts w:ascii="Arial" w:hAnsi="Arial" w:cs="Arial"/>
              </w:rPr>
              <w:t>Tenderer</w:t>
            </w:r>
            <w:r w:rsidRPr="00D05A8B">
              <w:rPr>
                <w:rFonts w:ascii="Arial" w:hAnsi="Arial" w:cs="Arial"/>
              </w:rPr>
              <w:t xml:space="preserve"> to self-certify numbers a-</w:t>
            </w:r>
            <w:r>
              <w:rPr>
                <w:rFonts w:ascii="Arial" w:hAnsi="Arial" w:cs="Arial"/>
              </w:rPr>
              <w:t>l</w:t>
            </w:r>
            <w:r w:rsidRPr="00D05A8B">
              <w:rPr>
                <w:rFonts w:ascii="Arial" w:hAnsi="Arial" w:cs="Arial"/>
              </w:rPr>
              <w:t xml:space="preserve"> and not have satisfactory reasons or remedies.</w:t>
            </w:r>
          </w:p>
          <w:p w14:paraId="3E050F8E" w14:textId="77777777" w:rsidR="000C3D67" w:rsidRPr="00D05A8B" w:rsidRDefault="000C3D67" w:rsidP="00513BAD">
            <w:pPr>
              <w:spacing w:line="276" w:lineRule="auto"/>
              <w:rPr>
                <w:rFonts w:ascii="Arial" w:hAnsi="Arial" w:cs="Arial"/>
              </w:rPr>
            </w:pPr>
          </w:p>
        </w:tc>
      </w:tr>
      <w:tr w:rsidR="000C3D67" w:rsidRPr="00D05A8B" w14:paraId="3DE61D45" w14:textId="77777777" w:rsidTr="00513BAD">
        <w:tc>
          <w:tcPr>
            <w:tcW w:w="3321" w:type="dxa"/>
          </w:tcPr>
          <w:p w14:paraId="53012A53" w14:textId="54A681BF" w:rsidR="000C3D67" w:rsidRPr="002545FF" w:rsidRDefault="00643B4B" w:rsidP="00513BAD">
            <w:pPr>
              <w:spacing w:before="240" w:line="276" w:lineRule="auto"/>
              <w:rPr>
                <w:rFonts w:ascii="Arial" w:hAnsi="Arial" w:cs="Arial"/>
                <w:b/>
              </w:rPr>
            </w:pPr>
            <w:r w:rsidRPr="002545FF">
              <w:rPr>
                <w:rFonts w:ascii="Arial" w:hAnsi="Arial" w:cs="Arial"/>
                <w:b/>
              </w:rPr>
              <w:t>8.</w:t>
            </w:r>
            <w:r w:rsidR="002545FF" w:rsidRPr="002545FF">
              <w:rPr>
                <w:rFonts w:ascii="Arial" w:hAnsi="Arial" w:cs="Arial"/>
                <w:b/>
              </w:rPr>
              <w:t>5</w:t>
            </w:r>
          </w:p>
          <w:p w14:paraId="6EC19940" w14:textId="77777777" w:rsidR="000C3D67" w:rsidRPr="002545FF" w:rsidRDefault="000C3D67" w:rsidP="00513BAD">
            <w:pPr>
              <w:spacing w:before="240" w:line="276" w:lineRule="auto"/>
              <w:rPr>
                <w:rFonts w:ascii="Arial" w:hAnsi="Arial" w:cs="Arial"/>
              </w:rPr>
            </w:pPr>
            <w:r w:rsidRPr="002545FF">
              <w:rPr>
                <w:rFonts w:ascii="Arial" w:hAnsi="Arial" w:cs="Arial"/>
              </w:rPr>
              <w:t xml:space="preserve">Project Specific Questions </w:t>
            </w:r>
          </w:p>
        </w:tc>
        <w:tc>
          <w:tcPr>
            <w:tcW w:w="6157" w:type="dxa"/>
          </w:tcPr>
          <w:p w14:paraId="14212A0F" w14:textId="77777777" w:rsidR="000C3D67" w:rsidRPr="002545FF" w:rsidRDefault="000C3D67" w:rsidP="00513BAD">
            <w:pPr>
              <w:spacing w:before="240" w:line="276" w:lineRule="auto"/>
              <w:jc w:val="both"/>
              <w:rPr>
                <w:rFonts w:ascii="Arial" w:hAnsi="Arial" w:cs="Arial"/>
                <w:b/>
              </w:rPr>
            </w:pPr>
            <w:r w:rsidRPr="002545FF">
              <w:rPr>
                <w:rFonts w:ascii="Arial" w:hAnsi="Arial" w:cs="Arial"/>
                <w:b/>
              </w:rPr>
              <w:t>This Section will be scored on a pass/fail basis.</w:t>
            </w:r>
          </w:p>
          <w:p w14:paraId="57573406" w14:textId="77777777" w:rsidR="000C3D67" w:rsidRPr="002545FF" w:rsidRDefault="000C3D67" w:rsidP="00513BAD">
            <w:pPr>
              <w:spacing w:before="240" w:line="276" w:lineRule="auto"/>
              <w:jc w:val="both"/>
              <w:rPr>
                <w:rFonts w:ascii="Arial" w:hAnsi="Arial" w:cs="Arial"/>
              </w:rPr>
            </w:pPr>
            <w:r w:rsidRPr="002545FF">
              <w:rPr>
                <w:rFonts w:ascii="Arial" w:hAnsi="Arial" w:cs="Arial"/>
                <w:b/>
              </w:rPr>
              <w:t>PASS</w:t>
            </w:r>
            <w:r w:rsidRPr="002545FF">
              <w:rPr>
                <w:rFonts w:ascii="Arial" w:hAnsi="Arial" w:cs="Arial"/>
              </w:rPr>
              <w:t xml:space="preserve"> – The Tenderer demonstrates they can comply with the questions </w:t>
            </w:r>
          </w:p>
          <w:p w14:paraId="4773BB52" w14:textId="77777777" w:rsidR="000C3D67" w:rsidRPr="002545FF" w:rsidRDefault="000C3D67" w:rsidP="00513BAD">
            <w:pPr>
              <w:spacing w:before="240" w:line="276" w:lineRule="auto"/>
              <w:jc w:val="both"/>
              <w:rPr>
                <w:rFonts w:ascii="Arial" w:hAnsi="Arial" w:cs="Arial"/>
              </w:rPr>
            </w:pPr>
            <w:r w:rsidRPr="002545FF">
              <w:rPr>
                <w:rFonts w:ascii="Arial" w:hAnsi="Arial" w:cs="Arial"/>
                <w:b/>
              </w:rPr>
              <w:t>FAIL</w:t>
            </w:r>
            <w:r w:rsidRPr="002545FF">
              <w:rPr>
                <w:rFonts w:ascii="Arial" w:hAnsi="Arial" w:cs="Arial"/>
              </w:rPr>
              <w:t xml:space="preserve"> – The Tenderer fails to demonstrate they can comply with the questions.</w:t>
            </w:r>
          </w:p>
        </w:tc>
      </w:tr>
    </w:tbl>
    <w:p w14:paraId="3FFDA9CC" w14:textId="77777777" w:rsidR="000C3D67" w:rsidRPr="00653811" w:rsidRDefault="000C3D67" w:rsidP="00653811">
      <w:pPr>
        <w:tabs>
          <w:tab w:val="left" w:pos="851"/>
        </w:tabs>
        <w:jc w:val="both"/>
        <w:rPr>
          <w:rFonts w:ascii="Arial" w:hAnsi="Arial" w:cs="Arial"/>
        </w:rPr>
      </w:pPr>
    </w:p>
    <w:p w14:paraId="0167C6C3" w14:textId="77777777" w:rsidR="00AF5F8A" w:rsidRPr="00653811" w:rsidRDefault="00AF5F8A" w:rsidP="002D2D9A">
      <w:pPr>
        <w:pStyle w:val="ListParagraph"/>
        <w:numPr>
          <w:ilvl w:val="0"/>
          <w:numId w:val="6"/>
        </w:numPr>
        <w:tabs>
          <w:tab w:val="left" w:pos="709"/>
        </w:tabs>
        <w:ind w:left="709" w:hanging="709"/>
        <w:jc w:val="both"/>
        <w:rPr>
          <w:rFonts w:ascii="Arial" w:hAnsi="Arial" w:cs="Arial"/>
        </w:rPr>
      </w:pPr>
      <w:r w:rsidRPr="00AF5F8A">
        <w:rPr>
          <w:rFonts w:ascii="Arial" w:hAnsi="Arial" w:cs="Arial"/>
          <w:b/>
        </w:rPr>
        <w:t xml:space="preserve">TENDER EVALUATION </w:t>
      </w:r>
    </w:p>
    <w:p w14:paraId="0540DD8B" w14:textId="77777777" w:rsidR="00AF5F8A" w:rsidRPr="00653811" w:rsidRDefault="00AF5F8A" w:rsidP="00653811">
      <w:pPr>
        <w:pStyle w:val="ListParagraph"/>
        <w:tabs>
          <w:tab w:val="left" w:pos="709"/>
        </w:tabs>
        <w:ind w:left="709"/>
        <w:jc w:val="both"/>
        <w:rPr>
          <w:rFonts w:ascii="Arial" w:hAnsi="Arial" w:cs="Arial"/>
        </w:rPr>
      </w:pPr>
    </w:p>
    <w:p w14:paraId="247FC18A" w14:textId="77777777" w:rsidR="002D2D9A" w:rsidRPr="002D2D9A" w:rsidRDefault="002D2D9A" w:rsidP="002D2D9A">
      <w:pPr>
        <w:pStyle w:val="ListParagraph"/>
        <w:numPr>
          <w:ilvl w:val="1"/>
          <w:numId w:val="6"/>
        </w:numPr>
        <w:tabs>
          <w:tab w:val="left" w:pos="709"/>
        </w:tabs>
        <w:ind w:hanging="786"/>
        <w:jc w:val="both"/>
        <w:rPr>
          <w:rFonts w:ascii="Arial" w:hAnsi="Arial" w:cs="Arial"/>
        </w:rPr>
      </w:pPr>
      <w:r w:rsidRPr="002D2D9A">
        <w:rPr>
          <w:rFonts w:ascii="Arial" w:hAnsi="Arial" w:cs="Arial"/>
        </w:rPr>
        <w:t xml:space="preserve">The Contracting Authority reserves the right (but is not obliged) to seek clarification of any aspect of a Tenderer’s Tender during the evaluation phase where the Contracting Authority determines that there are ambiguities in any part of the </w:t>
      </w:r>
      <w:r w:rsidRPr="002D2D9A">
        <w:rPr>
          <w:rFonts w:ascii="Arial" w:hAnsi="Arial" w:cs="Arial"/>
        </w:rPr>
        <w:lastRenderedPageBreak/>
        <w:t>Tender. Any failure or refusal by the Contracting Authority to seek such clarification shall not be deemed to imply the Contracting Authority’s satisfaction with the tender response on that issue.  The Contracting Authority may decide to interview Tenderers or hold clarification meetings to assist the Tendering process</w:t>
      </w:r>
      <w:r w:rsidR="00C41D06">
        <w:rPr>
          <w:rFonts w:ascii="Arial" w:hAnsi="Arial" w:cs="Arial"/>
        </w:rPr>
        <w:t xml:space="preserve"> although is not obliged to do so</w:t>
      </w:r>
      <w:r w:rsidRPr="002D2D9A">
        <w:rPr>
          <w:rFonts w:ascii="Arial" w:hAnsi="Arial" w:cs="Arial"/>
        </w:rPr>
        <w:t xml:space="preserve">.  The Contracting Authority will notify Tenderers of this in due course. Tenderers are requested to respond to such requests promptly in accordance with the timeline identified by the Contracting Authority.  The purpose of any clarification is to enable the Contracting Authority to determine the Tenderers overall score for a particular question. </w:t>
      </w:r>
    </w:p>
    <w:p w14:paraId="54309844" w14:textId="77777777" w:rsidR="002D2D9A" w:rsidRDefault="002D2D9A" w:rsidP="002D2D9A">
      <w:pPr>
        <w:pStyle w:val="ListParagraph"/>
        <w:tabs>
          <w:tab w:val="left" w:pos="709"/>
        </w:tabs>
        <w:ind w:left="780"/>
        <w:jc w:val="both"/>
        <w:rPr>
          <w:rFonts w:ascii="Arial" w:hAnsi="Arial" w:cs="Arial"/>
        </w:rPr>
      </w:pPr>
    </w:p>
    <w:p w14:paraId="674E4E0B" w14:textId="77777777" w:rsidR="002D2D9A" w:rsidRDefault="002D2D9A" w:rsidP="002D2D9A">
      <w:pPr>
        <w:pStyle w:val="ListParagraph"/>
        <w:numPr>
          <w:ilvl w:val="2"/>
          <w:numId w:val="6"/>
        </w:numPr>
        <w:tabs>
          <w:tab w:val="left" w:pos="709"/>
        </w:tabs>
        <w:ind w:left="1701" w:hanging="850"/>
        <w:jc w:val="both"/>
        <w:rPr>
          <w:rFonts w:ascii="Arial" w:hAnsi="Arial" w:cs="Arial"/>
        </w:rPr>
      </w:pPr>
      <w:r>
        <w:rPr>
          <w:rFonts w:ascii="Arial" w:hAnsi="Arial" w:cs="Arial"/>
        </w:rPr>
        <w:t>Where the Contracting Authority requests a clarification and the Tenderer fails to respond within the time prescribed within the clarification request, the Contracting Authority reserves the right to make any inference regarding the existing response, including any negative inference.</w:t>
      </w:r>
    </w:p>
    <w:p w14:paraId="4214DC5B" w14:textId="77777777" w:rsidR="002D2D9A" w:rsidRDefault="002D2D9A" w:rsidP="002D2D9A">
      <w:pPr>
        <w:pStyle w:val="ListParagraph"/>
        <w:tabs>
          <w:tab w:val="left" w:pos="709"/>
        </w:tabs>
        <w:ind w:left="1701" w:hanging="850"/>
        <w:jc w:val="both"/>
        <w:rPr>
          <w:rFonts w:ascii="Arial" w:hAnsi="Arial" w:cs="Arial"/>
        </w:rPr>
      </w:pPr>
    </w:p>
    <w:p w14:paraId="3556592A" w14:textId="5B516AA7" w:rsidR="002D2D9A" w:rsidRPr="008A375A" w:rsidRDefault="002D2D9A" w:rsidP="002D2D9A">
      <w:pPr>
        <w:pStyle w:val="ListParagraph"/>
        <w:numPr>
          <w:ilvl w:val="2"/>
          <w:numId w:val="6"/>
        </w:numPr>
        <w:tabs>
          <w:tab w:val="left" w:pos="709"/>
        </w:tabs>
        <w:ind w:left="1701" w:hanging="850"/>
        <w:jc w:val="both"/>
        <w:rPr>
          <w:rFonts w:ascii="Arial" w:hAnsi="Arial" w:cs="Arial"/>
        </w:rPr>
      </w:pPr>
      <w:r>
        <w:rPr>
          <w:rFonts w:ascii="Arial" w:hAnsi="Arial" w:cs="Arial"/>
        </w:rPr>
        <w:t xml:space="preserve">All clarification responses must be in writing and directed through the </w:t>
      </w:r>
      <w:proofErr w:type="spellStart"/>
      <w:r w:rsidR="00505A11">
        <w:rPr>
          <w:rFonts w:ascii="Arial" w:hAnsi="Arial" w:cs="Arial"/>
        </w:rPr>
        <w:t>ProContract</w:t>
      </w:r>
      <w:proofErr w:type="spellEnd"/>
      <w:r w:rsidR="00505A11">
        <w:rPr>
          <w:rFonts w:ascii="Arial" w:hAnsi="Arial" w:cs="Arial"/>
        </w:rPr>
        <w:t xml:space="preserve"> Tender p</w:t>
      </w:r>
      <w:r>
        <w:rPr>
          <w:rFonts w:ascii="Arial" w:hAnsi="Arial" w:cs="Arial"/>
        </w:rPr>
        <w:t xml:space="preserve">ortal and will form a part of the Tenderers response as if the same had of been included in the Tender Response Document contained in </w:t>
      </w:r>
      <w:r w:rsidRPr="00DD2412">
        <w:rPr>
          <w:rFonts w:ascii="Arial" w:hAnsi="Arial" w:cs="Arial"/>
        </w:rPr>
        <w:t>Schedule 5.</w:t>
      </w:r>
      <w:r>
        <w:rPr>
          <w:rFonts w:ascii="Arial" w:hAnsi="Arial" w:cs="Arial"/>
        </w:rPr>
        <w:t xml:space="preserve"> If meetings or interviews are conducted in person, Tenderers must summarise th</w:t>
      </w:r>
      <w:r w:rsidR="009905A9">
        <w:rPr>
          <w:rFonts w:ascii="Arial" w:hAnsi="Arial" w:cs="Arial"/>
        </w:rPr>
        <w:t>eir response to any clarifications in</w:t>
      </w:r>
      <w:r>
        <w:rPr>
          <w:rFonts w:ascii="Arial" w:hAnsi="Arial" w:cs="Arial"/>
        </w:rPr>
        <w:t xml:space="preserve"> writing</w:t>
      </w:r>
      <w:r w:rsidR="009905A9">
        <w:rPr>
          <w:rFonts w:ascii="Arial" w:hAnsi="Arial" w:cs="Arial"/>
        </w:rPr>
        <w:t xml:space="preserve"> within 3 working days of request</w:t>
      </w:r>
      <w:r>
        <w:rPr>
          <w:rFonts w:ascii="Arial" w:hAnsi="Arial" w:cs="Arial"/>
        </w:rPr>
        <w:t xml:space="preserve">. For the avoidance of doubt Tenderers are not permitted to raise further points in their summarised response outside of the clarification that has been raised by the Contracting Authority. </w:t>
      </w:r>
    </w:p>
    <w:p w14:paraId="4CA76C62" w14:textId="77777777" w:rsidR="00AF5F8A" w:rsidRPr="00AF5F8A" w:rsidRDefault="00AF5F8A" w:rsidP="00653811">
      <w:pPr>
        <w:pStyle w:val="ListParagraph"/>
        <w:ind w:left="709" w:hanging="709"/>
        <w:jc w:val="both"/>
        <w:rPr>
          <w:rFonts w:ascii="Arial" w:hAnsi="Arial" w:cs="Arial"/>
        </w:rPr>
      </w:pPr>
    </w:p>
    <w:p w14:paraId="4DF5DA6C" w14:textId="77777777" w:rsidR="00AF5F8A" w:rsidRDefault="00AF5F8A" w:rsidP="002D2D9A">
      <w:pPr>
        <w:pStyle w:val="ListParagraph"/>
        <w:numPr>
          <w:ilvl w:val="1"/>
          <w:numId w:val="6"/>
        </w:numPr>
        <w:ind w:left="709" w:hanging="709"/>
        <w:jc w:val="both"/>
        <w:rPr>
          <w:rFonts w:ascii="Arial" w:hAnsi="Arial" w:cs="Arial"/>
        </w:rPr>
      </w:pPr>
      <w:r w:rsidRPr="00AF5F8A">
        <w:rPr>
          <w:rFonts w:ascii="Arial" w:hAnsi="Arial" w:cs="Arial"/>
        </w:rPr>
        <w:t xml:space="preserve">The Contracting Authority is not bound to </w:t>
      </w:r>
      <w:r w:rsidR="0039596B">
        <w:rPr>
          <w:rFonts w:ascii="Arial" w:hAnsi="Arial" w:cs="Arial"/>
        </w:rPr>
        <w:t>award the Contract however if it does so it shall be awarded to the highest scoring Tender (s) in accordance with the award criteria below.</w:t>
      </w:r>
      <w:r w:rsidRPr="00AF5F8A">
        <w:rPr>
          <w:rFonts w:ascii="Arial" w:hAnsi="Arial" w:cs="Arial"/>
        </w:rPr>
        <w:t xml:space="preserve"> </w:t>
      </w:r>
    </w:p>
    <w:p w14:paraId="6BC92D82" w14:textId="77777777" w:rsidR="00B309BB" w:rsidRPr="00653811" w:rsidRDefault="00B309BB" w:rsidP="00653811">
      <w:pPr>
        <w:pStyle w:val="ListParagraph"/>
        <w:ind w:left="709" w:hanging="709"/>
        <w:rPr>
          <w:rFonts w:ascii="Arial" w:hAnsi="Arial" w:cs="Arial"/>
        </w:rPr>
      </w:pPr>
    </w:p>
    <w:p w14:paraId="1FE3D0FC" w14:textId="77777777" w:rsidR="00B309BB" w:rsidRDefault="00B309BB" w:rsidP="002D2D9A">
      <w:pPr>
        <w:pStyle w:val="ListParagraph"/>
        <w:numPr>
          <w:ilvl w:val="1"/>
          <w:numId w:val="6"/>
        </w:numPr>
        <w:ind w:left="709" w:hanging="709"/>
        <w:jc w:val="both"/>
        <w:rPr>
          <w:rFonts w:ascii="Arial" w:hAnsi="Arial" w:cs="Arial"/>
        </w:rPr>
      </w:pPr>
      <w:r w:rsidRPr="00B309BB">
        <w:rPr>
          <w:rFonts w:ascii="Arial" w:hAnsi="Arial" w:cs="Arial"/>
        </w:rPr>
        <w:t>The Contracting Authority will check each Tender initially for compliance with all requirements of the ITT.</w:t>
      </w:r>
    </w:p>
    <w:p w14:paraId="01D517A9" w14:textId="77777777" w:rsidR="00B309BB" w:rsidRPr="00653811" w:rsidRDefault="00B309BB" w:rsidP="00653811">
      <w:pPr>
        <w:pStyle w:val="ListParagraph"/>
        <w:ind w:left="709" w:hanging="709"/>
        <w:rPr>
          <w:rFonts w:ascii="Arial" w:hAnsi="Arial" w:cs="Arial"/>
        </w:rPr>
      </w:pPr>
    </w:p>
    <w:p w14:paraId="66F96624" w14:textId="77777777" w:rsidR="00B309BB" w:rsidRDefault="00B309BB" w:rsidP="002D2D9A">
      <w:pPr>
        <w:pStyle w:val="ListParagraph"/>
        <w:numPr>
          <w:ilvl w:val="1"/>
          <w:numId w:val="6"/>
        </w:numPr>
        <w:ind w:left="709" w:hanging="709"/>
        <w:jc w:val="both"/>
        <w:rPr>
          <w:rFonts w:ascii="Arial" w:hAnsi="Arial" w:cs="Arial"/>
        </w:rPr>
      </w:pPr>
      <w:r w:rsidRPr="00117E34">
        <w:rPr>
          <w:rFonts w:ascii="Arial" w:hAnsi="Arial" w:cs="Arial"/>
        </w:rPr>
        <w:t>The Contracting Authority will evaluate Tenders in accordance with the award criteria set out below.</w:t>
      </w:r>
      <w:r>
        <w:rPr>
          <w:rFonts w:ascii="Arial" w:hAnsi="Arial" w:cs="Arial"/>
        </w:rPr>
        <w:t xml:space="preserve"> </w:t>
      </w:r>
    </w:p>
    <w:p w14:paraId="08D05251" w14:textId="77777777" w:rsidR="00B309BB" w:rsidRPr="00653811" w:rsidRDefault="00B309BB" w:rsidP="00653811">
      <w:pPr>
        <w:pStyle w:val="ListParagraph"/>
        <w:rPr>
          <w:rFonts w:ascii="Arial" w:hAnsi="Arial" w:cs="Arial"/>
        </w:rPr>
      </w:pPr>
    </w:p>
    <w:p w14:paraId="3AF2B2BC" w14:textId="77777777" w:rsidR="00B309BB" w:rsidRPr="00653811" w:rsidRDefault="00B309BB" w:rsidP="002D2D9A">
      <w:pPr>
        <w:pStyle w:val="ListParagraph"/>
        <w:numPr>
          <w:ilvl w:val="0"/>
          <w:numId w:val="6"/>
        </w:numPr>
        <w:ind w:left="709" w:hanging="709"/>
        <w:jc w:val="both"/>
        <w:rPr>
          <w:rFonts w:ascii="Arial" w:hAnsi="Arial" w:cs="Arial"/>
        </w:rPr>
      </w:pPr>
      <w:r w:rsidRPr="00D05A8B">
        <w:rPr>
          <w:rFonts w:ascii="Arial" w:hAnsi="Arial" w:cs="Arial"/>
          <w:b/>
        </w:rPr>
        <w:t xml:space="preserve">TENDER </w:t>
      </w:r>
      <w:r>
        <w:rPr>
          <w:rFonts w:ascii="Arial" w:hAnsi="Arial" w:cs="Arial"/>
          <w:b/>
        </w:rPr>
        <w:t>AWARD CRITERIA</w:t>
      </w:r>
    </w:p>
    <w:p w14:paraId="0BBFB0D0" w14:textId="77777777" w:rsidR="00B309BB" w:rsidRPr="00653811" w:rsidRDefault="00B309BB" w:rsidP="00653811">
      <w:pPr>
        <w:pStyle w:val="ListParagraph"/>
        <w:ind w:left="709" w:hanging="709"/>
        <w:jc w:val="both"/>
        <w:rPr>
          <w:rFonts w:ascii="Arial" w:hAnsi="Arial" w:cs="Arial"/>
        </w:rPr>
      </w:pPr>
    </w:p>
    <w:p w14:paraId="53EEDF39" w14:textId="77777777" w:rsidR="00B309BB" w:rsidRDefault="00B309BB" w:rsidP="002D2D9A">
      <w:pPr>
        <w:pStyle w:val="ListParagraph"/>
        <w:numPr>
          <w:ilvl w:val="1"/>
          <w:numId w:val="6"/>
        </w:numPr>
        <w:ind w:left="709" w:hanging="709"/>
        <w:jc w:val="both"/>
        <w:rPr>
          <w:rFonts w:ascii="Arial" w:hAnsi="Arial" w:cs="Arial"/>
        </w:rPr>
      </w:pPr>
      <w:r w:rsidRPr="00B309BB">
        <w:rPr>
          <w:rFonts w:ascii="Arial" w:hAnsi="Arial" w:cs="Arial"/>
        </w:rPr>
        <w:t>Tenderers must complete and return all items detailed in the Tender response checklist included in Schedule 3 – Form of Tender.</w:t>
      </w:r>
    </w:p>
    <w:p w14:paraId="0DF66860" w14:textId="77777777" w:rsidR="00B309BB" w:rsidRDefault="00B309BB" w:rsidP="00653811">
      <w:pPr>
        <w:pStyle w:val="ListParagraph"/>
        <w:ind w:left="709" w:hanging="709"/>
        <w:jc w:val="both"/>
        <w:rPr>
          <w:rFonts w:ascii="Arial" w:hAnsi="Arial" w:cs="Arial"/>
        </w:rPr>
      </w:pPr>
    </w:p>
    <w:p w14:paraId="410ED61C" w14:textId="24984D77" w:rsidR="00B309BB" w:rsidRDefault="00B309BB" w:rsidP="002D2D9A">
      <w:pPr>
        <w:pStyle w:val="ListParagraph"/>
        <w:numPr>
          <w:ilvl w:val="1"/>
          <w:numId w:val="6"/>
        </w:numPr>
        <w:ind w:left="709" w:hanging="709"/>
        <w:jc w:val="both"/>
        <w:rPr>
          <w:rFonts w:ascii="Arial" w:hAnsi="Arial" w:cs="Arial"/>
        </w:rPr>
      </w:pPr>
      <w:r w:rsidRPr="00653811">
        <w:rPr>
          <w:rFonts w:ascii="Arial" w:hAnsi="Arial" w:cs="Arial"/>
        </w:rPr>
        <w:t>If Tenderers do not provide all the items in the checklist this may cause the Tender to be non-compliant and not considered.</w:t>
      </w:r>
    </w:p>
    <w:p w14:paraId="7138C297" w14:textId="77777777" w:rsidR="00B309BB" w:rsidRPr="00653811" w:rsidRDefault="00B309BB" w:rsidP="00653811">
      <w:pPr>
        <w:pStyle w:val="ListParagraph"/>
        <w:ind w:left="709" w:hanging="709"/>
        <w:rPr>
          <w:rFonts w:ascii="Arial" w:hAnsi="Arial" w:cs="Arial"/>
        </w:rPr>
      </w:pPr>
    </w:p>
    <w:p w14:paraId="17074A56" w14:textId="1B5EB154" w:rsidR="00B309BB" w:rsidRPr="008F36DF" w:rsidRDefault="00B309BB" w:rsidP="008F36DF">
      <w:pPr>
        <w:pStyle w:val="ListParagraph"/>
        <w:numPr>
          <w:ilvl w:val="1"/>
          <w:numId w:val="6"/>
        </w:numPr>
        <w:ind w:left="709" w:hanging="709"/>
        <w:jc w:val="both"/>
        <w:rPr>
          <w:rFonts w:ascii="Arial" w:hAnsi="Arial" w:cs="Arial"/>
        </w:rPr>
      </w:pPr>
      <w:r w:rsidRPr="00B309BB">
        <w:rPr>
          <w:rFonts w:ascii="Arial" w:hAnsi="Arial" w:cs="Arial"/>
        </w:rPr>
        <w:t xml:space="preserve">Following evaluation of the </w:t>
      </w:r>
      <w:r w:rsidRPr="00466CDF">
        <w:rPr>
          <w:rFonts w:ascii="Arial" w:hAnsi="Arial" w:cs="Arial"/>
        </w:rPr>
        <w:t>Suitability</w:t>
      </w:r>
      <w:r w:rsidR="00140A70" w:rsidRPr="00466CDF">
        <w:rPr>
          <w:rFonts w:ascii="Arial" w:hAnsi="Arial" w:cs="Arial"/>
        </w:rPr>
        <w:t xml:space="preserve"> Assessment </w:t>
      </w:r>
      <w:r w:rsidRPr="00466CDF">
        <w:rPr>
          <w:rFonts w:ascii="Arial" w:hAnsi="Arial" w:cs="Arial"/>
        </w:rPr>
        <w:t>the</w:t>
      </w:r>
      <w:r w:rsidRPr="00B309BB">
        <w:rPr>
          <w:rFonts w:ascii="Arial" w:hAnsi="Arial" w:cs="Arial"/>
        </w:rPr>
        <w:t xml:space="preserve"> Contracting Authority will evaluate Tenders to determine the Most Economically Advantageous Tender, taking into consideration the following award criteria:</w:t>
      </w:r>
    </w:p>
    <w:tbl>
      <w:tblPr>
        <w:tblStyle w:val="TableGrid1"/>
        <w:tblW w:w="8790" w:type="dxa"/>
        <w:tblLayout w:type="fixed"/>
        <w:tblLook w:val="04A0" w:firstRow="1" w:lastRow="0" w:firstColumn="1" w:lastColumn="0" w:noHBand="0" w:noVBand="1"/>
      </w:tblPr>
      <w:tblGrid>
        <w:gridCol w:w="1526"/>
        <w:gridCol w:w="1026"/>
        <w:gridCol w:w="4820"/>
        <w:gridCol w:w="1418"/>
      </w:tblGrid>
      <w:tr w:rsidR="008F36DF" w:rsidRPr="00726A3B" w14:paraId="78D3C8B2" w14:textId="77777777" w:rsidTr="00584B91">
        <w:trPr>
          <w:trHeight w:val="567"/>
        </w:trPr>
        <w:tc>
          <w:tcPr>
            <w:tcW w:w="1526" w:type="dxa"/>
            <w:shd w:val="clear" w:color="auto" w:fill="BFBFBF" w:themeFill="background1" w:themeFillShade="BF"/>
            <w:vAlign w:val="center"/>
          </w:tcPr>
          <w:p w14:paraId="6A674FC1" w14:textId="77777777" w:rsidR="008F36DF" w:rsidRPr="0037631A" w:rsidRDefault="008F36DF" w:rsidP="00584B91">
            <w:pPr>
              <w:rPr>
                <w:rFonts w:ascii="Arial" w:hAnsi="Arial" w:cs="Arial"/>
                <w:b/>
              </w:rPr>
            </w:pPr>
            <w:r w:rsidRPr="0037631A">
              <w:rPr>
                <w:rFonts w:ascii="Arial" w:hAnsi="Arial" w:cs="Arial"/>
                <w:b/>
              </w:rPr>
              <w:lastRenderedPageBreak/>
              <w:t>Criteria</w:t>
            </w:r>
          </w:p>
        </w:tc>
        <w:tc>
          <w:tcPr>
            <w:tcW w:w="1026" w:type="dxa"/>
            <w:shd w:val="clear" w:color="auto" w:fill="BFBFBF" w:themeFill="background1" w:themeFillShade="BF"/>
            <w:vAlign w:val="center"/>
          </w:tcPr>
          <w:p w14:paraId="186B8ACA" w14:textId="77777777" w:rsidR="008F36DF" w:rsidRPr="0037631A" w:rsidRDefault="008F36DF" w:rsidP="00584B91">
            <w:pPr>
              <w:rPr>
                <w:rFonts w:ascii="Arial" w:hAnsi="Arial" w:cs="Arial"/>
                <w:b/>
              </w:rPr>
            </w:pPr>
            <w:r w:rsidRPr="0037631A">
              <w:rPr>
                <w:rFonts w:ascii="Arial" w:hAnsi="Arial" w:cs="Arial"/>
                <w:b/>
              </w:rPr>
              <w:t>Section</w:t>
            </w:r>
          </w:p>
        </w:tc>
        <w:tc>
          <w:tcPr>
            <w:tcW w:w="4820" w:type="dxa"/>
            <w:shd w:val="clear" w:color="auto" w:fill="BFBFBF" w:themeFill="background1" w:themeFillShade="BF"/>
            <w:vAlign w:val="center"/>
          </w:tcPr>
          <w:p w14:paraId="70B81B88" w14:textId="77777777" w:rsidR="008F36DF" w:rsidRPr="0037631A" w:rsidRDefault="008F36DF" w:rsidP="00584B91">
            <w:pPr>
              <w:rPr>
                <w:rFonts w:ascii="Arial" w:hAnsi="Arial" w:cs="Arial"/>
                <w:b/>
              </w:rPr>
            </w:pPr>
            <w:r w:rsidRPr="0037631A">
              <w:rPr>
                <w:rFonts w:ascii="Arial" w:hAnsi="Arial" w:cs="Arial"/>
                <w:b/>
              </w:rPr>
              <w:t>Sub-criteria</w:t>
            </w:r>
          </w:p>
        </w:tc>
        <w:tc>
          <w:tcPr>
            <w:tcW w:w="1418" w:type="dxa"/>
            <w:shd w:val="clear" w:color="auto" w:fill="BFBFBF" w:themeFill="background1" w:themeFillShade="BF"/>
            <w:vAlign w:val="center"/>
          </w:tcPr>
          <w:p w14:paraId="62051A6E" w14:textId="77777777" w:rsidR="008F36DF" w:rsidRPr="0037631A" w:rsidRDefault="008F36DF" w:rsidP="00584B91">
            <w:pPr>
              <w:rPr>
                <w:rFonts w:ascii="Arial" w:hAnsi="Arial" w:cs="Arial"/>
                <w:b/>
              </w:rPr>
            </w:pPr>
            <w:r w:rsidRPr="0037631A">
              <w:rPr>
                <w:rFonts w:ascii="Arial" w:hAnsi="Arial" w:cs="Arial"/>
                <w:b/>
              </w:rPr>
              <w:t>Weighting</w:t>
            </w:r>
          </w:p>
        </w:tc>
      </w:tr>
      <w:tr w:rsidR="008F36DF" w:rsidRPr="00726A3B" w14:paraId="7426A6F6" w14:textId="77777777" w:rsidTr="00584B91">
        <w:trPr>
          <w:trHeight w:val="567"/>
        </w:trPr>
        <w:tc>
          <w:tcPr>
            <w:tcW w:w="1526" w:type="dxa"/>
            <w:vMerge w:val="restart"/>
            <w:vAlign w:val="center"/>
          </w:tcPr>
          <w:p w14:paraId="6FC75397" w14:textId="77777777" w:rsidR="008F36DF" w:rsidRPr="0037631A" w:rsidRDefault="008F36DF" w:rsidP="00584B91">
            <w:pPr>
              <w:rPr>
                <w:rFonts w:ascii="Arial" w:hAnsi="Arial" w:cs="Arial"/>
                <w:b/>
                <w:bCs/>
              </w:rPr>
            </w:pPr>
            <w:r w:rsidRPr="49DCDCFD">
              <w:rPr>
                <w:rFonts w:ascii="Arial" w:hAnsi="Arial" w:cs="Arial"/>
                <w:b/>
                <w:bCs/>
              </w:rPr>
              <w:t>Quality 20%</w:t>
            </w:r>
          </w:p>
        </w:tc>
        <w:tc>
          <w:tcPr>
            <w:tcW w:w="1026" w:type="dxa"/>
            <w:vAlign w:val="center"/>
          </w:tcPr>
          <w:p w14:paraId="4CDEBCAB" w14:textId="77777777" w:rsidR="008F36DF" w:rsidRPr="0037631A" w:rsidRDefault="008F36DF" w:rsidP="00584B91">
            <w:pPr>
              <w:rPr>
                <w:rFonts w:ascii="Arial" w:hAnsi="Arial" w:cs="Arial"/>
              </w:rPr>
            </w:pPr>
            <w:r w:rsidRPr="0037631A">
              <w:rPr>
                <w:rFonts w:ascii="Arial" w:hAnsi="Arial" w:cs="Arial"/>
              </w:rPr>
              <w:t>Q1</w:t>
            </w:r>
          </w:p>
        </w:tc>
        <w:tc>
          <w:tcPr>
            <w:tcW w:w="4820" w:type="dxa"/>
            <w:vAlign w:val="center"/>
          </w:tcPr>
          <w:p w14:paraId="17F8CCDB" w14:textId="77777777" w:rsidR="008F36DF" w:rsidRPr="0037631A" w:rsidRDefault="008F36DF" w:rsidP="00584B91">
            <w:pPr>
              <w:rPr>
                <w:rFonts w:ascii="Arial" w:hAnsi="Arial" w:cs="Arial"/>
                <w:b/>
                <w:bCs/>
              </w:rPr>
            </w:pPr>
            <w:r w:rsidRPr="0037631A">
              <w:rPr>
                <w:rFonts w:eastAsia="Arial"/>
                <w:b/>
                <w:bCs/>
                <w:color w:val="000000" w:themeColor="text1"/>
                <w:sz w:val="24"/>
                <w:szCs w:val="24"/>
              </w:rPr>
              <w:t>Project Delivery/Methodology</w:t>
            </w:r>
          </w:p>
        </w:tc>
        <w:tc>
          <w:tcPr>
            <w:tcW w:w="1418" w:type="dxa"/>
            <w:vAlign w:val="center"/>
          </w:tcPr>
          <w:p w14:paraId="3ED7B424" w14:textId="77777777" w:rsidR="008F36DF" w:rsidRPr="0037631A" w:rsidRDefault="008F36DF" w:rsidP="00584B91">
            <w:pPr>
              <w:rPr>
                <w:rFonts w:ascii="Arial" w:hAnsi="Arial" w:cs="Arial"/>
              </w:rPr>
            </w:pPr>
            <w:r w:rsidRPr="49DCDCFD">
              <w:rPr>
                <w:rFonts w:ascii="Arial" w:hAnsi="Arial" w:cs="Arial"/>
              </w:rPr>
              <w:t>5%</w:t>
            </w:r>
          </w:p>
        </w:tc>
      </w:tr>
      <w:tr w:rsidR="008F36DF" w:rsidRPr="00726A3B" w14:paraId="71173940" w14:textId="77777777" w:rsidTr="00584B91">
        <w:trPr>
          <w:trHeight w:val="567"/>
        </w:trPr>
        <w:tc>
          <w:tcPr>
            <w:tcW w:w="1526" w:type="dxa"/>
            <w:vMerge/>
            <w:vAlign w:val="center"/>
          </w:tcPr>
          <w:p w14:paraId="09E01C10" w14:textId="77777777" w:rsidR="008F36DF" w:rsidRPr="0037631A" w:rsidRDefault="008F36DF" w:rsidP="00584B91">
            <w:pPr>
              <w:rPr>
                <w:rFonts w:ascii="Arial" w:hAnsi="Arial" w:cs="Arial"/>
              </w:rPr>
            </w:pPr>
          </w:p>
        </w:tc>
        <w:tc>
          <w:tcPr>
            <w:tcW w:w="1026" w:type="dxa"/>
            <w:vAlign w:val="center"/>
          </w:tcPr>
          <w:p w14:paraId="75A14C7A" w14:textId="77777777" w:rsidR="008F36DF" w:rsidRPr="0037631A" w:rsidRDefault="008F36DF" w:rsidP="00584B91">
            <w:pPr>
              <w:rPr>
                <w:rFonts w:ascii="Arial" w:hAnsi="Arial" w:cs="Arial"/>
              </w:rPr>
            </w:pPr>
            <w:r w:rsidRPr="0037631A">
              <w:rPr>
                <w:rFonts w:ascii="Arial" w:hAnsi="Arial" w:cs="Arial"/>
              </w:rPr>
              <w:t>Q2</w:t>
            </w:r>
          </w:p>
        </w:tc>
        <w:tc>
          <w:tcPr>
            <w:tcW w:w="4820" w:type="dxa"/>
            <w:vAlign w:val="center"/>
          </w:tcPr>
          <w:p w14:paraId="47FFED24" w14:textId="77777777" w:rsidR="008F36DF" w:rsidRPr="0037631A" w:rsidRDefault="008F36DF" w:rsidP="00584B91">
            <w:pPr>
              <w:rPr>
                <w:rFonts w:ascii="Arial" w:hAnsi="Arial" w:cs="Arial"/>
              </w:rPr>
            </w:pPr>
            <w:r w:rsidRPr="0037631A">
              <w:rPr>
                <w:rFonts w:ascii="Arial" w:eastAsia="Arial" w:hAnsi="Arial" w:cs="Arial"/>
                <w:b/>
                <w:bCs/>
                <w:color w:val="000000" w:themeColor="text1"/>
              </w:rPr>
              <w:t>Programme</w:t>
            </w:r>
          </w:p>
        </w:tc>
        <w:tc>
          <w:tcPr>
            <w:tcW w:w="1418" w:type="dxa"/>
            <w:vAlign w:val="center"/>
          </w:tcPr>
          <w:p w14:paraId="40394BA1" w14:textId="77777777" w:rsidR="008F36DF" w:rsidRPr="0037631A" w:rsidRDefault="008F36DF" w:rsidP="00584B91">
            <w:pPr>
              <w:rPr>
                <w:rFonts w:ascii="Arial" w:hAnsi="Arial" w:cs="Arial"/>
              </w:rPr>
            </w:pPr>
            <w:r w:rsidRPr="49DCDCFD">
              <w:rPr>
                <w:rFonts w:ascii="Arial" w:hAnsi="Arial" w:cs="Arial"/>
              </w:rPr>
              <w:t>5%</w:t>
            </w:r>
          </w:p>
        </w:tc>
      </w:tr>
      <w:tr w:rsidR="008F36DF" w14:paraId="23F3C512" w14:textId="77777777" w:rsidTr="00584B91">
        <w:trPr>
          <w:trHeight w:val="567"/>
        </w:trPr>
        <w:tc>
          <w:tcPr>
            <w:tcW w:w="1526" w:type="dxa"/>
            <w:vMerge/>
            <w:vAlign w:val="center"/>
          </w:tcPr>
          <w:p w14:paraId="22FC3D52" w14:textId="77777777" w:rsidR="008F36DF" w:rsidRDefault="008F36DF" w:rsidP="00584B91"/>
        </w:tc>
        <w:tc>
          <w:tcPr>
            <w:tcW w:w="1026" w:type="dxa"/>
            <w:vAlign w:val="center"/>
          </w:tcPr>
          <w:p w14:paraId="41C92A03" w14:textId="77777777" w:rsidR="008F36DF" w:rsidRDefault="008F36DF" w:rsidP="00584B91">
            <w:pPr>
              <w:rPr>
                <w:rFonts w:ascii="Arial" w:hAnsi="Arial" w:cs="Arial"/>
              </w:rPr>
            </w:pPr>
            <w:r w:rsidRPr="67E59EC3">
              <w:rPr>
                <w:rFonts w:ascii="Arial" w:hAnsi="Arial" w:cs="Arial"/>
              </w:rPr>
              <w:t>Q3</w:t>
            </w:r>
          </w:p>
        </w:tc>
        <w:tc>
          <w:tcPr>
            <w:tcW w:w="4820" w:type="dxa"/>
            <w:vAlign w:val="center"/>
          </w:tcPr>
          <w:p w14:paraId="5D5D89E8" w14:textId="77777777" w:rsidR="008F36DF" w:rsidRDefault="008F36DF" w:rsidP="00584B91">
            <w:pPr>
              <w:rPr>
                <w:rFonts w:ascii="Arial" w:eastAsia="Arial" w:hAnsi="Arial" w:cs="Arial"/>
                <w:b/>
                <w:bCs/>
                <w:color w:val="000000" w:themeColor="text1"/>
              </w:rPr>
            </w:pPr>
            <w:r w:rsidRPr="67E59EC3">
              <w:rPr>
                <w:rFonts w:ascii="Arial" w:eastAsia="Arial" w:hAnsi="Arial" w:cs="Arial"/>
                <w:b/>
                <w:bCs/>
                <w:color w:val="000000" w:themeColor="text1"/>
              </w:rPr>
              <w:t>Health &amp; Safety Arrangements</w:t>
            </w:r>
          </w:p>
        </w:tc>
        <w:tc>
          <w:tcPr>
            <w:tcW w:w="1418" w:type="dxa"/>
            <w:vAlign w:val="center"/>
          </w:tcPr>
          <w:p w14:paraId="68807ACC" w14:textId="77777777" w:rsidR="008F36DF" w:rsidRDefault="008F36DF" w:rsidP="00584B91">
            <w:pPr>
              <w:rPr>
                <w:rFonts w:ascii="Arial" w:hAnsi="Arial" w:cs="Arial"/>
              </w:rPr>
            </w:pPr>
            <w:r w:rsidRPr="49DCDCFD">
              <w:rPr>
                <w:rFonts w:ascii="Arial" w:hAnsi="Arial" w:cs="Arial"/>
              </w:rPr>
              <w:t>5%</w:t>
            </w:r>
          </w:p>
        </w:tc>
      </w:tr>
      <w:tr w:rsidR="008F36DF" w14:paraId="519E1715" w14:textId="77777777" w:rsidTr="00584B91">
        <w:trPr>
          <w:trHeight w:val="567"/>
        </w:trPr>
        <w:tc>
          <w:tcPr>
            <w:tcW w:w="1526" w:type="dxa"/>
            <w:vMerge/>
            <w:vAlign w:val="center"/>
          </w:tcPr>
          <w:p w14:paraId="59DBF8A9" w14:textId="77777777" w:rsidR="008F36DF" w:rsidRDefault="008F36DF" w:rsidP="00584B91"/>
        </w:tc>
        <w:tc>
          <w:tcPr>
            <w:tcW w:w="1026" w:type="dxa"/>
            <w:vAlign w:val="center"/>
          </w:tcPr>
          <w:p w14:paraId="66DF6347" w14:textId="77777777" w:rsidR="008F36DF" w:rsidRDefault="008F36DF" w:rsidP="00584B91">
            <w:pPr>
              <w:rPr>
                <w:rFonts w:ascii="Arial" w:hAnsi="Arial" w:cs="Arial"/>
              </w:rPr>
            </w:pPr>
            <w:r w:rsidRPr="67E59EC3">
              <w:rPr>
                <w:rFonts w:ascii="Arial" w:hAnsi="Arial" w:cs="Arial"/>
              </w:rPr>
              <w:t>Q4</w:t>
            </w:r>
          </w:p>
        </w:tc>
        <w:tc>
          <w:tcPr>
            <w:tcW w:w="4820" w:type="dxa"/>
            <w:vAlign w:val="center"/>
          </w:tcPr>
          <w:p w14:paraId="22F08C9C" w14:textId="77777777" w:rsidR="008F36DF" w:rsidRDefault="008F36DF" w:rsidP="00584B91">
            <w:pPr>
              <w:rPr>
                <w:rFonts w:ascii="Arial" w:eastAsia="Arial" w:hAnsi="Arial" w:cs="Arial"/>
                <w:b/>
                <w:bCs/>
                <w:color w:val="000000" w:themeColor="text1"/>
              </w:rPr>
            </w:pPr>
            <w:r w:rsidRPr="67E59EC3">
              <w:rPr>
                <w:rFonts w:ascii="Arial" w:eastAsia="Arial" w:hAnsi="Arial" w:cs="Arial"/>
                <w:b/>
                <w:bCs/>
                <w:color w:val="000000" w:themeColor="text1"/>
              </w:rPr>
              <w:t>Sustainability</w:t>
            </w:r>
          </w:p>
        </w:tc>
        <w:tc>
          <w:tcPr>
            <w:tcW w:w="1418" w:type="dxa"/>
            <w:vAlign w:val="center"/>
          </w:tcPr>
          <w:p w14:paraId="014F1325" w14:textId="77777777" w:rsidR="008F36DF" w:rsidRDefault="008F36DF" w:rsidP="00584B91">
            <w:pPr>
              <w:rPr>
                <w:rFonts w:ascii="Arial" w:hAnsi="Arial" w:cs="Arial"/>
              </w:rPr>
            </w:pPr>
            <w:r w:rsidRPr="49DCDCFD">
              <w:rPr>
                <w:rFonts w:ascii="Arial" w:hAnsi="Arial" w:cs="Arial"/>
              </w:rPr>
              <w:t>5%</w:t>
            </w:r>
          </w:p>
        </w:tc>
      </w:tr>
      <w:tr w:rsidR="008F36DF" w:rsidRPr="00726A3B" w14:paraId="664186C3" w14:textId="77777777" w:rsidTr="00584B91">
        <w:trPr>
          <w:trHeight w:val="567"/>
        </w:trPr>
        <w:tc>
          <w:tcPr>
            <w:tcW w:w="1526" w:type="dxa"/>
            <w:vAlign w:val="center"/>
          </w:tcPr>
          <w:p w14:paraId="38E853A7" w14:textId="77777777" w:rsidR="008F36DF" w:rsidRPr="0037631A" w:rsidRDefault="008F36DF" w:rsidP="00584B91">
            <w:pPr>
              <w:rPr>
                <w:rFonts w:ascii="Arial" w:hAnsi="Arial" w:cs="Arial"/>
                <w:b/>
                <w:bCs/>
              </w:rPr>
            </w:pPr>
            <w:r w:rsidRPr="49DCDCFD">
              <w:rPr>
                <w:rFonts w:ascii="Arial" w:hAnsi="Arial" w:cs="Arial"/>
                <w:b/>
                <w:bCs/>
              </w:rPr>
              <w:t>Price 80%</w:t>
            </w:r>
          </w:p>
        </w:tc>
        <w:tc>
          <w:tcPr>
            <w:tcW w:w="5846" w:type="dxa"/>
            <w:gridSpan w:val="2"/>
            <w:vAlign w:val="center"/>
          </w:tcPr>
          <w:p w14:paraId="43DDF680" w14:textId="77777777" w:rsidR="008F36DF" w:rsidRPr="0037631A" w:rsidRDefault="008F36DF" w:rsidP="00584B91">
            <w:pPr>
              <w:rPr>
                <w:rFonts w:ascii="Arial" w:hAnsi="Arial" w:cs="Arial"/>
              </w:rPr>
            </w:pPr>
            <w:r w:rsidRPr="0037631A">
              <w:rPr>
                <w:rFonts w:ascii="Arial" w:hAnsi="Arial" w:cs="Arial"/>
              </w:rPr>
              <w:t>Total Contract Value</w:t>
            </w:r>
          </w:p>
        </w:tc>
        <w:tc>
          <w:tcPr>
            <w:tcW w:w="1418" w:type="dxa"/>
            <w:vAlign w:val="center"/>
          </w:tcPr>
          <w:p w14:paraId="35465542" w14:textId="77777777" w:rsidR="008F36DF" w:rsidRPr="0037631A" w:rsidRDefault="008F36DF" w:rsidP="00584B91">
            <w:pPr>
              <w:rPr>
                <w:rFonts w:ascii="Arial" w:hAnsi="Arial" w:cs="Arial"/>
              </w:rPr>
            </w:pPr>
            <w:r w:rsidRPr="49DCDCFD">
              <w:rPr>
                <w:rFonts w:ascii="Arial" w:hAnsi="Arial" w:cs="Arial"/>
              </w:rPr>
              <w:t>80%</w:t>
            </w:r>
          </w:p>
        </w:tc>
      </w:tr>
      <w:tr w:rsidR="008F36DF" w:rsidRPr="00D05A8B" w14:paraId="291B0C99" w14:textId="77777777" w:rsidTr="00584B91">
        <w:trPr>
          <w:trHeight w:val="567"/>
        </w:trPr>
        <w:tc>
          <w:tcPr>
            <w:tcW w:w="7372" w:type="dxa"/>
            <w:gridSpan w:val="3"/>
            <w:shd w:val="clear" w:color="auto" w:fill="BFBFBF" w:themeFill="background1" w:themeFillShade="BF"/>
            <w:vAlign w:val="center"/>
          </w:tcPr>
          <w:p w14:paraId="7ADBD31C" w14:textId="77777777" w:rsidR="008F36DF" w:rsidRPr="0037631A" w:rsidRDefault="008F36DF" w:rsidP="00584B91">
            <w:pPr>
              <w:rPr>
                <w:rFonts w:ascii="Arial" w:hAnsi="Arial" w:cs="Arial"/>
                <w:b/>
              </w:rPr>
            </w:pPr>
            <w:r w:rsidRPr="0037631A">
              <w:rPr>
                <w:rFonts w:ascii="Arial" w:hAnsi="Arial" w:cs="Arial"/>
                <w:b/>
              </w:rPr>
              <w:t>Total</w:t>
            </w:r>
          </w:p>
        </w:tc>
        <w:tc>
          <w:tcPr>
            <w:tcW w:w="1418" w:type="dxa"/>
            <w:shd w:val="clear" w:color="auto" w:fill="BFBFBF" w:themeFill="background1" w:themeFillShade="BF"/>
            <w:vAlign w:val="center"/>
          </w:tcPr>
          <w:p w14:paraId="5E3EC511" w14:textId="77777777" w:rsidR="008F36DF" w:rsidRPr="0037631A" w:rsidRDefault="008F36DF" w:rsidP="00584B91">
            <w:pPr>
              <w:rPr>
                <w:rFonts w:ascii="Arial" w:hAnsi="Arial" w:cs="Arial"/>
                <w:b/>
              </w:rPr>
            </w:pPr>
            <w:r w:rsidRPr="0037631A">
              <w:rPr>
                <w:rFonts w:ascii="Arial" w:hAnsi="Arial" w:cs="Arial"/>
                <w:b/>
              </w:rPr>
              <w:t>100%</w:t>
            </w:r>
          </w:p>
        </w:tc>
      </w:tr>
    </w:tbl>
    <w:p w14:paraId="7416A655" w14:textId="77777777" w:rsidR="008F36DF" w:rsidRDefault="008F36DF" w:rsidP="00653811">
      <w:pPr>
        <w:pStyle w:val="ListParagraph"/>
        <w:ind w:left="851"/>
        <w:jc w:val="both"/>
        <w:rPr>
          <w:rFonts w:ascii="Arial" w:hAnsi="Arial" w:cs="Arial"/>
        </w:rPr>
      </w:pPr>
    </w:p>
    <w:p w14:paraId="0DBB7187" w14:textId="77777777" w:rsidR="00B309BB" w:rsidRPr="00653811" w:rsidRDefault="00B309BB" w:rsidP="00653811">
      <w:pPr>
        <w:pStyle w:val="ListParagraph"/>
        <w:rPr>
          <w:rFonts w:ascii="Arial" w:hAnsi="Arial" w:cs="Arial"/>
        </w:rPr>
      </w:pPr>
    </w:p>
    <w:p w14:paraId="6AFF08EE" w14:textId="77777777" w:rsidR="00B309BB" w:rsidRPr="00B309BB" w:rsidRDefault="00B309BB" w:rsidP="002D2D9A">
      <w:pPr>
        <w:pStyle w:val="ListParagraph"/>
        <w:numPr>
          <w:ilvl w:val="1"/>
          <w:numId w:val="6"/>
        </w:numPr>
        <w:ind w:left="709" w:hanging="709"/>
        <w:jc w:val="both"/>
        <w:rPr>
          <w:rFonts w:ascii="Arial" w:hAnsi="Arial" w:cs="Arial"/>
        </w:rPr>
      </w:pPr>
      <w:r w:rsidRPr="00117E34">
        <w:rPr>
          <w:rFonts w:ascii="Arial" w:hAnsi="Arial" w:cs="Arial"/>
        </w:rPr>
        <w:t xml:space="preserve">Tenderers are </w:t>
      </w:r>
      <w:r w:rsidR="00AF661C">
        <w:rPr>
          <w:rFonts w:ascii="Arial" w:hAnsi="Arial" w:cs="Arial"/>
        </w:rPr>
        <w:t>advised</w:t>
      </w:r>
      <w:r w:rsidRPr="00117E34">
        <w:rPr>
          <w:rFonts w:ascii="Arial" w:hAnsi="Arial" w:cs="Arial"/>
        </w:rPr>
        <w:t xml:space="preserve"> to submit a Tender strictly in accordance with the requirements set out in this ITT, to ensure the Contracting Authority has the correct information to make the evaluation.  Evasive, unclear or hedged Tenders may be discounted in evaluation and may, at the Contracting Authority’s discretion, be taken as a rejection by the Tenderer of the terms set out in this ITT.</w:t>
      </w:r>
    </w:p>
    <w:p w14:paraId="550677D7" w14:textId="77777777" w:rsidR="00B309BB" w:rsidRDefault="00B309BB" w:rsidP="00653811">
      <w:pPr>
        <w:pStyle w:val="ListParagraph"/>
        <w:ind w:left="851"/>
        <w:jc w:val="both"/>
        <w:rPr>
          <w:rFonts w:ascii="Arial" w:hAnsi="Arial" w:cs="Arial"/>
        </w:rPr>
      </w:pPr>
    </w:p>
    <w:p w14:paraId="743043CD" w14:textId="77777777" w:rsidR="002D2D9A" w:rsidRPr="002D2D9A" w:rsidRDefault="002D2D9A" w:rsidP="002D2D9A">
      <w:pPr>
        <w:pStyle w:val="ListParagraph"/>
        <w:numPr>
          <w:ilvl w:val="1"/>
          <w:numId w:val="6"/>
        </w:numPr>
        <w:spacing w:after="0"/>
        <w:ind w:left="709" w:hanging="709"/>
        <w:jc w:val="both"/>
        <w:rPr>
          <w:rFonts w:ascii="Arial" w:hAnsi="Arial" w:cs="Arial"/>
        </w:rPr>
      </w:pPr>
      <w:r w:rsidRPr="5D7E5112">
        <w:rPr>
          <w:rFonts w:ascii="Arial" w:hAnsi="Arial" w:cs="Arial"/>
        </w:rPr>
        <w:t xml:space="preserve">Tie Breaker </w:t>
      </w:r>
    </w:p>
    <w:p w14:paraId="7AA6015C" w14:textId="77777777" w:rsidR="002D2D9A" w:rsidRPr="00510BA3" w:rsidRDefault="002D2D9A" w:rsidP="002D2D9A">
      <w:pPr>
        <w:pStyle w:val="ListParagraph"/>
        <w:ind w:left="709"/>
        <w:jc w:val="both"/>
        <w:rPr>
          <w:rFonts w:ascii="Arial" w:hAnsi="Arial" w:cs="Arial"/>
        </w:rPr>
      </w:pPr>
    </w:p>
    <w:p w14:paraId="4D8F2A38" w14:textId="77777777" w:rsidR="002D2D9A" w:rsidRDefault="002D2D9A" w:rsidP="002D2D9A">
      <w:pPr>
        <w:pStyle w:val="ListParagraph"/>
        <w:numPr>
          <w:ilvl w:val="2"/>
          <w:numId w:val="6"/>
        </w:numPr>
        <w:ind w:left="1560" w:hanging="840"/>
        <w:jc w:val="both"/>
        <w:rPr>
          <w:rFonts w:ascii="Arial" w:hAnsi="Arial" w:cs="Arial"/>
        </w:rPr>
      </w:pPr>
      <w:r>
        <w:rPr>
          <w:rFonts w:ascii="Arial" w:hAnsi="Arial" w:cs="Arial"/>
        </w:rPr>
        <w:t xml:space="preserve">This tie breaker will be applied </w:t>
      </w:r>
      <w:proofErr w:type="gramStart"/>
      <w:r>
        <w:rPr>
          <w:rFonts w:ascii="Arial" w:hAnsi="Arial" w:cs="Arial"/>
        </w:rPr>
        <w:t>in the event that</w:t>
      </w:r>
      <w:proofErr w:type="gramEnd"/>
      <w:r>
        <w:rPr>
          <w:rFonts w:ascii="Arial" w:hAnsi="Arial" w:cs="Arial"/>
        </w:rPr>
        <w:t xml:space="preserve">: </w:t>
      </w:r>
    </w:p>
    <w:p w14:paraId="085393AB" w14:textId="77777777" w:rsidR="002D2D9A" w:rsidRDefault="002D2D9A" w:rsidP="002D2D9A">
      <w:pPr>
        <w:pStyle w:val="ListParagraph"/>
        <w:ind w:left="1440"/>
        <w:jc w:val="both"/>
        <w:rPr>
          <w:rFonts w:ascii="Arial" w:hAnsi="Arial" w:cs="Arial"/>
        </w:rPr>
      </w:pPr>
    </w:p>
    <w:p w14:paraId="0954BB20" w14:textId="77777777" w:rsidR="002D2D9A" w:rsidRDefault="002D2D9A" w:rsidP="002D2D9A">
      <w:pPr>
        <w:pStyle w:val="ListParagraph"/>
        <w:numPr>
          <w:ilvl w:val="3"/>
          <w:numId w:val="6"/>
        </w:numPr>
        <w:ind w:left="2552" w:hanging="992"/>
        <w:jc w:val="both"/>
        <w:rPr>
          <w:rFonts w:ascii="Arial" w:hAnsi="Arial" w:cs="Arial"/>
        </w:rPr>
      </w:pPr>
      <w:r>
        <w:rPr>
          <w:rFonts w:ascii="Arial" w:hAnsi="Arial" w:cs="Arial"/>
        </w:rPr>
        <w:t>t</w:t>
      </w:r>
      <w:r w:rsidRPr="004E6BD0">
        <w:rPr>
          <w:rFonts w:ascii="Arial" w:hAnsi="Arial" w:cs="Arial"/>
        </w:rPr>
        <w:t>here are</w:t>
      </w:r>
      <w:r>
        <w:rPr>
          <w:rFonts w:ascii="Arial" w:hAnsi="Arial" w:cs="Arial"/>
        </w:rPr>
        <w:t xml:space="preserve"> two or more tied bidders for an award of a single contract, each having achieved identical scores on evaluation of the bids.</w:t>
      </w:r>
    </w:p>
    <w:p w14:paraId="129B705A" w14:textId="77777777" w:rsidR="002D2D9A" w:rsidRDefault="002D2D9A" w:rsidP="002D2D9A">
      <w:pPr>
        <w:pStyle w:val="ListParagraph"/>
        <w:ind w:left="2552" w:hanging="992"/>
        <w:jc w:val="both"/>
        <w:rPr>
          <w:rFonts w:ascii="Arial" w:hAnsi="Arial" w:cs="Arial"/>
        </w:rPr>
      </w:pPr>
    </w:p>
    <w:p w14:paraId="61A1C4DD" w14:textId="4D50AA04" w:rsidR="002D2D9A" w:rsidRDefault="002D2D9A" w:rsidP="002D2D9A">
      <w:pPr>
        <w:pStyle w:val="ListParagraph"/>
        <w:ind w:left="1800"/>
        <w:jc w:val="both"/>
        <w:rPr>
          <w:rFonts w:ascii="Arial" w:hAnsi="Arial" w:cs="Arial"/>
        </w:rPr>
      </w:pPr>
    </w:p>
    <w:p w14:paraId="160A3C50" w14:textId="6BEA8755" w:rsidR="002D2D9A" w:rsidRDefault="002D2D9A" w:rsidP="002D2D9A">
      <w:pPr>
        <w:pStyle w:val="ListParagraph"/>
        <w:ind w:left="1560" w:hanging="851"/>
        <w:jc w:val="both"/>
        <w:rPr>
          <w:rFonts w:ascii="Arial" w:hAnsi="Arial" w:cs="Arial"/>
        </w:rPr>
      </w:pPr>
      <w:r w:rsidRPr="00E30D9D">
        <w:rPr>
          <w:rFonts w:ascii="Arial" w:hAnsi="Arial" w:cs="Arial"/>
        </w:rPr>
        <w:t>1</w:t>
      </w:r>
      <w:r>
        <w:rPr>
          <w:rFonts w:ascii="Arial" w:hAnsi="Arial" w:cs="Arial"/>
        </w:rPr>
        <w:t>4</w:t>
      </w:r>
      <w:r w:rsidRPr="00E30D9D">
        <w:rPr>
          <w:rFonts w:ascii="Arial" w:hAnsi="Arial" w:cs="Arial"/>
        </w:rPr>
        <w:t>.</w:t>
      </w:r>
      <w:r>
        <w:rPr>
          <w:rFonts w:ascii="Arial" w:hAnsi="Arial" w:cs="Arial"/>
        </w:rPr>
        <w:t>5.2</w:t>
      </w:r>
      <w:r>
        <w:rPr>
          <w:rFonts w:ascii="Arial" w:hAnsi="Arial" w:cs="Arial"/>
        </w:rPr>
        <w:tab/>
        <w:t xml:space="preserve">In these circumstances the relevant </w:t>
      </w:r>
      <w:proofErr w:type="gramStart"/>
      <w:r>
        <w:rPr>
          <w:rFonts w:ascii="Arial" w:hAnsi="Arial" w:cs="Arial"/>
        </w:rPr>
        <w:t>contract,  will</w:t>
      </w:r>
      <w:proofErr w:type="gramEnd"/>
      <w:r>
        <w:rPr>
          <w:rFonts w:ascii="Arial" w:hAnsi="Arial" w:cs="Arial"/>
        </w:rPr>
        <w:t xml:space="preserve"> be awarded to the Tenderer who scored the highest mark as set out in this paragraph 14.5.2:</w:t>
      </w:r>
    </w:p>
    <w:p w14:paraId="21B87D5D" w14:textId="77777777" w:rsidR="002D2D9A" w:rsidRDefault="002D2D9A" w:rsidP="002D2D9A">
      <w:pPr>
        <w:pStyle w:val="ListParagraph"/>
        <w:ind w:left="2552" w:hanging="992"/>
        <w:jc w:val="both"/>
        <w:rPr>
          <w:rFonts w:ascii="Arial" w:hAnsi="Arial" w:cs="Arial"/>
        </w:rPr>
      </w:pPr>
    </w:p>
    <w:p w14:paraId="3DAE2A62" w14:textId="14E504D2" w:rsidR="002D2D9A" w:rsidRDefault="002D2D9A" w:rsidP="002D2D9A">
      <w:pPr>
        <w:pStyle w:val="ListParagraph"/>
        <w:ind w:left="2552" w:hanging="992"/>
        <w:jc w:val="both"/>
        <w:rPr>
          <w:rFonts w:ascii="Arial" w:hAnsi="Arial" w:cs="Arial"/>
        </w:rPr>
      </w:pPr>
      <w:r>
        <w:rPr>
          <w:rFonts w:ascii="Arial" w:hAnsi="Arial" w:cs="Arial"/>
        </w:rPr>
        <w:t>14.5.2.1 where Price is more than 50% of the Award Criteria, the Tenderer with the highest score on Price will prevail.</w:t>
      </w:r>
    </w:p>
    <w:p w14:paraId="5D9CC405" w14:textId="77777777" w:rsidR="002D2D9A" w:rsidRDefault="002D2D9A" w:rsidP="002D2D9A">
      <w:pPr>
        <w:pStyle w:val="ListParagraph"/>
        <w:ind w:left="2552" w:hanging="992"/>
        <w:jc w:val="both"/>
        <w:rPr>
          <w:rFonts w:ascii="Arial" w:hAnsi="Arial" w:cs="Arial"/>
        </w:rPr>
      </w:pPr>
    </w:p>
    <w:p w14:paraId="6218EC86" w14:textId="68B53BC6" w:rsidR="002D2D9A" w:rsidRDefault="002D2D9A" w:rsidP="002D2D9A">
      <w:pPr>
        <w:pStyle w:val="ListParagraph"/>
        <w:ind w:left="2552" w:hanging="992"/>
        <w:jc w:val="both"/>
        <w:rPr>
          <w:rFonts w:ascii="Arial" w:hAnsi="Arial" w:cs="Arial"/>
        </w:rPr>
      </w:pPr>
    </w:p>
    <w:p w14:paraId="7136C26B" w14:textId="77777777" w:rsidR="002D2D9A" w:rsidRDefault="002D2D9A" w:rsidP="002D2D9A">
      <w:pPr>
        <w:pStyle w:val="ListParagraph"/>
        <w:ind w:left="2552" w:hanging="992"/>
        <w:jc w:val="both"/>
        <w:rPr>
          <w:rFonts w:ascii="Arial" w:hAnsi="Arial" w:cs="Arial"/>
        </w:rPr>
      </w:pPr>
    </w:p>
    <w:p w14:paraId="519D937F" w14:textId="77777777" w:rsidR="002D2D9A" w:rsidRPr="00653811" w:rsidRDefault="002D2D9A" w:rsidP="00653811">
      <w:pPr>
        <w:pStyle w:val="ListParagraph"/>
        <w:ind w:left="851"/>
        <w:jc w:val="both"/>
        <w:rPr>
          <w:rFonts w:ascii="Arial" w:hAnsi="Arial" w:cs="Arial"/>
        </w:rPr>
      </w:pPr>
    </w:p>
    <w:p w14:paraId="253048C1" w14:textId="77777777" w:rsidR="00E83481" w:rsidRDefault="00B309BB" w:rsidP="002D2D9A">
      <w:pPr>
        <w:pStyle w:val="ListParagraph"/>
        <w:numPr>
          <w:ilvl w:val="0"/>
          <w:numId w:val="6"/>
        </w:numPr>
        <w:ind w:left="709" w:hanging="709"/>
        <w:jc w:val="both"/>
        <w:rPr>
          <w:rFonts w:ascii="Arial" w:hAnsi="Arial" w:cs="Arial"/>
          <w:b/>
        </w:rPr>
      </w:pPr>
      <w:r>
        <w:rPr>
          <w:rFonts w:ascii="Arial" w:hAnsi="Arial" w:cs="Arial"/>
          <w:b/>
        </w:rPr>
        <w:t>S</w:t>
      </w:r>
      <w:r w:rsidR="00B0300E" w:rsidRPr="00653811">
        <w:rPr>
          <w:rFonts w:ascii="Arial" w:hAnsi="Arial" w:cs="Arial"/>
          <w:b/>
        </w:rPr>
        <w:t>CORING</w:t>
      </w:r>
      <w:r w:rsidR="00E83481" w:rsidRPr="00653811">
        <w:rPr>
          <w:rFonts w:ascii="Arial" w:hAnsi="Arial" w:cs="Arial"/>
          <w:b/>
        </w:rPr>
        <w:t xml:space="preserve"> METHODOLOGY</w:t>
      </w:r>
    </w:p>
    <w:p w14:paraId="4863D0E1" w14:textId="77777777" w:rsidR="00B309BB" w:rsidRPr="00653811" w:rsidRDefault="00B309BB" w:rsidP="00653811">
      <w:pPr>
        <w:pStyle w:val="ListParagraph"/>
        <w:ind w:left="709"/>
        <w:jc w:val="both"/>
        <w:rPr>
          <w:rFonts w:ascii="Arial" w:hAnsi="Arial" w:cs="Arial"/>
          <w:b/>
        </w:rPr>
      </w:pPr>
    </w:p>
    <w:p w14:paraId="38512D7E" w14:textId="77777777" w:rsidR="00B309BB" w:rsidRDefault="006373CC" w:rsidP="002D2D9A">
      <w:pPr>
        <w:pStyle w:val="ListParagraph"/>
        <w:numPr>
          <w:ilvl w:val="1"/>
          <w:numId w:val="6"/>
        </w:numPr>
        <w:ind w:left="709" w:hanging="709"/>
        <w:jc w:val="both"/>
        <w:rPr>
          <w:rFonts w:ascii="Arial" w:hAnsi="Arial" w:cs="Arial"/>
        </w:rPr>
      </w:pPr>
      <w:r>
        <w:rPr>
          <w:rFonts w:ascii="Arial" w:hAnsi="Arial" w:cs="Arial"/>
        </w:rPr>
        <w:t>Quality Evaluation</w:t>
      </w:r>
    </w:p>
    <w:p w14:paraId="1D4B07E1" w14:textId="77777777" w:rsidR="00B309BB" w:rsidRDefault="00B309BB" w:rsidP="00653811">
      <w:pPr>
        <w:pStyle w:val="ListParagraph"/>
        <w:ind w:left="851"/>
        <w:jc w:val="both"/>
        <w:rPr>
          <w:rFonts w:ascii="Arial" w:hAnsi="Arial" w:cs="Arial"/>
        </w:rPr>
      </w:pPr>
    </w:p>
    <w:p w14:paraId="6279F2B1" w14:textId="77777777" w:rsidR="00B309BB" w:rsidRPr="00653811" w:rsidRDefault="00B309BB" w:rsidP="002D2D9A">
      <w:pPr>
        <w:pStyle w:val="ListParagraph"/>
        <w:numPr>
          <w:ilvl w:val="2"/>
          <w:numId w:val="6"/>
        </w:numPr>
        <w:spacing w:after="0"/>
        <w:ind w:left="1701" w:hanging="992"/>
        <w:jc w:val="both"/>
        <w:rPr>
          <w:rFonts w:ascii="Arial" w:hAnsi="Arial" w:cs="Arial"/>
        </w:rPr>
      </w:pPr>
      <w:r w:rsidRPr="00653811">
        <w:rPr>
          <w:rFonts w:ascii="Arial" w:hAnsi="Arial" w:cs="Arial"/>
        </w:rPr>
        <w:t>Response</w:t>
      </w:r>
      <w:r w:rsidRPr="00B309BB">
        <w:rPr>
          <w:rFonts w:ascii="Arial" w:hAnsi="Arial" w:cs="Arial"/>
        </w:rPr>
        <w:t xml:space="preserve">s to Schedule 5 (Tender Response Document) will be evaluated and scored on a scale of 0-5 using the following methodology and </w:t>
      </w:r>
      <w:r w:rsidRPr="00B309BB">
        <w:rPr>
          <w:rFonts w:ascii="Arial" w:hAnsi="Arial" w:cs="Arial"/>
        </w:rPr>
        <w:lastRenderedPageBreak/>
        <w:t>according to the professional judgement of the Contracting Authority’s requirements:</w:t>
      </w:r>
    </w:p>
    <w:p w14:paraId="7B6053BA" w14:textId="77777777" w:rsidR="000368F0" w:rsidRPr="00D05A8B" w:rsidRDefault="000368F0" w:rsidP="000368F0">
      <w:pPr>
        <w:contextualSpacing/>
        <w:rPr>
          <w:rFonts w:ascii="Arial" w:hAnsi="Arial" w:cs="Arial"/>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6001"/>
        <w:gridCol w:w="1922"/>
      </w:tblGrid>
      <w:tr w:rsidR="000368F0" w:rsidRPr="00D05A8B" w14:paraId="0E2ADC95" w14:textId="77777777" w:rsidTr="009A20DD">
        <w:trPr>
          <w:cantSplit/>
          <w:jc w:val="center"/>
        </w:trPr>
        <w:tc>
          <w:tcPr>
            <w:tcW w:w="897" w:type="dxa"/>
            <w:shd w:val="pct10" w:color="auto" w:fill="auto"/>
            <w:vAlign w:val="center"/>
          </w:tcPr>
          <w:p w14:paraId="39790832" w14:textId="77777777" w:rsidR="000368F0" w:rsidRPr="00D05A8B" w:rsidRDefault="000368F0" w:rsidP="000368F0">
            <w:pPr>
              <w:rPr>
                <w:rFonts w:ascii="Arial" w:hAnsi="Arial" w:cs="Arial"/>
                <w:b/>
                <w:bCs/>
              </w:rPr>
            </w:pPr>
            <w:r w:rsidRPr="00D05A8B">
              <w:rPr>
                <w:rFonts w:ascii="Arial" w:hAnsi="Arial" w:cs="Arial"/>
                <w:b/>
                <w:bCs/>
              </w:rPr>
              <w:t>Score</w:t>
            </w:r>
          </w:p>
        </w:tc>
        <w:tc>
          <w:tcPr>
            <w:tcW w:w="6001" w:type="dxa"/>
            <w:shd w:val="pct10" w:color="auto" w:fill="auto"/>
          </w:tcPr>
          <w:p w14:paraId="6AD4A7FF" w14:textId="709C2F8E" w:rsidR="003D0199" w:rsidRPr="00D05A8B" w:rsidRDefault="000368F0" w:rsidP="00466CDF">
            <w:pPr>
              <w:jc w:val="center"/>
              <w:rPr>
                <w:rFonts w:ascii="Arial" w:hAnsi="Arial" w:cs="Arial"/>
                <w:b/>
                <w:bCs/>
              </w:rPr>
            </w:pPr>
            <w:r w:rsidRPr="00D05A8B">
              <w:rPr>
                <w:rFonts w:ascii="Arial" w:hAnsi="Arial" w:cs="Arial"/>
                <w:b/>
                <w:bCs/>
              </w:rPr>
              <w:t>Performance</w:t>
            </w:r>
            <w:r w:rsidR="00FC6F74">
              <w:rPr>
                <w:rFonts w:ascii="Arial" w:hAnsi="Arial" w:cs="Arial"/>
                <w:b/>
                <w:bCs/>
              </w:rPr>
              <w:t xml:space="preserve"> </w:t>
            </w:r>
          </w:p>
        </w:tc>
        <w:tc>
          <w:tcPr>
            <w:tcW w:w="1922" w:type="dxa"/>
            <w:shd w:val="pct10" w:color="auto" w:fill="auto"/>
            <w:vAlign w:val="center"/>
          </w:tcPr>
          <w:p w14:paraId="7B3DD53F" w14:textId="77777777" w:rsidR="000368F0" w:rsidRPr="00D05A8B" w:rsidRDefault="000368F0" w:rsidP="00653811">
            <w:pPr>
              <w:jc w:val="center"/>
              <w:rPr>
                <w:rFonts w:ascii="Arial" w:hAnsi="Arial" w:cs="Arial"/>
                <w:b/>
                <w:bCs/>
              </w:rPr>
            </w:pPr>
            <w:r w:rsidRPr="00D05A8B">
              <w:rPr>
                <w:rFonts w:ascii="Arial" w:hAnsi="Arial" w:cs="Arial"/>
                <w:b/>
                <w:bCs/>
              </w:rPr>
              <w:t>Judgement</w:t>
            </w:r>
          </w:p>
        </w:tc>
      </w:tr>
      <w:tr w:rsidR="000368F0" w:rsidRPr="00D05A8B" w14:paraId="05732C57" w14:textId="77777777" w:rsidTr="009A20DD">
        <w:trPr>
          <w:jc w:val="center"/>
        </w:trPr>
        <w:tc>
          <w:tcPr>
            <w:tcW w:w="897" w:type="dxa"/>
            <w:vAlign w:val="center"/>
          </w:tcPr>
          <w:p w14:paraId="1D5CFC00" w14:textId="77777777" w:rsidR="000368F0" w:rsidRPr="00D05A8B" w:rsidRDefault="000368F0" w:rsidP="00653811">
            <w:pPr>
              <w:jc w:val="center"/>
              <w:rPr>
                <w:rFonts w:ascii="Arial" w:hAnsi="Arial" w:cs="Arial"/>
              </w:rPr>
            </w:pPr>
            <w:r w:rsidRPr="00D05A8B">
              <w:rPr>
                <w:rFonts w:ascii="Arial" w:hAnsi="Arial" w:cs="Arial"/>
              </w:rPr>
              <w:t>5</w:t>
            </w:r>
          </w:p>
        </w:tc>
        <w:tc>
          <w:tcPr>
            <w:tcW w:w="6001" w:type="dxa"/>
          </w:tcPr>
          <w:p w14:paraId="133C4480" w14:textId="77777777" w:rsidR="000368F0" w:rsidRPr="00D05A8B" w:rsidRDefault="000368F0" w:rsidP="00653811">
            <w:pPr>
              <w:jc w:val="both"/>
              <w:rPr>
                <w:rFonts w:ascii="Arial" w:hAnsi="Arial" w:cs="Arial"/>
              </w:rPr>
            </w:pPr>
            <w:r w:rsidRPr="00D05A8B">
              <w:rPr>
                <w:rFonts w:ascii="Arial" w:hAnsi="Arial" w:cs="Arial"/>
              </w:rPr>
              <w:t>Exemplary response.  Fully comprehensive and appropriate answer – fully meets the criteria set out in the question.  The response clearly demonstrates how they would meet the criteria set out in the question.  High level of confidence in bidder’s ability to deliver the essential requirements.</w:t>
            </w:r>
          </w:p>
        </w:tc>
        <w:tc>
          <w:tcPr>
            <w:tcW w:w="1922" w:type="dxa"/>
            <w:vAlign w:val="center"/>
          </w:tcPr>
          <w:p w14:paraId="0A1C9455" w14:textId="77777777" w:rsidR="000368F0" w:rsidRPr="00D05A8B" w:rsidRDefault="000368F0" w:rsidP="00653811">
            <w:pPr>
              <w:jc w:val="center"/>
              <w:rPr>
                <w:rFonts w:ascii="Arial" w:hAnsi="Arial" w:cs="Arial"/>
              </w:rPr>
            </w:pPr>
            <w:r w:rsidRPr="00D05A8B">
              <w:rPr>
                <w:rFonts w:ascii="Arial" w:hAnsi="Arial" w:cs="Arial"/>
              </w:rPr>
              <w:t>Excellent</w:t>
            </w:r>
          </w:p>
        </w:tc>
      </w:tr>
      <w:tr w:rsidR="000368F0" w:rsidRPr="00D05A8B" w14:paraId="6918A582" w14:textId="77777777" w:rsidTr="009A20DD">
        <w:trPr>
          <w:jc w:val="center"/>
        </w:trPr>
        <w:tc>
          <w:tcPr>
            <w:tcW w:w="897" w:type="dxa"/>
            <w:vAlign w:val="center"/>
          </w:tcPr>
          <w:p w14:paraId="2E78C692" w14:textId="77777777" w:rsidR="000368F0" w:rsidRPr="00D05A8B" w:rsidRDefault="000368F0" w:rsidP="00653811">
            <w:pPr>
              <w:jc w:val="center"/>
              <w:rPr>
                <w:rFonts w:ascii="Arial" w:hAnsi="Arial" w:cs="Arial"/>
              </w:rPr>
            </w:pPr>
            <w:r w:rsidRPr="00D05A8B">
              <w:rPr>
                <w:rFonts w:ascii="Arial" w:hAnsi="Arial" w:cs="Arial"/>
              </w:rPr>
              <w:t>4</w:t>
            </w:r>
          </w:p>
        </w:tc>
        <w:tc>
          <w:tcPr>
            <w:tcW w:w="6001" w:type="dxa"/>
          </w:tcPr>
          <w:p w14:paraId="6A669505" w14:textId="77777777" w:rsidR="000368F0" w:rsidRPr="00D05A8B" w:rsidRDefault="000368F0" w:rsidP="00653811">
            <w:pPr>
              <w:jc w:val="both"/>
              <w:rPr>
                <w:rFonts w:ascii="Arial" w:hAnsi="Arial" w:cs="Arial"/>
              </w:rPr>
            </w:pPr>
            <w:r w:rsidRPr="00D05A8B">
              <w:rPr>
                <w:rFonts w:ascii="Arial" w:hAnsi="Arial" w:cs="Arial"/>
              </w:rPr>
              <w:t>Response of a high standard.  Illustrates a high understanding and approach to the matter in question.  Gives reliable substance to validate response.  Good level of confidence in bidder’s ability to deliver the essential requirements.</w:t>
            </w:r>
          </w:p>
        </w:tc>
        <w:tc>
          <w:tcPr>
            <w:tcW w:w="1922" w:type="dxa"/>
            <w:vAlign w:val="center"/>
          </w:tcPr>
          <w:p w14:paraId="7C6FD3AE" w14:textId="77777777" w:rsidR="000368F0" w:rsidRPr="00D05A8B" w:rsidRDefault="000368F0" w:rsidP="00653811">
            <w:pPr>
              <w:jc w:val="center"/>
              <w:rPr>
                <w:rFonts w:ascii="Arial" w:hAnsi="Arial" w:cs="Arial"/>
              </w:rPr>
            </w:pPr>
            <w:r w:rsidRPr="00D05A8B">
              <w:rPr>
                <w:rFonts w:ascii="Arial" w:hAnsi="Arial" w:cs="Arial"/>
              </w:rPr>
              <w:t>Very Good</w:t>
            </w:r>
          </w:p>
        </w:tc>
      </w:tr>
      <w:tr w:rsidR="000368F0" w:rsidRPr="00D05A8B" w14:paraId="19802D08" w14:textId="77777777" w:rsidTr="009A20DD">
        <w:trPr>
          <w:jc w:val="center"/>
        </w:trPr>
        <w:tc>
          <w:tcPr>
            <w:tcW w:w="897" w:type="dxa"/>
            <w:vAlign w:val="center"/>
          </w:tcPr>
          <w:p w14:paraId="71924A42" w14:textId="77777777" w:rsidR="000368F0" w:rsidRPr="00D05A8B" w:rsidRDefault="000368F0" w:rsidP="00653811">
            <w:pPr>
              <w:jc w:val="center"/>
              <w:rPr>
                <w:rFonts w:ascii="Arial" w:hAnsi="Arial" w:cs="Arial"/>
              </w:rPr>
            </w:pPr>
            <w:r w:rsidRPr="00D05A8B">
              <w:rPr>
                <w:rFonts w:ascii="Arial" w:hAnsi="Arial" w:cs="Arial"/>
              </w:rPr>
              <w:t>3</w:t>
            </w:r>
          </w:p>
        </w:tc>
        <w:tc>
          <w:tcPr>
            <w:tcW w:w="6001" w:type="dxa"/>
          </w:tcPr>
          <w:p w14:paraId="1437C49C" w14:textId="0BC3088E" w:rsidR="000368F0" w:rsidRPr="00D05A8B" w:rsidRDefault="000368F0" w:rsidP="00653811">
            <w:pPr>
              <w:jc w:val="both"/>
              <w:rPr>
                <w:rFonts w:ascii="Arial" w:hAnsi="Arial" w:cs="Arial"/>
              </w:rPr>
            </w:pPr>
            <w:r w:rsidRPr="00D05A8B">
              <w:rPr>
                <w:rFonts w:ascii="Arial" w:hAnsi="Arial" w:cs="Arial"/>
              </w:rPr>
              <w:t xml:space="preserve">Response illustrates a good understanding of the question.  An appropriate response to the matter in </w:t>
            </w:r>
            <w:r w:rsidR="00505A11" w:rsidRPr="00D05A8B">
              <w:rPr>
                <w:rFonts w:ascii="Arial" w:hAnsi="Arial" w:cs="Arial"/>
              </w:rPr>
              <w:t>question but</w:t>
            </w:r>
            <w:r w:rsidRPr="00D05A8B">
              <w:rPr>
                <w:rFonts w:ascii="Arial" w:hAnsi="Arial" w:cs="Arial"/>
              </w:rPr>
              <w:t xml:space="preserve"> lacking reliable substance and evidence to validate response.  Would benefit from further detail.  Some confidence in bidder’s ability to deliver the essential requirements.</w:t>
            </w:r>
          </w:p>
        </w:tc>
        <w:tc>
          <w:tcPr>
            <w:tcW w:w="1922" w:type="dxa"/>
            <w:vAlign w:val="center"/>
          </w:tcPr>
          <w:p w14:paraId="3A7E4740" w14:textId="77777777" w:rsidR="000368F0" w:rsidRPr="00D05A8B" w:rsidRDefault="000368F0" w:rsidP="00653811">
            <w:pPr>
              <w:jc w:val="center"/>
              <w:rPr>
                <w:rFonts w:ascii="Arial" w:hAnsi="Arial" w:cs="Arial"/>
              </w:rPr>
            </w:pPr>
            <w:r w:rsidRPr="00D05A8B">
              <w:rPr>
                <w:rFonts w:ascii="Arial" w:hAnsi="Arial" w:cs="Arial"/>
              </w:rPr>
              <w:t>Good</w:t>
            </w:r>
          </w:p>
        </w:tc>
      </w:tr>
      <w:tr w:rsidR="000368F0" w:rsidRPr="00D05A8B" w14:paraId="0C49854F" w14:textId="77777777" w:rsidTr="009A20DD">
        <w:trPr>
          <w:jc w:val="center"/>
        </w:trPr>
        <w:tc>
          <w:tcPr>
            <w:tcW w:w="897" w:type="dxa"/>
            <w:vAlign w:val="center"/>
          </w:tcPr>
          <w:p w14:paraId="654C4A05" w14:textId="77777777" w:rsidR="000368F0" w:rsidRPr="00D05A8B" w:rsidRDefault="000368F0" w:rsidP="00653811">
            <w:pPr>
              <w:jc w:val="center"/>
              <w:rPr>
                <w:rFonts w:ascii="Arial" w:hAnsi="Arial" w:cs="Arial"/>
              </w:rPr>
            </w:pPr>
            <w:r w:rsidRPr="00D05A8B">
              <w:rPr>
                <w:rFonts w:ascii="Arial" w:hAnsi="Arial" w:cs="Arial"/>
              </w:rPr>
              <w:t>2</w:t>
            </w:r>
          </w:p>
        </w:tc>
        <w:tc>
          <w:tcPr>
            <w:tcW w:w="6001" w:type="dxa"/>
          </w:tcPr>
          <w:p w14:paraId="3AC091E9" w14:textId="77777777" w:rsidR="000368F0" w:rsidRPr="00D05A8B" w:rsidRDefault="000368F0" w:rsidP="00653811">
            <w:pPr>
              <w:jc w:val="both"/>
              <w:rPr>
                <w:rFonts w:ascii="Arial" w:hAnsi="Arial" w:cs="Arial"/>
              </w:rPr>
            </w:pPr>
            <w:r w:rsidRPr="00D05A8B">
              <w:rPr>
                <w:rFonts w:ascii="Arial" w:hAnsi="Arial" w:cs="Arial"/>
              </w:rPr>
              <w:t xml:space="preserve">Response illustrates a basic understanding of the matter in question but lacks detail.  Gaps in response, not meeting the full criteria set out in the question.  Some doubt in the </w:t>
            </w:r>
            <w:proofErr w:type="gramStart"/>
            <w:r w:rsidRPr="00D05A8B">
              <w:rPr>
                <w:rFonts w:ascii="Arial" w:hAnsi="Arial" w:cs="Arial"/>
              </w:rPr>
              <w:t>bidders</w:t>
            </w:r>
            <w:proofErr w:type="gramEnd"/>
            <w:r w:rsidRPr="00D05A8B">
              <w:rPr>
                <w:rFonts w:ascii="Arial" w:hAnsi="Arial" w:cs="Arial"/>
              </w:rPr>
              <w:t xml:space="preserve"> ability to deliver the essential requirements.</w:t>
            </w:r>
          </w:p>
        </w:tc>
        <w:tc>
          <w:tcPr>
            <w:tcW w:w="1922" w:type="dxa"/>
            <w:vAlign w:val="center"/>
          </w:tcPr>
          <w:p w14:paraId="08AA674C" w14:textId="77777777" w:rsidR="000368F0" w:rsidRPr="00D05A8B" w:rsidRDefault="000368F0" w:rsidP="00653811">
            <w:pPr>
              <w:jc w:val="center"/>
              <w:rPr>
                <w:rFonts w:ascii="Arial" w:hAnsi="Arial" w:cs="Arial"/>
              </w:rPr>
            </w:pPr>
            <w:r w:rsidRPr="00D05A8B">
              <w:rPr>
                <w:rFonts w:ascii="Arial" w:hAnsi="Arial" w:cs="Arial"/>
              </w:rPr>
              <w:t>Satisfactory</w:t>
            </w:r>
          </w:p>
        </w:tc>
      </w:tr>
      <w:tr w:rsidR="000368F0" w:rsidRPr="00D05A8B" w14:paraId="36728987" w14:textId="77777777" w:rsidTr="009A20DD">
        <w:trPr>
          <w:jc w:val="center"/>
        </w:trPr>
        <w:tc>
          <w:tcPr>
            <w:tcW w:w="897" w:type="dxa"/>
            <w:vAlign w:val="center"/>
          </w:tcPr>
          <w:p w14:paraId="7B8BF21A" w14:textId="77777777" w:rsidR="000368F0" w:rsidRPr="00D05A8B" w:rsidRDefault="000368F0" w:rsidP="00653811">
            <w:pPr>
              <w:jc w:val="center"/>
              <w:rPr>
                <w:rFonts w:ascii="Arial" w:hAnsi="Arial" w:cs="Arial"/>
              </w:rPr>
            </w:pPr>
            <w:r w:rsidRPr="00D05A8B">
              <w:rPr>
                <w:rFonts w:ascii="Arial" w:hAnsi="Arial" w:cs="Arial"/>
              </w:rPr>
              <w:t>1</w:t>
            </w:r>
          </w:p>
        </w:tc>
        <w:tc>
          <w:tcPr>
            <w:tcW w:w="6001" w:type="dxa"/>
          </w:tcPr>
          <w:p w14:paraId="42D3B772" w14:textId="77777777" w:rsidR="000368F0" w:rsidRPr="00D05A8B" w:rsidRDefault="000368F0" w:rsidP="00653811">
            <w:pPr>
              <w:jc w:val="both"/>
              <w:rPr>
                <w:rFonts w:ascii="Arial" w:hAnsi="Arial" w:cs="Arial"/>
              </w:rPr>
            </w:pPr>
            <w:r w:rsidRPr="00D05A8B">
              <w:rPr>
                <w:rFonts w:ascii="Arial" w:hAnsi="Arial" w:cs="Arial"/>
              </w:rPr>
              <w:t>Very limited response lacking in any relevant detail. Illustrates a very limited understanding of the matter in question.  Does not satisfactorily demonstrate how they would deliver the element in question.</w:t>
            </w:r>
          </w:p>
        </w:tc>
        <w:tc>
          <w:tcPr>
            <w:tcW w:w="1922" w:type="dxa"/>
            <w:vAlign w:val="center"/>
          </w:tcPr>
          <w:p w14:paraId="4F316EC0" w14:textId="77777777" w:rsidR="000368F0" w:rsidRPr="00D05A8B" w:rsidRDefault="000368F0" w:rsidP="00653811">
            <w:pPr>
              <w:jc w:val="center"/>
              <w:rPr>
                <w:rFonts w:ascii="Arial" w:hAnsi="Arial" w:cs="Arial"/>
              </w:rPr>
            </w:pPr>
            <w:r w:rsidRPr="00D05A8B">
              <w:rPr>
                <w:rFonts w:ascii="Arial" w:hAnsi="Arial" w:cs="Arial"/>
              </w:rPr>
              <w:t>Poor</w:t>
            </w:r>
          </w:p>
        </w:tc>
      </w:tr>
      <w:tr w:rsidR="000368F0" w:rsidRPr="00D05A8B" w14:paraId="2948BD92" w14:textId="77777777" w:rsidTr="009A20DD">
        <w:trPr>
          <w:jc w:val="center"/>
        </w:trPr>
        <w:tc>
          <w:tcPr>
            <w:tcW w:w="897" w:type="dxa"/>
            <w:vAlign w:val="center"/>
          </w:tcPr>
          <w:p w14:paraId="6312C859" w14:textId="77777777" w:rsidR="000368F0" w:rsidRPr="00D05A8B" w:rsidRDefault="000368F0" w:rsidP="00653811">
            <w:pPr>
              <w:jc w:val="center"/>
              <w:rPr>
                <w:rFonts w:ascii="Arial" w:hAnsi="Arial" w:cs="Arial"/>
              </w:rPr>
            </w:pPr>
            <w:r w:rsidRPr="00D05A8B">
              <w:rPr>
                <w:rFonts w:ascii="Arial" w:hAnsi="Arial" w:cs="Arial"/>
              </w:rPr>
              <w:t>0</w:t>
            </w:r>
          </w:p>
        </w:tc>
        <w:tc>
          <w:tcPr>
            <w:tcW w:w="6001" w:type="dxa"/>
          </w:tcPr>
          <w:p w14:paraId="629CE309" w14:textId="179C423D" w:rsidR="000368F0" w:rsidRPr="00D05A8B" w:rsidRDefault="000368F0" w:rsidP="00653811">
            <w:pPr>
              <w:jc w:val="both"/>
              <w:rPr>
                <w:rFonts w:ascii="Arial" w:hAnsi="Arial" w:cs="Arial"/>
              </w:rPr>
            </w:pPr>
            <w:r w:rsidRPr="00D05A8B">
              <w:rPr>
                <w:rFonts w:ascii="Arial" w:hAnsi="Arial" w:cs="Arial"/>
              </w:rPr>
              <w:t xml:space="preserve">Question not </w:t>
            </w:r>
            <w:r w:rsidR="00505A11" w:rsidRPr="00D05A8B">
              <w:rPr>
                <w:rFonts w:ascii="Arial" w:hAnsi="Arial" w:cs="Arial"/>
              </w:rPr>
              <w:t>answered or</w:t>
            </w:r>
            <w:r w:rsidRPr="00D05A8B">
              <w:rPr>
                <w:rFonts w:ascii="Arial" w:hAnsi="Arial" w:cs="Arial"/>
              </w:rPr>
              <w:t xml:space="preserve"> does not meet any of the criteria set out in the question and/or the provider fails to demonstrate how they would deliver the element in question.</w:t>
            </w:r>
          </w:p>
        </w:tc>
        <w:tc>
          <w:tcPr>
            <w:tcW w:w="1922" w:type="dxa"/>
            <w:vAlign w:val="center"/>
          </w:tcPr>
          <w:p w14:paraId="37BEAEE8" w14:textId="77777777" w:rsidR="000368F0" w:rsidRPr="00D05A8B" w:rsidRDefault="000368F0" w:rsidP="00653811">
            <w:pPr>
              <w:jc w:val="center"/>
              <w:rPr>
                <w:rFonts w:ascii="Arial" w:hAnsi="Arial" w:cs="Arial"/>
              </w:rPr>
            </w:pPr>
            <w:r w:rsidRPr="00D05A8B">
              <w:rPr>
                <w:rFonts w:ascii="Arial" w:hAnsi="Arial" w:cs="Arial"/>
              </w:rPr>
              <w:t>Unacceptable</w:t>
            </w:r>
          </w:p>
        </w:tc>
      </w:tr>
    </w:tbl>
    <w:p w14:paraId="669D41DC" w14:textId="77777777" w:rsidR="005A3F82" w:rsidRPr="00117E34" w:rsidRDefault="005A3F82" w:rsidP="00AF661C">
      <w:pPr>
        <w:spacing w:after="0"/>
        <w:ind w:left="1701" w:hanging="992"/>
        <w:rPr>
          <w:rFonts w:ascii="Arial" w:hAnsi="Arial" w:cs="Arial"/>
        </w:rPr>
      </w:pPr>
    </w:p>
    <w:p w14:paraId="39F47B20" w14:textId="77777777" w:rsidR="000368F0" w:rsidRDefault="000368F0" w:rsidP="002D2D9A">
      <w:pPr>
        <w:pStyle w:val="ListParagraph"/>
        <w:numPr>
          <w:ilvl w:val="2"/>
          <w:numId w:val="6"/>
        </w:numPr>
        <w:ind w:left="1701" w:hanging="992"/>
        <w:jc w:val="both"/>
        <w:rPr>
          <w:rFonts w:ascii="Arial" w:hAnsi="Arial" w:cs="Arial"/>
        </w:rPr>
      </w:pPr>
      <w:r w:rsidRPr="00653811">
        <w:rPr>
          <w:rFonts w:ascii="Arial" w:hAnsi="Arial" w:cs="Arial"/>
        </w:rPr>
        <w:t>The score will be divided by the total score available (5).  The total sum in each section will then be multiplied by the weighted criteria to create a total score.  The total score for each section is indicated in Schedule 5 – Tender Response Document</w:t>
      </w:r>
    </w:p>
    <w:p w14:paraId="73244B2C" w14:textId="77777777" w:rsidR="00AD50DD" w:rsidRDefault="00AD50DD" w:rsidP="00653811">
      <w:pPr>
        <w:pStyle w:val="ListParagraph"/>
        <w:ind w:left="1080" w:hanging="1080"/>
        <w:jc w:val="both"/>
        <w:rPr>
          <w:rFonts w:ascii="Arial" w:hAnsi="Arial" w:cs="Arial"/>
        </w:rPr>
      </w:pPr>
    </w:p>
    <w:p w14:paraId="5264BAF0" w14:textId="77777777" w:rsidR="00AD50DD" w:rsidRDefault="00AD50DD" w:rsidP="002D2D9A">
      <w:pPr>
        <w:pStyle w:val="ListParagraph"/>
        <w:numPr>
          <w:ilvl w:val="1"/>
          <w:numId w:val="6"/>
        </w:numPr>
        <w:tabs>
          <w:tab w:val="left" w:pos="709"/>
        </w:tabs>
        <w:ind w:left="709" w:hanging="709"/>
        <w:jc w:val="both"/>
        <w:rPr>
          <w:rFonts w:ascii="Arial" w:hAnsi="Arial" w:cs="Arial"/>
        </w:rPr>
      </w:pPr>
      <w:r w:rsidRPr="00B46A90">
        <w:rPr>
          <w:rFonts w:ascii="Arial" w:hAnsi="Arial" w:cs="Arial"/>
        </w:rPr>
        <w:t>Price Evaluation</w:t>
      </w:r>
    </w:p>
    <w:p w14:paraId="7D646F03" w14:textId="77777777" w:rsidR="00AD50DD" w:rsidRDefault="00AD50DD" w:rsidP="00653811">
      <w:pPr>
        <w:pStyle w:val="ListParagraph"/>
        <w:tabs>
          <w:tab w:val="left" w:pos="851"/>
        </w:tabs>
        <w:ind w:left="851"/>
        <w:jc w:val="both"/>
        <w:rPr>
          <w:rFonts w:ascii="Arial" w:hAnsi="Arial" w:cs="Arial"/>
        </w:rPr>
      </w:pPr>
    </w:p>
    <w:p w14:paraId="1103C087" w14:textId="32924D37" w:rsidR="00AD50DD" w:rsidRPr="00B46A90" w:rsidRDefault="00AD50DD" w:rsidP="002D2D9A">
      <w:pPr>
        <w:pStyle w:val="ListParagraph"/>
        <w:numPr>
          <w:ilvl w:val="2"/>
          <w:numId w:val="6"/>
        </w:numPr>
        <w:tabs>
          <w:tab w:val="left" w:pos="1701"/>
        </w:tabs>
        <w:ind w:left="1701" w:hanging="992"/>
        <w:jc w:val="both"/>
        <w:rPr>
          <w:rFonts w:ascii="Arial" w:hAnsi="Arial" w:cs="Arial"/>
        </w:rPr>
      </w:pPr>
      <w:r w:rsidRPr="00B46A90">
        <w:rPr>
          <w:rFonts w:ascii="Arial" w:hAnsi="Arial" w:cs="Arial"/>
        </w:rPr>
        <w:t xml:space="preserve">The Contracting Authority will give the lowest price submission </w:t>
      </w:r>
      <w:r w:rsidR="00A574B4">
        <w:rPr>
          <w:rFonts w:ascii="Arial" w:hAnsi="Arial" w:cs="Arial"/>
        </w:rPr>
        <w:t>70</w:t>
      </w:r>
      <w:r w:rsidRPr="00B46A90">
        <w:rPr>
          <w:rFonts w:ascii="Arial" w:hAnsi="Arial" w:cs="Arial"/>
        </w:rPr>
        <w:t>% and will use the following methodology to evaluate the remaining offers:</w:t>
      </w:r>
    </w:p>
    <w:p w14:paraId="57FDA706" w14:textId="77777777" w:rsidR="00AD50DD" w:rsidRPr="00AD50DD" w:rsidRDefault="00AD50DD" w:rsidP="00653811">
      <w:pPr>
        <w:pStyle w:val="ListParagraph"/>
        <w:tabs>
          <w:tab w:val="left" w:pos="1134"/>
        </w:tabs>
        <w:ind w:left="993" w:hanging="709"/>
        <w:jc w:val="both"/>
        <w:rPr>
          <w:rFonts w:ascii="Arial" w:hAnsi="Arial" w:cs="Arial"/>
        </w:rPr>
      </w:pPr>
    </w:p>
    <w:p w14:paraId="38FD82EC" w14:textId="141331E6" w:rsidR="00AD50DD" w:rsidRPr="00AD50DD" w:rsidRDefault="00AD50DD" w:rsidP="00AF661C">
      <w:pPr>
        <w:pStyle w:val="ListParagraph"/>
        <w:tabs>
          <w:tab w:val="left" w:pos="2268"/>
        </w:tabs>
        <w:ind w:left="2268"/>
        <w:jc w:val="both"/>
        <w:rPr>
          <w:rFonts w:ascii="Arial" w:hAnsi="Arial" w:cs="Arial"/>
        </w:rPr>
      </w:pPr>
      <w:r w:rsidRPr="00AD50DD">
        <w:rPr>
          <w:rFonts w:ascii="Arial" w:hAnsi="Arial" w:cs="Arial"/>
          <w:u w:val="single"/>
        </w:rPr>
        <w:t>Lowest Price</w:t>
      </w:r>
      <w:r w:rsidRPr="00AD50DD">
        <w:rPr>
          <w:rFonts w:ascii="Arial" w:hAnsi="Arial" w:cs="Arial"/>
        </w:rPr>
        <w:t xml:space="preserve"> x available marks = score</w:t>
      </w:r>
    </w:p>
    <w:p w14:paraId="7094673B" w14:textId="77777777" w:rsidR="00AD50DD" w:rsidRPr="00AD50DD" w:rsidRDefault="00AF661C" w:rsidP="00AF661C">
      <w:pPr>
        <w:pStyle w:val="ListParagraph"/>
        <w:tabs>
          <w:tab w:val="left" w:pos="993"/>
        </w:tabs>
        <w:ind w:left="2268" w:hanging="1275"/>
        <w:jc w:val="both"/>
        <w:rPr>
          <w:rFonts w:ascii="Arial" w:hAnsi="Arial" w:cs="Arial"/>
        </w:rPr>
      </w:pPr>
      <w:r>
        <w:rPr>
          <w:rFonts w:ascii="Arial" w:hAnsi="Arial" w:cs="Arial"/>
        </w:rPr>
        <w:tab/>
      </w:r>
      <w:r w:rsidR="00AD50DD" w:rsidRPr="00AD50DD">
        <w:rPr>
          <w:rFonts w:ascii="Arial" w:hAnsi="Arial" w:cs="Arial"/>
        </w:rPr>
        <w:t>Bidders Price</w:t>
      </w:r>
    </w:p>
    <w:p w14:paraId="084937ED" w14:textId="77777777" w:rsidR="00DC0A8D" w:rsidRDefault="00DC0A8D" w:rsidP="00653811">
      <w:pPr>
        <w:pStyle w:val="ListParagraph"/>
        <w:ind w:left="993" w:hanging="709"/>
        <w:rPr>
          <w:rFonts w:ascii="Arial" w:hAnsi="Arial" w:cs="Arial"/>
        </w:rPr>
      </w:pPr>
    </w:p>
    <w:p w14:paraId="7BF32B60" w14:textId="77777777" w:rsidR="00AD50DD" w:rsidRPr="00653811" w:rsidRDefault="00D85037" w:rsidP="002D2D9A">
      <w:pPr>
        <w:pStyle w:val="ListParagraph"/>
        <w:numPr>
          <w:ilvl w:val="2"/>
          <w:numId w:val="6"/>
        </w:numPr>
        <w:tabs>
          <w:tab w:val="left" w:pos="709"/>
        </w:tabs>
        <w:ind w:left="1701" w:hanging="992"/>
        <w:jc w:val="both"/>
        <w:rPr>
          <w:rFonts w:ascii="Arial" w:hAnsi="Arial" w:cs="Arial"/>
        </w:rPr>
      </w:pPr>
      <w:r w:rsidRPr="00117E34">
        <w:rPr>
          <w:rFonts w:ascii="Arial" w:hAnsi="Arial" w:cs="Arial"/>
        </w:rPr>
        <w:t xml:space="preserve">Tenderers must complete the Pricing Schedule (Schedule 6) in the exact format set out in the schedule.  The </w:t>
      </w:r>
      <w:r w:rsidR="00B65CAE">
        <w:rPr>
          <w:rFonts w:ascii="Arial" w:hAnsi="Arial" w:cs="Arial"/>
        </w:rPr>
        <w:t xml:space="preserve">Pricing </w:t>
      </w:r>
      <w:r w:rsidR="00DC0A8D">
        <w:rPr>
          <w:rFonts w:ascii="Arial" w:hAnsi="Arial" w:cs="Arial"/>
        </w:rPr>
        <w:t>S</w:t>
      </w:r>
      <w:r w:rsidRPr="00117E34">
        <w:rPr>
          <w:rFonts w:ascii="Arial" w:hAnsi="Arial" w:cs="Arial"/>
        </w:rPr>
        <w:t xml:space="preserve">chedule must be returned as a separate attachment to Schedule 5 (Tender Response Document).  If the </w:t>
      </w:r>
      <w:r w:rsidR="00B65CAE">
        <w:rPr>
          <w:rFonts w:ascii="Arial" w:hAnsi="Arial" w:cs="Arial"/>
        </w:rPr>
        <w:t>P</w:t>
      </w:r>
      <w:r w:rsidRPr="00117E34">
        <w:rPr>
          <w:rFonts w:ascii="Arial" w:hAnsi="Arial" w:cs="Arial"/>
        </w:rPr>
        <w:t xml:space="preserve">ricing </w:t>
      </w:r>
      <w:r w:rsidR="00B65CAE">
        <w:rPr>
          <w:rFonts w:ascii="Arial" w:hAnsi="Arial" w:cs="Arial"/>
        </w:rPr>
        <w:t>S</w:t>
      </w:r>
      <w:r w:rsidRPr="00117E34">
        <w:rPr>
          <w:rFonts w:ascii="Arial" w:hAnsi="Arial" w:cs="Arial"/>
        </w:rPr>
        <w:t xml:space="preserve">chedule is not received as a separate attachment or is received in any other format to that of the original format in the schedule, the Contracting Authority reserves the right not to consider the </w:t>
      </w:r>
      <w:r w:rsidR="00C4060D" w:rsidRPr="00117E34">
        <w:rPr>
          <w:rFonts w:ascii="Arial" w:hAnsi="Arial" w:cs="Arial"/>
        </w:rPr>
        <w:t>T</w:t>
      </w:r>
      <w:r w:rsidRPr="00117E34">
        <w:rPr>
          <w:rFonts w:ascii="Arial" w:hAnsi="Arial" w:cs="Arial"/>
        </w:rPr>
        <w:t>ender.</w:t>
      </w:r>
    </w:p>
    <w:p w14:paraId="3AD40F7D" w14:textId="77777777" w:rsidR="000368F0" w:rsidRPr="00D05A8B" w:rsidRDefault="000368F0" w:rsidP="00653811">
      <w:pPr>
        <w:pStyle w:val="ListParagraph"/>
        <w:tabs>
          <w:tab w:val="left" w:pos="709"/>
        </w:tabs>
        <w:ind w:left="709" w:hanging="709"/>
        <w:jc w:val="both"/>
        <w:rPr>
          <w:rFonts w:ascii="Arial" w:hAnsi="Arial" w:cs="Arial"/>
        </w:rPr>
      </w:pPr>
    </w:p>
    <w:p w14:paraId="746313EF" w14:textId="77777777" w:rsidR="00D136F3" w:rsidRPr="00DC0A8D" w:rsidRDefault="00D136F3" w:rsidP="002D2D9A">
      <w:pPr>
        <w:pStyle w:val="ListParagraph"/>
        <w:numPr>
          <w:ilvl w:val="1"/>
          <w:numId w:val="6"/>
        </w:numPr>
        <w:tabs>
          <w:tab w:val="left" w:pos="709"/>
        </w:tabs>
        <w:ind w:left="709" w:hanging="709"/>
        <w:jc w:val="both"/>
        <w:rPr>
          <w:rFonts w:ascii="Arial" w:hAnsi="Arial" w:cs="Arial"/>
        </w:rPr>
      </w:pPr>
      <w:r w:rsidRPr="00DC0A8D">
        <w:rPr>
          <w:rFonts w:ascii="Arial" w:hAnsi="Arial" w:cs="Arial"/>
        </w:rPr>
        <w:t xml:space="preserve">All prices shall be stated in pounds sterling and exclusive of VAT. </w:t>
      </w:r>
    </w:p>
    <w:p w14:paraId="1800BCC0" w14:textId="77777777" w:rsidR="00692DFB" w:rsidRPr="00DC0A8D" w:rsidRDefault="00692DFB" w:rsidP="00653811">
      <w:pPr>
        <w:pStyle w:val="ListParagraph"/>
        <w:tabs>
          <w:tab w:val="left" w:pos="709"/>
        </w:tabs>
        <w:ind w:left="709" w:hanging="709"/>
        <w:jc w:val="both"/>
        <w:rPr>
          <w:rFonts w:ascii="Arial" w:hAnsi="Arial" w:cs="Arial"/>
        </w:rPr>
      </w:pPr>
    </w:p>
    <w:p w14:paraId="6F55CE37" w14:textId="14C5043B" w:rsidR="00D136F3" w:rsidRDefault="00692DFB" w:rsidP="002D2D9A">
      <w:pPr>
        <w:pStyle w:val="ListParagraph"/>
        <w:numPr>
          <w:ilvl w:val="1"/>
          <w:numId w:val="6"/>
        </w:numPr>
        <w:tabs>
          <w:tab w:val="left" w:pos="709"/>
        </w:tabs>
        <w:ind w:left="709" w:hanging="709"/>
        <w:jc w:val="both"/>
        <w:rPr>
          <w:rFonts w:ascii="Arial" w:hAnsi="Arial" w:cs="Arial"/>
        </w:rPr>
      </w:pPr>
      <w:r w:rsidRPr="00DC0A8D">
        <w:rPr>
          <w:rFonts w:ascii="Arial" w:hAnsi="Arial" w:cs="Arial"/>
        </w:rPr>
        <w:t>Tenderers must also show all costs that will be associated with the Contract for example rates or expenses.  The Contracting Authority will not consider claims for extra payment for items that have not been specified.</w:t>
      </w:r>
    </w:p>
    <w:p w14:paraId="63D53A4C" w14:textId="77777777" w:rsidR="00505A11" w:rsidRPr="00505A11" w:rsidRDefault="00505A11" w:rsidP="00505A11">
      <w:pPr>
        <w:pStyle w:val="ListParagraph"/>
        <w:rPr>
          <w:rFonts w:ascii="Arial" w:hAnsi="Arial" w:cs="Arial"/>
        </w:rPr>
      </w:pPr>
    </w:p>
    <w:p w14:paraId="6540038E" w14:textId="77777777" w:rsidR="00505A11" w:rsidRPr="00DC0A8D" w:rsidRDefault="00505A11" w:rsidP="00505A11">
      <w:pPr>
        <w:pStyle w:val="ListParagraph"/>
        <w:tabs>
          <w:tab w:val="left" w:pos="709"/>
        </w:tabs>
        <w:ind w:left="709"/>
        <w:jc w:val="both"/>
        <w:rPr>
          <w:rFonts w:ascii="Arial" w:hAnsi="Arial" w:cs="Arial"/>
        </w:rPr>
      </w:pPr>
    </w:p>
    <w:p w14:paraId="5788BDCE" w14:textId="2A8E512D" w:rsidR="000368F0" w:rsidRDefault="007873D0" w:rsidP="00DB08B4">
      <w:pPr>
        <w:pStyle w:val="ListParagraph"/>
        <w:numPr>
          <w:ilvl w:val="0"/>
          <w:numId w:val="6"/>
        </w:numPr>
        <w:tabs>
          <w:tab w:val="left" w:pos="851"/>
        </w:tabs>
        <w:ind w:left="709" w:hanging="709"/>
        <w:jc w:val="both"/>
        <w:rPr>
          <w:rFonts w:ascii="Arial" w:hAnsi="Arial" w:cs="Arial"/>
          <w:b/>
        </w:rPr>
      </w:pPr>
      <w:r w:rsidRPr="00DB08B4">
        <w:rPr>
          <w:rFonts w:ascii="Arial" w:hAnsi="Arial" w:cs="Arial"/>
          <w:b/>
        </w:rPr>
        <w:t xml:space="preserve">DEMONSTRATIONS, SITE VISITS AND </w:t>
      </w:r>
      <w:r w:rsidR="00EF0649" w:rsidRPr="00DB08B4">
        <w:rPr>
          <w:rFonts w:ascii="Arial" w:hAnsi="Arial" w:cs="Arial"/>
          <w:b/>
        </w:rPr>
        <w:t xml:space="preserve">CLARIFICATION MEETINGS </w:t>
      </w:r>
    </w:p>
    <w:p w14:paraId="30CCEA10" w14:textId="77777777" w:rsidR="00505A11" w:rsidRPr="00A574B4" w:rsidRDefault="00505A11" w:rsidP="009906A6">
      <w:pPr>
        <w:pStyle w:val="ListParagraph"/>
        <w:tabs>
          <w:tab w:val="left" w:pos="851"/>
        </w:tabs>
        <w:ind w:left="709"/>
        <w:jc w:val="both"/>
        <w:rPr>
          <w:rFonts w:ascii="Arial" w:hAnsi="Arial" w:cs="Arial"/>
          <w:b/>
        </w:rPr>
      </w:pPr>
    </w:p>
    <w:p w14:paraId="52733804" w14:textId="37FCB447" w:rsidR="00505A11" w:rsidRDefault="00F91B93" w:rsidP="00997B15">
      <w:pPr>
        <w:pStyle w:val="ListParagraph"/>
        <w:numPr>
          <w:ilvl w:val="1"/>
          <w:numId w:val="6"/>
        </w:numPr>
        <w:spacing w:after="0" w:line="300" w:lineRule="exact"/>
        <w:ind w:hanging="786"/>
        <w:rPr>
          <w:rFonts w:ascii="Arial" w:hAnsi="Arial" w:cs="Arial"/>
        </w:rPr>
      </w:pPr>
      <w:r w:rsidRPr="009906A6">
        <w:rPr>
          <w:rFonts w:ascii="Arial" w:hAnsi="Arial" w:cs="Arial"/>
        </w:rPr>
        <w:t>Site Visit</w:t>
      </w:r>
      <w:r w:rsidR="00B9202D" w:rsidRPr="009906A6">
        <w:rPr>
          <w:rFonts w:ascii="Arial" w:hAnsi="Arial" w:cs="Arial"/>
        </w:rPr>
        <w:t>s</w:t>
      </w:r>
      <w:r w:rsidR="007F091B" w:rsidRPr="009906A6">
        <w:rPr>
          <w:rFonts w:ascii="Arial" w:hAnsi="Arial" w:cs="Arial"/>
        </w:rPr>
        <w:t xml:space="preserve"> </w:t>
      </w:r>
      <w:r w:rsidR="00997B15">
        <w:rPr>
          <w:rFonts w:ascii="Arial" w:hAnsi="Arial" w:cs="Arial"/>
        </w:rPr>
        <w:t>are not a requirement of tender preparation.</w:t>
      </w:r>
    </w:p>
    <w:p w14:paraId="42069A99" w14:textId="77777777" w:rsidR="009906A6" w:rsidRPr="009906A6" w:rsidRDefault="009906A6" w:rsidP="009906A6">
      <w:pPr>
        <w:pStyle w:val="ListParagraph"/>
        <w:spacing w:after="0" w:line="300" w:lineRule="exact"/>
        <w:ind w:left="786"/>
        <w:rPr>
          <w:rFonts w:ascii="Arial" w:hAnsi="Arial" w:cs="Arial"/>
        </w:rPr>
      </w:pPr>
    </w:p>
    <w:p w14:paraId="424A90CC" w14:textId="77777777" w:rsidR="00E83481" w:rsidRDefault="00E83481" w:rsidP="002D2D9A">
      <w:pPr>
        <w:pStyle w:val="ListParagraph"/>
        <w:numPr>
          <w:ilvl w:val="0"/>
          <w:numId w:val="6"/>
        </w:numPr>
        <w:tabs>
          <w:tab w:val="left" w:pos="851"/>
        </w:tabs>
        <w:ind w:left="709" w:hanging="709"/>
        <w:jc w:val="both"/>
        <w:rPr>
          <w:rFonts w:ascii="Arial" w:hAnsi="Arial" w:cs="Arial"/>
          <w:b/>
        </w:rPr>
      </w:pPr>
      <w:r w:rsidRPr="00D05A8B">
        <w:rPr>
          <w:rFonts w:ascii="Arial" w:hAnsi="Arial" w:cs="Arial"/>
          <w:b/>
        </w:rPr>
        <w:t>CONTRACT AWARD</w:t>
      </w:r>
    </w:p>
    <w:p w14:paraId="41A1B79A" w14:textId="77777777" w:rsidR="00A0376B" w:rsidRDefault="00A0376B" w:rsidP="00653811">
      <w:pPr>
        <w:pStyle w:val="ListParagraph"/>
        <w:tabs>
          <w:tab w:val="left" w:pos="851"/>
        </w:tabs>
        <w:ind w:left="709"/>
        <w:jc w:val="both"/>
        <w:rPr>
          <w:rFonts w:ascii="Arial" w:hAnsi="Arial" w:cs="Arial"/>
          <w:b/>
        </w:rPr>
      </w:pPr>
    </w:p>
    <w:p w14:paraId="740D7272" w14:textId="1BB47E7C" w:rsidR="00A0376B" w:rsidRPr="00653811" w:rsidRDefault="00A0376B" w:rsidP="002D2D9A">
      <w:pPr>
        <w:pStyle w:val="ListParagraph"/>
        <w:numPr>
          <w:ilvl w:val="1"/>
          <w:numId w:val="6"/>
        </w:numPr>
        <w:tabs>
          <w:tab w:val="left" w:pos="709"/>
        </w:tabs>
        <w:ind w:left="709" w:hanging="709"/>
        <w:jc w:val="both"/>
        <w:rPr>
          <w:rFonts w:ascii="Arial" w:hAnsi="Arial" w:cs="Arial"/>
          <w:b/>
        </w:rPr>
      </w:pPr>
      <w:r w:rsidRPr="00D66962">
        <w:rPr>
          <w:rFonts w:ascii="Arial" w:hAnsi="Arial" w:cs="Arial"/>
        </w:rPr>
        <w:t>Contract award is subject to the formal approval process of the Contracting Authority. This will include the provision and validation of all evidence requested as part of th</w:t>
      </w:r>
      <w:r w:rsidR="00466CDF">
        <w:rPr>
          <w:rFonts w:ascii="Arial" w:hAnsi="Arial" w:cs="Arial"/>
        </w:rPr>
        <w:t xml:space="preserve">e </w:t>
      </w:r>
      <w:r w:rsidRPr="00466CDF">
        <w:rPr>
          <w:rFonts w:ascii="Arial" w:hAnsi="Arial" w:cs="Arial"/>
        </w:rPr>
        <w:t>Suitability</w:t>
      </w:r>
      <w:r w:rsidR="00140A70" w:rsidRPr="00466CDF">
        <w:rPr>
          <w:rFonts w:ascii="Arial" w:hAnsi="Arial" w:cs="Arial"/>
        </w:rPr>
        <w:t xml:space="preserve"> Assessment </w:t>
      </w:r>
      <w:r w:rsidRPr="00466CDF">
        <w:rPr>
          <w:rFonts w:ascii="Arial" w:hAnsi="Arial" w:cs="Arial"/>
        </w:rPr>
        <w:t>and Tender Response.  Until all necessary approvals are obtained,</w:t>
      </w:r>
      <w:r w:rsidRPr="00D66962">
        <w:rPr>
          <w:rFonts w:ascii="Arial" w:hAnsi="Arial" w:cs="Arial"/>
        </w:rPr>
        <w:t xml:space="preserve"> no Contract(s) will be entered into.</w:t>
      </w:r>
      <w:r>
        <w:rPr>
          <w:rFonts w:ascii="Arial" w:hAnsi="Arial" w:cs="Arial"/>
        </w:rPr>
        <w:t xml:space="preserve"> </w:t>
      </w:r>
      <w:r w:rsidR="005B3814">
        <w:rPr>
          <w:rFonts w:ascii="Arial" w:hAnsi="Arial" w:cs="Arial"/>
        </w:rPr>
        <w:t>The Contract will form when the Contract is signed by both parties.</w:t>
      </w:r>
    </w:p>
    <w:p w14:paraId="42EC8802" w14:textId="77777777" w:rsidR="00A0376B" w:rsidRDefault="00A0376B" w:rsidP="00653811">
      <w:pPr>
        <w:pStyle w:val="ListParagraph"/>
        <w:tabs>
          <w:tab w:val="left" w:pos="709"/>
        </w:tabs>
        <w:ind w:left="709"/>
        <w:jc w:val="both"/>
        <w:rPr>
          <w:rFonts w:ascii="Arial" w:hAnsi="Arial" w:cs="Arial"/>
          <w:b/>
        </w:rPr>
      </w:pPr>
    </w:p>
    <w:p w14:paraId="5F62AA49" w14:textId="15842ED8" w:rsidR="00F44E9C" w:rsidRPr="002E3CB4" w:rsidRDefault="00F44E9C" w:rsidP="002E3CB4">
      <w:pPr>
        <w:pStyle w:val="ListParagraph"/>
        <w:numPr>
          <w:ilvl w:val="1"/>
          <w:numId w:val="6"/>
        </w:numPr>
        <w:tabs>
          <w:tab w:val="left" w:pos="709"/>
        </w:tabs>
        <w:ind w:left="709" w:hanging="709"/>
        <w:jc w:val="both"/>
        <w:rPr>
          <w:rFonts w:ascii="Arial" w:hAnsi="Arial" w:cs="Arial"/>
        </w:rPr>
      </w:pPr>
      <w:r w:rsidRPr="002E3CB4">
        <w:rPr>
          <w:rFonts w:ascii="Arial" w:hAnsi="Arial" w:cs="Arial"/>
        </w:rPr>
        <w:t xml:space="preserve">In the case of </w:t>
      </w:r>
      <w:r w:rsidR="00B65CAE" w:rsidRPr="002E3CB4">
        <w:rPr>
          <w:rFonts w:ascii="Arial" w:hAnsi="Arial" w:cs="Arial"/>
        </w:rPr>
        <w:t>the successful Tenderer failing</w:t>
      </w:r>
      <w:r w:rsidRPr="002E3CB4">
        <w:rPr>
          <w:rFonts w:ascii="Arial" w:hAnsi="Arial" w:cs="Arial"/>
        </w:rPr>
        <w:t xml:space="preserve"> to provide necessary evidence</w:t>
      </w:r>
      <w:r w:rsidR="00B65CAE" w:rsidRPr="002E3CB4">
        <w:rPr>
          <w:rFonts w:ascii="Arial" w:hAnsi="Arial" w:cs="Arial"/>
        </w:rPr>
        <w:t xml:space="preserve"> to support their Tender</w:t>
      </w:r>
      <w:r w:rsidRPr="002E3CB4">
        <w:rPr>
          <w:rFonts w:ascii="Arial" w:hAnsi="Arial" w:cs="Arial"/>
        </w:rPr>
        <w:t xml:space="preserve">, the Contracting Authority reserves the right to amend the </w:t>
      </w:r>
      <w:r w:rsidR="008B0C40" w:rsidRPr="002E3CB4">
        <w:rPr>
          <w:rFonts w:ascii="Arial" w:hAnsi="Arial" w:cs="Arial"/>
        </w:rPr>
        <w:t>C</w:t>
      </w:r>
      <w:r w:rsidRPr="002E3CB4">
        <w:rPr>
          <w:rFonts w:ascii="Arial" w:hAnsi="Arial" w:cs="Arial"/>
        </w:rPr>
        <w:t xml:space="preserve">ontract award decision and award to the next compliant </w:t>
      </w:r>
      <w:r w:rsidR="00B65CAE" w:rsidRPr="002E3CB4">
        <w:rPr>
          <w:rFonts w:ascii="Arial" w:hAnsi="Arial" w:cs="Arial"/>
        </w:rPr>
        <w:t>tenderer</w:t>
      </w:r>
      <w:r w:rsidRPr="002E3CB4">
        <w:rPr>
          <w:rFonts w:ascii="Arial" w:hAnsi="Arial" w:cs="Arial"/>
        </w:rPr>
        <w:t>.</w:t>
      </w:r>
    </w:p>
    <w:p w14:paraId="672B9A38" w14:textId="77777777" w:rsidR="00B3496F" w:rsidRPr="00D05A8B" w:rsidRDefault="00B3496F" w:rsidP="00A52232">
      <w:pPr>
        <w:rPr>
          <w:rFonts w:ascii="Arial" w:hAnsi="Arial" w:cs="Arial"/>
          <w:b/>
        </w:rPr>
      </w:pPr>
    </w:p>
    <w:p w14:paraId="0EC83F2C" w14:textId="2428D396" w:rsidR="00E83481" w:rsidRDefault="001466EC" w:rsidP="002D2D9A">
      <w:pPr>
        <w:pStyle w:val="ListParagraph"/>
        <w:numPr>
          <w:ilvl w:val="0"/>
          <w:numId w:val="6"/>
        </w:numPr>
        <w:tabs>
          <w:tab w:val="left" w:pos="851"/>
        </w:tabs>
        <w:ind w:left="709" w:hanging="709"/>
        <w:jc w:val="both"/>
        <w:rPr>
          <w:rFonts w:ascii="Arial" w:hAnsi="Arial" w:cs="Arial"/>
          <w:b/>
        </w:rPr>
      </w:pPr>
      <w:r w:rsidRPr="00D05A8B">
        <w:rPr>
          <w:rFonts w:ascii="Arial" w:hAnsi="Arial" w:cs="Arial"/>
          <w:b/>
        </w:rPr>
        <w:t>NOTIFICATION</w:t>
      </w:r>
      <w:r w:rsidR="00F44E9C" w:rsidRPr="00D05A8B">
        <w:rPr>
          <w:rFonts w:ascii="Arial" w:hAnsi="Arial" w:cs="Arial"/>
          <w:b/>
        </w:rPr>
        <w:t xml:space="preserve"> OF AWA</w:t>
      </w:r>
      <w:r w:rsidR="00466CDF">
        <w:rPr>
          <w:rFonts w:ascii="Arial" w:hAnsi="Arial" w:cs="Arial"/>
          <w:b/>
        </w:rPr>
        <w:t>RD</w:t>
      </w:r>
    </w:p>
    <w:p w14:paraId="332C32E2" w14:textId="77777777" w:rsidR="00A0376B" w:rsidRPr="00D05A8B" w:rsidRDefault="00A0376B" w:rsidP="00653811">
      <w:pPr>
        <w:pStyle w:val="ListParagraph"/>
        <w:tabs>
          <w:tab w:val="left" w:pos="851"/>
        </w:tabs>
        <w:ind w:left="709"/>
        <w:jc w:val="both"/>
        <w:rPr>
          <w:rFonts w:ascii="Arial" w:hAnsi="Arial" w:cs="Arial"/>
          <w:b/>
        </w:rPr>
      </w:pPr>
    </w:p>
    <w:p w14:paraId="04168D13" w14:textId="075AA155" w:rsidR="008C76E7" w:rsidRPr="00F15F3E" w:rsidRDefault="00E64159" w:rsidP="00627248">
      <w:pPr>
        <w:pStyle w:val="ListParagraph"/>
        <w:numPr>
          <w:ilvl w:val="1"/>
          <w:numId w:val="6"/>
        </w:numPr>
        <w:tabs>
          <w:tab w:val="left" w:pos="709"/>
        </w:tabs>
        <w:ind w:left="720" w:hanging="709"/>
        <w:jc w:val="both"/>
      </w:pPr>
      <w:r w:rsidRPr="002E3CB4">
        <w:rPr>
          <w:rFonts w:ascii="Arial" w:hAnsi="Arial" w:cs="Arial"/>
        </w:rPr>
        <w:tab/>
      </w:r>
      <w:r w:rsidR="008C76E7" w:rsidRPr="00F15F3E">
        <w:rPr>
          <w:rFonts w:ascii="Arial" w:hAnsi="Arial" w:cs="Arial"/>
        </w:rPr>
        <w:t>The contract award notification will be sent to each Tenderer.  The Contracting Authority will inform all Tenderers of the weighted scores they have achieved in the process, the identity of the successful Tenderer(s) and their scores achieved.</w:t>
      </w:r>
    </w:p>
    <w:p w14:paraId="69270BE0" w14:textId="23DC48F9" w:rsidR="00850D98" w:rsidRPr="00F15F3E" w:rsidRDefault="00850D98" w:rsidP="00F15F3E">
      <w:pPr>
        <w:pStyle w:val="ListParagraph"/>
        <w:tabs>
          <w:tab w:val="left" w:pos="709"/>
        </w:tabs>
        <w:jc w:val="both"/>
      </w:pPr>
    </w:p>
    <w:sectPr w:rsidR="00850D98" w:rsidRPr="00F15F3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493F4" w14:textId="77777777" w:rsidR="00425FB4" w:rsidRDefault="00425FB4" w:rsidP="0067622B">
      <w:pPr>
        <w:spacing w:after="0" w:line="240" w:lineRule="auto"/>
      </w:pPr>
      <w:r>
        <w:separator/>
      </w:r>
    </w:p>
  </w:endnote>
  <w:endnote w:type="continuationSeparator" w:id="0">
    <w:p w14:paraId="79693FEB" w14:textId="77777777" w:rsidR="00425FB4" w:rsidRDefault="00425FB4" w:rsidP="0067622B">
      <w:pPr>
        <w:spacing w:after="0" w:line="240" w:lineRule="auto"/>
      </w:pPr>
      <w:r>
        <w:continuationSeparator/>
      </w:r>
    </w:p>
  </w:endnote>
  <w:endnote w:type="continuationNotice" w:id="1">
    <w:p w14:paraId="2BE7EBDF" w14:textId="77777777" w:rsidR="00425FB4" w:rsidRDefault="00425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428658"/>
      <w:docPartObj>
        <w:docPartGallery w:val="Page Numbers (Bottom of Page)"/>
        <w:docPartUnique/>
      </w:docPartObj>
    </w:sdtPr>
    <w:sdtEndPr>
      <w:rPr>
        <w:rFonts w:ascii="Arial" w:hAnsi="Arial" w:cs="Arial"/>
      </w:rPr>
    </w:sdtEndPr>
    <w:sdtContent>
      <w:sdt>
        <w:sdtPr>
          <w:rPr>
            <w:rFonts w:ascii="Arial" w:hAnsi="Arial" w:cs="Arial"/>
          </w:rPr>
          <w:id w:val="-1669238322"/>
          <w:docPartObj>
            <w:docPartGallery w:val="Page Numbers (Top of Page)"/>
            <w:docPartUnique/>
          </w:docPartObj>
        </w:sdtPr>
        <w:sdtEndPr/>
        <w:sdtContent>
          <w:p w14:paraId="44435705" w14:textId="77777777" w:rsidR="000E45FB" w:rsidRPr="00D05A8B" w:rsidRDefault="000E45FB">
            <w:pPr>
              <w:pStyle w:val="Footer"/>
              <w:jc w:val="center"/>
              <w:rPr>
                <w:rFonts w:ascii="Arial" w:hAnsi="Arial" w:cs="Arial"/>
              </w:rPr>
            </w:pPr>
            <w:r w:rsidRPr="00D05A8B">
              <w:rPr>
                <w:rFonts w:ascii="Arial" w:hAnsi="Arial" w:cs="Arial"/>
              </w:rPr>
              <w:t xml:space="preserve">Page </w:t>
            </w:r>
            <w:r w:rsidRPr="00D05A8B">
              <w:rPr>
                <w:rFonts w:ascii="Arial" w:hAnsi="Arial" w:cs="Arial"/>
                <w:b/>
                <w:bCs/>
                <w:sz w:val="24"/>
                <w:szCs w:val="24"/>
              </w:rPr>
              <w:fldChar w:fldCharType="begin"/>
            </w:r>
            <w:r w:rsidRPr="00D05A8B">
              <w:rPr>
                <w:rFonts w:ascii="Arial" w:hAnsi="Arial" w:cs="Arial"/>
                <w:b/>
                <w:bCs/>
              </w:rPr>
              <w:instrText xml:space="preserve"> PAGE </w:instrText>
            </w:r>
            <w:r w:rsidRPr="00D05A8B">
              <w:rPr>
                <w:rFonts w:ascii="Arial" w:hAnsi="Arial" w:cs="Arial"/>
                <w:b/>
                <w:bCs/>
                <w:sz w:val="24"/>
                <w:szCs w:val="24"/>
              </w:rPr>
              <w:fldChar w:fldCharType="separate"/>
            </w:r>
            <w:r w:rsidR="00870CE4">
              <w:rPr>
                <w:rFonts w:ascii="Arial" w:hAnsi="Arial" w:cs="Arial"/>
                <w:b/>
                <w:bCs/>
                <w:noProof/>
              </w:rPr>
              <w:t>34</w:t>
            </w:r>
            <w:r w:rsidRPr="00D05A8B">
              <w:rPr>
                <w:rFonts w:ascii="Arial" w:hAnsi="Arial" w:cs="Arial"/>
                <w:b/>
                <w:bCs/>
                <w:sz w:val="24"/>
                <w:szCs w:val="24"/>
              </w:rPr>
              <w:fldChar w:fldCharType="end"/>
            </w:r>
            <w:r w:rsidRPr="00D05A8B">
              <w:rPr>
                <w:rFonts w:ascii="Arial" w:hAnsi="Arial" w:cs="Arial"/>
              </w:rPr>
              <w:t xml:space="preserve"> of </w:t>
            </w:r>
            <w:r w:rsidRPr="00D05A8B">
              <w:rPr>
                <w:rFonts w:ascii="Arial" w:hAnsi="Arial" w:cs="Arial"/>
                <w:b/>
                <w:bCs/>
                <w:sz w:val="24"/>
                <w:szCs w:val="24"/>
              </w:rPr>
              <w:fldChar w:fldCharType="begin"/>
            </w:r>
            <w:r w:rsidRPr="00D05A8B">
              <w:rPr>
                <w:rFonts w:ascii="Arial" w:hAnsi="Arial" w:cs="Arial"/>
                <w:b/>
                <w:bCs/>
              </w:rPr>
              <w:instrText xml:space="preserve"> NUMPAGES  </w:instrText>
            </w:r>
            <w:r w:rsidRPr="00D05A8B">
              <w:rPr>
                <w:rFonts w:ascii="Arial" w:hAnsi="Arial" w:cs="Arial"/>
                <w:b/>
                <w:bCs/>
                <w:sz w:val="24"/>
                <w:szCs w:val="24"/>
              </w:rPr>
              <w:fldChar w:fldCharType="separate"/>
            </w:r>
            <w:r w:rsidR="00870CE4">
              <w:rPr>
                <w:rFonts w:ascii="Arial" w:hAnsi="Arial" w:cs="Arial"/>
                <w:b/>
                <w:bCs/>
                <w:noProof/>
              </w:rPr>
              <w:t>34</w:t>
            </w:r>
            <w:r w:rsidRPr="00D05A8B">
              <w:rPr>
                <w:rFonts w:ascii="Arial" w:hAnsi="Arial" w:cs="Arial"/>
                <w:b/>
                <w:bCs/>
                <w:sz w:val="24"/>
                <w:szCs w:val="24"/>
              </w:rPr>
              <w:fldChar w:fldCharType="end"/>
            </w:r>
          </w:p>
        </w:sdtContent>
      </w:sdt>
    </w:sdtContent>
  </w:sdt>
  <w:p w14:paraId="666E2CB6" w14:textId="77777777" w:rsidR="00D858B2" w:rsidRPr="00D05A8B" w:rsidRDefault="000E45FB">
    <w:pPr>
      <w:pStyle w:val="Footer"/>
      <w:rPr>
        <w:rFonts w:ascii="Arial" w:hAnsi="Arial" w:cs="Arial"/>
      </w:rPr>
    </w:pPr>
    <w:r w:rsidRPr="00D05A8B">
      <w:rPr>
        <w:rFonts w:ascii="Arial" w:hAnsi="Arial" w:cs="Arial"/>
      </w:rPr>
      <w:t>Invitation to Tender –</w:t>
    </w:r>
    <w:r>
      <w:rPr>
        <w:rFonts w:ascii="Arial" w:hAnsi="Arial" w:cs="Arial"/>
      </w:rPr>
      <w:t>Open</w:t>
    </w:r>
    <w:r w:rsidR="00D858B2">
      <w:rPr>
        <w:rFonts w:ascii="Arial" w:hAnsi="Arial" w:cs="Arial"/>
      </w:rPr>
      <w:t xml:space="preserve"> </w:t>
    </w:r>
    <w:r>
      <w:rPr>
        <w:rFonts w:ascii="Arial" w:hAnsi="Arial" w:cs="Arial"/>
      </w:rPr>
      <w:t xml:space="preserve">Version </w:t>
    </w:r>
    <w:r w:rsidR="00D858B2">
      <w:rPr>
        <w:rFonts w:ascii="Arial" w:hAnsi="Arial" w:cs="Aria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8463" w14:textId="77777777" w:rsidR="00425FB4" w:rsidRDefault="00425FB4" w:rsidP="0067622B">
      <w:pPr>
        <w:spacing w:after="0" w:line="240" w:lineRule="auto"/>
      </w:pPr>
      <w:r>
        <w:separator/>
      </w:r>
    </w:p>
  </w:footnote>
  <w:footnote w:type="continuationSeparator" w:id="0">
    <w:p w14:paraId="25E17CC7" w14:textId="77777777" w:rsidR="00425FB4" w:rsidRDefault="00425FB4" w:rsidP="0067622B">
      <w:pPr>
        <w:spacing w:after="0" w:line="240" w:lineRule="auto"/>
      </w:pPr>
      <w:r>
        <w:continuationSeparator/>
      </w:r>
    </w:p>
  </w:footnote>
  <w:footnote w:type="continuationNotice" w:id="1">
    <w:p w14:paraId="045B5F75" w14:textId="77777777" w:rsidR="00425FB4" w:rsidRDefault="00425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8622" w14:textId="77777777" w:rsidR="000E45FB" w:rsidRPr="00D05A8B" w:rsidRDefault="000E45FB" w:rsidP="001C3943">
    <w:pPr>
      <w:pStyle w:val="Header"/>
      <w:jc w:val="right"/>
      <w:rPr>
        <w:rFonts w:ascii="Arial" w:hAnsi="Arial" w:cs="Arial"/>
      </w:rPr>
    </w:pPr>
  </w:p>
  <w:p w14:paraId="3C5D793A" w14:textId="77777777" w:rsidR="000E45FB" w:rsidRPr="0067622B" w:rsidRDefault="000E45FB" w:rsidP="0067622B">
    <w:pPr>
      <w:tabs>
        <w:tab w:val="center" w:pos="4513"/>
        <w:tab w:val="right" w:pos="9026"/>
      </w:tabs>
      <w:spacing w:after="0" w:line="240" w:lineRule="auto"/>
      <w:jc w:val="right"/>
    </w:pPr>
  </w:p>
  <w:p w14:paraId="69008CB8" w14:textId="77777777" w:rsidR="000E45FB" w:rsidRPr="0067622B" w:rsidRDefault="000E45FB" w:rsidP="0067622B">
    <w:pPr>
      <w:tabs>
        <w:tab w:val="center" w:pos="4513"/>
        <w:tab w:val="right" w:pos="9026"/>
      </w:tabs>
      <w:spacing w:after="0" w:line="240" w:lineRule="auto"/>
      <w:jc w:val="right"/>
    </w:pPr>
  </w:p>
  <w:p w14:paraId="55236933" w14:textId="77777777" w:rsidR="000E45FB" w:rsidRPr="0067622B" w:rsidRDefault="000E45FB" w:rsidP="0067622B">
    <w:pPr>
      <w:tabs>
        <w:tab w:val="center" w:pos="4513"/>
        <w:tab w:val="right" w:pos="9026"/>
      </w:tabs>
      <w:spacing w:after="0" w:line="240" w:lineRule="auto"/>
      <w:jc w:val="right"/>
    </w:pPr>
  </w:p>
  <w:p w14:paraId="4A87BB1E" w14:textId="77777777" w:rsidR="000E45FB" w:rsidRPr="0067622B" w:rsidRDefault="000E45FB" w:rsidP="0067622B">
    <w:pPr>
      <w:tabs>
        <w:tab w:val="center" w:pos="4513"/>
        <w:tab w:val="right" w:pos="9026"/>
      </w:tabs>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52CF8"/>
    <w:multiLevelType w:val="multilevel"/>
    <w:tmpl w:val="9FB43B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61AA9"/>
    <w:multiLevelType w:val="multilevel"/>
    <w:tmpl w:val="0A3AD0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F5059"/>
    <w:multiLevelType w:val="hybridMultilevel"/>
    <w:tmpl w:val="6A7C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A3A23"/>
    <w:multiLevelType w:val="multilevel"/>
    <w:tmpl w:val="2AC42258"/>
    <w:lvl w:ilvl="0">
      <w:start w:val="11"/>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8E7D8C"/>
    <w:multiLevelType w:val="multilevel"/>
    <w:tmpl w:val="846C9E18"/>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9F5EA3"/>
    <w:multiLevelType w:val="multilevel"/>
    <w:tmpl w:val="B2F8762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9021A"/>
    <w:multiLevelType w:val="multilevel"/>
    <w:tmpl w:val="AD8C51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952AF"/>
    <w:multiLevelType w:val="multilevel"/>
    <w:tmpl w:val="759089E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7A6531"/>
    <w:multiLevelType w:val="multilevel"/>
    <w:tmpl w:val="A4BAE3E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243D60"/>
    <w:multiLevelType w:val="multilevel"/>
    <w:tmpl w:val="933000EE"/>
    <w:lvl w:ilvl="0">
      <w:start w:val="1"/>
      <w:numFmt w:val="decimal"/>
      <w:lvlText w:val="%1."/>
      <w:lvlJc w:val="left"/>
      <w:pPr>
        <w:ind w:left="705" w:hanging="705"/>
      </w:pPr>
      <w:rPr>
        <w:rFonts w:hint="default"/>
        <w:b/>
        <w:u w:val="none"/>
      </w:rPr>
    </w:lvl>
    <w:lvl w:ilvl="1">
      <w:start w:val="1"/>
      <w:numFmt w:val="decimal"/>
      <w:isLgl/>
      <w:lvlText w:val="%1.%2"/>
      <w:lvlJc w:val="left"/>
      <w:pPr>
        <w:ind w:left="786" w:hanging="360"/>
      </w:pPr>
      <w:rPr>
        <w:rFonts w:ascii="Arial" w:hAnsi="Arial" w:cs="Arial" w:hint="default"/>
        <w:b w:val="0"/>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772189"/>
    <w:multiLevelType w:val="multilevel"/>
    <w:tmpl w:val="76843C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980D81"/>
    <w:multiLevelType w:val="multilevel"/>
    <w:tmpl w:val="A00C96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8C80B"/>
    <w:multiLevelType w:val="hybridMultilevel"/>
    <w:tmpl w:val="E79C0ED2"/>
    <w:lvl w:ilvl="0" w:tplc="EA2C57CC">
      <w:start w:val="1"/>
      <w:numFmt w:val="decimal"/>
      <w:lvlText w:val="%1."/>
      <w:lvlJc w:val="left"/>
      <w:pPr>
        <w:ind w:left="720" w:hanging="360"/>
      </w:pPr>
    </w:lvl>
    <w:lvl w:ilvl="1" w:tplc="94D0677A">
      <w:start w:val="1"/>
      <w:numFmt w:val="lowerLetter"/>
      <w:lvlText w:val="%2."/>
      <w:lvlJc w:val="left"/>
      <w:pPr>
        <w:ind w:left="1440" w:hanging="360"/>
      </w:pPr>
    </w:lvl>
    <w:lvl w:ilvl="2" w:tplc="4C3C07F0">
      <w:start w:val="1"/>
      <w:numFmt w:val="lowerRoman"/>
      <w:lvlText w:val="%3."/>
      <w:lvlJc w:val="right"/>
      <w:pPr>
        <w:ind w:left="2160" w:hanging="180"/>
      </w:pPr>
    </w:lvl>
    <w:lvl w:ilvl="3" w:tplc="C8A88270">
      <w:start w:val="1"/>
      <w:numFmt w:val="decimal"/>
      <w:lvlText w:val="%4."/>
      <w:lvlJc w:val="left"/>
      <w:pPr>
        <w:ind w:left="2880" w:hanging="360"/>
      </w:pPr>
    </w:lvl>
    <w:lvl w:ilvl="4" w:tplc="831C43AA">
      <w:start w:val="1"/>
      <w:numFmt w:val="lowerLetter"/>
      <w:lvlText w:val="%5."/>
      <w:lvlJc w:val="left"/>
      <w:pPr>
        <w:ind w:left="3600" w:hanging="360"/>
      </w:pPr>
    </w:lvl>
    <w:lvl w:ilvl="5" w:tplc="27EAB5B6">
      <w:start w:val="1"/>
      <w:numFmt w:val="lowerRoman"/>
      <w:lvlText w:val="%6."/>
      <w:lvlJc w:val="right"/>
      <w:pPr>
        <w:ind w:left="4320" w:hanging="180"/>
      </w:pPr>
    </w:lvl>
    <w:lvl w:ilvl="6" w:tplc="82B60D74">
      <w:start w:val="1"/>
      <w:numFmt w:val="decimal"/>
      <w:lvlText w:val="%7."/>
      <w:lvlJc w:val="left"/>
      <w:pPr>
        <w:ind w:left="5040" w:hanging="360"/>
      </w:pPr>
    </w:lvl>
    <w:lvl w:ilvl="7" w:tplc="5E72A94A">
      <w:start w:val="1"/>
      <w:numFmt w:val="lowerLetter"/>
      <w:lvlText w:val="%8."/>
      <w:lvlJc w:val="left"/>
      <w:pPr>
        <w:ind w:left="5760" w:hanging="360"/>
      </w:pPr>
    </w:lvl>
    <w:lvl w:ilvl="8" w:tplc="1F626D76">
      <w:start w:val="1"/>
      <w:numFmt w:val="lowerRoman"/>
      <w:lvlText w:val="%9."/>
      <w:lvlJc w:val="right"/>
      <w:pPr>
        <w:ind w:left="6480" w:hanging="180"/>
      </w:pPr>
    </w:lvl>
  </w:abstractNum>
  <w:abstractNum w:abstractNumId="13" w15:restartNumberingAfterBreak="0">
    <w:nsid w:val="4D6D0935"/>
    <w:multiLevelType w:val="hybridMultilevel"/>
    <w:tmpl w:val="B8202B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9B0B98"/>
    <w:multiLevelType w:val="hybridMultilevel"/>
    <w:tmpl w:val="CBC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A5DEC"/>
    <w:multiLevelType w:val="hybridMultilevel"/>
    <w:tmpl w:val="4B1E26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FD7875"/>
    <w:multiLevelType w:val="hybridMultilevel"/>
    <w:tmpl w:val="18642C50"/>
    <w:lvl w:ilvl="0" w:tplc="30FA77C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A904B8"/>
    <w:multiLevelType w:val="hybridMultilevel"/>
    <w:tmpl w:val="AE602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266778"/>
    <w:multiLevelType w:val="multilevel"/>
    <w:tmpl w:val="581229A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8D0810"/>
    <w:multiLevelType w:val="multilevel"/>
    <w:tmpl w:val="D752FA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B0AB3"/>
    <w:multiLevelType w:val="multilevel"/>
    <w:tmpl w:val="4ADA0E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7C219B"/>
    <w:multiLevelType w:val="hybridMultilevel"/>
    <w:tmpl w:val="F0C0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565959">
    <w:abstractNumId w:val="2"/>
  </w:num>
  <w:num w:numId="2" w16cid:durableId="306132167">
    <w:abstractNumId w:val="15"/>
  </w:num>
  <w:num w:numId="3" w16cid:durableId="1476339775">
    <w:abstractNumId w:val="13"/>
  </w:num>
  <w:num w:numId="4" w16cid:durableId="552354705">
    <w:abstractNumId w:val="18"/>
  </w:num>
  <w:num w:numId="5" w16cid:durableId="1697803700">
    <w:abstractNumId w:val="14"/>
  </w:num>
  <w:num w:numId="6" w16cid:durableId="388118717">
    <w:abstractNumId w:val="9"/>
  </w:num>
  <w:num w:numId="7" w16cid:durableId="859857853">
    <w:abstractNumId w:val="3"/>
  </w:num>
  <w:num w:numId="8" w16cid:durableId="121000826">
    <w:abstractNumId w:val="16"/>
  </w:num>
  <w:num w:numId="9" w16cid:durableId="1130049554">
    <w:abstractNumId w:val="4"/>
  </w:num>
  <w:num w:numId="10" w16cid:durableId="1339582769">
    <w:abstractNumId w:val="17"/>
  </w:num>
  <w:num w:numId="11" w16cid:durableId="1451246034">
    <w:abstractNumId w:val="22"/>
  </w:num>
  <w:num w:numId="12" w16cid:durableId="588386692">
    <w:abstractNumId w:val="20"/>
  </w:num>
  <w:num w:numId="13" w16cid:durableId="1497960881">
    <w:abstractNumId w:val="7"/>
  </w:num>
  <w:num w:numId="14" w16cid:durableId="451091448">
    <w:abstractNumId w:val="10"/>
  </w:num>
  <w:num w:numId="15" w16cid:durableId="224344813">
    <w:abstractNumId w:val="21"/>
  </w:num>
  <w:num w:numId="16" w16cid:durableId="179398327">
    <w:abstractNumId w:val="1"/>
  </w:num>
  <w:num w:numId="17" w16cid:durableId="1940134171">
    <w:abstractNumId w:val="5"/>
  </w:num>
  <w:num w:numId="18" w16cid:durableId="627591651">
    <w:abstractNumId w:val="6"/>
  </w:num>
  <w:num w:numId="19" w16cid:durableId="1228760892">
    <w:abstractNumId w:val="19"/>
  </w:num>
  <w:num w:numId="20" w16cid:durableId="88158665">
    <w:abstractNumId w:val="0"/>
  </w:num>
  <w:num w:numId="21" w16cid:durableId="976497513">
    <w:abstractNumId w:val="8"/>
  </w:num>
  <w:num w:numId="22" w16cid:durableId="960116528">
    <w:abstractNumId w:val="11"/>
  </w:num>
  <w:num w:numId="23" w16cid:durableId="195671399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wMTAyMrUwMTU3NjFX0lEKTi0uzszPAykwqQUA/B0mFCwAAAA="/>
  </w:docVars>
  <w:rsids>
    <w:rsidRoot w:val="000A3BA3"/>
    <w:rsid w:val="00001369"/>
    <w:rsid w:val="000141C1"/>
    <w:rsid w:val="00014210"/>
    <w:rsid w:val="00030135"/>
    <w:rsid w:val="00032657"/>
    <w:rsid w:val="000368F0"/>
    <w:rsid w:val="000401B6"/>
    <w:rsid w:val="00040922"/>
    <w:rsid w:val="00041C76"/>
    <w:rsid w:val="000459F4"/>
    <w:rsid w:val="00047357"/>
    <w:rsid w:val="000628AC"/>
    <w:rsid w:val="00072940"/>
    <w:rsid w:val="000743F9"/>
    <w:rsid w:val="0007485F"/>
    <w:rsid w:val="00084964"/>
    <w:rsid w:val="00084D0E"/>
    <w:rsid w:val="00086E2D"/>
    <w:rsid w:val="0009021F"/>
    <w:rsid w:val="00091C45"/>
    <w:rsid w:val="000A156B"/>
    <w:rsid w:val="000A31F4"/>
    <w:rsid w:val="000A3BA3"/>
    <w:rsid w:val="000A6CC3"/>
    <w:rsid w:val="000B6FAC"/>
    <w:rsid w:val="000C3D67"/>
    <w:rsid w:val="000C4245"/>
    <w:rsid w:val="000C4D60"/>
    <w:rsid w:val="000D0E04"/>
    <w:rsid w:val="000D5206"/>
    <w:rsid w:val="000D6482"/>
    <w:rsid w:val="000E2151"/>
    <w:rsid w:val="000E3BB5"/>
    <w:rsid w:val="000E45FB"/>
    <w:rsid w:val="000E5B8C"/>
    <w:rsid w:val="000E6ABB"/>
    <w:rsid w:val="000F0D6B"/>
    <w:rsid w:val="000F6EF4"/>
    <w:rsid w:val="00101ED5"/>
    <w:rsid w:val="00105B8B"/>
    <w:rsid w:val="00117E34"/>
    <w:rsid w:val="001268FF"/>
    <w:rsid w:val="001273F6"/>
    <w:rsid w:val="00130AA0"/>
    <w:rsid w:val="00132013"/>
    <w:rsid w:val="00140A70"/>
    <w:rsid w:val="00142A77"/>
    <w:rsid w:val="00145ED1"/>
    <w:rsid w:val="001466EC"/>
    <w:rsid w:val="001561E6"/>
    <w:rsid w:val="001569AA"/>
    <w:rsid w:val="0016252B"/>
    <w:rsid w:val="00162D51"/>
    <w:rsid w:val="00170F98"/>
    <w:rsid w:val="001748BA"/>
    <w:rsid w:val="001914D9"/>
    <w:rsid w:val="00197AE9"/>
    <w:rsid w:val="001A3B3D"/>
    <w:rsid w:val="001B2E84"/>
    <w:rsid w:val="001B3415"/>
    <w:rsid w:val="001C2B87"/>
    <w:rsid w:val="001C3943"/>
    <w:rsid w:val="001D360E"/>
    <w:rsid w:val="001F4090"/>
    <w:rsid w:val="00210948"/>
    <w:rsid w:val="002139B3"/>
    <w:rsid w:val="002217E9"/>
    <w:rsid w:val="002545FF"/>
    <w:rsid w:val="00266938"/>
    <w:rsid w:val="00270B78"/>
    <w:rsid w:val="00282791"/>
    <w:rsid w:val="00282B30"/>
    <w:rsid w:val="00292F81"/>
    <w:rsid w:val="002A1B23"/>
    <w:rsid w:val="002B2B4C"/>
    <w:rsid w:val="002B4AB4"/>
    <w:rsid w:val="002C0B7A"/>
    <w:rsid w:val="002C1400"/>
    <w:rsid w:val="002C60BA"/>
    <w:rsid w:val="002D2820"/>
    <w:rsid w:val="002D2D9A"/>
    <w:rsid w:val="002D7524"/>
    <w:rsid w:val="002E3CB4"/>
    <w:rsid w:val="002E47BB"/>
    <w:rsid w:val="002E4F07"/>
    <w:rsid w:val="002F0DE0"/>
    <w:rsid w:val="002F1F12"/>
    <w:rsid w:val="002F7378"/>
    <w:rsid w:val="003079A3"/>
    <w:rsid w:val="00311498"/>
    <w:rsid w:val="003130A7"/>
    <w:rsid w:val="00325375"/>
    <w:rsid w:val="00326546"/>
    <w:rsid w:val="0034102A"/>
    <w:rsid w:val="00341382"/>
    <w:rsid w:val="00341A16"/>
    <w:rsid w:val="00360AD7"/>
    <w:rsid w:val="00372EC6"/>
    <w:rsid w:val="0037631A"/>
    <w:rsid w:val="00382A80"/>
    <w:rsid w:val="0038720C"/>
    <w:rsid w:val="003908E2"/>
    <w:rsid w:val="003928B5"/>
    <w:rsid w:val="00392F42"/>
    <w:rsid w:val="0039596B"/>
    <w:rsid w:val="003B36EF"/>
    <w:rsid w:val="003B4E6A"/>
    <w:rsid w:val="003C05F9"/>
    <w:rsid w:val="003C0EDA"/>
    <w:rsid w:val="003C249B"/>
    <w:rsid w:val="003D0199"/>
    <w:rsid w:val="003D1810"/>
    <w:rsid w:val="003D1ACD"/>
    <w:rsid w:val="003D388D"/>
    <w:rsid w:val="003D7637"/>
    <w:rsid w:val="003E2D81"/>
    <w:rsid w:val="003F04DC"/>
    <w:rsid w:val="003F3C83"/>
    <w:rsid w:val="003F4CAA"/>
    <w:rsid w:val="003F50C8"/>
    <w:rsid w:val="00402C93"/>
    <w:rsid w:val="004060B5"/>
    <w:rsid w:val="00414FB8"/>
    <w:rsid w:val="0042126B"/>
    <w:rsid w:val="00421F4A"/>
    <w:rsid w:val="0042370D"/>
    <w:rsid w:val="00425FB4"/>
    <w:rsid w:val="00431A78"/>
    <w:rsid w:val="0045097A"/>
    <w:rsid w:val="00454231"/>
    <w:rsid w:val="00454389"/>
    <w:rsid w:val="00460FCB"/>
    <w:rsid w:val="0046556A"/>
    <w:rsid w:val="00466CDF"/>
    <w:rsid w:val="00471770"/>
    <w:rsid w:val="004724D1"/>
    <w:rsid w:val="00474698"/>
    <w:rsid w:val="00482B42"/>
    <w:rsid w:val="0048387F"/>
    <w:rsid w:val="004859DB"/>
    <w:rsid w:val="0048765A"/>
    <w:rsid w:val="00487C3A"/>
    <w:rsid w:val="00492AC7"/>
    <w:rsid w:val="00493BF0"/>
    <w:rsid w:val="00494CAF"/>
    <w:rsid w:val="004961E1"/>
    <w:rsid w:val="004A4A57"/>
    <w:rsid w:val="004B2959"/>
    <w:rsid w:val="004B3841"/>
    <w:rsid w:val="004C1225"/>
    <w:rsid w:val="004C199A"/>
    <w:rsid w:val="004C21E4"/>
    <w:rsid w:val="004C3CEC"/>
    <w:rsid w:val="004C5106"/>
    <w:rsid w:val="004D44F8"/>
    <w:rsid w:val="004D6C1A"/>
    <w:rsid w:val="004E53B9"/>
    <w:rsid w:val="004E63E3"/>
    <w:rsid w:val="004F066A"/>
    <w:rsid w:val="004F6133"/>
    <w:rsid w:val="00503921"/>
    <w:rsid w:val="00505A11"/>
    <w:rsid w:val="00507CD7"/>
    <w:rsid w:val="00510316"/>
    <w:rsid w:val="0051096E"/>
    <w:rsid w:val="005120EB"/>
    <w:rsid w:val="00513BAD"/>
    <w:rsid w:val="00515FD6"/>
    <w:rsid w:val="00523B75"/>
    <w:rsid w:val="0052524B"/>
    <w:rsid w:val="00526371"/>
    <w:rsid w:val="00527792"/>
    <w:rsid w:val="00527E49"/>
    <w:rsid w:val="0053034A"/>
    <w:rsid w:val="00531199"/>
    <w:rsid w:val="005348F0"/>
    <w:rsid w:val="00536627"/>
    <w:rsid w:val="00541FE2"/>
    <w:rsid w:val="00546D8F"/>
    <w:rsid w:val="00546FB6"/>
    <w:rsid w:val="00550881"/>
    <w:rsid w:val="00550D32"/>
    <w:rsid w:val="00551C30"/>
    <w:rsid w:val="0056334A"/>
    <w:rsid w:val="0057078D"/>
    <w:rsid w:val="00575636"/>
    <w:rsid w:val="00580F3F"/>
    <w:rsid w:val="005871B4"/>
    <w:rsid w:val="00595082"/>
    <w:rsid w:val="00595730"/>
    <w:rsid w:val="00595E81"/>
    <w:rsid w:val="00597B1C"/>
    <w:rsid w:val="005A3F82"/>
    <w:rsid w:val="005A4657"/>
    <w:rsid w:val="005B3814"/>
    <w:rsid w:val="005B395A"/>
    <w:rsid w:val="005B56F7"/>
    <w:rsid w:val="005B7D32"/>
    <w:rsid w:val="005C2AFA"/>
    <w:rsid w:val="005C305D"/>
    <w:rsid w:val="005C3728"/>
    <w:rsid w:val="005C572D"/>
    <w:rsid w:val="005C7E13"/>
    <w:rsid w:val="005E150E"/>
    <w:rsid w:val="005F07B3"/>
    <w:rsid w:val="005F35E0"/>
    <w:rsid w:val="005F3E30"/>
    <w:rsid w:val="005F5E4A"/>
    <w:rsid w:val="005F5F3A"/>
    <w:rsid w:val="005F7104"/>
    <w:rsid w:val="0060265A"/>
    <w:rsid w:val="00604A06"/>
    <w:rsid w:val="00610971"/>
    <w:rsid w:val="00620489"/>
    <w:rsid w:val="00627248"/>
    <w:rsid w:val="00635B5C"/>
    <w:rsid w:val="00636A0E"/>
    <w:rsid w:val="006373CC"/>
    <w:rsid w:val="00643B4B"/>
    <w:rsid w:val="00645332"/>
    <w:rsid w:val="00646072"/>
    <w:rsid w:val="0065089E"/>
    <w:rsid w:val="00653811"/>
    <w:rsid w:val="00653B6B"/>
    <w:rsid w:val="006607F8"/>
    <w:rsid w:val="006610FB"/>
    <w:rsid w:val="00670E4F"/>
    <w:rsid w:val="00672E3A"/>
    <w:rsid w:val="006744B0"/>
    <w:rsid w:val="00674F7C"/>
    <w:rsid w:val="00676109"/>
    <w:rsid w:val="0067622B"/>
    <w:rsid w:val="006803D9"/>
    <w:rsid w:val="00681E07"/>
    <w:rsid w:val="00684B92"/>
    <w:rsid w:val="00692DFB"/>
    <w:rsid w:val="006A1860"/>
    <w:rsid w:val="006A68F0"/>
    <w:rsid w:val="006B5CD9"/>
    <w:rsid w:val="006D2908"/>
    <w:rsid w:val="006D57A1"/>
    <w:rsid w:val="006F697D"/>
    <w:rsid w:val="007015F2"/>
    <w:rsid w:val="00702925"/>
    <w:rsid w:val="00703563"/>
    <w:rsid w:val="007113A2"/>
    <w:rsid w:val="007163C4"/>
    <w:rsid w:val="00726A3B"/>
    <w:rsid w:val="00741AE4"/>
    <w:rsid w:val="00745E77"/>
    <w:rsid w:val="00745F8F"/>
    <w:rsid w:val="00747F09"/>
    <w:rsid w:val="00750361"/>
    <w:rsid w:val="00752E48"/>
    <w:rsid w:val="007568D5"/>
    <w:rsid w:val="00756C7F"/>
    <w:rsid w:val="00762E62"/>
    <w:rsid w:val="007648FD"/>
    <w:rsid w:val="00764C75"/>
    <w:rsid w:val="00764DB8"/>
    <w:rsid w:val="00764E80"/>
    <w:rsid w:val="00765874"/>
    <w:rsid w:val="00765EF2"/>
    <w:rsid w:val="0076698B"/>
    <w:rsid w:val="00766F1F"/>
    <w:rsid w:val="00770252"/>
    <w:rsid w:val="00770CF8"/>
    <w:rsid w:val="0077186D"/>
    <w:rsid w:val="007732CF"/>
    <w:rsid w:val="00773E0B"/>
    <w:rsid w:val="00775D65"/>
    <w:rsid w:val="00783547"/>
    <w:rsid w:val="00783912"/>
    <w:rsid w:val="007873D0"/>
    <w:rsid w:val="00790155"/>
    <w:rsid w:val="0079433B"/>
    <w:rsid w:val="007A081C"/>
    <w:rsid w:val="007A2424"/>
    <w:rsid w:val="007A51D9"/>
    <w:rsid w:val="007B17B6"/>
    <w:rsid w:val="007B31F7"/>
    <w:rsid w:val="007B3336"/>
    <w:rsid w:val="007B7BCC"/>
    <w:rsid w:val="007C0B76"/>
    <w:rsid w:val="007C2D8E"/>
    <w:rsid w:val="007C3FD6"/>
    <w:rsid w:val="007C7353"/>
    <w:rsid w:val="007D04F9"/>
    <w:rsid w:val="007D24A2"/>
    <w:rsid w:val="007D2C4F"/>
    <w:rsid w:val="007D30A6"/>
    <w:rsid w:val="007E0B16"/>
    <w:rsid w:val="007E3D53"/>
    <w:rsid w:val="007E3FF4"/>
    <w:rsid w:val="007E6C9D"/>
    <w:rsid w:val="007E7934"/>
    <w:rsid w:val="007F091B"/>
    <w:rsid w:val="007F10CB"/>
    <w:rsid w:val="007F7132"/>
    <w:rsid w:val="008036ED"/>
    <w:rsid w:val="00804E91"/>
    <w:rsid w:val="00807F5C"/>
    <w:rsid w:val="00812CB0"/>
    <w:rsid w:val="008211FD"/>
    <w:rsid w:val="008223A4"/>
    <w:rsid w:val="00824E3A"/>
    <w:rsid w:val="00836EE6"/>
    <w:rsid w:val="00843A0A"/>
    <w:rsid w:val="00850D98"/>
    <w:rsid w:val="00857295"/>
    <w:rsid w:val="00870679"/>
    <w:rsid w:val="00870CE4"/>
    <w:rsid w:val="00873519"/>
    <w:rsid w:val="00876C27"/>
    <w:rsid w:val="00881E54"/>
    <w:rsid w:val="008835EF"/>
    <w:rsid w:val="00885DD6"/>
    <w:rsid w:val="00887D75"/>
    <w:rsid w:val="008902C6"/>
    <w:rsid w:val="00892D73"/>
    <w:rsid w:val="00892E3C"/>
    <w:rsid w:val="0089331A"/>
    <w:rsid w:val="0089486E"/>
    <w:rsid w:val="00897C7D"/>
    <w:rsid w:val="008A3DBD"/>
    <w:rsid w:val="008B00E9"/>
    <w:rsid w:val="008B0353"/>
    <w:rsid w:val="008B0C40"/>
    <w:rsid w:val="008B293B"/>
    <w:rsid w:val="008B3DD9"/>
    <w:rsid w:val="008C15D4"/>
    <w:rsid w:val="008C579F"/>
    <w:rsid w:val="008C76E7"/>
    <w:rsid w:val="008C7BB4"/>
    <w:rsid w:val="008C7BF0"/>
    <w:rsid w:val="008D4127"/>
    <w:rsid w:val="008D7EE9"/>
    <w:rsid w:val="008F36DF"/>
    <w:rsid w:val="008F4455"/>
    <w:rsid w:val="008F47EB"/>
    <w:rsid w:val="008F7319"/>
    <w:rsid w:val="009008F0"/>
    <w:rsid w:val="009022B9"/>
    <w:rsid w:val="00914871"/>
    <w:rsid w:val="00914EDD"/>
    <w:rsid w:val="00921A3A"/>
    <w:rsid w:val="009220A5"/>
    <w:rsid w:val="00927CEA"/>
    <w:rsid w:val="009303F6"/>
    <w:rsid w:val="009330DB"/>
    <w:rsid w:val="009365D6"/>
    <w:rsid w:val="00940C50"/>
    <w:rsid w:val="00945E5C"/>
    <w:rsid w:val="00952D06"/>
    <w:rsid w:val="00953AFB"/>
    <w:rsid w:val="00956B9F"/>
    <w:rsid w:val="00961549"/>
    <w:rsid w:val="00966566"/>
    <w:rsid w:val="00977183"/>
    <w:rsid w:val="00985D8B"/>
    <w:rsid w:val="009905A9"/>
    <w:rsid w:val="009906A6"/>
    <w:rsid w:val="00991784"/>
    <w:rsid w:val="009924EC"/>
    <w:rsid w:val="0099552D"/>
    <w:rsid w:val="00997B15"/>
    <w:rsid w:val="009A20DD"/>
    <w:rsid w:val="009A7BA2"/>
    <w:rsid w:val="009B17A4"/>
    <w:rsid w:val="009B1B7C"/>
    <w:rsid w:val="009B6CD1"/>
    <w:rsid w:val="009B6D2B"/>
    <w:rsid w:val="009C237E"/>
    <w:rsid w:val="009C5C17"/>
    <w:rsid w:val="009C7CA0"/>
    <w:rsid w:val="009D40A4"/>
    <w:rsid w:val="009E2C87"/>
    <w:rsid w:val="009E6AF2"/>
    <w:rsid w:val="009E7B12"/>
    <w:rsid w:val="009F21B6"/>
    <w:rsid w:val="00A013DB"/>
    <w:rsid w:val="00A0376B"/>
    <w:rsid w:val="00A13061"/>
    <w:rsid w:val="00A1596D"/>
    <w:rsid w:val="00A20E03"/>
    <w:rsid w:val="00A31C6E"/>
    <w:rsid w:val="00A52232"/>
    <w:rsid w:val="00A532F6"/>
    <w:rsid w:val="00A574B4"/>
    <w:rsid w:val="00A60989"/>
    <w:rsid w:val="00A73379"/>
    <w:rsid w:val="00A740D0"/>
    <w:rsid w:val="00A74B6D"/>
    <w:rsid w:val="00A82007"/>
    <w:rsid w:val="00A912AD"/>
    <w:rsid w:val="00A9423D"/>
    <w:rsid w:val="00A96F0E"/>
    <w:rsid w:val="00AA1DAB"/>
    <w:rsid w:val="00AA683B"/>
    <w:rsid w:val="00AB6D73"/>
    <w:rsid w:val="00AC44F8"/>
    <w:rsid w:val="00AD0340"/>
    <w:rsid w:val="00AD30E3"/>
    <w:rsid w:val="00AD50DD"/>
    <w:rsid w:val="00AD6340"/>
    <w:rsid w:val="00AE2C13"/>
    <w:rsid w:val="00AE41D3"/>
    <w:rsid w:val="00AE4395"/>
    <w:rsid w:val="00AF5F8A"/>
    <w:rsid w:val="00AF661C"/>
    <w:rsid w:val="00B010A8"/>
    <w:rsid w:val="00B02FB7"/>
    <w:rsid w:val="00B0300E"/>
    <w:rsid w:val="00B070A8"/>
    <w:rsid w:val="00B14FF7"/>
    <w:rsid w:val="00B253BD"/>
    <w:rsid w:val="00B254ED"/>
    <w:rsid w:val="00B309BB"/>
    <w:rsid w:val="00B3496F"/>
    <w:rsid w:val="00B35E21"/>
    <w:rsid w:val="00B37770"/>
    <w:rsid w:val="00B422AC"/>
    <w:rsid w:val="00B514CC"/>
    <w:rsid w:val="00B51B90"/>
    <w:rsid w:val="00B5248C"/>
    <w:rsid w:val="00B632E2"/>
    <w:rsid w:val="00B65BFA"/>
    <w:rsid w:val="00B65CAE"/>
    <w:rsid w:val="00B840BE"/>
    <w:rsid w:val="00B905CD"/>
    <w:rsid w:val="00B919F9"/>
    <w:rsid w:val="00B9202D"/>
    <w:rsid w:val="00B921F4"/>
    <w:rsid w:val="00BA4B5E"/>
    <w:rsid w:val="00BA69FB"/>
    <w:rsid w:val="00BB49F7"/>
    <w:rsid w:val="00BB7A61"/>
    <w:rsid w:val="00BC5BFF"/>
    <w:rsid w:val="00BD27A2"/>
    <w:rsid w:val="00BD45C4"/>
    <w:rsid w:val="00BE1CD7"/>
    <w:rsid w:val="00BE2694"/>
    <w:rsid w:val="00BE6098"/>
    <w:rsid w:val="00BF313B"/>
    <w:rsid w:val="00BF68E6"/>
    <w:rsid w:val="00BF72CB"/>
    <w:rsid w:val="00C051B1"/>
    <w:rsid w:val="00C05A3C"/>
    <w:rsid w:val="00C060A3"/>
    <w:rsid w:val="00C114B6"/>
    <w:rsid w:val="00C11AA7"/>
    <w:rsid w:val="00C23F7F"/>
    <w:rsid w:val="00C33429"/>
    <w:rsid w:val="00C4060D"/>
    <w:rsid w:val="00C41D06"/>
    <w:rsid w:val="00C60179"/>
    <w:rsid w:val="00C6607A"/>
    <w:rsid w:val="00C670F5"/>
    <w:rsid w:val="00C741D6"/>
    <w:rsid w:val="00C743A1"/>
    <w:rsid w:val="00C81222"/>
    <w:rsid w:val="00C82991"/>
    <w:rsid w:val="00C855AA"/>
    <w:rsid w:val="00C85ECE"/>
    <w:rsid w:val="00CA2CF1"/>
    <w:rsid w:val="00CB194F"/>
    <w:rsid w:val="00CB2B00"/>
    <w:rsid w:val="00CB7B04"/>
    <w:rsid w:val="00CC19F3"/>
    <w:rsid w:val="00CC237F"/>
    <w:rsid w:val="00CC311C"/>
    <w:rsid w:val="00CC3B33"/>
    <w:rsid w:val="00CC5A17"/>
    <w:rsid w:val="00CE062E"/>
    <w:rsid w:val="00CE1D65"/>
    <w:rsid w:val="00CF4B87"/>
    <w:rsid w:val="00D0201D"/>
    <w:rsid w:val="00D04A2E"/>
    <w:rsid w:val="00D05A8B"/>
    <w:rsid w:val="00D10464"/>
    <w:rsid w:val="00D136F3"/>
    <w:rsid w:val="00D161E8"/>
    <w:rsid w:val="00D16717"/>
    <w:rsid w:val="00D21742"/>
    <w:rsid w:val="00D21F6D"/>
    <w:rsid w:val="00D25164"/>
    <w:rsid w:val="00D3090F"/>
    <w:rsid w:val="00D35C9F"/>
    <w:rsid w:val="00D42355"/>
    <w:rsid w:val="00D446BC"/>
    <w:rsid w:val="00D44C1C"/>
    <w:rsid w:val="00D5197F"/>
    <w:rsid w:val="00D5536D"/>
    <w:rsid w:val="00D57EEA"/>
    <w:rsid w:val="00D6291D"/>
    <w:rsid w:val="00D641F3"/>
    <w:rsid w:val="00D66204"/>
    <w:rsid w:val="00D66962"/>
    <w:rsid w:val="00D70748"/>
    <w:rsid w:val="00D7438B"/>
    <w:rsid w:val="00D75707"/>
    <w:rsid w:val="00D77996"/>
    <w:rsid w:val="00D8044C"/>
    <w:rsid w:val="00D85037"/>
    <w:rsid w:val="00D858B2"/>
    <w:rsid w:val="00D91D6D"/>
    <w:rsid w:val="00D92356"/>
    <w:rsid w:val="00D92DAC"/>
    <w:rsid w:val="00D94431"/>
    <w:rsid w:val="00D94D11"/>
    <w:rsid w:val="00DA0674"/>
    <w:rsid w:val="00DA21B2"/>
    <w:rsid w:val="00DA293F"/>
    <w:rsid w:val="00DA717A"/>
    <w:rsid w:val="00DB0453"/>
    <w:rsid w:val="00DB08B4"/>
    <w:rsid w:val="00DB2F99"/>
    <w:rsid w:val="00DB40EF"/>
    <w:rsid w:val="00DB7BF4"/>
    <w:rsid w:val="00DC0A8D"/>
    <w:rsid w:val="00DD2412"/>
    <w:rsid w:val="00DD2AC9"/>
    <w:rsid w:val="00DD5B55"/>
    <w:rsid w:val="00DE0181"/>
    <w:rsid w:val="00DE2E37"/>
    <w:rsid w:val="00DE5F89"/>
    <w:rsid w:val="00DF07FF"/>
    <w:rsid w:val="00DF3DFB"/>
    <w:rsid w:val="00DF6DC0"/>
    <w:rsid w:val="00E01084"/>
    <w:rsid w:val="00E03266"/>
    <w:rsid w:val="00E0588C"/>
    <w:rsid w:val="00E10DF3"/>
    <w:rsid w:val="00E127D6"/>
    <w:rsid w:val="00E15AE8"/>
    <w:rsid w:val="00E15D63"/>
    <w:rsid w:val="00E20AD3"/>
    <w:rsid w:val="00E30021"/>
    <w:rsid w:val="00E30D0F"/>
    <w:rsid w:val="00E3761A"/>
    <w:rsid w:val="00E37E89"/>
    <w:rsid w:val="00E438A7"/>
    <w:rsid w:val="00E4390F"/>
    <w:rsid w:val="00E51A35"/>
    <w:rsid w:val="00E51E4D"/>
    <w:rsid w:val="00E5482D"/>
    <w:rsid w:val="00E64159"/>
    <w:rsid w:val="00E67946"/>
    <w:rsid w:val="00E8255B"/>
    <w:rsid w:val="00E83481"/>
    <w:rsid w:val="00E83814"/>
    <w:rsid w:val="00E86446"/>
    <w:rsid w:val="00E90A34"/>
    <w:rsid w:val="00E94CEA"/>
    <w:rsid w:val="00EA0215"/>
    <w:rsid w:val="00EA4CE5"/>
    <w:rsid w:val="00EB26C1"/>
    <w:rsid w:val="00EB316C"/>
    <w:rsid w:val="00EB6E24"/>
    <w:rsid w:val="00EB86E5"/>
    <w:rsid w:val="00EC1BF9"/>
    <w:rsid w:val="00EC2B5F"/>
    <w:rsid w:val="00ED204D"/>
    <w:rsid w:val="00EE53F8"/>
    <w:rsid w:val="00EF0649"/>
    <w:rsid w:val="00EF16B4"/>
    <w:rsid w:val="00EF4764"/>
    <w:rsid w:val="00EF5E1F"/>
    <w:rsid w:val="00EF790C"/>
    <w:rsid w:val="00F15F3E"/>
    <w:rsid w:val="00F22707"/>
    <w:rsid w:val="00F235BE"/>
    <w:rsid w:val="00F23807"/>
    <w:rsid w:val="00F2435E"/>
    <w:rsid w:val="00F24ED8"/>
    <w:rsid w:val="00F304DA"/>
    <w:rsid w:val="00F33F81"/>
    <w:rsid w:val="00F3406A"/>
    <w:rsid w:val="00F3598E"/>
    <w:rsid w:val="00F403CA"/>
    <w:rsid w:val="00F40B6E"/>
    <w:rsid w:val="00F414C9"/>
    <w:rsid w:val="00F43621"/>
    <w:rsid w:val="00F43AC2"/>
    <w:rsid w:val="00F44E9C"/>
    <w:rsid w:val="00F45FA0"/>
    <w:rsid w:val="00F545F3"/>
    <w:rsid w:val="00F54884"/>
    <w:rsid w:val="00F6283E"/>
    <w:rsid w:val="00F64BF2"/>
    <w:rsid w:val="00F64D6D"/>
    <w:rsid w:val="00F83090"/>
    <w:rsid w:val="00F86A91"/>
    <w:rsid w:val="00F90DAD"/>
    <w:rsid w:val="00F91B93"/>
    <w:rsid w:val="00F91D2E"/>
    <w:rsid w:val="00F92F17"/>
    <w:rsid w:val="00FA00A0"/>
    <w:rsid w:val="00FA4248"/>
    <w:rsid w:val="00FA42C7"/>
    <w:rsid w:val="00FB39B9"/>
    <w:rsid w:val="00FB3BB1"/>
    <w:rsid w:val="00FB7E2D"/>
    <w:rsid w:val="00FC3EA7"/>
    <w:rsid w:val="00FC6F74"/>
    <w:rsid w:val="00FE1E27"/>
    <w:rsid w:val="00FE474E"/>
    <w:rsid w:val="00FF0C52"/>
    <w:rsid w:val="00FF5348"/>
    <w:rsid w:val="00FF5A30"/>
    <w:rsid w:val="01349133"/>
    <w:rsid w:val="01FA374B"/>
    <w:rsid w:val="028D7754"/>
    <w:rsid w:val="0323A289"/>
    <w:rsid w:val="0323D9F6"/>
    <w:rsid w:val="039D8447"/>
    <w:rsid w:val="03B051A3"/>
    <w:rsid w:val="04177189"/>
    <w:rsid w:val="042B9F41"/>
    <w:rsid w:val="05D28D91"/>
    <w:rsid w:val="0621560D"/>
    <w:rsid w:val="06D44F48"/>
    <w:rsid w:val="06DDCD87"/>
    <w:rsid w:val="07939D7B"/>
    <w:rsid w:val="086DBE37"/>
    <w:rsid w:val="0924A801"/>
    <w:rsid w:val="09C007CF"/>
    <w:rsid w:val="0A99D292"/>
    <w:rsid w:val="0B7B1EF4"/>
    <w:rsid w:val="0BC4432F"/>
    <w:rsid w:val="0C1EEAD2"/>
    <w:rsid w:val="0CB74A46"/>
    <w:rsid w:val="0D48471F"/>
    <w:rsid w:val="0D6EEDF2"/>
    <w:rsid w:val="0E209B02"/>
    <w:rsid w:val="0E7DED94"/>
    <w:rsid w:val="0ED0F606"/>
    <w:rsid w:val="0FF195C8"/>
    <w:rsid w:val="100DA0A1"/>
    <w:rsid w:val="1015B4AB"/>
    <w:rsid w:val="10737EE8"/>
    <w:rsid w:val="11AEF32D"/>
    <w:rsid w:val="130C64B9"/>
    <w:rsid w:val="13E0CAED"/>
    <w:rsid w:val="142E81E0"/>
    <w:rsid w:val="14C2C009"/>
    <w:rsid w:val="14D4D816"/>
    <w:rsid w:val="1577E344"/>
    <w:rsid w:val="157B1908"/>
    <w:rsid w:val="159F2B58"/>
    <w:rsid w:val="1622149C"/>
    <w:rsid w:val="162A4BB3"/>
    <w:rsid w:val="1658036F"/>
    <w:rsid w:val="167A1D15"/>
    <w:rsid w:val="16CDD08A"/>
    <w:rsid w:val="17255FCE"/>
    <w:rsid w:val="17540DB5"/>
    <w:rsid w:val="1788354A"/>
    <w:rsid w:val="18D66798"/>
    <w:rsid w:val="18E2ADF6"/>
    <w:rsid w:val="199D044B"/>
    <w:rsid w:val="19A4A09A"/>
    <w:rsid w:val="1AAFF8C1"/>
    <w:rsid w:val="1B0F4CDE"/>
    <w:rsid w:val="1B138239"/>
    <w:rsid w:val="1B22976F"/>
    <w:rsid w:val="1B2BB52D"/>
    <w:rsid w:val="1B3EF3D5"/>
    <w:rsid w:val="1B65C4E0"/>
    <w:rsid w:val="1BBF362C"/>
    <w:rsid w:val="1D019541"/>
    <w:rsid w:val="1D859375"/>
    <w:rsid w:val="1D92ABB5"/>
    <w:rsid w:val="1DAE61E4"/>
    <w:rsid w:val="1DEE4643"/>
    <w:rsid w:val="1DFD4A18"/>
    <w:rsid w:val="1E11292F"/>
    <w:rsid w:val="1E86FD2F"/>
    <w:rsid w:val="1E9D65A2"/>
    <w:rsid w:val="1F6FEDA8"/>
    <w:rsid w:val="1F9BBF50"/>
    <w:rsid w:val="1FA33C6A"/>
    <w:rsid w:val="201B3F68"/>
    <w:rsid w:val="20BF78F5"/>
    <w:rsid w:val="21B5E287"/>
    <w:rsid w:val="21CEC069"/>
    <w:rsid w:val="2203D0FA"/>
    <w:rsid w:val="22C61A82"/>
    <w:rsid w:val="22C78631"/>
    <w:rsid w:val="22D86A3C"/>
    <w:rsid w:val="22F391B1"/>
    <w:rsid w:val="23172ECF"/>
    <w:rsid w:val="2322D70B"/>
    <w:rsid w:val="2538E615"/>
    <w:rsid w:val="2694E429"/>
    <w:rsid w:val="273B5ED1"/>
    <w:rsid w:val="273E60B3"/>
    <w:rsid w:val="2769A862"/>
    <w:rsid w:val="27F05258"/>
    <w:rsid w:val="2ADA3989"/>
    <w:rsid w:val="2B2723D8"/>
    <w:rsid w:val="2BC78527"/>
    <w:rsid w:val="2BECC80B"/>
    <w:rsid w:val="2C086BDC"/>
    <w:rsid w:val="2CF9C7FF"/>
    <w:rsid w:val="2DCF3235"/>
    <w:rsid w:val="2F400C9E"/>
    <w:rsid w:val="2F8FF28F"/>
    <w:rsid w:val="2FAFC251"/>
    <w:rsid w:val="3012AAB3"/>
    <w:rsid w:val="30BA3AE0"/>
    <w:rsid w:val="31D71FEE"/>
    <w:rsid w:val="31E6ED36"/>
    <w:rsid w:val="3243AFD0"/>
    <w:rsid w:val="32D321AE"/>
    <w:rsid w:val="32DB4117"/>
    <w:rsid w:val="33510987"/>
    <w:rsid w:val="33B6710A"/>
    <w:rsid w:val="33FE80A0"/>
    <w:rsid w:val="35A1EA95"/>
    <w:rsid w:val="3632F90C"/>
    <w:rsid w:val="36FA7D11"/>
    <w:rsid w:val="375FC844"/>
    <w:rsid w:val="37C096AF"/>
    <w:rsid w:val="37DC0151"/>
    <w:rsid w:val="381C44B9"/>
    <w:rsid w:val="38DF9E6F"/>
    <w:rsid w:val="39350648"/>
    <w:rsid w:val="3939B812"/>
    <w:rsid w:val="396DE725"/>
    <w:rsid w:val="39EA963B"/>
    <w:rsid w:val="3A5E140F"/>
    <w:rsid w:val="3B5920D2"/>
    <w:rsid w:val="3C7E53E7"/>
    <w:rsid w:val="3CE2924B"/>
    <w:rsid w:val="3D729669"/>
    <w:rsid w:val="3D93F78E"/>
    <w:rsid w:val="3DD6B4E2"/>
    <w:rsid w:val="3DDB1838"/>
    <w:rsid w:val="3EB01AF3"/>
    <w:rsid w:val="3F1A9221"/>
    <w:rsid w:val="3F2526E7"/>
    <w:rsid w:val="3F3FA1B7"/>
    <w:rsid w:val="3FF8264F"/>
    <w:rsid w:val="405DB535"/>
    <w:rsid w:val="407211D9"/>
    <w:rsid w:val="4120919C"/>
    <w:rsid w:val="42C458CC"/>
    <w:rsid w:val="437992C5"/>
    <w:rsid w:val="43E803BC"/>
    <w:rsid w:val="441E8D8D"/>
    <w:rsid w:val="44CAEB98"/>
    <w:rsid w:val="457111FC"/>
    <w:rsid w:val="46DED644"/>
    <w:rsid w:val="4763126F"/>
    <w:rsid w:val="47A3CAA7"/>
    <w:rsid w:val="483EC663"/>
    <w:rsid w:val="48528C7A"/>
    <w:rsid w:val="4A5DC5C6"/>
    <w:rsid w:val="4B23B0AB"/>
    <w:rsid w:val="4C478AE9"/>
    <w:rsid w:val="4C56250C"/>
    <w:rsid w:val="4C778FD0"/>
    <w:rsid w:val="4C9A5572"/>
    <w:rsid w:val="4CFE5D9E"/>
    <w:rsid w:val="4DD1826A"/>
    <w:rsid w:val="4E053194"/>
    <w:rsid w:val="50B5D383"/>
    <w:rsid w:val="511E3015"/>
    <w:rsid w:val="526769F0"/>
    <w:rsid w:val="536BD7B6"/>
    <w:rsid w:val="53CCA6EE"/>
    <w:rsid w:val="53FEF6F5"/>
    <w:rsid w:val="553A7F50"/>
    <w:rsid w:val="557D851B"/>
    <w:rsid w:val="58454BA2"/>
    <w:rsid w:val="58683450"/>
    <w:rsid w:val="5887A0DD"/>
    <w:rsid w:val="59F4AA2D"/>
    <w:rsid w:val="5ACD3181"/>
    <w:rsid w:val="5AEB8BD3"/>
    <w:rsid w:val="5B95C0B5"/>
    <w:rsid w:val="5C684B1E"/>
    <w:rsid w:val="5CC4E361"/>
    <w:rsid w:val="5D7E5112"/>
    <w:rsid w:val="5EFC0995"/>
    <w:rsid w:val="6011BB06"/>
    <w:rsid w:val="603CF728"/>
    <w:rsid w:val="6057212B"/>
    <w:rsid w:val="6162F05F"/>
    <w:rsid w:val="6286B6BA"/>
    <w:rsid w:val="6414E06A"/>
    <w:rsid w:val="642C5354"/>
    <w:rsid w:val="647B578C"/>
    <w:rsid w:val="64BE57A7"/>
    <w:rsid w:val="65D2DA61"/>
    <w:rsid w:val="6664B5B8"/>
    <w:rsid w:val="672FBD0E"/>
    <w:rsid w:val="68843AA4"/>
    <w:rsid w:val="69279593"/>
    <w:rsid w:val="6932A4DD"/>
    <w:rsid w:val="69E9FABD"/>
    <w:rsid w:val="6A2727E6"/>
    <w:rsid w:val="6A4F54AF"/>
    <w:rsid w:val="6A733906"/>
    <w:rsid w:val="6B3BE943"/>
    <w:rsid w:val="6B997455"/>
    <w:rsid w:val="6BB5D0BB"/>
    <w:rsid w:val="6C930640"/>
    <w:rsid w:val="6CFB3877"/>
    <w:rsid w:val="6D47E2D9"/>
    <w:rsid w:val="6D4FAF3C"/>
    <w:rsid w:val="6D52F804"/>
    <w:rsid w:val="6E3866CC"/>
    <w:rsid w:val="6EA86816"/>
    <w:rsid w:val="6EC78CBF"/>
    <w:rsid w:val="6FCDB42E"/>
    <w:rsid w:val="700D9446"/>
    <w:rsid w:val="7010D913"/>
    <w:rsid w:val="70DA1E3E"/>
    <w:rsid w:val="70E3A48A"/>
    <w:rsid w:val="717806DF"/>
    <w:rsid w:val="736E94E6"/>
    <w:rsid w:val="73DE4EA8"/>
    <w:rsid w:val="7465B6DD"/>
    <w:rsid w:val="756387F3"/>
    <w:rsid w:val="761B39D3"/>
    <w:rsid w:val="765701B9"/>
    <w:rsid w:val="77ABF8C4"/>
    <w:rsid w:val="788608F4"/>
    <w:rsid w:val="788F04D2"/>
    <w:rsid w:val="7A9F25B0"/>
    <w:rsid w:val="7ABBA4E3"/>
    <w:rsid w:val="7B25643D"/>
    <w:rsid w:val="7B2A67EE"/>
    <w:rsid w:val="7BAF1B71"/>
    <w:rsid w:val="7BF46868"/>
    <w:rsid w:val="7C814752"/>
    <w:rsid w:val="7D27E24F"/>
    <w:rsid w:val="7D64D5B0"/>
    <w:rsid w:val="7D9EF4B4"/>
    <w:rsid w:val="7E78F638"/>
    <w:rsid w:val="7ED31859"/>
    <w:rsid w:val="7FB0F23A"/>
    <w:rsid w:val="7FB6E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A1F50"/>
  <w15:docId w15:val="{125ACA93-CF25-4BEB-BFD9-BDCD91F3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3BA3"/>
    <w:rPr>
      <w:color w:val="0000FF" w:themeColor="hyperlink"/>
      <w:u w:val="single"/>
    </w:rPr>
  </w:style>
  <w:style w:type="paragraph" w:styleId="ListParagraph">
    <w:name w:val="List Paragraph"/>
    <w:aliases w:val="F5 List Paragraph,List Paragraph1,List Paragraph11,Dot pt,No Spacing1,List Paragraph Char Char Char,Indicator Text,Numbered Para 1,Bullet Points,MAIN CONTENT,List Paragraph12,Bullet Style,Colorful List - Accent 11,Normal numbered"/>
    <w:basedOn w:val="Normal"/>
    <w:link w:val="ListParagraphChar"/>
    <w:uiPriority w:val="34"/>
    <w:qFormat/>
    <w:rsid w:val="000A3BA3"/>
    <w:pPr>
      <w:ind w:left="720"/>
      <w:contextualSpacing/>
    </w:pPr>
  </w:style>
  <w:style w:type="paragraph" w:styleId="BalloonText">
    <w:name w:val="Balloon Text"/>
    <w:basedOn w:val="Normal"/>
    <w:link w:val="BalloonTextChar"/>
    <w:uiPriority w:val="99"/>
    <w:semiHidden/>
    <w:unhideWhenUsed/>
    <w:rsid w:val="003F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DC"/>
    <w:rPr>
      <w:rFonts w:ascii="Tahoma" w:hAnsi="Tahoma" w:cs="Tahoma"/>
      <w:sz w:val="16"/>
      <w:szCs w:val="16"/>
    </w:rPr>
  </w:style>
  <w:style w:type="table" w:styleId="TableGrid">
    <w:name w:val="Table Grid"/>
    <w:basedOn w:val="TableNormal"/>
    <w:uiPriority w:val="59"/>
    <w:rsid w:val="00A5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4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A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22B"/>
  </w:style>
  <w:style w:type="paragraph" w:styleId="Footer">
    <w:name w:val="footer"/>
    <w:basedOn w:val="Normal"/>
    <w:link w:val="FooterChar"/>
    <w:uiPriority w:val="99"/>
    <w:unhideWhenUsed/>
    <w:rsid w:val="00676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22B"/>
  </w:style>
  <w:style w:type="character" w:styleId="CommentReference">
    <w:name w:val="annotation reference"/>
    <w:basedOn w:val="DefaultParagraphFont"/>
    <w:uiPriority w:val="99"/>
    <w:semiHidden/>
    <w:unhideWhenUsed/>
    <w:rsid w:val="00F43AC2"/>
    <w:rPr>
      <w:sz w:val="16"/>
      <w:szCs w:val="16"/>
    </w:rPr>
  </w:style>
  <w:style w:type="paragraph" w:styleId="CommentText">
    <w:name w:val="annotation text"/>
    <w:basedOn w:val="Normal"/>
    <w:link w:val="CommentTextChar"/>
    <w:uiPriority w:val="99"/>
    <w:unhideWhenUsed/>
    <w:rsid w:val="00F43AC2"/>
    <w:pPr>
      <w:spacing w:line="240" w:lineRule="auto"/>
    </w:pPr>
    <w:rPr>
      <w:sz w:val="20"/>
      <w:szCs w:val="20"/>
    </w:rPr>
  </w:style>
  <w:style w:type="character" w:customStyle="1" w:styleId="CommentTextChar">
    <w:name w:val="Comment Text Char"/>
    <w:basedOn w:val="DefaultParagraphFont"/>
    <w:link w:val="CommentText"/>
    <w:uiPriority w:val="99"/>
    <w:rsid w:val="00F43AC2"/>
    <w:rPr>
      <w:sz w:val="20"/>
      <w:szCs w:val="20"/>
    </w:rPr>
  </w:style>
  <w:style w:type="paragraph" w:styleId="CommentSubject">
    <w:name w:val="annotation subject"/>
    <w:basedOn w:val="CommentText"/>
    <w:next w:val="CommentText"/>
    <w:link w:val="CommentSubjectChar"/>
    <w:uiPriority w:val="99"/>
    <w:semiHidden/>
    <w:unhideWhenUsed/>
    <w:rsid w:val="00F43AC2"/>
    <w:rPr>
      <w:b/>
      <w:bCs/>
    </w:rPr>
  </w:style>
  <w:style w:type="character" w:customStyle="1" w:styleId="CommentSubjectChar">
    <w:name w:val="Comment Subject Char"/>
    <w:basedOn w:val="CommentTextChar"/>
    <w:link w:val="CommentSubject"/>
    <w:uiPriority w:val="99"/>
    <w:semiHidden/>
    <w:rsid w:val="00F43AC2"/>
    <w:rPr>
      <w:b/>
      <w:bCs/>
      <w:sz w:val="20"/>
      <w:szCs w:val="20"/>
    </w:rPr>
  </w:style>
  <w:style w:type="paragraph" w:styleId="NoSpacing">
    <w:name w:val="No Spacing"/>
    <w:uiPriority w:val="1"/>
    <w:qFormat/>
    <w:rsid w:val="00162D51"/>
    <w:pPr>
      <w:spacing w:after="0" w:line="240" w:lineRule="auto"/>
    </w:pPr>
  </w:style>
  <w:style w:type="paragraph" w:customStyle="1" w:styleId="Normal1">
    <w:name w:val="Normal1"/>
    <w:rsid w:val="00DB40EF"/>
    <w:pPr>
      <w:spacing w:after="0" w:line="240" w:lineRule="auto"/>
    </w:pPr>
    <w:rPr>
      <w:rFonts w:ascii="Times New Roman" w:eastAsia="Times New Roman" w:hAnsi="Times New Roman" w:cs="Times New Roman"/>
      <w:color w:val="000000"/>
      <w:sz w:val="24"/>
      <w:szCs w:val="24"/>
    </w:rPr>
  </w:style>
  <w:style w:type="table" w:customStyle="1" w:styleId="TableGrid3">
    <w:name w:val="Table Grid3"/>
    <w:basedOn w:val="TableNormal"/>
    <w:next w:val="TableGrid"/>
    <w:uiPriority w:val="59"/>
    <w:rsid w:val="0095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300E"/>
    <w:rPr>
      <w:color w:val="808080"/>
    </w:rPr>
  </w:style>
  <w:style w:type="paragraph" w:styleId="NormalWeb">
    <w:name w:val="Normal (Web)"/>
    <w:basedOn w:val="Normal"/>
    <w:uiPriority w:val="99"/>
    <w:semiHidden/>
    <w:unhideWhenUsed/>
    <w:rsid w:val="00756C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D0199"/>
    <w:pPr>
      <w:spacing w:after="0" w:line="240" w:lineRule="auto"/>
    </w:pPr>
  </w:style>
  <w:style w:type="paragraph" w:customStyle="1" w:styleId="xxmsonormal">
    <w:name w:val="x_xmsonormal"/>
    <w:basedOn w:val="Normal"/>
    <w:rsid w:val="00D757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D7524"/>
    <w:rPr>
      <w:color w:val="800080" w:themeColor="followedHyperlink"/>
      <w:u w:val="single"/>
    </w:rPr>
  </w:style>
  <w:style w:type="character" w:customStyle="1" w:styleId="normaltextrun">
    <w:name w:val="normaltextrun"/>
    <w:basedOn w:val="DefaultParagraphFont"/>
    <w:rsid w:val="00765EF2"/>
  </w:style>
  <w:style w:type="character" w:customStyle="1" w:styleId="ListParagraphChar">
    <w:name w:val="List Paragraph Char"/>
    <w:aliases w:val="F5 List Paragraph Char,List Paragraph1 Char,List Paragraph11 Char,Dot pt Char,No Spacing1 Char,List Paragraph Char Char Char Char,Indicator Text Char,Numbered Para 1 Char,Bullet Points Char,MAIN CONTENT Char,List Paragraph12 Char"/>
    <w:link w:val="ListParagraph"/>
    <w:uiPriority w:val="34"/>
    <w:locked/>
    <w:rsid w:val="00B9202D"/>
  </w:style>
  <w:style w:type="paragraph" w:customStyle="1" w:styleId="Default">
    <w:name w:val="Default"/>
    <w:rsid w:val="005120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757478">
      <w:bodyDiv w:val="1"/>
      <w:marLeft w:val="0"/>
      <w:marRight w:val="0"/>
      <w:marTop w:val="0"/>
      <w:marBottom w:val="0"/>
      <w:divBdr>
        <w:top w:val="none" w:sz="0" w:space="0" w:color="auto"/>
        <w:left w:val="none" w:sz="0" w:space="0" w:color="auto"/>
        <w:bottom w:val="none" w:sz="0" w:space="0" w:color="auto"/>
        <w:right w:val="none" w:sz="0" w:space="0" w:color="auto"/>
      </w:divBdr>
    </w:div>
    <w:div w:id="1089042393">
      <w:bodyDiv w:val="1"/>
      <w:marLeft w:val="0"/>
      <w:marRight w:val="0"/>
      <w:marTop w:val="0"/>
      <w:marBottom w:val="0"/>
      <w:divBdr>
        <w:top w:val="none" w:sz="0" w:space="0" w:color="auto"/>
        <w:left w:val="none" w:sz="0" w:space="0" w:color="auto"/>
        <w:bottom w:val="none" w:sz="0" w:space="0" w:color="auto"/>
        <w:right w:val="none" w:sz="0" w:space="0" w:color="auto"/>
      </w:divBdr>
    </w:div>
    <w:div w:id="1452364104">
      <w:bodyDiv w:val="1"/>
      <w:marLeft w:val="0"/>
      <w:marRight w:val="0"/>
      <w:marTop w:val="0"/>
      <w:marBottom w:val="0"/>
      <w:divBdr>
        <w:top w:val="none" w:sz="0" w:space="0" w:color="auto"/>
        <w:left w:val="none" w:sz="0" w:space="0" w:color="auto"/>
        <w:bottom w:val="none" w:sz="0" w:space="0" w:color="auto"/>
        <w:right w:val="none" w:sz="0" w:space="0" w:color="auto"/>
      </w:divBdr>
    </w:div>
    <w:div w:id="1882131290">
      <w:bodyDiv w:val="1"/>
      <w:marLeft w:val="0"/>
      <w:marRight w:val="0"/>
      <w:marTop w:val="0"/>
      <w:marBottom w:val="0"/>
      <w:divBdr>
        <w:top w:val="none" w:sz="0" w:space="0" w:color="auto"/>
        <w:left w:val="none" w:sz="0" w:space="0" w:color="auto"/>
        <w:bottom w:val="none" w:sz="0" w:space="0" w:color="auto"/>
        <w:right w:val="none" w:sz="0" w:space="0" w:color="auto"/>
      </w:divBdr>
    </w:div>
    <w:div w:id="1887911689">
      <w:bodyDiv w:val="1"/>
      <w:marLeft w:val="0"/>
      <w:marRight w:val="0"/>
      <w:marTop w:val="0"/>
      <w:marBottom w:val="0"/>
      <w:divBdr>
        <w:top w:val="none" w:sz="0" w:space="0" w:color="auto"/>
        <w:left w:val="none" w:sz="0" w:space="0" w:color="auto"/>
        <w:bottom w:val="none" w:sz="0" w:space="0" w:color="auto"/>
        <w:right w:val="none" w:sz="0" w:space="0" w:color="auto"/>
      </w:divBdr>
    </w:div>
    <w:div w:id="1990789015">
      <w:bodyDiv w:val="1"/>
      <w:marLeft w:val="0"/>
      <w:marRight w:val="0"/>
      <w:marTop w:val="0"/>
      <w:marBottom w:val="0"/>
      <w:divBdr>
        <w:top w:val="none" w:sz="0" w:space="0" w:color="auto"/>
        <w:left w:val="none" w:sz="0" w:space="0" w:color="auto"/>
        <w:bottom w:val="none" w:sz="0" w:space="0" w:color="auto"/>
        <w:right w:val="none" w:sz="0" w:space="0" w:color="auto"/>
      </w:divBdr>
      <w:divsChild>
        <w:div w:id="2049141514">
          <w:marLeft w:val="0"/>
          <w:marRight w:val="0"/>
          <w:marTop w:val="0"/>
          <w:marBottom w:val="0"/>
          <w:divBdr>
            <w:top w:val="none" w:sz="0" w:space="0" w:color="auto"/>
            <w:left w:val="none" w:sz="0" w:space="0" w:color="auto"/>
            <w:bottom w:val="none" w:sz="0" w:space="0" w:color="auto"/>
            <w:right w:val="none" w:sz="0" w:space="0" w:color="auto"/>
          </w:divBdr>
          <w:divsChild>
            <w:div w:id="1762067082">
              <w:marLeft w:val="0"/>
              <w:marRight w:val="0"/>
              <w:marTop w:val="0"/>
              <w:marBottom w:val="0"/>
              <w:divBdr>
                <w:top w:val="none" w:sz="0" w:space="0" w:color="auto"/>
                <w:left w:val="none" w:sz="0" w:space="0" w:color="auto"/>
                <w:bottom w:val="none" w:sz="0" w:space="0" w:color="auto"/>
                <w:right w:val="none" w:sz="0" w:space="0" w:color="auto"/>
              </w:divBdr>
              <w:divsChild>
                <w:div w:id="1308900506">
                  <w:marLeft w:val="0"/>
                  <w:marRight w:val="0"/>
                  <w:marTop w:val="0"/>
                  <w:marBottom w:val="0"/>
                  <w:divBdr>
                    <w:top w:val="none" w:sz="0" w:space="0" w:color="auto"/>
                    <w:left w:val="none" w:sz="0" w:space="0" w:color="auto"/>
                    <w:bottom w:val="none" w:sz="0" w:space="0" w:color="auto"/>
                    <w:right w:val="none" w:sz="0" w:space="0" w:color="auto"/>
                  </w:divBdr>
                  <w:divsChild>
                    <w:div w:id="1004554564">
                      <w:marLeft w:val="0"/>
                      <w:marRight w:val="0"/>
                      <w:marTop w:val="0"/>
                      <w:marBottom w:val="0"/>
                      <w:divBdr>
                        <w:top w:val="none" w:sz="0" w:space="0" w:color="auto"/>
                        <w:left w:val="none" w:sz="0" w:space="0" w:color="auto"/>
                        <w:bottom w:val="none" w:sz="0" w:space="0" w:color="auto"/>
                        <w:right w:val="none" w:sz="0" w:space="0" w:color="auto"/>
                      </w:divBdr>
                      <w:divsChild>
                        <w:div w:id="2051494132">
                          <w:marLeft w:val="0"/>
                          <w:marRight w:val="0"/>
                          <w:marTop w:val="0"/>
                          <w:marBottom w:val="0"/>
                          <w:divBdr>
                            <w:top w:val="none" w:sz="0" w:space="0" w:color="auto"/>
                            <w:left w:val="none" w:sz="0" w:space="0" w:color="auto"/>
                            <w:bottom w:val="none" w:sz="0" w:space="0" w:color="auto"/>
                            <w:right w:val="none" w:sz="0" w:space="0" w:color="auto"/>
                          </w:divBdr>
                          <w:divsChild>
                            <w:div w:id="296492130">
                              <w:marLeft w:val="0"/>
                              <w:marRight w:val="0"/>
                              <w:marTop w:val="0"/>
                              <w:marBottom w:val="0"/>
                              <w:divBdr>
                                <w:top w:val="none" w:sz="0" w:space="0" w:color="auto"/>
                                <w:left w:val="none" w:sz="0" w:space="0" w:color="auto"/>
                                <w:bottom w:val="none" w:sz="0" w:space="0" w:color="auto"/>
                                <w:right w:val="none" w:sz="0" w:space="0" w:color="auto"/>
                              </w:divBdr>
                              <w:divsChild>
                                <w:div w:id="1593972534">
                                  <w:marLeft w:val="0"/>
                                  <w:marRight w:val="0"/>
                                  <w:marTop w:val="0"/>
                                  <w:marBottom w:val="0"/>
                                  <w:divBdr>
                                    <w:top w:val="none" w:sz="0" w:space="0" w:color="auto"/>
                                    <w:left w:val="none" w:sz="0" w:space="0" w:color="auto"/>
                                    <w:bottom w:val="none" w:sz="0" w:space="0" w:color="auto"/>
                                    <w:right w:val="none" w:sz="0" w:space="0" w:color="auto"/>
                                  </w:divBdr>
                                  <w:divsChild>
                                    <w:div w:id="927352479">
                                      <w:marLeft w:val="0"/>
                                      <w:marRight w:val="0"/>
                                      <w:marTop w:val="0"/>
                                      <w:marBottom w:val="0"/>
                                      <w:divBdr>
                                        <w:top w:val="none" w:sz="0" w:space="0" w:color="auto"/>
                                        <w:left w:val="none" w:sz="0" w:space="0" w:color="auto"/>
                                        <w:bottom w:val="none" w:sz="0" w:space="0" w:color="auto"/>
                                        <w:right w:val="none" w:sz="0" w:space="0" w:color="auto"/>
                                      </w:divBdr>
                                      <w:divsChild>
                                        <w:div w:id="1758213892">
                                          <w:marLeft w:val="0"/>
                                          <w:marRight w:val="0"/>
                                          <w:marTop w:val="0"/>
                                          <w:marBottom w:val="0"/>
                                          <w:divBdr>
                                            <w:top w:val="none" w:sz="0" w:space="0" w:color="auto"/>
                                            <w:left w:val="none" w:sz="0" w:space="0" w:color="auto"/>
                                            <w:bottom w:val="none" w:sz="0" w:space="0" w:color="auto"/>
                                            <w:right w:val="none" w:sz="0" w:space="0" w:color="auto"/>
                                          </w:divBdr>
                                          <w:divsChild>
                                            <w:div w:id="513149402">
                                              <w:marLeft w:val="0"/>
                                              <w:marRight w:val="0"/>
                                              <w:marTop w:val="0"/>
                                              <w:marBottom w:val="0"/>
                                              <w:divBdr>
                                                <w:top w:val="none" w:sz="0" w:space="0" w:color="auto"/>
                                                <w:left w:val="none" w:sz="0" w:space="0" w:color="auto"/>
                                                <w:bottom w:val="none" w:sz="0" w:space="0" w:color="auto"/>
                                                <w:right w:val="none" w:sz="0" w:space="0" w:color="auto"/>
                                              </w:divBdr>
                                              <w:divsChild>
                                                <w:div w:id="911086641">
                                                  <w:marLeft w:val="0"/>
                                                  <w:marRight w:val="0"/>
                                                  <w:marTop w:val="0"/>
                                                  <w:marBottom w:val="0"/>
                                                  <w:divBdr>
                                                    <w:top w:val="none" w:sz="0" w:space="0" w:color="auto"/>
                                                    <w:left w:val="none" w:sz="0" w:space="0" w:color="auto"/>
                                                    <w:bottom w:val="none" w:sz="0" w:space="0" w:color="auto"/>
                                                    <w:right w:val="none" w:sz="0" w:space="0" w:color="auto"/>
                                                  </w:divBdr>
                                                  <w:divsChild>
                                                    <w:div w:id="1023021545">
                                                      <w:marLeft w:val="0"/>
                                                      <w:marRight w:val="0"/>
                                                      <w:marTop w:val="0"/>
                                                      <w:marBottom w:val="0"/>
                                                      <w:divBdr>
                                                        <w:top w:val="none" w:sz="0" w:space="0" w:color="auto"/>
                                                        <w:left w:val="none" w:sz="0" w:space="0" w:color="auto"/>
                                                        <w:bottom w:val="none" w:sz="0" w:space="0" w:color="auto"/>
                                                        <w:right w:val="none" w:sz="0" w:space="0" w:color="auto"/>
                                                      </w:divBdr>
                                                      <w:divsChild>
                                                        <w:div w:id="782652297">
                                                          <w:marLeft w:val="0"/>
                                                          <w:marRight w:val="0"/>
                                                          <w:marTop w:val="0"/>
                                                          <w:marBottom w:val="0"/>
                                                          <w:divBdr>
                                                            <w:top w:val="none" w:sz="0" w:space="0" w:color="auto"/>
                                                            <w:left w:val="none" w:sz="0" w:space="0" w:color="auto"/>
                                                            <w:bottom w:val="none" w:sz="0" w:space="0" w:color="auto"/>
                                                            <w:right w:val="none" w:sz="0" w:space="0" w:color="auto"/>
                                                          </w:divBdr>
                                                          <w:divsChild>
                                                            <w:div w:id="1761175467">
                                                              <w:marLeft w:val="0"/>
                                                              <w:marRight w:val="0"/>
                                                              <w:marTop w:val="0"/>
                                                              <w:marBottom w:val="0"/>
                                                              <w:divBdr>
                                                                <w:top w:val="none" w:sz="0" w:space="0" w:color="auto"/>
                                                                <w:left w:val="none" w:sz="0" w:space="0" w:color="auto"/>
                                                                <w:bottom w:val="none" w:sz="0" w:space="0" w:color="auto"/>
                                                                <w:right w:val="none" w:sz="0" w:space="0" w:color="auto"/>
                                                              </w:divBdr>
                                                              <w:divsChild>
                                                                <w:div w:id="981427416">
                                                                  <w:marLeft w:val="0"/>
                                                                  <w:marRight w:val="0"/>
                                                                  <w:marTop w:val="0"/>
                                                                  <w:marBottom w:val="0"/>
                                                                  <w:divBdr>
                                                                    <w:top w:val="none" w:sz="0" w:space="0" w:color="auto"/>
                                                                    <w:left w:val="none" w:sz="0" w:space="0" w:color="auto"/>
                                                                    <w:bottom w:val="none" w:sz="0" w:space="0" w:color="auto"/>
                                                                    <w:right w:val="none" w:sz="0" w:space="0" w:color="auto"/>
                                                                  </w:divBdr>
                                                                  <w:divsChild>
                                                                    <w:div w:id="472909476">
                                                                      <w:marLeft w:val="0"/>
                                                                      <w:marRight w:val="0"/>
                                                                      <w:marTop w:val="0"/>
                                                                      <w:marBottom w:val="0"/>
                                                                      <w:divBdr>
                                                                        <w:top w:val="none" w:sz="0" w:space="0" w:color="auto"/>
                                                                        <w:left w:val="none" w:sz="0" w:space="0" w:color="auto"/>
                                                                        <w:bottom w:val="none" w:sz="0" w:space="0" w:color="auto"/>
                                                                        <w:right w:val="none" w:sz="0" w:space="0" w:color="auto"/>
                                                                      </w:divBdr>
                                                                      <w:divsChild>
                                                                        <w:div w:id="15679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337243">
      <w:bodyDiv w:val="1"/>
      <w:marLeft w:val="0"/>
      <w:marRight w:val="0"/>
      <w:marTop w:val="0"/>
      <w:marBottom w:val="0"/>
      <w:divBdr>
        <w:top w:val="none" w:sz="0" w:space="0" w:color="auto"/>
        <w:left w:val="none" w:sz="0" w:space="0" w:color="auto"/>
        <w:bottom w:val="none" w:sz="0" w:space="0" w:color="auto"/>
        <w:right w:val="none" w:sz="0" w:space="0" w:color="auto"/>
      </w:divBdr>
      <w:divsChild>
        <w:div w:id="725876874">
          <w:marLeft w:val="0"/>
          <w:marRight w:val="0"/>
          <w:marTop w:val="0"/>
          <w:marBottom w:val="0"/>
          <w:divBdr>
            <w:top w:val="none" w:sz="0" w:space="0" w:color="auto"/>
            <w:left w:val="none" w:sz="0" w:space="0" w:color="auto"/>
            <w:bottom w:val="none" w:sz="0" w:space="0" w:color="auto"/>
            <w:right w:val="none" w:sz="0" w:space="0" w:color="auto"/>
          </w:divBdr>
        </w:div>
        <w:div w:id="2035614498">
          <w:marLeft w:val="0"/>
          <w:marRight w:val="0"/>
          <w:marTop w:val="0"/>
          <w:marBottom w:val="0"/>
          <w:divBdr>
            <w:top w:val="none" w:sz="0" w:space="0" w:color="auto"/>
            <w:left w:val="none" w:sz="0" w:space="0" w:color="auto"/>
            <w:bottom w:val="none" w:sz="0" w:space="0" w:color="auto"/>
            <w:right w:val="none" w:sz="0" w:space="0" w:color="auto"/>
          </w:divBdr>
        </w:div>
        <w:div w:id="825125678">
          <w:marLeft w:val="0"/>
          <w:marRight w:val="0"/>
          <w:marTop w:val="0"/>
          <w:marBottom w:val="0"/>
          <w:divBdr>
            <w:top w:val="none" w:sz="0" w:space="0" w:color="auto"/>
            <w:left w:val="none" w:sz="0" w:space="0" w:color="auto"/>
            <w:bottom w:val="none" w:sz="0" w:space="0" w:color="auto"/>
            <w:right w:val="none" w:sz="0" w:space="0" w:color="auto"/>
          </w:divBdr>
        </w:div>
        <w:div w:id="1501382751">
          <w:marLeft w:val="0"/>
          <w:marRight w:val="0"/>
          <w:marTop w:val="0"/>
          <w:marBottom w:val="0"/>
          <w:divBdr>
            <w:top w:val="none" w:sz="0" w:space="0" w:color="auto"/>
            <w:left w:val="none" w:sz="0" w:space="0" w:color="auto"/>
            <w:bottom w:val="none" w:sz="0" w:space="0" w:color="auto"/>
            <w:right w:val="none" w:sz="0" w:space="0" w:color="auto"/>
          </w:divBdr>
        </w:div>
        <w:div w:id="946813707">
          <w:marLeft w:val="0"/>
          <w:marRight w:val="0"/>
          <w:marTop w:val="0"/>
          <w:marBottom w:val="0"/>
          <w:divBdr>
            <w:top w:val="none" w:sz="0" w:space="0" w:color="auto"/>
            <w:left w:val="none" w:sz="0" w:space="0" w:color="auto"/>
            <w:bottom w:val="none" w:sz="0" w:space="0" w:color="auto"/>
            <w:right w:val="none" w:sz="0" w:space="0" w:color="auto"/>
          </w:divBdr>
        </w:div>
        <w:div w:id="1583561539">
          <w:marLeft w:val="0"/>
          <w:marRight w:val="0"/>
          <w:marTop w:val="0"/>
          <w:marBottom w:val="0"/>
          <w:divBdr>
            <w:top w:val="none" w:sz="0" w:space="0" w:color="auto"/>
            <w:left w:val="none" w:sz="0" w:space="0" w:color="auto"/>
            <w:bottom w:val="none" w:sz="0" w:space="0" w:color="auto"/>
            <w:right w:val="none" w:sz="0" w:space="0" w:color="auto"/>
          </w:divBdr>
        </w:div>
        <w:div w:id="989865636">
          <w:marLeft w:val="0"/>
          <w:marRight w:val="0"/>
          <w:marTop w:val="0"/>
          <w:marBottom w:val="0"/>
          <w:divBdr>
            <w:top w:val="none" w:sz="0" w:space="0" w:color="auto"/>
            <w:left w:val="none" w:sz="0" w:space="0" w:color="auto"/>
            <w:bottom w:val="none" w:sz="0" w:space="0" w:color="auto"/>
            <w:right w:val="none" w:sz="0" w:space="0" w:color="auto"/>
          </w:divBdr>
        </w:div>
        <w:div w:id="1168597706">
          <w:marLeft w:val="0"/>
          <w:marRight w:val="0"/>
          <w:marTop w:val="0"/>
          <w:marBottom w:val="0"/>
          <w:divBdr>
            <w:top w:val="none" w:sz="0" w:space="0" w:color="auto"/>
            <w:left w:val="none" w:sz="0" w:space="0" w:color="auto"/>
            <w:bottom w:val="none" w:sz="0" w:space="0" w:color="auto"/>
            <w:right w:val="none" w:sz="0" w:space="0" w:color="auto"/>
          </w:divBdr>
        </w:div>
        <w:div w:id="642197815">
          <w:marLeft w:val="0"/>
          <w:marRight w:val="0"/>
          <w:marTop w:val="0"/>
          <w:marBottom w:val="0"/>
          <w:divBdr>
            <w:top w:val="none" w:sz="0" w:space="0" w:color="auto"/>
            <w:left w:val="none" w:sz="0" w:space="0" w:color="auto"/>
            <w:bottom w:val="none" w:sz="0" w:space="0" w:color="auto"/>
            <w:right w:val="none" w:sz="0" w:space="0" w:color="auto"/>
          </w:divBdr>
        </w:div>
        <w:div w:id="590237369">
          <w:marLeft w:val="0"/>
          <w:marRight w:val="0"/>
          <w:marTop w:val="0"/>
          <w:marBottom w:val="0"/>
          <w:divBdr>
            <w:top w:val="none" w:sz="0" w:space="0" w:color="auto"/>
            <w:left w:val="none" w:sz="0" w:space="0" w:color="auto"/>
            <w:bottom w:val="none" w:sz="0" w:space="0" w:color="auto"/>
            <w:right w:val="none" w:sz="0" w:space="0" w:color="auto"/>
          </w:divBdr>
        </w:div>
        <w:div w:id="161061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ontractSuppliers@proacti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contract.due-north.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lityhumanrights.com/en/advice-and-guidance/guidance-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18ec15-e105-4a2d-8d61-1b82b52e01db">
      <Terms xmlns="http://schemas.microsoft.com/office/infopath/2007/PartnerControls"/>
    </lcf76f155ced4ddcb4097134ff3c332f>
    <TaxCatchAll xmlns="5463e1ec-1b19-4653-920e-8e0a1cb9f16e" xsi:nil="true"/>
    <_ip_UnifiedCompliancePolicyUIAction xmlns="http://schemas.microsoft.com/sharepoint/v3" xsi:nil="true"/>
    <_ip_UnifiedCompliancePolicyProperties xmlns="http://schemas.microsoft.com/sharepoint/v3" xsi:nil="true"/>
    <RunFlow xmlns="c618ec15-e105-4a2d-8d61-1b82b52e01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E1FA591FBEA4458AB8F8C125FA517F" ma:contentTypeVersion="27" ma:contentTypeDescription="Create a new document." ma:contentTypeScope="" ma:versionID="80e1c24001126a42bd85067dd769747d">
  <xsd:schema xmlns:xsd="http://www.w3.org/2001/XMLSchema" xmlns:xs="http://www.w3.org/2001/XMLSchema" xmlns:p="http://schemas.microsoft.com/office/2006/metadata/properties" xmlns:ns1="http://schemas.microsoft.com/sharepoint/v3" xmlns:ns2="5463e1ec-1b19-4653-920e-8e0a1cb9f16e" xmlns:ns3="c618ec15-e105-4a2d-8d61-1b82b52e01db" targetNamespace="http://schemas.microsoft.com/office/2006/metadata/properties" ma:root="true" ma:fieldsID="875c4e94d4060e7b0f93c0169e7a7709" ns1:_="" ns2:_="" ns3:_="">
    <xsd:import namespace="http://schemas.microsoft.com/sharepoint/v3"/>
    <xsd:import namespace="5463e1ec-1b19-4653-920e-8e0a1cb9f16e"/>
    <xsd:import namespace="c618ec15-e105-4a2d-8d61-1b82b52e01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2:TaxCatchAll" minOccurs="0"/>
                <xsd:element ref="ns3:lcf76f155ced4ddcb4097134ff3c332f" minOccurs="0"/>
                <xsd:element ref="ns1:_ip_UnifiedCompliancePolicyProperties" minOccurs="0"/>
                <xsd:element ref="ns1:_ip_UnifiedCompliancePolicyUIAction" minOccurs="0"/>
                <xsd:element ref="ns3:MediaServiceSearchProperties" minOccurs="0"/>
                <xsd:element ref="ns3:MediaServiceObjectDetectorVersions" minOccurs="0"/>
                <xsd:element ref="ns3:Run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3e1ec-1b19-4653-920e-8e0a1cb9f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c580af-7708-45ce-92d6-3212063e9b1f}" ma:internalName="TaxCatchAll" ma:showField="CatchAllData" ma:web="5463e1ec-1b19-4653-920e-8e0a1cb9f1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8ec15-e105-4a2d-8d61-1b82b52e01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unFlow" ma:index="28" nillable="true" ma:displayName="RunFlow" ma:format="Dropdown" ma:internalName="RunFlo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42F081-1C88-498D-BC1D-ACA6A6F53BF4}">
  <ds:schemaRefs>
    <ds:schemaRef ds:uri="http://schemas.openxmlformats.org/officeDocument/2006/bibliography"/>
  </ds:schemaRefs>
</ds:datastoreItem>
</file>

<file path=customXml/itemProps2.xml><?xml version="1.0" encoding="utf-8"?>
<ds:datastoreItem xmlns:ds="http://schemas.openxmlformats.org/officeDocument/2006/customXml" ds:itemID="{06A330C2-6D43-4E26-B845-06BD2CA28074}">
  <ds:schemaRefs>
    <ds:schemaRef ds:uri="http://schemas.microsoft.com/office/2006/documentManagement/types"/>
    <ds:schemaRef ds:uri="http://schemas.microsoft.com/office/infopath/2007/PartnerControls"/>
    <ds:schemaRef ds:uri="http://purl.org/dc/dcmitype/"/>
    <ds:schemaRef ds:uri="5463e1ec-1b19-4653-920e-8e0a1cb9f16e"/>
    <ds:schemaRef ds:uri="c618ec15-e105-4a2d-8d61-1b82b52e01db"/>
    <ds:schemaRef ds:uri="http://www.w3.org/XML/1998/namespace"/>
    <ds:schemaRef ds:uri="http://purl.org/dc/terms/"/>
    <ds:schemaRef ds:uri="http://purl.org/dc/elements/1.1/"/>
    <ds:schemaRef ds:uri="http://schemas.microsoft.com/sharepoint/v3"/>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F026A29-0D4A-430A-93AA-E696EF0DFF7A}">
  <ds:schemaRefs>
    <ds:schemaRef ds:uri="http://schemas.microsoft.com/sharepoint/v3/contenttype/forms"/>
  </ds:schemaRefs>
</ds:datastoreItem>
</file>

<file path=customXml/itemProps4.xml><?xml version="1.0" encoding="utf-8"?>
<ds:datastoreItem xmlns:ds="http://schemas.openxmlformats.org/officeDocument/2006/customXml" ds:itemID="{9CC9F154-90A1-4F66-AF35-F4BB709F4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3e1ec-1b19-4653-920e-8e0a1cb9f16e"/>
    <ds:schemaRef ds:uri="c618ec15-e105-4a2d-8d61-1b82b52e0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5518</Words>
  <Characters>31456</Characters>
  <Application>Microsoft Office Word</Application>
  <DocSecurity>0</DocSecurity>
  <Lines>262</Lines>
  <Paragraphs>73</Paragraphs>
  <ScaleCrop>false</ScaleCrop>
  <Company>Northumberland County Council</Company>
  <LinksUpToDate>false</LinksUpToDate>
  <CharactersWithSpaces>36901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Catherine</dc:creator>
  <cp:keywords/>
  <cp:lastModifiedBy>David Shanley</cp:lastModifiedBy>
  <cp:revision>104</cp:revision>
  <cp:lastPrinted>2019-11-12T17:34:00Z</cp:lastPrinted>
  <dcterms:created xsi:type="dcterms:W3CDTF">2023-08-30T17:51:00Z</dcterms:created>
  <dcterms:modified xsi:type="dcterms:W3CDTF">2024-07-18T10:13:00Z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0x01010094E1FA591FBEA4458AB8F8C125FA517F</vt:lpwstr>
  </property>
  <property fmtid="{D5CDD505-2E9C-101B-9397-08002B2CF9AE}" pid="3" name="Document Type">
    <vt:lpwstr>18;#Open Process|7b058f7f-7e7e-4c5e-8738-c1d086fad667</vt:lpwstr>
  </property>
  <property fmtid="{D5CDD505-2E9C-101B-9397-08002B2CF9AE}" pid="4" name="Order">
    <vt:r8>1503000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