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2B" w:rsidRDefault="00AD452B" w:rsidP="00DE51F3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F348CD0" wp14:editId="6E0AC18E">
            <wp:extent cx="1057275" cy="600075"/>
            <wp:effectExtent l="0" t="0" r="9525" b="9525"/>
            <wp:docPr id="2" name="Picture 7" descr="Welland Procur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Welland Procur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AF" w:rsidRDefault="000E08FA" w:rsidP="00DE51F3">
      <w:pPr>
        <w:jc w:val="center"/>
        <w:rPr>
          <w:b/>
        </w:rPr>
      </w:pPr>
      <w:r w:rsidRPr="000E08FA">
        <w:rPr>
          <w:b/>
        </w:rPr>
        <w:t>TIPS FOR BIDDERS</w:t>
      </w:r>
      <w:r w:rsidR="00AD452B">
        <w:rPr>
          <w:b/>
        </w:rPr>
        <w:t xml:space="preserve"> WHEN SUBMITTING TENDERS ON PROCONTRACT</w:t>
      </w:r>
    </w:p>
    <w:p w:rsidR="00D33AC3" w:rsidRDefault="00D33AC3" w:rsidP="00DE51F3">
      <w:pPr>
        <w:pStyle w:val="ListParagraph"/>
        <w:numPr>
          <w:ilvl w:val="0"/>
          <w:numId w:val="3"/>
        </w:numPr>
        <w:jc w:val="both"/>
      </w:pPr>
      <w:r>
        <w:t xml:space="preserve">Use the online </w:t>
      </w:r>
      <w:hyperlink r:id="rId6" w:history="1">
        <w:r w:rsidRPr="00D33AC3">
          <w:rPr>
            <w:rStyle w:val="Hyperlink"/>
          </w:rPr>
          <w:t>Help Centre</w:t>
        </w:r>
      </w:hyperlink>
      <w:r>
        <w:t xml:space="preserve"> for online guides and system tips</w:t>
      </w:r>
    </w:p>
    <w:p w:rsidR="008D67DC" w:rsidRDefault="008D67DC" w:rsidP="008D67DC">
      <w:pPr>
        <w:pStyle w:val="ListParagraph"/>
        <w:numPr>
          <w:ilvl w:val="0"/>
          <w:numId w:val="3"/>
        </w:numPr>
        <w:jc w:val="both"/>
      </w:pPr>
      <w:r w:rsidRPr="002C6292">
        <w:t>Please note that if a user opts out of communications, the notification should still appear in the notifications area</w:t>
      </w:r>
      <w:r>
        <w:t xml:space="preserve">, but an email will </w:t>
      </w:r>
      <w:r w:rsidRPr="002C6292">
        <w:rPr>
          <w:b/>
        </w:rPr>
        <w:t>NOT</w:t>
      </w:r>
      <w:r>
        <w:t xml:space="preserve"> be sent</w:t>
      </w:r>
    </w:p>
    <w:p w:rsidR="00B075B5" w:rsidRPr="0013266B" w:rsidRDefault="00B075B5" w:rsidP="00DE51F3">
      <w:pPr>
        <w:pStyle w:val="ListParagraph"/>
        <w:numPr>
          <w:ilvl w:val="0"/>
          <w:numId w:val="3"/>
        </w:numPr>
        <w:jc w:val="both"/>
      </w:pPr>
      <w:bookmarkStart w:id="0" w:name="_GoBack"/>
      <w:bookmarkEnd w:id="0"/>
      <w:r w:rsidRPr="0013266B">
        <w:t>Read the advertisement carefully</w:t>
      </w:r>
    </w:p>
    <w:p w:rsidR="00DE51F3" w:rsidRDefault="00DE51F3" w:rsidP="00DE51F3">
      <w:pPr>
        <w:pStyle w:val="ListParagraph"/>
        <w:numPr>
          <w:ilvl w:val="0"/>
          <w:numId w:val="3"/>
        </w:numPr>
        <w:jc w:val="both"/>
      </w:pPr>
      <w:r>
        <w:t>Note the time and date for:</w:t>
      </w:r>
    </w:p>
    <w:p w:rsidR="00B075B5" w:rsidRDefault="00B075B5" w:rsidP="00DE51F3">
      <w:pPr>
        <w:pStyle w:val="ListParagraph"/>
        <w:numPr>
          <w:ilvl w:val="1"/>
          <w:numId w:val="3"/>
        </w:numPr>
        <w:jc w:val="both"/>
      </w:pPr>
      <w:r w:rsidRPr="0013266B">
        <w:t>EOI</w:t>
      </w:r>
      <w:r w:rsidR="00D33AC3">
        <w:t xml:space="preserve"> (expression of interest)</w:t>
      </w:r>
      <w:r w:rsidRPr="0013266B">
        <w:t xml:space="preserve"> – </w:t>
      </w:r>
      <w:r w:rsidR="00D33AC3">
        <w:t xml:space="preserve">bidders </w:t>
      </w:r>
      <w:r w:rsidRPr="0013266B">
        <w:t>must do this within these timescales in order to receive the tender documents</w:t>
      </w:r>
    </w:p>
    <w:p w:rsidR="00DE51F3" w:rsidRDefault="00DE51F3" w:rsidP="00DE51F3">
      <w:pPr>
        <w:pStyle w:val="ListParagraph"/>
        <w:numPr>
          <w:ilvl w:val="1"/>
          <w:numId w:val="3"/>
        </w:numPr>
        <w:jc w:val="both"/>
      </w:pPr>
      <w:r>
        <w:t>Clarification deadline</w:t>
      </w:r>
    </w:p>
    <w:p w:rsidR="00DE51F3" w:rsidRDefault="00DE51F3" w:rsidP="00DE51F3">
      <w:pPr>
        <w:pStyle w:val="ListParagraph"/>
        <w:numPr>
          <w:ilvl w:val="1"/>
          <w:numId w:val="3"/>
        </w:numPr>
        <w:jc w:val="both"/>
      </w:pPr>
      <w:r>
        <w:t>Tender deadline – ensure you respond in good time, as late bids will not be accepted</w:t>
      </w:r>
    </w:p>
    <w:p w:rsidR="00B075B5" w:rsidRPr="0013266B" w:rsidRDefault="00DE51F3" w:rsidP="00DE51F3">
      <w:pPr>
        <w:pStyle w:val="ListParagraph"/>
        <w:numPr>
          <w:ilvl w:val="0"/>
          <w:numId w:val="3"/>
        </w:numPr>
        <w:jc w:val="both"/>
      </w:pPr>
      <w:r>
        <w:t xml:space="preserve">Receipt of tender documents </w:t>
      </w:r>
      <w:r w:rsidR="00B075B5" w:rsidRPr="0013266B">
        <w:t>will be done via the portal only; no hard copies</w:t>
      </w:r>
      <w:r>
        <w:t xml:space="preserve"> will be accepted</w:t>
      </w:r>
      <w:r w:rsidR="00F410DA">
        <w:t xml:space="preserve"> (please read Document One for full information)</w:t>
      </w:r>
    </w:p>
    <w:p w:rsidR="00B075B5" w:rsidRPr="0013266B" w:rsidRDefault="00D33AC3" w:rsidP="00DE51F3">
      <w:pPr>
        <w:pStyle w:val="ListParagraph"/>
        <w:numPr>
          <w:ilvl w:val="0"/>
          <w:numId w:val="3"/>
        </w:numPr>
        <w:jc w:val="both"/>
      </w:pPr>
      <w:r>
        <w:t xml:space="preserve">Read all relevant Tender information. </w:t>
      </w:r>
      <w:r w:rsidR="0013266B">
        <w:t xml:space="preserve">Tender </w:t>
      </w:r>
      <w:r w:rsidR="00B075B5" w:rsidRPr="0013266B">
        <w:t>Documents</w:t>
      </w:r>
      <w:r>
        <w:t>/</w:t>
      </w:r>
      <w:r w:rsidR="0013266B">
        <w:t>Pack</w:t>
      </w:r>
      <w:r w:rsidR="00B075B5" w:rsidRPr="0013266B">
        <w:t xml:space="preserve"> will</w:t>
      </w:r>
      <w:r w:rsidR="0013266B">
        <w:t xml:space="preserve"> usually</w:t>
      </w:r>
      <w:r w:rsidR="00B075B5" w:rsidRPr="0013266B">
        <w:t xml:space="preserve"> consist of:</w:t>
      </w:r>
    </w:p>
    <w:p w:rsidR="00B075B5" w:rsidRPr="0013266B" w:rsidRDefault="00B075B5" w:rsidP="00DE51F3">
      <w:pPr>
        <w:pStyle w:val="ListParagraph"/>
        <w:numPr>
          <w:ilvl w:val="0"/>
          <w:numId w:val="2"/>
        </w:numPr>
        <w:jc w:val="both"/>
      </w:pPr>
      <w:r w:rsidRPr="0013266B">
        <w:t>Instructions</w:t>
      </w:r>
      <w:r w:rsidR="00D33AC3">
        <w:t xml:space="preserve"> (including deadlines)</w:t>
      </w:r>
    </w:p>
    <w:p w:rsidR="00B075B5" w:rsidRPr="0013266B" w:rsidRDefault="00B075B5" w:rsidP="00DE51F3">
      <w:pPr>
        <w:pStyle w:val="ListParagraph"/>
        <w:numPr>
          <w:ilvl w:val="0"/>
          <w:numId w:val="2"/>
        </w:numPr>
        <w:jc w:val="both"/>
      </w:pPr>
      <w:r w:rsidRPr="0013266B">
        <w:t>Terms and Conditions</w:t>
      </w:r>
    </w:p>
    <w:p w:rsidR="00B075B5" w:rsidRPr="0013266B" w:rsidRDefault="00B075B5" w:rsidP="00DE51F3">
      <w:pPr>
        <w:pStyle w:val="ListParagraph"/>
        <w:numPr>
          <w:ilvl w:val="0"/>
          <w:numId w:val="2"/>
        </w:numPr>
        <w:jc w:val="both"/>
      </w:pPr>
      <w:r w:rsidRPr="0013266B">
        <w:t>Specification</w:t>
      </w:r>
    </w:p>
    <w:p w:rsidR="00B075B5" w:rsidRPr="0013266B" w:rsidRDefault="00B075B5" w:rsidP="00DE51F3">
      <w:pPr>
        <w:pStyle w:val="ListParagraph"/>
        <w:numPr>
          <w:ilvl w:val="0"/>
          <w:numId w:val="3"/>
        </w:numPr>
        <w:jc w:val="both"/>
      </w:pPr>
      <w:r w:rsidRPr="0013266B">
        <w:t xml:space="preserve">Note how the tender will be evaluated, the </w:t>
      </w:r>
      <w:r w:rsidR="00DE51F3">
        <w:t xml:space="preserve">% </w:t>
      </w:r>
      <w:r w:rsidRPr="0013266B">
        <w:t>split between non-price (quality) and price, the scores allocated for each question</w:t>
      </w:r>
      <w:r w:rsidR="00DE51F3">
        <w:t xml:space="preserve"> </w:t>
      </w:r>
    </w:p>
    <w:p w:rsidR="00B075B5" w:rsidRPr="0013266B" w:rsidRDefault="00B075B5" w:rsidP="00DE51F3">
      <w:pPr>
        <w:pStyle w:val="ListParagraph"/>
        <w:numPr>
          <w:ilvl w:val="0"/>
          <w:numId w:val="3"/>
        </w:numPr>
        <w:jc w:val="both"/>
      </w:pPr>
      <w:r w:rsidRPr="0013266B">
        <w:t>Note the maximum  number of words</w:t>
      </w:r>
      <w:r w:rsidR="00DE51F3">
        <w:t>/pages</w:t>
      </w:r>
      <w:r w:rsidRPr="0013266B">
        <w:t xml:space="preserve"> for each response – anything above this will not be read and evaluated and the score allocate</w:t>
      </w:r>
      <w:r w:rsidR="00DE51F3">
        <w:t>d</w:t>
      </w:r>
      <w:r w:rsidRPr="0013266B">
        <w:t xml:space="preserve"> will be based on what has bee</w:t>
      </w:r>
      <w:r w:rsidR="00DE51F3">
        <w:t>n provided within the set limit</w:t>
      </w:r>
    </w:p>
    <w:p w:rsidR="00B075B5" w:rsidRPr="0013266B" w:rsidRDefault="00B075B5" w:rsidP="00DE51F3">
      <w:pPr>
        <w:pStyle w:val="ListParagraph"/>
        <w:numPr>
          <w:ilvl w:val="0"/>
          <w:numId w:val="3"/>
        </w:numPr>
        <w:jc w:val="both"/>
      </w:pPr>
      <w:r w:rsidRPr="0013266B">
        <w:t>Provide a full response; do not rely on attached documents to supplement answer unless these have been clearly requested</w:t>
      </w:r>
      <w:r w:rsidR="00DE51F3">
        <w:t>. Only information requested will be evaluated</w:t>
      </w:r>
    </w:p>
    <w:p w:rsidR="00B075B5" w:rsidRDefault="00B075B5" w:rsidP="00DE51F3">
      <w:pPr>
        <w:pStyle w:val="ListParagraph"/>
        <w:numPr>
          <w:ilvl w:val="0"/>
          <w:numId w:val="3"/>
        </w:numPr>
        <w:jc w:val="both"/>
      </w:pPr>
      <w:r w:rsidRPr="0013266B">
        <w:t>Save frequently</w:t>
      </w:r>
      <w:r w:rsidR="00D33AC3">
        <w:t xml:space="preserve"> – if there is no activity, the system logs users out after 18 minutes. By saving regularly, users minimise the risk of losing any work</w:t>
      </w:r>
    </w:p>
    <w:p w:rsidR="0013266B" w:rsidRDefault="0013266B" w:rsidP="00DE51F3">
      <w:pPr>
        <w:pStyle w:val="ListParagraph"/>
        <w:numPr>
          <w:ilvl w:val="0"/>
          <w:numId w:val="3"/>
        </w:numPr>
        <w:jc w:val="both"/>
      </w:pPr>
      <w:r>
        <w:t>Answer all questions and complete the SQ where one is included within the tender documents</w:t>
      </w:r>
    </w:p>
    <w:p w:rsidR="007C1A6A" w:rsidRDefault="007C1A6A" w:rsidP="00DE51F3">
      <w:pPr>
        <w:pStyle w:val="ListParagraph"/>
        <w:numPr>
          <w:ilvl w:val="0"/>
          <w:numId w:val="3"/>
        </w:numPr>
        <w:jc w:val="both"/>
      </w:pPr>
      <w:r>
        <w:t>Remember to refer back to the question when writing your responses</w:t>
      </w:r>
    </w:p>
    <w:p w:rsidR="00DE51F3" w:rsidRDefault="00DE51F3" w:rsidP="00DE51F3">
      <w:pPr>
        <w:pStyle w:val="ListParagraph"/>
        <w:numPr>
          <w:ilvl w:val="0"/>
          <w:numId w:val="3"/>
        </w:numPr>
        <w:jc w:val="both"/>
      </w:pPr>
      <w:r>
        <w:t xml:space="preserve">When submitting </w:t>
      </w:r>
      <w:r w:rsidR="00D46A23">
        <w:t xml:space="preserve">your </w:t>
      </w:r>
      <w:r>
        <w:t xml:space="preserve">response, ensure you have clicked “Submit Response” and receive an email confirmation from </w:t>
      </w:r>
      <w:proofErr w:type="spellStart"/>
      <w:r>
        <w:t>ProContract</w:t>
      </w:r>
      <w:proofErr w:type="spellEnd"/>
      <w:r>
        <w:t>. Failure to submit will mean the Authority will not be able to view your submission, and will not be able to consider your bid</w:t>
      </w:r>
    </w:p>
    <w:p w:rsidR="00DE51F3" w:rsidRDefault="00DE51F3" w:rsidP="00DE51F3">
      <w:pPr>
        <w:pStyle w:val="ListParagraph"/>
        <w:numPr>
          <w:ilvl w:val="0"/>
          <w:numId w:val="3"/>
        </w:numPr>
        <w:jc w:val="both"/>
      </w:pPr>
      <w:r>
        <w:t xml:space="preserve">If you experience system/technical issues, please email or telephone the </w:t>
      </w:r>
      <w:proofErr w:type="spellStart"/>
      <w:r>
        <w:t>ProContract</w:t>
      </w:r>
      <w:proofErr w:type="spellEnd"/>
      <w:r>
        <w:t xml:space="preserve"> helpdesk:</w:t>
      </w:r>
    </w:p>
    <w:p w:rsidR="00DE51F3" w:rsidRDefault="00DE51F3" w:rsidP="00DE51F3">
      <w:pPr>
        <w:pStyle w:val="ListParagraph"/>
        <w:numPr>
          <w:ilvl w:val="1"/>
          <w:numId w:val="3"/>
        </w:numPr>
        <w:jc w:val="both"/>
      </w:pPr>
      <w:r>
        <w:t>0330 005 0352 (9am – 5.30pm Mon – Fri)</w:t>
      </w:r>
    </w:p>
    <w:p w:rsidR="00DE51F3" w:rsidRDefault="008D67DC" w:rsidP="00DE51F3">
      <w:pPr>
        <w:pStyle w:val="ListParagraph"/>
        <w:numPr>
          <w:ilvl w:val="1"/>
          <w:numId w:val="3"/>
        </w:numPr>
        <w:jc w:val="both"/>
      </w:pPr>
      <w:hyperlink r:id="rId7" w:history="1">
        <w:r w:rsidR="00DE51F3" w:rsidRPr="00314C65">
          <w:rPr>
            <w:rStyle w:val="Hyperlink"/>
          </w:rPr>
          <w:t>ProContractSuppliers@proactis.com</w:t>
        </w:r>
      </w:hyperlink>
    </w:p>
    <w:p w:rsidR="00B075B5" w:rsidRPr="00DE51F3" w:rsidRDefault="00DE51F3" w:rsidP="00DE51F3">
      <w:pPr>
        <w:pStyle w:val="ListParagraph"/>
        <w:numPr>
          <w:ilvl w:val="1"/>
          <w:numId w:val="3"/>
        </w:numPr>
        <w:jc w:val="both"/>
      </w:pPr>
      <w:r>
        <w:t>“</w:t>
      </w:r>
      <w:hyperlink r:id="rId8" w:history="1">
        <w:r w:rsidRPr="00DE51F3">
          <w:rPr>
            <w:rStyle w:val="Hyperlink"/>
          </w:rPr>
          <w:t>Submit a Ticket</w:t>
        </w:r>
      </w:hyperlink>
      <w:r>
        <w:t>” to the helpdesk</w:t>
      </w:r>
    </w:p>
    <w:p w:rsidR="000E08FA" w:rsidRPr="000E08FA" w:rsidRDefault="000E08FA" w:rsidP="00DE51F3">
      <w:pPr>
        <w:jc w:val="both"/>
        <w:rPr>
          <w:b/>
        </w:rPr>
      </w:pPr>
    </w:p>
    <w:sectPr w:rsidR="000E08FA" w:rsidRPr="000E0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D6EC4"/>
    <w:multiLevelType w:val="hybridMultilevel"/>
    <w:tmpl w:val="4F08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F32FD"/>
    <w:multiLevelType w:val="hybridMultilevel"/>
    <w:tmpl w:val="954C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73BB5"/>
    <w:multiLevelType w:val="hybridMultilevel"/>
    <w:tmpl w:val="BFA48A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FA"/>
    <w:rsid w:val="000E08FA"/>
    <w:rsid w:val="0013266B"/>
    <w:rsid w:val="0029518F"/>
    <w:rsid w:val="00562FAF"/>
    <w:rsid w:val="007C1A6A"/>
    <w:rsid w:val="008D67DC"/>
    <w:rsid w:val="00AD452B"/>
    <w:rsid w:val="00B075B5"/>
    <w:rsid w:val="00D33AC3"/>
    <w:rsid w:val="00D46A23"/>
    <w:rsid w:val="00DE51F3"/>
    <w:rsid w:val="00F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76DE6-8697-4CCB-B9DC-E6BBC86F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3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actis.kayako.com/ProContractV3/Tickets/Submit/Render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ontractSuppliers@proact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lierhelp.due-north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32B7979D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Rippingale</dc:creator>
  <cp:lastModifiedBy>Amy Myers</cp:lastModifiedBy>
  <cp:revision>4</cp:revision>
  <dcterms:created xsi:type="dcterms:W3CDTF">2021-02-26T13:26:00Z</dcterms:created>
  <dcterms:modified xsi:type="dcterms:W3CDTF">2021-05-23T22:00:00Z</dcterms:modified>
</cp:coreProperties>
</file>