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5177" w14:textId="77777777" w:rsidR="00CF1622" w:rsidRPr="003A424B" w:rsidRDefault="00FB5D43" w:rsidP="00FD6224">
      <w:pPr>
        <w:ind w:left="-540"/>
        <w:jc w:val="both"/>
        <w:rPr>
          <w:rFonts w:ascii="Calibri" w:hAnsi="Calibri"/>
          <w:sz w:val="28"/>
        </w:rPr>
      </w:pPr>
      <w:r>
        <w:rPr>
          <w:rFonts w:ascii="Calibri" w:hAnsi="Calibri"/>
          <w:noProof/>
          <w:sz w:val="28"/>
          <w:lang w:eastAsia="en-GB"/>
        </w:rPr>
        <w:drawing>
          <wp:anchor distT="0" distB="0" distL="114300" distR="114300" simplePos="0" relativeHeight="251698688" behindDoc="1" locked="0" layoutInCell="1" allowOverlap="1" wp14:anchorId="227F5373" wp14:editId="3623493D">
            <wp:simplePos x="0" y="0"/>
            <wp:positionH relativeFrom="margin">
              <wp:posOffset>4544060</wp:posOffset>
            </wp:positionH>
            <wp:positionV relativeFrom="paragraph">
              <wp:posOffset>0</wp:posOffset>
            </wp:positionV>
            <wp:extent cx="1546225" cy="1424940"/>
            <wp:effectExtent l="0" t="0" r="0" b="3810"/>
            <wp:wrapTight wrapText="bothSides">
              <wp:wrapPolygon edited="0">
                <wp:start x="0" y="0"/>
                <wp:lineTo x="0" y="9529"/>
                <wp:lineTo x="2395" y="13861"/>
                <wp:lineTo x="0" y="14727"/>
                <wp:lineTo x="0" y="21080"/>
                <wp:lineTo x="2661" y="21369"/>
                <wp:lineTo x="21290" y="21369"/>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546225" cy="1424940"/>
                    </a:xfrm>
                    <a:prstGeom prst="rect">
                      <a:avLst/>
                    </a:prstGeom>
                  </pic:spPr>
                </pic:pic>
              </a:graphicData>
            </a:graphic>
            <wp14:sizeRelH relativeFrom="page">
              <wp14:pctWidth>0</wp14:pctWidth>
            </wp14:sizeRelH>
            <wp14:sizeRelV relativeFrom="page">
              <wp14:pctHeight>0</wp14:pctHeight>
            </wp14:sizeRelV>
          </wp:anchor>
        </w:drawing>
      </w:r>
    </w:p>
    <w:p w14:paraId="7AF0250F" w14:textId="77777777" w:rsidR="00CF1622" w:rsidRPr="003A424B" w:rsidRDefault="00CF1622" w:rsidP="005E1886">
      <w:pPr>
        <w:ind w:right="624"/>
        <w:jc w:val="right"/>
        <w:rPr>
          <w:rFonts w:ascii="Calibri" w:hAnsi="Calibri"/>
        </w:rPr>
      </w:pPr>
    </w:p>
    <w:p w14:paraId="69CAA0B1" w14:textId="77777777" w:rsidR="00CF1622" w:rsidRPr="003A424B" w:rsidRDefault="00CF1622" w:rsidP="00C80E7A">
      <w:pPr>
        <w:rPr>
          <w:rFonts w:ascii="Calibri" w:hAnsi="Calibri"/>
        </w:rPr>
      </w:pPr>
    </w:p>
    <w:p w14:paraId="1D83840A" w14:textId="77777777" w:rsidR="00FB5D43" w:rsidRPr="003A424B" w:rsidRDefault="00FB5D43" w:rsidP="00C80E7A">
      <w:pPr>
        <w:rPr>
          <w:rFonts w:ascii="Calibri" w:hAnsi="Calibri"/>
        </w:rPr>
      </w:pPr>
    </w:p>
    <w:p w14:paraId="596D3006" w14:textId="77777777" w:rsidR="00EF1F23" w:rsidRDefault="00EF1F23" w:rsidP="00EF1F23">
      <w:pPr>
        <w:jc w:val="right"/>
        <w:rPr>
          <w:rFonts w:eastAsiaTheme="minorEastAsia"/>
          <w:noProof/>
          <w:color w:val="000000"/>
          <w:shd w:val="clear" w:color="auto" w:fill="FFFFFF"/>
          <w:lang w:eastAsia="en-GB"/>
        </w:rPr>
      </w:pPr>
    </w:p>
    <w:p w14:paraId="14A6743F" w14:textId="77777777" w:rsidR="00B319D0" w:rsidRDefault="00EF1F23" w:rsidP="00B319D0">
      <w:pPr>
        <w:spacing w:before="0" w:after="0"/>
        <w:jc w:val="right"/>
        <w:rPr>
          <w:rFonts w:eastAsiaTheme="minorEastAsia"/>
          <w:noProof/>
          <w:color w:val="000000"/>
          <w:shd w:val="clear" w:color="auto" w:fill="FFFFFF"/>
          <w:lang w:eastAsia="en-GB"/>
        </w:rPr>
      </w:pPr>
      <w:r>
        <w:rPr>
          <w:rFonts w:eastAsiaTheme="minorEastAsia"/>
          <w:noProof/>
          <w:lang w:eastAsia="en-GB"/>
        </w:rPr>
        <w:br/>
      </w:r>
      <w:r w:rsidR="00B319D0">
        <w:rPr>
          <w:rFonts w:eastAsiaTheme="minorEastAsia"/>
          <w:noProof/>
          <w:color w:val="000000"/>
          <w:shd w:val="clear" w:color="auto" w:fill="FFFFFF"/>
          <w:lang w:eastAsia="en-GB"/>
        </w:rPr>
        <w:t xml:space="preserve">11 Broad Street West, </w:t>
      </w:r>
    </w:p>
    <w:p w14:paraId="50C6558D" w14:textId="77777777" w:rsidR="00B319D0" w:rsidRDefault="00B319D0" w:rsidP="00B319D0">
      <w:pPr>
        <w:spacing w:before="0" w:after="0"/>
        <w:jc w:val="right"/>
        <w:rPr>
          <w:rFonts w:eastAsiaTheme="minorEastAsia"/>
          <w:noProof/>
          <w:color w:val="000000"/>
          <w:shd w:val="clear" w:color="auto" w:fill="FFFFFF"/>
          <w:lang w:eastAsia="en-GB"/>
        </w:rPr>
      </w:pPr>
      <w:r>
        <w:rPr>
          <w:rFonts w:eastAsiaTheme="minorEastAsia"/>
          <w:noProof/>
          <w:color w:val="000000"/>
          <w:shd w:val="clear" w:color="auto" w:fill="FFFFFF"/>
          <w:lang w:eastAsia="en-GB"/>
        </w:rPr>
        <w:t xml:space="preserve">Sheffield, </w:t>
      </w:r>
    </w:p>
    <w:p w14:paraId="63CCD2B2" w14:textId="77777777" w:rsidR="00B319D0" w:rsidRDefault="00B319D0" w:rsidP="00B319D0">
      <w:pPr>
        <w:spacing w:before="0" w:after="0"/>
        <w:jc w:val="right"/>
        <w:rPr>
          <w:rFonts w:eastAsiaTheme="minorEastAsia"/>
          <w:noProof/>
          <w:lang w:eastAsia="en-GB"/>
        </w:rPr>
      </w:pPr>
      <w:r>
        <w:rPr>
          <w:rFonts w:eastAsiaTheme="minorEastAsia"/>
          <w:noProof/>
          <w:color w:val="000000"/>
          <w:shd w:val="clear" w:color="auto" w:fill="FFFFFF"/>
          <w:lang w:eastAsia="en-GB"/>
        </w:rPr>
        <w:t>S1 2BQ</w:t>
      </w:r>
    </w:p>
    <w:p w14:paraId="43BBD3A6" w14:textId="77777777" w:rsidR="00B319D0" w:rsidRPr="009B5F82" w:rsidRDefault="00B319D0" w:rsidP="00B319D0">
      <w:pPr>
        <w:spacing w:before="0" w:after="0"/>
        <w:jc w:val="right"/>
        <w:rPr>
          <w:rFonts w:eastAsiaTheme="minorEastAsia"/>
          <w:noProof/>
          <w:lang w:eastAsia="en-GB"/>
        </w:rPr>
      </w:pPr>
      <w:r w:rsidRPr="009B5F82">
        <w:rPr>
          <w:rFonts w:eastAsiaTheme="minorEastAsia"/>
          <w:noProof/>
          <w:lang w:eastAsia="en-GB"/>
        </w:rPr>
        <w:t xml:space="preserve">Contact: </w:t>
      </w:r>
      <w:r>
        <w:rPr>
          <w:rFonts w:eastAsiaTheme="minorEastAsia"/>
          <w:noProof/>
          <w:lang w:eastAsia="en-GB"/>
        </w:rPr>
        <w:t xml:space="preserve">Simon Jackson </w:t>
      </w:r>
    </w:p>
    <w:p w14:paraId="17B3711B" w14:textId="77777777" w:rsidR="00B319D0" w:rsidRPr="009B5F82" w:rsidRDefault="00B319D0" w:rsidP="00B319D0">
      <w:pPr>
        <w:spacing w:before="0" w:after="0"/>
        <w:jc w:val="right"/>
        <w:rPr>
          <w:rFonts w:eastAsiaTheme="minorEastAsia"/>
          <w:noProof/>
          <w:lang w:eastAsia="en-GB"/>
        </w:rPr>
      </w:pPr>
      <w:r w:rsidRPr="009B5F82">
        <w:rPr>
          <w:rFonts w:eastAsiaTheme="minorEastAsia"/>
          <w:noProof/>
          <w:lang w:eastAsia="en-GB"/>
        </w:rPr>
        <w:t>Tel: 01</w:t>
      </w:r>
      <w:r>
        <w:rPr>
          <w:rFonts w:eastAsiaTheme="minorEastAsia"/>
          <w:noProof/>
          <w:lang w:eastAsia="en-GB"/>
        </w:rPr>
        <w:t>14 220 3376</w:t>
      </w:r>
    </w:p>
    <w:p w14:paraId="5A06DE91" w14:textId="77777777" w:rsidR="00B319D0" w:rsidRDefault="00B319D0" w:rsidP="00B319D0">
      <w:pPr>
        <w:spacing w:before="0" w:after="0"/>
        <w:jc w:val="right"/>
        <w:rPr>
          <w:rFonts w:eastAsiaTheme="minorEastAsia"/>
          <w:noProof/>
          <w:lang w:eastAsia="en-GB"/>
        </w:rPr>
      </w:pPr>
      <w:r w:rsidRPr="009B5F82">
        <w:rPr>
          <w:rFonts w:eastAsiaTheme="minorEastAsia"/>
          <w:noProof/>
          <w:lang w:eastAsia="en-GB"/>
        </w:rPr>
        <w:t xml:space="preserve">Email: </w:t>
      </w:r>
      <w:r>
        <w:rPr>
          <w:rFonts w:eastAsiaTheme="minorEastAsia"/>
          <w:noProof/>
          <w:lang w:eastAsia="en-GB"/>
        </w:rPr>
        <w:t>simon.jackson@southyorkshire-ca.gov.uk</w:t>
      </w:r>
    </w:p>
    <w:p w14:paraId="54953EA3" w14:textId="13172C22" w:rsidR="00B319D0" w:rsidRDefault="005F7B6B" w:rsidP="00B319D0">
      <w:pPr>
        <w:spacing w:before="0" w:after="0"/>
        <w:jc w:val="right"/>
        <w:rPr>
          <w:rFonts w:eastAsiaTheme="minorEastAsia"/>
          <w:noProof/>
          <w:shd w:val="clear" w:color="auto" w:fill="FFFFFF"/>
          <w:lang w:eastAsia="en-GB"/>
        </w:rPr>
      </w:pPr>
      <w:hyperlink r:id="rId9" w:history="1">
        <w:r w:rsidR="00B319D0" w:rsidRPr="002511A2">
          <w:rPr>
            <w:rStyle w:val="Hyperlink"/>
            <w:rFonts w:eastAsiaTheme="minorEastAsia"/>
            <w:noProof/>
            <w:lang w:eastAsia="en-GB"/>
          </w:rPr>
          <w:t>www.southyorkshire-ca.gov.uk</w:t>
        </w:r>
      </w:hyperlink>
      <w:r w:rsidR="00B319D0">
        <w:rPr>
          <w:rFonts w:eastAsiaTheme="minorEastAsia" w:cs="Times New Roman"/>
          <w:noProof/>
          <w:lang w:eastAsia="en-GB"/>
        </w:rPr>
        <w:t xml:space="preserve"> </w:t>
      </w:r>
      <w:r w:rsidR="00B319D0">
        <w:rPr>
          <w:rFonts w:eastAsiaTheme="minorEastAsia"/>
          <w:noProof/>
          <w:lang w:eastAsia="en-GB"/>
        </w:rPr>
        <w:t xml:space="preserve"> </w:t>
      </w:r>
      <w:r w:rsidR="00B319D0">
        <w:rPr>
          <w:rFonts w:eastAsiaTheme="minorEastAsia"/>
          <w:noProof/>
          <w:lang w:eastAsia="en-GB"/>
        </w:rPr>
        <w:br/>
      </w:r>
      <w:r w:rsidR="00B319D0" w:rsidRPr="009D41E7">
        <w:rPr>
          <w:rFonts w:eastAsiaTheme="minorEastAsia"/>
          <w:noProof/>
          <w:shd w:val="clear" w:color="auto" w:fill="FFFFFF"/>
          <w:lang w:eastAsia="en-GB"/>
        </w:rPr>
        <w:t>Date:</w:t>
      </w:r>
      <w:r w:rsidR="009119E0">
        <w:rPr>
          <w:rFonts w:eastAsiaTheme="minorEastAsia"/>
          <w:b/>
          <w:bCs/>
          <w:noProof/>
          <w:shd w:val="clear" w:color="auto" w:fill="FFFFFF"/>
          <w:lang w:eastAsia="en-GB"/>
        </w:rPr>
        <w:t>2</w:t>
      </w:r>
      <w:r w:rsidR="004E601F">
        <w:rPr>
          <w:rFonts w:eastAsiaTheme="minorEastAsia"/>
          <w:b/>
          <w:bCs/>
          <w:noProof/>
          <w:shd w:val="clear" w:color="auto" w:fill="FFFFFF"/>
          <w:lang w:eastAsia="en-GB"/>
        </w:rPr>
        <w:t>9</w:t>
      </w:r>
      <w:r w:rsidR="009119E0">
        <w:rPr>
          <w:rFonts w:eastAsiaTheme="minorEastAsia"/>
          <w:b/>
          <w:bCs/>
          <w:noProof/>
          <w:shd w:val="clear" w:color="auto" w:fill="FFFFFF"/>
          <w:lang w:eastAsia="en-GB"/>
        </w:rPr>
        <w:t>-09-2022</w:t>
      </w:r>
      <w:r w:rsidR="00B319D0">
        <w:rPr>
          <w:rFonts w:eastAsiaTheme="minorEastAsia"/>
          <w:noProof/>
          <w:shd w:val="clear" w:color="auto" w:fill="FFFFFF"/>
          <w:lang w:eastAsia="en-GB"/>
        </w:rPr>
        <w:t xml:space="preserve"> </w:t>
      </w:r>
    </w:p>
    <w:p w14:paraId="29CC3C56" w14:textId="7C90C482" w:rsidR="00EF1F23" w:rsidRDefault="00EF1F23" w:rsidP="00EF1F23">
      <w:pPr>
        <w:jc w:val="right"/>
        <w:rPr>
          <w:rFonts w:eastAsiaTheme="minorEastAsia"/>
          <w:noProof/>
          <w:shd w:val="clear" w:color="auto" w:fill="FFFFFF"/>
          <w:lang w:eastAsia="en-GB"/>
        </w:rPr>
      </w:pPr>
    </w:p>
    <w:p w14:paraId="1B336F75" w14:textId="77777777" w:rsidR="00EF1F23" w:rsidRDefault="00EF1F23" w:rsidP="00EF1F23">
      <w:pPr>
        <w:jc w:val="right"/>
        <w:rPr>
          <w:rFonts w:eastAsiaTheme="minorEastAsia"/>
          <w:noProof/>
          <w:shd w:val="clear" w:color="auto" w:fill="FFFFFF"/>
          <w:lang w:eastAsia="en-GB"/>
        </w:rPr>
      </w:pPr>
    </w:p>
    <w:p w14:paraId="1F47A888" w14:textId="77777777" w:rsidR="00EF1F23" w:rsidRPr="00B319D0" w:rsidRDefault="0077457A" w:rsidP="00EF1F23">
      <w:pPr>
        <w:pStyle w:val="Heading1"/>
        <w:rPr>
          <w:rFonts w:asciiTheme="minorHAnsi" w:hAnsiTheme="minorHAnsi" w:cstheme="minorHAnsi"/>
          <w:b/>
          <w:bCs/>
          <w:i/>
          <w:color w:val="4BACC6" w:themeColor="accent5"/>
          <w:sz w:val="28"/>
          <w:szCs w:val="28"/>
          <w:u w:val="single"/>
        </w:rPr>
      </w:pPr>
      <w:r w:rsidRPr="00B319D0">
        <w:rPr>
          <w:rFonts w:asciiTheme="minorHAnsi" w:hAnsiTheme="minorHAnsi" w:cstheme="minorHAnsi"/>
          <w:b/>
          <w:bCs/>
          <w:color w:val="4BACC6" w:themeColor="accent5"/>
          <w:sz w:val="28"/>
          <w:szCs w:val="28"/>
          <w:u w:val="single"/>
        </w:rPr>
        <w:t>RFQ</w:t>
      </w:r>
      <w:r w:rsidR="00EF1F23" w:rsidRPr="00B319D0">
        <w:rPr>
          <w:rFonts w:asciiTheme="minorHAnsi" w:hAnsiTheme="minorHAnsi" w:cstheme="minorHAnsi"/>
          <w:b/>
          <w:bCs/>
          <w:color w:val="4BACC6" w:themeColor="accent5"/>
          <w:sz w:val="28"/>
          <w:szCs w:val="28"/>
          <w:u w:val="single"/>
        </w:rPr>
        <w:t xml:space="preserve"> Part 1</w:t>
      </w:r>
      <w:r w:rsidR="00635F3B" w:rsidRPr="00B319D0">
        <w:rPr>
          <w:rFonts w:asciiTheme="minorHAnsi" w:hAnsiTheme="minorHAnsi" w:cstheme="minorHAnsi"/>
          <w:b/>
          <w:bCs/>
          <w:color w:val="4BACC6" w:themeColor="accent5"/>
          <w:sz w:val="28"/>
          <w:szCs w:val="28"/>
          <w:u w:val="single"/>
        </w:rPr>
        <w:t>- Instructions</w:t>
      </w:r>
      <w:r w:rsidRPr="00B319D0">
        <w:rPr>
          <w:rFonts w:asciiTheme="minorHAnsi" w:hAnsiTheme="minorHAnsi" w:cstheme="minorHAnsi"/>
          <w:b/>
          <w:bCs/>
          <w:color w:val="4BACC6" w:themeColor="accent5"/>
          <w:sz w:val="28"/>
          <w:szCs w:val="28"/>
          <w:u w:val="single"/>
        </w:rPr>
        <w:t xml:space="preserve"> and Specification</w:t>
      </w:r>
      <w:r w:rsidR="00EF1F23" w:rsidRPr="00B319D0">
        <w:rPr>
          <w:rFonts w:asciiTheme="minorHAnsi" w:hAnsiTheme="minorHAnsi" w:cstheme="minorHAnsi"/>
          <w:b/>
          <w:bCs/>
          <w:color w:val="4BACC6" w:themeColor="accent5"/>
          <w:sz w:val="28"/>
          <w:szCs w:val="28"/>
          <w:u w:val="single"/>
        </w:rPr>
        <w:t xml:space="preserve"> </w:t>
      </w:r>
    </w:p>
    <w:p w14:paraId="1E2177D5" w14:textId="77777777" w:rsidR="00B213DD" w:rsidRPr="00B213DD" w:rsidRDefault="00EF1F23" w:rsidP="00EF1F23">
      <w:pPr>
        <w:jc w:val="both"/>
        <w:rPr>
          <w:rFonts w:asciiTheme="minorHAnsi" w:hAnsiTheme="minorHAnsi" w:cstheme="minorHAnsi"/>
          <w:b/>
          <w:bCs/>
          <w:iCs/>
          <w:color w:val="000000" w:themeColor="text1"/>
        </w:rPr>
      </w:pPr>
      <w:r w:rsidRPr="009B5F82">
        <w:rPr>
          <w:rFonts w:asciiTheme="minorHAnsi" w:hAnsiTheme="minorHAnsi" w:cstheme="minorHAnsi"/>
        </w:rPr>
        <w:t xml:space="preserve">Quotation: </w:t>
      </w:r>
      <w:r w:rsidR="00B213DD" w:rsidRPr="00B213DD">
        <w:rPr>
          <w:rFonts w:asciiTheme="minorHAnsi" w:hAnsiTheme="minorHAnsi" w:cstheme="minorHAnsi"/>
          <w:b/>
          <w:bCs/>
          <w:iCs/>
          <w:color w:val="000000" w:themeColor="text1"/>
        </w:rPr>
        <w:t xml:space="preserve">ERDF BUSINESS SUPPORT PROJECT REVIEW </w:t>
      </w:r>
    </w:p>
    <w:p w14:paraId="31A32BAA" w14:textId="4FF95764" w:rsidR="00EF1F23" w:rsidRPr="002D7D63" w:rsidRDefault="00EF1F23" w:rsidP="00EF1F23">
      <w:pPr>
        <w:jc w:val="both"/>
        <w:rPr>
          <w:rFonts w:asciiTheme="minorHAnsi" w:hAnsiTheme="minorHAnsi" w:cstheme="minorHAnsi"/>
          <w:b/>
        </w:rPr>
      </w:pPr>
      <w:r w:rsidRPr="002D7D63">
        <w:rPr>
          <w:rFonts w:asciiTheme="minorHAnsi" w:hAnsiTheme="minorHAnsi" w:cstheme="minorHAnsi"/>
        </w:rPr>
        <w:t xml:space="preserve">Quotation Reference: </w:t>
      </w:r>
      <w:r w:rsidR="005F7B6B" w:rsidRPr="005F7B6B">
        <w:rPr>
          <w:rFonts w:asciiTheme="minorHAnsi" w:hAnsiTheme="minorHAnsi" w:cstheme="minorHAnsi"/>
          <w:b/>
        </w:rPr>
        <w:t>DN635268</w:t>
      </w:r>
    </w:p>
    <w:p w14:paraId="5BCEF3A5" w14:textId="0FD7D59E" w:rsidR="00EF1F23" w:rsidRPr="002D7D63" w:rsidRDefault="00EF1F23" w:rsidP="00EF1F23">
      <w:pPr>
        <w:jc w:val="both"/>
        <w:rPr>
          <w:rFonts w:asciiTheme="minorHAnsi" w:hAnsiTheme="minorHAnsi" w:cstheme="minorHAnsi"/>
          <w:b/>
          <w:i/>
          <w:iCs/>
        </w:rPr>
      </w:pPr>
      <w:r w:rsidRPr="002D7D63">
        <w:rPr>
          <w:rFonts w:asciiTheme="minorHAnsi" w:hAnsiTheme="minorHAnsi" w:cstheme="minorHAnsi"/>
          <w:bCs/>
        </w:rPr>
        <w:t>Quotation return deadline:</w:t>
      </w:r>
      <w:r w:rsidRPr="002D7D63">
        <w:rPr>
          <w:rFonts w:asciiTheme="minorHAnsi" w:hAnsiTheme="minorHAnsi" w:cstheme="minorHAnsi"/>
          <w:b/>
        </w:rPr>
        <w:t xml:space="preserve"> 12 noon</w:t>
      </w:r>
      <w:r w:rsidR="002D7D63" w:rsidRPr="002D7D63">
        <w:rPr>
          <w:rFonts w:asciiTheme="minorHAnsi" w:hAnsiTheme="minorHAnsi" w:cstheme="minorHAnsi"/>
          <w:b/>
        </w:rPr>
        <w:t xml:space="preserve">, </w:t>
      </w:r>
      <w:r w:rsidR="004E601F">
        <w:rPr>
          <w:rFonts w:asciiTheme="minorHAnsi" w:hAnsiTheme="minorHAnsi" w:cstheme="minorHAnsi"/>
          <w:b/>
        </w:rPr>
        <w:t>14</w:t>
      </w:r>
      <w:r w:rsidR="004E601F">
        <w:rPr>
          <w:rFonts w:asciiTheme="minorHAnsi" w:hAnsiTheme="minorHAnsi" w:cstheme="minorHAnsi"/>
          <w:b/>
          <w:vertAlign w:val="superscript"/>
        </w:rPr>
        <w:t xml:space="preserve">th </w:t>
      </w:r>
      <w:r w:rsidR="004E601F">
        <w:rPr>
          <w:rFonts w:asciiTheme="minorHAnsi" w:hAnsiTheme="minorHAnsi" w:cstheme="minorHAnsi"/>
          <w:b/>
        </w:rPr>
        <w:t>October</w:t>
      </w:r>
      <w:r w:rsidR="002D7D63" w:rsidRPr="002D7D63">
        <w:rPr>
          <w:rFonts w:asciiTheme="minorHAnsi" w:hAnsiTheme="minorHAnsi" w:cstheme="minorHAnsi"/>
          <w:b/>
        </w:rPr>
        <w:t xml:space="preserve"> 2022</w:t>
      </w:r>
    </w:p>
    <w:p w14:paraId="2D65E772" w14:textId="77777777" w:rsidR="00EF1F23" w:rsidRPr="00C639CF" w:rsidRDefault="00EF1F23" w:rsidP="00EF1F23">
      <w:pPr>
        <w:ind w:right="624"/>
        <w:rPr>
          <w:rFonts w:ascii="Arial" w:hAnsi="Arial"/>
          <w:sz w:val="28"/>
        </w:rPr>
      </w:pPr>
    </w:p>
    <w:p w14:paraId="396CC679" w14:textId="77777777" w:rsidR="00EF1F23" w:rsidRPr="006A6AA3" w:rsidRDefault="00EF1F23" w:rsidP="00EF1F23">
      <w:pPr>
        <w:ind w:right="624"/>
      </w:pPr>
      <w:r w:rsidRPr="006A6AA3">
        <w:t xml:space="preserve">You are invited to submit a quotation for the above contract and the following documents are available on the YORtender system to enable you to submit your quotation electronically. </w:t>
      </w:r>
    </w:p>
    <w:p w14:paraId="1D06E36E" w14:textId="77777777" w:rsidR="00EF1F23" w:rsidRPr="00EF1F23" w:rsidRDefault="0077457A" w:rsidP="00EF1F23">
      <w:pPr>
        <w:numPr>
          <w:ilvl w:val="0"/>
          <w:numId w:val="30"/>
        </w:numPr>
        <w:ind w:right="624"/>
        <w:rPr>
          <w:b/>
          <w:bCs/>
          <w:i/>
        </w:rPr>
      </w:pPr>
      <w:r>
        <w:rPr>
          <w:b/>
          <w:bCs/>
        </w:rPr>
        <w:t>RFQ</w:t>
      </w:r>
      <w:r w:rsidR="00EF1F23" w:rsidRPr="00EF1F23">
        <w:rPr>
          <w:b/>
          <w:bCs/>
        </w:rPr>
        <w:t xml:space="preserve"> Part 1 </w:t>
      </w:r>
      <w:r w:rsidR="00CA61F2">
        <w:rPr>
          <w:b/>
          <w:bCs/>
        </w:rPr>
        <w:t>–</w:t>
      </w:r>
      <w:r w:rsidR="00795F64">
        <w:rPr>
          <w:b/>
          <w:bCs/>
        </w:rPr>
        <w:t xml:space="preserve"> </w:t>
      </w:r>
      <w:r w:rsidR="00EF1F23" w:rsidRPr="00EF1F23">
        <w:rPr>
          <w:b/>
          <w:bCs/>
        </w:rPr>
        <w:t>In</w:t>
      </w:r>
      <w:r w:rsidR="00CA61F2">
        <w:rPr>
          <w:b/>
          <w:bCs/>
        </w:rPr>
        <w:t xml:space="preserve">structions </w:t>
      </w:r>
      <w:r w:rsidR="00EF1F23" w:rsidRPr="00EF1F23">
        <w:rPr>
          <w:b/>
          <w:bCs/>
        </w:rPr>
        <w:t>and Specification (this document, for reference)</w:t>
      </w:r>
    </w:p>
    <w:p w14:paraId="2C4FB3C7" w14:textId="77777777" w:rsidR="00EF1F23" w:rsidRPr="006A6AA3" w:rsidRDefault="0077457A" w:rsidP="00EF1F23">
      <w:pPr>
        <w:numPr>
          <w:ilvl w:val="0"/>
          <w:numId w:val="30"/>
        </w:numPr>
        <w:ind w:right="624"/>
        <w:rPr>
          <w:b/>
          <w:i/>
        </w:rPr>
      </w:pPr>
      <w:r>
        <w:t>RFQ</w:t>
      </w:r>
      <w:r w:rsidR="00EF1F23" w:rsidRPr="006A6AA3">
        <w:t xml:space="preserve"> Part 2 </w:t>
      </w:r>
      <w:r w:rsidR="00795F64">
        <w:t xml:space="preserve">- </w:t>
      </w:r>
      <w:r w:rsidR="00EF1F23" w:rsidRPr="006A6AA3">
        <w:t xml:space="preserve">Terms and Conditions (for reference) </w:t>
      </w:r>
    </w:p>
    <w:p w14:paraId="08B09158" w14:textId="77777777" w:rsidR="00EF1F23" w:rsidRPr="00EF1F23" w:rsidRDefault="0077457A" w:rsidP="00EF1F23">
      <w:pPr>
        <w:numPr>
          <w:ilvl w:val="0"/>
          <w:numId w:val="30"/>
        </w:numPr>
        <w:ind w:right="624"/>
        <w:rPr>
          <w:i/>
        </w:rPr>
      </w:pPr>
      <w:r>
        <w:t>RFQ</w:t>
      </w:r>
      <w:r w:rsidR="00EF1F23" w:rsidRPr="00EF1F23">
        <w:t xml:space="preserve"> </w:t>
      </w:r>
      <w:r w:rsidR="00EF1F23" w:rsidRPr="00FB09D5">
        <w:t>Part 3</w:t>
      </w:r>
      <w:r w:rsidR="00EF1F23" w:rsidRPr="00EF1F23">
        <w:t xml:space="preserve"> </w:t>
      </w:r>
      <w:r w:rsidR="00795F64">
        <w:t xml:space="preserve">- </w:t>
      </w:r>
      <w:r w:rsidR="00EF1F23" w:rsidRPr="00EF1F23">
        <w:t xml:space="preserve">Quote Document (to be returned) </w:t>
      </w:r>
    </w:p>
    <w:p w14:paraId="78C48B59" w14:textId="0BF6ED9C" w:rsidR="00EF1F23" w:rsidRPr="002D7D63" w:rsidRDefault="00EF1F23" w:rsidP="00EF1F23">
      <w:pPr>
        <w:spacing w:before="240" w:after="240"/>
        <w:ind w:right="624"/>
      </w:pPr>
      <w:r w:rsidRPr="002D7D63">
        <w:t>Please note hard copy submissions will not be accepted. Quotations shall remain open for acceptance for a minimum of (</w:t>
      </w:r>
      <w:r w:rsidR="002D7D63" w:rsidRPr="002D7D63">
        <w:t>30</w:t>
      </w:r>
      <w:r w:rsidRPr="002D7D63">
        <w:t xml:space="preserve">) days and the Authority expects to notify the award of the contract within </w:t>
      </w:r>
      <w:r w:rsidRPr="002D7D63">
        <w:rPr>
          <w:bCs/>
          <w:iCs/>
        </w:rPr>
        <w:t>(</w:t>
      </w:r>
      <w:r w:rsidR="002D7D63" w:rsidRPr="002D7D63">
        <w:rPr>
          <w:bCs/>
          <w:iCs/>
        </w:rPr>
        <w:t>7</w:t>
      </w:r>
      <w:r w:rsidRPr="002D7D63">
        <w:rPr>
          <w:bCs/>
          <w:iCs/>
        </w:rPr>
        <w:t>)</w:t>
      </w:r>
      <w:r w:rsidRPr="002D7D63">
        <w:rPr>
          <w:i/>
          <w:iCs/>
        </w:rPr>
        <w:t xml:space="preserve"> </w:t>
      </w:r>
      <w:r w:rsidRPr="002D7D63">
        <w:t>days from the deadline for submission of quotations.</w:t>
      </w:r>
    </w:p>
    <w:p w14:paraId="2722BFE2" w14:textId="2B56F154" w:rsidR="00EF1F23" w:rsidRPr="006A6AA3" w:rsidRDefault="00EF1F23" w:rsidP="00EF1F23">
      <w:pPr>
        <w:spacing w:before="240" w:after="240"/>
        <w:ind w:right="624"/>
      </w:pPr>
      <w:r w:rsidRPr="006A6AA3">
        <w:t xml:space="preserve">Any queries must be raised via </w:t>
      </w:r>
      <w:hyperlink r:id="rId10" w:history="1">
        <w:r w:rsidR="002D7D63" w:rsidRPr="00881877">
          <w:rPr>
            <w:rStyle w:val="Hyperlink"/>
            <w:rFonts w:cs="Arial"/>
          </w:rPr>
          <w:t>www.procontract.com</w:t>
        </w:r>
      </w:hyperlink>
      <w:r w:rsidR="002D7D63">
        <w:t xml:space="preserve"> </w:t>
      </w:r>
      <w:r w:rsidRPr="006A6AA3">
        <w:t xml:space="preserve"> at least four</w:t>
      </w:r>
      <w:r>
        <w:t xml:space="preserve"> working</w:t>
      </w:r>
      <w:r w:rsidRPr="006A6AA3">
        <w:t xml:space="preserve"> days prior to the deadline for submission of quotations.</w:t>
      </w:r>
    </w:p>
    <w:p w14:paraId="7B27FFF7" w14:textId="77777777" w:rsidR="00EF1F23" w:rsidRDefault="00EF1F23" w:rsidP="00EF1F23">
      <w:pPr>
        <w:spacing w:before="240" w:after="240"/>
        <w:ind w:right="624"/>
        <w:rPr>
          <w:lang w:val="en-US"/>
        </w:rPr>
      </w:pPr>
      <w:r w:rsidRPr="006A6AA3">
        <w:rPr>
          <w:lang w:val="en-US"/>
        </w:rPr>
        <w:t>The Authority reserves the right to accept or reject any part of any quotation.</w:t>
      </w:r>
    </w:p>
    <w:p w14:paraId="48938FC8" w14:textId="77777777" w:rsidR="00CF1622" w:rsidRDefault="00CF1622" w:rsidP="00DA297B">
      <w:pPr>
        <w:ind w:left="5040"/>
        <w:rPr>
          <w:rFonts w:ascii="Calibri" w:hAnsi="Calibri"/>
          <w:color w:val="FF0000"/>
        </w:rPr>
      </w:pPr>
    </w:p>
    <w:p w14:paraId="5FFFB89B" w14:textId="77777777" w:rsidR="005E317D" w:rsidRPr="00247CF4" w:rsidRDefault="005E317D" w:rsidP="00247CF4">
      <w:pPr>
        <w:pStyle w:val="ListParagraph"/>
        <w:numPr>
          <w:ilvl w:val="0"/>
          <w:numId w:val="31"/>
        </w:numPr>
        <w:spacing w:before="0" w:after="240"/>
        <w:ind w:left="357" w:hanging="357"/>
        <w:contextualSpacing w:val="0"/>
        <w:rPr>
          <w:rFonts w:ascii="Calibri" w:hAnsi="Calibri"/>
          <w:b/>
          <w:bCs/>
          <w:sz w:val="28"/>
          <w:szCs w:val="28"/>
        </w:rPr>
      </w:pPr>
      <w:r w:rsidRPr="00A56D49">
        <w:rPr>
          <w:rFonts w:ascii="Calibri" w:hAnsi="Calibri"/>
          <w:color w:val="FF0000"/>
        </w:rPr>
        <w:br w:type="page"/>
      </w:r>
      <w:r w:rsidR="00A56D49" w:rsidRPr="00B319D0">
        <w:rPr>
          <w:rFonts w:ascii="Calibri" w:hAnsi="Calibri"/>
          <w:b/>
          <w:bCs/>
          <w:color w:val="4BACC6" w:themeColor="accent5"/>
          <w:sz w:val="28"/>
          <w:szCs w:val="28"/>
        </w:rPr>
        <w:lastRenderedPageBreak/>
        <w:t xml:space="preserve">Introduction </w:t>
      </w:r>
      <w:r w:rsidR="00AC1EA5" w:rsidRPr="00B319D0">
        <w:rPr>
          <w:rFonts w:ascii="Calibri" w:hAnsi="Calibri"/>
          <w:b/>
          <w:bCs/>
          <w:color w:val="4BACC6" w:themeColor="accent5"/>
          <w:sz w:val="28"/>
          <w:szCs w:val="28"/>
        </w:rPr>
        <w:t>and General Instructions</w:t>
      </w:r>
    </w:p>
    <w:p w14:paraId="705A010D" w14:textId="36770C2E" w:rsidR="001838F8" w:rsidRDefault="001838F8" w:rsidP="00247CF4">
      <w:pPr>
        <w:pStyle w:val="ListParagraph"/>
        <w:numPr>
          <w:ilvl w:val="1"/>
          <w:numId w:val="31"/>
        </w:numPr>
        <w:spacing w:before="0" w:after="240"/>
        <w:ind w:left="788" w:hanging="431"/>
        <w:contextualSpacing w:val="0"/>
        <w:rPr>
          <w:rFonts w:ascii="Calibri" w:hAnsi="Calibri" w:cs="Calibri"/>
        </w:rPr>
      </w:pPr>
      <w:r>
        <w:rPr>
          <w:rFonts w:ascii="Calibri" w:hAnsi="Calibri" w:cs="Calibri"/>
        </w:rPr>
        <w:t xml:space="preserve">This </w:t>
      </w:r>
      <w:r w:rsidR="00A00E88">
        <w:rPr>
          <w:rFonts w:ascii="Calibri" w:hAnsi="Calibri" w:cs="Calibri"/>
        </w:rPr>
        <w:t>request for</w:t>
      </w:r>
      <w:r>
        <w:rPr>
          <w:rFonts w:ascii="Calibri" w:hAnsi="Calibri" w:cs="Calibri"/>
        </w:rPr>
        <w:t xml:space="preserve"> quotation</w:t>
      </w:r>
      <w:r w:rsidR="00A00E88">
        <w:rPr>
          <w:rFonts w:ascii="Calibri" w:hAnsi="Calibri" w:cs="Calibri"/>
        </w:rPr>
        <w:t>s</w:t>
      </w:r>
      <w:r>
        <w:rPr>
          <w:rFonts w:ascii="Calibri" w:hAnsi="Calibri" w:cs="Calibri"/>
        </w:rPr>
        <w:t xml:space="preserve"> is published by the Sheffield City Region Mayoral Combined Authority (the Authority). Further information about the Authority can be found on our website at </w:t>
      </w:r>
      <w:hyperlink r:id="rId11" w:history="1">
        <w:r w:rsidR="00B319D0" w:rsidRPr="00EF269B">
          <w:rPr>
            <w:rStyle w:val="Hyperlink"/>
            <w:rFonts w:ascii="Calibri" w:hAnsi="Calibri" w:cs="Calibri"/>
          </w:rPr>
          <w:t>www.southyorkshire-ca.gov.uk</w:t>
        </w:r>
      </w:hyperlink>
      <w:r w:rsidR="00B319D0">
        <w:rPr>
          <w:rFonts w:ascii="Calibri" w:hAnsi="Calibri" w:cs="Calibri"/>
        </w:rPr>
        <w:t xml:space="preserve"> </w:t>
      </w:r>
      <w:r>
        <w:rPr>
          <w:rFonts w:ascii="Calibri" w:hAnsi="Calibri" w:cs="Calibri"/>
        </w:rPr>
        <w:t xml:space="preserve"> </w:t>
      </w:r>
    </w:p>
    <w:p w14:paraId="47E73B65" w14:textId="4E2BF945" w:rsidR="001838F8" w:rsidRPr="00801632" w:rsidRDefault="001838F8" w:rsidP="001838F8">
      <w:pPr>
        <w:pStyle w:val="ListParagraph"/>
        <w:numPr>
          <w:ilvl w:val="1"/>
          <w:numId w:val="31"/>
        </w:numPr>
        <w:spacing w:before="0" w:after="240"/>
        <w:ind w:left="788" w:hanging="431"/>
        <w:contextualSpacing w:val="0"/>
        <w:rPr>
          <w:rFonts w:ascii="Calibri" w:hAnsi="Calibri" w:cs="Calibri"/>
        </w:rPr>
      </w:pPr>
      <w:r w:rsidRPr="00801632">
        <w:rPr>
          <w:rFonts w:ascii="Calibri" w:hAnsi="Calibri" w:cs="Calibri"/>
        </w:rPr>
        <w:t>If you have been personally invited to submit a quotation and you have decided to decline the invitation please notify the procurement team via</w:t>
      </w:r>
      <w:r w:rsidR="004E601F">
        <w:rPr>
          <w:rFonts w:ascii="Calibri" w:hAnsi="Calibri" w:cs="Calibri"/>
        </w:rPr>
        <w:t xml:space="preserve"> </w:t>
      </w:r>
      <w:hyperlink r:id="rId12" w:history="1">
        <w:r w:rsidR="004E601F" w:rsidRPr="00257014">
          <w:rPr>
            <w:rStyle w:val="Hyperlink"/>
            <w:rFonts w:ascii="Calibri" w:hAnsi="Calibri" w:cs="Calibri"/>
          </w:rPr>
          <w:t>www.proactis.com</w:t>
        </w:r>
      </w:hyperlink>
      <w:r w:rsidR="004E601F">
        <w:rPr>
          <w:rFonts w:ascii="Calibri" w:hAnsi="Calibri" w:cs="Calibri"/>
        </w:rPr>
        <w:t xml:space="preserve"> </w:t>
      </w:r>
    </w:p>
    <w:p w14:paraId="0CDE6C48" w14:textId="54968275" w:rsidR="00A56D49" w:rsidRPr="00801632" w:rsidRDefault="00247CF4" w:rsidP="00247CF4">
      <w:pPr>
        <w:pStyle w:val="ListParagraph"/>
        <w:numPr>
          <w:ilvl w:val="1"/>
          <w:numId w:val="31"/>
        </w:numPr>
        <w:spacing w:before="0" w:after="240"/>
        <w:ind w:left="788" w:hanging="431"/>
        <w:contextualSpacing w:val="0"/>
        <w:rPr>
          <w:rFonts w:ascii="Calibri" w:hAnsi="Calibri" w:cs="Calibri"/>
        </w:rPr>
      </w:pPr>
      <w:r w:rsidRPr="00801632">
        <w:rPr>
          <w:rFonts w:ascii="Calibri" w:hAnsi="Calibri" w:cs="Calibri"/>
        </w:rPr>
        <w:t>If you have any queries or would like to request further information, please</w:t>
      </w:r>
      <w:r w:rsidR="00CF7F5C" w:rsidRPr="00801632">
        <w:rPr>
          <w:rFonts w:ascii="Calibri" w:hAnsi="Calibri" w:cs="Calibri"/>
        </w:rPr>
        <w:t xml:space="preserve"> use the messaging facility on </w:t>
      </w:r>
      <w:hyperlink r:id="rId13" w:history="1">
        <w:r w:rsidR="004E601F" w:rsidRPr="00257014">
          <w:rPr>
            <w:rStyle w:val="Hyperlink"/>
            <w:rFonts w:ascii="Calibri" w:hAnsi="Calibri" w:cs="Calibri"/>
          </w:rPr>
          <w:t>www.proactis.com</w:t>
        </w:r>
      </w:hyperlink>
      <w:r w:rsidR="004E601F">
        <w:rPr>
          <w:rFonts w:ascii="Calibri" w:hAnsi="Calibri" w:cs="Calibri"/>
        </w:rPr>
        <w:t xml:space="preserve"> </w:t>
      </w:r>
      <w:r w:rsidR="00CF7F5C" w:rsidRPr="00801632">
        <w:rPr>
          <w:rFonts w:ascii="Calibri" w:hAnsi="Calibri" w:cs="Calibri"/>
        </w:rPr>
        <w:t xml:space="preserve"> to submit your request. </w:t>
      </w:r>
    </w:p>
    <w:p w14:paraId="4BECD0C9" w14:textId="77777777" w:rsidR="00801632" w:rsidRDefault="00801632" w:rsidP="00247CF4">
      <w:pPr>
        <w:pStyle w:val="ListParagraph"/>
        <w:numPr>
          <w:ilvl w:val="1"/>
          <w:numId w:val="31"/>
        </w:numPr>
        <w:spacing w:before="0" w:after="240"/>
        <w:ind w:left="788" w:hanging="431"/>
        <w:contextualSpacing w:val="0"/>
        <w:rPr>
          <w:rFonts w:ascii="Calibri" w:hAnsi="Calibri" w:cs="Calibri"/>
        </w:rPr>
      </w:pPr>
      <w:r>
        <w:rPr>
          <w:rFonts w:ascii="Calibri" w:hAnsi="Calibri" w:cs="Calibri"/>
        </w:rPr>
        <w:t xml:space="preserve">The </w:t>
      </w:r>
      <w:r w:rsidRPr="00801632">
        <w:rPr>
          <w:rFonts w:ascii="Calibri" w:hAnsi="Calibri" w:cs="Calibri"/>
        </w:rPr>
        <w:t xml:space="preserve">contract will be based on </w:t>
      </w:r>
      <w:r>
        <w:rPr>
          <w:rFonts w:ascii="Calibri" w:hAnsi="Calibri" w:cs="Calibri"/>
        </w:rPr>
        <w:t>the Authority’s st</w:t>
      </w:r>
      <w:r w:rsidRPr="00801632">
        <w:rPr>
          <w:rFonts w:ascii="Calibri" w:hAnsi="Calibri" w:cs="Calibri"/>
        </w:rPr>
        <w:t xml:space="preserve">andard </w:t>
      </w:r>
      <w:r w:rsidR="00AC1EA5">
        <w:rPr>
          <w:rFonts w:ascii="Calibri" w:hAnsi="Calibri" w:cs="Calibri"/>
        </w:rPr>
        <w:t>t</w:t>
      </w:r>
      <w:r w:rsidRPr="00801632">
        <w:rPr>
          <w:rFonts w:ascii="Calibri" w:hAnsi="Calibri" w:cs="Calibri"/>
        </w:rPr>
        <w:t xml:space="preserve">erms and </w:t>
      </w:r>
      <w:r w:rsidR="00AC1EA5">
        <w:rPr>
          <w:rFonts w:ascii="Calibri" w:hAnsi="Calibri" w:cs="Calibri"/>
        </w:rPr>
        <w:t>c</w:t>
      </w:r>
      <w:r w:rsidRPr="00801632">
        <w:rPr>
          <w:rFonts w:ascii="Calibri" w:hAnsi="Calibri" w:cs="Calibri"/>
        </w:rPr>
        <w:t>onditions</w:t>
      </w:r>
      <w:r>
        <w:rPr>
          <w:rFonts w:ascii="Calibri" w:hAnsi="Calibri" w:cs="Calibri"/>
        </w:rPr>
        <w:t>, if you have any queries regarding the terms and conditions these must be raised prior to submitting your quotation</w:t>
      </w:r>
      <w:r w:rsidRPr="00801632">
        <w:rPr>
          <w:rFonts w:ascii="Calibri" w:hAnsi="Calibri" w:cs="Calibri"/>
        </w:rPr>
        <w:t xml:space="preserve">. </w:t>
      </w:r>
      <w:r>
        <w:rPr>
          <w:rFonts w:ascii="Calibri" w:hAnsi="Calibri" w:cs="Calibri"/>
        </w:rPr>
        <w:t xml:space="preserve">Post tender negotiations will not be permitted. </w:t>
      </w:r>
    </w:p>
    <w:p w14:paraId="57128590" w14:textId="20EBD5B4" w:rsidR="00801632" w:rsidRDefault="00801632" w:rsidP="00801632">
      <w:pPr>
        <w:pStyle w:val="ListParagraph"/>
        <w:numPr>
          <w:ilvl w:val="1"/>
          <w:numId w:val="31"/>
        </w:numPr>
        <w:spacing w:before="0" w:after="240"/>
        <w:ind w:left="788" w:hanging="431"/>
        <w:contextualSpacing w:val="0"/>
        <w:rPr>
          <w:rFonts w:ascii="Calibri" w:hAnsi="Calibri" w:cs="Calibri"/>
        </w:rPr>
      </w:pPr>
      <w:r>
        <w:rPr>
          <w:rFonts w:ascii="Calibri" w:hAnsi="Calibri" w:cs="Calibri"/>
        </w:rPr>
        <w:t xml:space="preserve">Responses to queries will be provided </w:t>
      </w:r>
      <w:r w:rsidRPr="00801632">
        <w:rPr>
          <w:rFonts w:ascii="Calibri" w:hAnsi="Calibri" w:cs="Calibri"/>
        </w:rPr>
        <w:t xml:space="preserve">via </w:t>
      </w:r>
      <w:hyperlink r:id="rId14" w:history="1">
        <w:r w:rsidR="004E601F" w:rsidRPr="00257014">
          <w:rPr>
            <w:rStyle w:val="Hyperlink"/>
            <w:rFonts w:ascii="Calibri" w:hAnsi="Calibri" w:cs="Calibri"/>
          </w:rPr>
          <w:t>www.proactis.com</w:t>
        </w:r>
      </w:hyperlink>
      <w:r w:rsidR="004E601F">
        <w:rPr>
          <w:rFonts w:ascii="Calibri" w:hAnsi="Calibri" w:cs="Calibri"/>
        </w:rPr>
        <w:t xml:space="preserve"> </w:t>
      </w:r>
      <w:r w:rsidRPr="00801632">
        <w:rPr>
          <w:rFonts w:ascii="Calibri" w:hAnsi="Calibri" w:cs="Calibri"/>
        </w:rPr>
        <w:t xml:space="preserve"> </w:t>
      </w:r>
      <w:r>
        <w:rPr>
          <w:rFonts w:ascii="Calibri" w:hAnsi="Calibri" w:cs="Calibri"/>
        </w:rPr>
        <w:t xml:space="preserve">and made available to </w:t>
      </w:r>
      <w:r w:rsidRPr="00801632">
        <w:rPr>
          <w:rFonts w:ascii="Calibri" w:hAnsi="Calibri" w:cs="Calibri"/>
        </w:rPr>
        <w:t>all tenderers, except answers which are commercially confidential</w:t>
      </w:r>
      <w:r w:rsidR="00AC1EA5">
        <w:rPr>
          <w:rFonts w:ascii="Calibri" w:hAnsi="Calibri" w:cs="Calibri"/>
        </w:rPr>
        <w:t>.</w:t>
      </w:r>
      <w:r w:rsidRPr="00801632">
        <w:rPr>
          <w:rFonts w:ascii="Calibri" w:hAnsi="Calibri" w:cs="Calibri"/>
        </w:rPr>
        <w:t xml:space="preserve"> If you do not want the answer to your question to be copied to all tenderers, you must clearly mark your question ‘in confidence’ and provide reasons for the request for non-disclosure. We will decide, at our discretion, whether the question is confidential. If we do not consider the question to be confidential, we will offer you the option of withdrawing the question</w:t>
      </w:r>
      <w:r>
        <w:rPr>
          <w:rFonts w:ascii="Calibri" w:hAnsi="Calibri" w:cs="Calibri"/>
        </w:rPr>
        <w:t>.</w:t>
      </w:r>
    </w:p>
    <w:p w14:paraId="7C9AB748" w14:textId="77777777" w:rsidR="00801632" w:rsidRPr="00E816FE" w:rsidRDefault="00AC1EA5" w:rsidP="00AC1EA5">
      <w:pPr>
        <w:pStyle w:val="ListParagraph"/>
        <w:numPr>
          <w:ilvl w:val="0"/>
          <w:numId w:val="31"/>
        </w:numPr>
        <w:spacing w:before="0" w:after="240"/>
        <w:contextualSpacing w:val="0"/>
        <w:rPr>
          <w:rFonts w:ascii="Calibri" w:hAnsi="Calibri"/>
          <w:b/>
          <w:bCs/>
          <w:sz w:val="28"/>
          <w:szCs w:val="28"/>
        </w:rPr>
      </w:pPr>
      <w:r w:rsidRPr="00B319D0">
        <w:rPr>
          <w:rFonts w:ascii="Calibri" w:hAnsi="Calibri"/>
          <w:b/>
          <w:bCs/>
          <w:color w:val="4BACC6" w:themeColor="accent5"/>
          <w:sz w:val="28"/>
          <w:szCs w:val="28"/>
        </w:rPr>
        <w:t xml:space="preserve">Contract </w:t>
      </w:r>
      <w:r w:rsidR="002B1F5A" w:rsidRPr="00B319D0">
        <w:rPr>
          <w:rFonts w:ascii="Calibri" w:hAnsi="Calibri"/>
          <w:b/>
          <w:bCs/>
          <w:color w:val="4BACC6" w:themeColor="accent5"/>
          <w:sz w:val="28"/>
          <w:szCs w:val="28"/>
        </w:rPr>
        <w:t xml:space="preserve">Details </w:t>
      </w:r>
    </w:p>
    <w:p w14:paraId="56763A6B" w14:textId="24ED34E4" w:rsidR="00AC1EA5" w:rsidRPr="00ED27F3" w:rsidRDefault="00AC1EA5" w:rsidP="00AC1EA5">
      <w:pPr>
        <w:pStyle w:val="ListParagraph"/>
        <w:numPr>
          <w:ilvl w:val="1"/>
          <w:numId w:val="31"/>
        </w:numPr>
        <w:spacing w:before="0" w:after="240"/>
        <w:contextualSpacing w:val="0"/>
        <w:rPr>
          <w:rFonts w:ascii="Calibri" w:hAnsi="Calibri" w:cs="Calibri"/>
        </w:rPr>
      </w:pPr>
      <w:r w:rsidRPr="00E816FE">
        <w:rPr>
          <w:rFonts w:ascii="Calibri" w:hAnsi="Calibri" w:cs="Calibri"/>
        </w:rPr>
        <w:t xml:space="preserve">The </w:t>
      </w:r>
      <w:r w:rsidR="00685732">
        <w:rPr>
          <w:rFonts w:ascii="Calibri" w:hAnsi="Calibri" w:cs="Calibri"/>
        </w:rPr>
        <w:t xml:space="preserve">highest </w:t>
      </w:r>
      <w:r w:rsidR="002B1F5A" w:rsidRPr="00E816FE">
        <w:rPr>
          <w:rFonts w:ascii="Calibri" w:hAnsi="Calibri" w:cs="Calibri"/>
        </w:rPr>
        <w:t xml:space="preserve">value of the contract, </w:t>
      </w:r>
      <w:r w:rsidR="00735F12" w:rsidRPr="00ED27F3">
        <w:rPr>
          <w:rFonts w:ascii="Calibri" w:hAnsi="Calibri" w:cs="Calibri"/>
        </w:rPr>
        <w:t>in</w:t>
      </w:r>
      <w:r w:rsidR="002B1F5A" w:rsidRPr="00ED27F3">
        <w:rPr>
          <w:rFonts w:ascii="Calibri" w:hAnsi="Calibri" w:cs="Calibri"/>
        </w:rPr>
        <w:t xml:space="preserve">cluding any extension period(s) is </w:t>
      </w:r>
      <w:r w:rsidR="002B1F5A" w:rsidRPr="00ED27F3">
        <w:rPr>
          <w:rFonts w:ascii="Calibri" w:hAnsi="Calibri" w:cs="Calibri"/>
          <w:b/>
          <w:bCs/>
        </w:rPr>
        <w:t>£</w:t>
      </w:r>
      <w:r w:rsidR="00685732">
        <w:rPr>
          <w:rFonts w:ascii="Calibri" w:hAnsi="Calibri" w:cs="Calibri"/>
          <w:b/>
          <w:bCs/>
        </w:rPr>
        <w:t>15,000.00</w:t>
      </w:r>
    </w:p>
    <w:p w14:paraId="10ABFF0E" w14:textId="261871EC" w:rsidR="002B1F5A" w:rsidRPr="00ED27F3" w:rsidRDefault="002B1F5A" w:rsidP="00AC1EA5">
      <w:pPr>
        <w:pStyle w:val="ListParagraph"/>
        <w:numPr>
          <w:ilvl w:val="1"/>
          <w:numId w:val="31"/>
        </w:numPr>
        <w:spacing w:before="0" w:after="240"/>
        <w:contextualSpacing w:val="0"/>
        <w:rPr>
          <w:rFonts w:ascii="Calibri" w:hAnsi="Calibri" w:cs="Calibri"/>
        </w:rPr>
      </w:pPr>
      <w:r w:rsidRPr="00ED27F3">
        <w:rPr>
          <w:rFonts w:ascii="Calibri" w:hAnsi="Calibri" w:cs="Calibri"/>
        </w:rPr>
        <w:t>The Authority anticipates that the contract will start on</w:t>
      </w:r>
      <w:r w:rsidR="00795F64" w:rsidRPr="00ED27F3">
        <w:rPr>
          <w:rFonts w:ascii="Calibri" w:hAnsi="Calibri" w:cs="Calibri"/>
        </w:rPr>
        <w:t xml:space="preserve"> </w:t>
      </w:r>
      <w:r w:rsidR="004E601F">
        <w:rPr>
          <w:rFonts w:ascii="Calibri" w:hAnsi="Calibri" w:cs="Calibri"/>
          <w:b/>
          <w:bCs/>
        </w:rPr>
        <w:t xml:space="preserve">31-10-2023 </w:t>
      </w:r>
      <w:r w:rsidRPr="00ED27F3">
        <w:rPr>
          <w:rFonts w:ascii="Calibri" w:hAnsi="Calibri" w:cs="Calibri"/>
        </w:rPr>
        <w:t xml:space="preserve">and will end on </w:t>
      </w:r>
      <w:r w:rsidR="00534CE0" w:rsidRPr="00ED27F3">
        <w:rPr>
          <w:rFonts w:ascii="Calibri" w:hAnsi="Calibri" w:cs="Calibri"/>
          <w:b/>
          <w:bCs/>
        </w:rPr>
        <w:t>31-0</w:t>
      </w:r>
      <w:r w:rsidR="004E601F">
        <w:rPr>
          <w:rFonts w:ascii="Calibri" w:hAnsi="Calibri" w:cs="Calibri"/>
          <w:b/>
          <w:bCs/>
        </w:rPr>
        <w:t>2</w:t>
      </w:r>
      <w:r w:rsidR="00534CE0" w:rsidRPr="00ED27F3">
        <w:rPr>
          <w:rFonts w:ascii="Calibri" w:hAnsi="Calibri" w:cs="Calibri"/>
          <w:b/>
          <w:bCs/>
        </w:rPr>
        <w:t>-2023</w:t>
      </w:r>
      <w:r w:rsidRPr="00ED27F3">
        <w:rPr>
          <w:rFonts w:ascii="Calibri" w:hAnsi="Calibri" w:cs="Calibri"/>
        </w:rPr>
        <w:t xml:space="preserve"> </w:t>
      </w:r>
    </w:p>
    <w:p w14:paraId="744122AE" w14:textId="77777777" w:rsidR="00293A4B" w:rsidRPr="00B319D0" w:rsidRDefault="00293A4B" w:rsidP="002B1F5A">
      <w:pPr>
        <w:pStyle w:val="ListParagraph"/>
        <w:numPr>
          <w:ilvl w:val="0"/>
          <w:numId w:val="31"/>
        </w:numPr>
        <w:spacing w:before="0" w:after="240"/>
        <w:contextualSpacing w:val="0"/>
        <w:rPr>
          <w:rFonts w:ascii="Calibri" w:hAnsi="Calibri"/>
          <w:b/>
          <w:bCs/>
          <w:color w:val="4BACC6" w:themeColor="accent5"/>
          <w:sz w:val="28"/>
          <w:szCs w:val="28"/>
        </w:rPr>
      </w:pPr>
      <w:r w:rsidRPr="00B319D0">
        <w:rPr>
          <w:rFonts w:ascii="Calibri" w:hAnsi="Calibri"/>
          <w:b/>
          <w:bCs/>
          <w:color w:val="4BACC6" w:themeColor="accent5"/>
          <w:sz w:val="28"/>
          <w:szCs w:val="28"/>
        </w:rPr>
        <w:t xml:space="preserve">Submission Guidance </w:t>
      </w:r>
    </w:p>
    <w:p w14:paraId="01DC6F24" w14:textId="62CAB8FC" w:rsidR="00935505" w:rsidRDefault="00935505" w:rsidP="00293A4B">
      <w:pPr>
        <w:pStyle w:val="ListParagraph"/>
        <w:numPr>
          <w:ilvl w:val="1"/>
          <w:numId w:val="31"/>
        </w:numPr>
        <w:spacing w:before="0" w:after="240"/>
        <w:contextualSpacing w:val="0"/>
        <w:rPr>
          <w:rFonts w:ascii="Calibri" w:hAnsi="Calibri" w:cs="Calibri"/>
        </w:rPr>
      </w:pPr>
      <w:r>
        <w:rPr>
          <w:rFonts w:ascii="Calibri" w:hAnsi="Calibri" w:cs="Calibri"/>
        </w:rPr>
        <w:t xml:space="preserve">You must submit the </w:t>
      </w:r>
      <w:r w:rsidR="0077457A">
        <w:rPr>
          <w:rFonts w:ascii="Calibri" w:hAnsi="Calibri" w:cs="Calibri"/>
        </w:rPr>
        <w:t>RFQ</w:t>
      </w:r>
      <w:r>
        <w:rPr>
          <w:rFonts w:ascii="Calibri" w:hAnsi="Calibri" w:cs="Calibri"/>
        </w:rPr>
        <w:t xml:space="preserve"> Part 3 document</w:t>
      </w:r>
      <w:r w:rsidR="00F07028">
        <w:rPr>
          <w:rFonts w:ascii="Calibri" w:hAnsi="Calibri" w:cs="Calibri"/>
        </w:rPr>
        <w:t>(s)</w:t>
      </w:r>
      <w:r>
        <w:rPr>
          <w:rFonts w:ascii="Calibri" w:hAnsi="Calibri" w:cs="Calibri"/>
        </w:rPr>
        <w:t xml:space="preserve"> </w:t>
      </w:r>
      <w:r w:rsidR="00A3152F">
        <w:rPr>
          <w:rFonts w:ascii="Calibri" w:hAnsi="Calibri" w:cs="Calibri"/>
        </w:rPr>
        <w:t>v</w:t>
      </w:r>
      <w:r w:rsidR="00ED27F3">
        <w:rPr>
          <w:rFonts w:ascii="Calibri" w:hAnsi="Calibri" w:cs="Calibri"/>
        </w:rPr>
        <w:t xml:space="preserve">ia </w:t>
      </w:r>
      <w:hyperlink r:id="rId15" w:history="1">
        <w:r w:rsidR="004E601F" w:rsidRPr="00257014">
          <w:rPr>
            <w:rStyle w:val="Hyperlink"/>
            <w:rFonts w:ascii="Calibri" w:hAnsi="Calibri" w:cs="Calibri"/>
          </w:rPr>
          <w:t>www.proactis.com</w:t>
        </w:r>
      </w:hyperlink>
      <w:r w:rsidR="00ED27F3">
        <w:rPr>
          <w:rFonts w:ascii="Calibri" w:hAnsi="Calibri" w:cs="Calibri"/>
        </w:rPr>
        <w:t xml:space="preserve"> </w:t>
      </w:r>
      <w:r w:rsidR="00A3152F">
        <w:rPr>
          <w:rFonts w:ascii="Calibri" w:hAnsi="Calibri" w:cs="Calibri"/>
        </w:rPr>
        <w:t xml:space="preserve"> by or </w:t>
      </w:r>
      <w:r>
        <w:rPr>
          <w:rFonts w:ascii="Calibri" w:hAnsi="Calibri" w:cs="Calibri"/>
        </w:rPr>
        <w:t>before the submission deadline</w:t>
      </w:r>
      <w:r w:rsidR="00A3152F">
        <w:rPr>
          <w:rFonts w:ascii="Calibri" w:hAnsi="Calibri" w:cs="Calibri"/>
        </w:rPr>
        <w:t xml:space="preserve"> stated above.</w:t>
      </w:r>
      <w:r>
        <w:rPr>
          <w:rFonts w:ascii="Calibri" w:hAnsi="Calibri" w:cs="Calibri"/>
        </w:rPr>
        <w:t xml:space="preserve"> </w:t>
      </w:r>
    </w:p>
    <w:p w14:paraId="00A06A5C" w14:textId="77777777" w:rsidR="00935505" w:rsidRDefault="00935505" w:rsidP="00293A4B">
      <w:pPr>
        <w:pStyle w:val="ListParagraph"/>
        <w:numPr>
          <w:ilvl w:val="1"/>
          <w:numId w:val="31"/>
        </w:numPr>
        <w:spacing w:before="0" w:after="240"/>
        <w:contextualSpacing w:val="0"/>
        <w:rPr>
          <w:rFonts w:ascii="Calibri" w:hAnsi="Calibri" w:cs="Calibri"/>
        </w:rPr>
      </w:pPr>
      <w:r>
        <w:rPr>
          <w:rFonts w:ascii="Calibri" w:hAnsi="Calibri" w:cs="Calibri"/>
        </w:rPr>
        <w:t xml:space="preserve">Hard copy submissions will not be accepted </w:t>
      </w:r>
    </w:p>
    <w:p w14:paraId="251CFA55" w14:textId="77777777" w:rsidR="00935505" w:rsidRDefault="00935505" w:rsidP="00293A4B">
      <w:pPr>
        <w:pStyle w:val="ListParagraph"/>
        <w:numPr>
          <w:ilvl w:val="1"/>
          <w:numId w:val="31"/>
        </w:numPr>
        <w:spacing w:before="0" w:after="240"/>
        <w:contextualSpacing w:val="0"/>
        <w:rPr>
          <w:rFonts w:ascii="Calibri" w:hAnsi="Calibri" w:cs="Calibri"/>
        </w:rPr>
      </w:pPr>
      <w:r>
        <w:rPr>
          <w:rFonts w:ascii="Calibri" w:hAnsi="Calibri" w:cs="Calibri"/>
        </w:rPr>
        <w:t xml:space="preserve">Late submissions will not be accepted. </w:t>
      </w:r>
    </w:p>
    <w:p w14:paraId="63BC4E1C" w14:textId="77777777" w:rsidR="00795F64" w:rsidRP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Only documentation specifically requested should be submitted. Any additional documentation received from tenderers will not be considered by the evaluation panel</w:t>
      </w:r>
      <w:r>
        <w:rPr>
          <w:rFonts w:ascii="Calibri" w:hAnsi="Calibri" w:cs="Calibri"/>
        </w:rPr>
        <w:t>.</w:t>
      </w:r>
    </w:p>
    <w:p w14:paraId="4A0D80EB" w14:textId="77777777" w:rsid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 xml:space="preserve">You must not make unauthorised alterations or additions to any of the </w:t>
      </w:r>
      <w:r>
        <w:rPr>
          <w:rFonts w:ascii="Calibri" w:hAnsi="Calibri" w:cs="Calibri"/>
        </w:rPr>
        <w:t xml:space="preserve">Authority’s </w:t>
      </w:r>
      <w:r w:rsidRPr="00795F64">
        <w:rPr>
          <w:rFonts w:ascii="Calibri" w:hAnsi="Calibri" w:cs="Calibri"/>
        </w:rPr>
        <w:t>documents</w:t>
      </w:r>
      <w:r>
        <w:rPr>
          <w:rFonts w:ascii="Calibri" w:hAnsi="Calibri" w:cs="Calibri"/>
        </w:rPr>
        <w:t xml:space="preserve">. </w:t>
      </w:r>
    </w:p>
    <w:p w14:paraId="03179962" w14:textId="77777777" w:rsidR="00795F64" w:rsidRP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The submission must be completed in English.</w:t>
      </w:r>
    </w:p>
    <w:p w14:paraId="3B63E831" w14:textId="77777777" w:rsidR="00795F64" w:rsidRP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All prices, costs or rates must be quoted in British currency to 2 decimal places (i.e. whole pence).</w:t>
      </w:r>
    </w:p>
    <w:p w14:paraId="02CF845C" w14:textId="77777777" w:rsidR="00795F64" w:rsidRPr="00795F64" w:rsidRDefault="00795F64" w:rsidP="00795F64">
      <w:pPr>
        <w:pStyle w:val="ListParagraph"/>
        <w:numPr>
          <w:ilvl w:val="1"/>
          <w:numId w:val="31"/>
        </w:numPr>
        <w:spacing w:before="0" w:after="240"/>
        <w:contextualSpacing w:val="0"/>
        <w:rPr>
          <w:rFonts w:ascii="Calibri" w:hAnsi="Calibri" w:cs="Calibri"/>
        </w:rPr>
      </w:pPr>
      <w:r w:rsidRPr="00795F64">
        <w:rPr>
          <w:rFonts w:ascii="Calibri" w:hAnsi="Calibri" w:cs="Calibri"/>
        </w:rPr>
        <w:t xml:space="preserve">All prices quoted should be </w:t>
      </w:r>
      <w:r w:rsidR="00315C1A">
        <w:rPr>
          <w:rFonts w:ascii="Calibri" w:hAnsi="Calibri" w:cs="Calibri"/>
        </w:rPr>
        <w:t xml:space="preserve">inclusive of travel and subsistence and </w:t>
      </w:r>
      <w:r w:rsidRPr="00795F64">
        <w:rPr>
          <w:rFonts w:ascii="Calibri" w:hAnsi="Calibri" w:cs="Calibri"/>
        </w:rPr>
        <w:t>exclusive of VAT.</w:t>
      </w:r>
    </w:p>
    <w:p w14:paraId="6E157EC2" w14:textId="77777777" w:rsidR="002B1F5A" w:rsidRPr="00667C33" w:rsidRDefault="00795F64" w:rsidP="00795F64">
      <w:pPr>
        <w:pStyle w:val="ListParagraph"/>
        <w:numPr>
          <w:ilvl w:val="0"/>
          <w:numId w:val="31"/>
        </w:numPr>
        <w:spacing w:before="0" w:after="240"/>
        <w:contextualSpacing w:val="0"/>
        <w:rPr>
          <w:rFonts w:ascii="Calibri" w:hAnsi="Calibri"/>
          <w:b/>
          <w:bCs/>
          <w:color w:val="76923C" w:themeColor="accent3" w:themeShade="BF"/>
          <w:sz w:val="28"/>
          <w:szCs w:val="28"/>
        </w:rPr>
      </w:pPr>
      <w:r w:rsidRPr="00667C33">
        <w:rPr>
          <w:rFonts w:ascii="Calibri" w:hAnsi="Calibri" w:cs="Calibri"/>
          <w:b/>
          <w:bCs/>
          <w:color w:val="76923C" w:themeColor="accent3" w:themeShade="BF"/>
          <w:sz w:val="28"/>
          <w:szCs w:val="28"/>
        </w:rPr>
        <w:t xml:space="preserve"> </w:t>
      </w:r>
      <w:r w:rsidR="002B1F5A" w:rsidRPr="00B319D0">
        <w:rPr>
          <w:rFonts w:ascii="Calibri" w:hAnsi="Calibri"/>
          <w:b/>
          <w:bCs/>
          <w:color w:val="4BACC6" w:themeColor="accent5"/>
          <w:sz w:val="28"/>
          <w:szCs w:val="28"/>
        </w:rPr>
        <w:t>Procurement timetable</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010"/>
      </w:tblGrid>
      <w:tr w:rsidR="00293A4B" w:rsidRPr="003A424B" w14:paraId="03809C3D" w14:textId="77777777" w:rsidTr="00667C33">
        <w:tc>
          <w:tcPr>
            <w:tcW w:w="9531" w:type="dxa"/>
            <w:gridSpan w:val="2"/>
            <w:tcBorders>
              <w:top w:val="nil"/>
              <w:left w:val="nil"/>
              <w:bottom w:val="single" w:sz="4" w:space="0" w:color="auto"/>
              <w:right w:val="nil"/>
            </w:tcBorders>
            <w:vAlign w:val="center"/>
          </w:tcPr>
          <w:p w14:paraId="49ACC14E" w14:textId="77777777" w:rsidR="00293A4B" w:rsidRPr="003A424B" w:rsidRDefault="00293A4B" w:rsidP="00B778BB">
            <w:pPr>
              <w:rPr>
                <w:b/>
                <w:bCs/>
              </w:rPr>
            </w:pPr>
            <w:r w:rsidRPr="003A424B">
              <w:lastRenderedPageBreak/>
              <w:t>The intended timetable for this procurement is:</w:t>
            </w:r>
          </w:p>
        </w:tc>
      </w:tr>
      <w:tr w:rsidR="00293A4B" w:rsidRPr="003A424B" w14:paraId="6EDCE9F3" w14:textId="77777777" w:rsidTr="00B319D0">
        <w:tc>
          <w:tcPr>
            <w:tcW w:w="6521"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77F68DE6" w14:textId="77777777" w:rsidR="00293A4B" w:rsidRPr="003A424B" w:rsidRDefault="00293A4B" w:rsidP="00B778BB">
            <w:pPr>
              <w:rPr>
                <w:b/>
                <w:bCs/>
              </w:rPr>
            </w:pPr>
            <w:r w:rsidRPr="003A424B">
              <w:rPr>
                <w:b/>
                <w:bCs/>
              </w:rPr>
              <w:t>Stage in Procurement Process</w:t>
            </w:r>
          </w:p>
        </w:tc>
        <w:tc>
          <w:tcPr>
            <w:tcW w:w="3010"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48AEA42B" w14:textId="77777777" w:rsidR="00293A4B" w:rsidRPr="003A424B" w:rsidRDefault="00293A4B" w:rsidP="00B778BB">
            <w:pPr>
              <w:rPr>
                <w:b/>
                <w:bCs/>
              </w:rPr>
            </w:pPr>
            <w:r w:rsidRPr="003A424B">
              <w:rPr>
                <w:b/>
                <w:bCs/>
              </w:rPr>
              <w:t>Date</w:t>
            </w:r>
          </w:p>
        </w:tc>
      </w:tr>
      <w:tr w:rsidR="00293A4B" w:rsidRPr="00320A9B" w14:paraId="13156509"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2C07F16F" w14:textId="77777777" w:rsidR="00293A4B" w:rsidRPr="003A424B" w:rsidRDefault="00293A4B" w:rsidP="00B778BB">
            <w:r>
              <w:t xml:space="preserve">Suppliers invited to quote </w:t>
            </w:r>
          </w:p>
        </w:tc>
        <w:tc>
          <w:tcPr>
            <w:tcW w:w="3010" w:type="dxa"/>
            <w:tcBorders>
              <w:top w:val="single" w:sz="4" w:space="0" w:color="auto"/>
              <w:left w:val="single" w:sz="4" w:space="0" w:color="auto"/>
              <w:bottom w:val="single" w:sz="4" w:space="0" w:color="auto"/>
              <w:right w:val="single" w:sz="4" w:space="0" w:color="auto"/>
            </w:tcBorders>
            <w:vAlign w:val="center"/>
          </w:tcPr>
          <w:p w14:paraId="47C6075D" w14:textId="67FA73A0" w:rsidR="00293A4B" w:rsidRPr="00320A9B" w:rsidRDefault="004E601F" w:rsidP="00B778BB">
            <w:pPr>
              <w:rPr>
                <w:b/>
                <w:highlight w:val="yellow"/>
              </w:rPr>
            </w:pPr>
            <w:r>
              <w:rPr>
                <w:b/>
                <w:highlight w:val="yellow"/>
              </w:rPr>
              <w:t>29-09-2022</w:t>
            </w:r>
          </w:p>
        </w:tc>
      </w:tr>
      <w:tr w:rsidR="00293A4B" w:rsidRPr="00320A9B" w14:paraId="71DD7F21"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36D1D37A" w14:textId="77777777" w:rsidR="00293A4B" w:rsidRPr="003A424B" w:rsidRDefault="00293A4B" w:rsidP="00B778BB">
            <w:r>
              <w:t xml:space="preserve">Deadline for clarification questions </w:t>
            </w:r>
          </w:p>
        </w:tc>
        <w:tc>
          <w:tcPr>
            <w:tcW w:w="3010" w:type="dxa"/>
            <w:tcBorders>
              <w:top w:val="single" w:sz="4" w:space="0" w:color="auto"/>
              <w:left w:val="single" w:sz="4" w:space="0" w:color="auto"/>
              <w:bottom w:val="single" w:sz="4" w:space="0" w:color="auto"/>
              <w:right w:val="single" w:sz="4" w:space="0" w:color="auto"/>
            </w:tcBorders>
            <w:vAlign w:val="center"/>
          </w:tcPr>
          <w:p w14:paraId="2AAAB48E" w14:textId="1C9B7605" w:rsidR="00293A4B" w:rsidRPr="00320A9B" w:rsidRDefault="004E601F" w:rsidP="00B778BB">
            <w:pPr>
              <w:rPr>
                <w:b/>
                <w:highlight w:val="yellow"/>
              </w:rPr>
            </w:pPr>
            <w:r>
              <w:rPr>
                <w:b/>
                <w:highlight w:val="yellow"/>
              </w:rPr>
              <w:t>07-10-2022</w:t>
            </w:r>
          </w:p>
        </w:tc>
      </w:tr>
      <w:tr w:rsidR="00293A4B" w:rsidRPr="00320A9B" w14:paraId="1F906D71"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59630322" w14:textId="77777777" w:rsidR="00293A4B" w:rsidRPr="003A424B" w:rsidRDefault="00293A4B" w:rsidP="00B778BB">
            <w:r w:rsidRPr="003A424B">
              <w:t>Deadline for submission</w:t>
            </w:r>
            <w:r>
              <w:t xml:space="preserve"> of quote</w:t>
            </w:r>
          </w:p>
        </w:tc>
        <w:tc>
          <w:tcPr>
            <w:tcW w:w="3010" w:type="dxa"/>
            <w:tcBorders>
              <w:top w:val="single" w:sz="4" w:space="0" w:color="auto"/>
              <w:left w:val="single" w:sz="4" w:space="0" w:color="auto"/>
              <w:bottom w:val="single" w:sz="4" w:space="0" w:color="auto"/>
              <w:right w:val="single" w:sz="4" w:space="0" w:color="auto"/>
            </w:tcBorders>
            <w:vAlign w:val="center"/>
          </w:tcPr>
          <w:p w14:paraId="467C09CA" w14:textId="421EB9A8" w:rsidR="00293A4B" w:rsidRPr="00320A9B" w:rsidRDefault="004E601F" w:rsidP="00B778BB">
            <w:pPr>
              <w:rPr>
                <w:b/>
                <w:highlight w:val="yellow"/>
              </w:rPr>
            </w:pPr>
            <w:r>
              <w:rPr>
                <w:b/>
                <w:highlight w:val="yellow"/>
              </w:rPr>
              <w:t>14-10-2022</w:t>
            </w:r>
          </w:p>
        </w:tc>
      </w:tr>
      <w:tr w:rsidR="00293A4B" w:rsidRPr="00320A9B" w14:paraId="1EF141A9"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02C3407A" w14:textId="77777777" w:rsidR="00293A4B" w:rsidRPr="003A424B" w:rsidRDefault="00293A4B" w:rsidP="00B778BB">
            <w:r>
              <w:t xml:space="preserve">Assessment and evaluation of quotations to be completed by </w:t>
            </w:r>
          </w:p>
        </w:tc>
        <w:tc>
          <w:tcPr>
            <w:tcW w:w="3010" w:type="dxa"/>
            <w:tcBorders>
              <w:top w:val="single" w:sz="4" w:space="0" w:color="auto"/>
              <w:left w:val="single" w:sz="4" w:space="0" w:color="auto"/>
              <w:bottom w:val="single" w:sz="4" w:space="0" w:color="auto"/>
              <w:right w:val="single" w:sz="4" w:space="0" w:color="auto"/>
            </w:tcBorders>
            <w:vAlign w:val="center"/>
          </w:tcPr>
          <w:p w14:paraId="178D332F" w14:textId="6CA12965" w:rsidR="00293A4B" w:rsidRPr="00320A9B" w:rsidRDefault="004E601F" w:rsidP="00B778BB">
            <w:pPr>
              <w:rPr>
                <w:b/>
                <w:highlight w:val="yellow"/>
              </w:rPr>
            </w:pPr>
            <w:r>
              <w:rPr>
                <w:b/>
                <w:highlight w:val="yellow"/>
              </w:rPr>
              <w:t>21-10-2022</w:t>
            </w:r>
          </w:p>
        </w:tc>
      </w:tr>
      <w:tr w:rsidR="00293A4B" w:rsidRPr="00320A9B" w14:paraId="7161713E"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2870A1A0" w14:textId="77777777" w:rsidR="00293A4B" w:rsidRPr="003A424B" w:rsidRDefault="00293A4B" w:rsidP="00B778BB">
            <w:r w:rsidRPr="003A424B">
              <w:t>Award decision</w:t>
            </w:r>
          </w:p>
        </w:tc>
        <w:tc>
          <w:tcPr>
            <w:tcW w:w="3010" w:type="dxa"/>
            <w:tcBorders>
              <w:top w:val="single" w:sz="4" w:space="0" w:color="auto"/>
              <w:left w:val="single" w:sz="4" w:space="0" w:color="auto"/>
              <w:bottom w:val="single" w:sz="4" w:space="0" w:color="auto"/>
              <w:right w:val="single" w:sz="4" w:space="0" w:color="auto"/>
            </w:tcBorders>
            <w:vAlign w:val="center"/>
          </w:tcPr>
          <w:p w14:paraId="03F53791" w14:textId="4A9117D5" w:rsidR="00293A4B" w:rsidRPr="00320A9B" w:rsidRDefault="004E601F" w:rsidP="00B778BB">
            <w:pPr>
              <w:rPr>
                <w:b/>
                <w:highlight w:val="yellow"/>
              </w:rPr>
            </w:pPr>
            <w:r>
              <w:rPr>
                <w:b/>
                <w:highlight w:val="yellow"/>
              </w:rPr>
              <w:t>21-10-2022</w:t>
            </w:r>
          </w:p>
        </w:tc>
      </w:tr>
      <w:tr w:rsidR="00293A4B" w:rsidRPr="00320A9B" w14:paraId="0A975701"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424240DF" w14:textId="77777777" w:rsidR="00293A4B" w:rsidRPr="003A424B" w:rsidRDefault="00293A4B" w:rsidP="00B778BB">
            <w:r w:rsidRPr="003A424B">
              <w:t>Anticipated contract start date</w:t>
            </w:r>
          </w:p>
        </w:tc>
        <w:tc>
          <w:tcPr>
            <w:tcW w:w="3010" w:type="dxa"/>
            <w:tcBorders>
              <w:top w:val="single" w:sz="4" w:space="0" w:color="auto"/>
              <w:left w:val="single" w:sz="4" w:space="0" w:color="auto"/>
              <w:bottom w:val="single" w:sz="4" w:space="0" w:color="auto"/>
              <w:right w:val="single" w:sz="4" w:space="0" w:color="auto"/>
            </w:tcBorders>
            <w:vAlign w:val="center"/>
          </w:tcPr>
          <w:p w14:paraId="02BF93D7" w14:textId="6D1F1225" w:rsidR="00293A4B" w:rsidRPr="00320A9B" w:rsidRDefault="004E601F" w:rsidP="00B778BB">
            <w:pPr>
              <w:rPr>
                <w:b/>
                <w:highlight w:val="yellow"/>
              </w:rPr>
            </w:pPr>
            <w:r>
              <w:rPr>
                <w:b/>
                <w:highlight w:val="yellow"/>
              </w:rPr>
              <w:t>24-10-2022</w:t>
            </w:r>
          </w:p>
        </w:tc>
      </w:tr>
      <w:tr w:rsidR="00293A4B" w:rsidRPr="00320A9B" w14:paraId="167DD8D6" w14:textId="77777777" w:rsidTr="00667C33">
        <w:tc>
          <w:tcPr>
            <w:tcW w:w="6521" w:type="dxa"/>
            <w:tcBorders>
              <w:top w:val="single" w:sz="4" w:space="0" w:color="auto"/>
              <w:left w:val="single" w:sz="4" w:space="0" w:color="auto"/>
              <w:bottom w:val="single" w:sz="4" w:space="0" w:color="auto"/>
              <w:right w:val="single" w:sz="4" w:space="0" w:color="auto"/>
            </w:tcBorders>
            <w:vAlign w:val="center"/>
          </w:tcPr>
          <w:p w14:paraId="6AF1882C" w14:textId="77777777" w:rsidR="00293A4B" w:rsidRPr="003A424B" w:rsidRDefault="00293A4B" w:rsidP="00B778BB">
            <w:r>
              <w:t xml:space="preserve">Anticipated contract end date </w:t>
            </w:r>
          </w:p>
        </w:tc>
        <w:tc>
          <w:tcPr>
            <w:tcW w:w="3010" w:type="dxa"/>
            <w:tcBorders>
              <w:top w:val="single" w:sz="4" w:space="0" w:color="auto"/>
              <w:left w:val="single" w:sz="4" w:space="0" w:color="auto"/>
              <w:bottom w:val="single" w:sz="4" w:space="0" w:color="auto"/>
              <w:right w:val="single" w:sz="4" w:space="0" w:color="auto"/>
            </w:tcBorders>
            <w:vAlign w:val="center"/>
          </w:tcPr>
          <w:p w14:paraId="4F01E367" w14:textId="185D0ED7" w:rsidR="00293A4B" w:rsidRPr="00320A9B" w:rsidRDefault="00AB7C1F" w:rsidP="00B778BB">
            <w:pPr>
              <w:rPr>
                <w:b/>
                <w:highlight w:val="yellow"/>
              </w:rPr>
            </w:pPr>
            <w:r>
              <w:rPr>
                <w:b/>
                <w:highlight w:val="yellow"/>
              </w:rPr>
              <w:t>31-01-2022</w:t>
            </w:r>
          </w:p>
        </w:tc>
      </w:tr>
      <w:tr w:rsidR="00293A4B" w:rsidRPr="003A424B" w14:paraId="5AF6E6D5" w14:textId="77777777" w:rsidTr="00667C33">
        <w:tc>
          <w:tcPr>
            <w:tcW w:w="9531" w:type="dxa"/>
            <w:gridSpan w:val="2"/>
            <w:tcBorders>
              <w:top w:val="single" w:sz="4" w:space="0" w:color="auto"/>
              <w:left w:val="single" w:sz="4" w:space="0" w:color="auto"/>
              <w:bottom w:val="single" w:sz="4" w:space="0" w:color="auto"/>
              <w:right w:val="single" w:sz="4" w:space="0" w:color="auto"/>
            </w:tcBorders>
            <w:vAlign w:val="center"/>
          </w:tcPr>
          <w:p w14:paraId="74F44B3A" w14:textId="77777777" w:rsidR="00293A4B" w:rsidRPr="003A424B" w:rsidRDefault="00293A4B" w:rsidP="00B778BB">
            <w:pPr>
              <w:rPr>
                <w:b/>
                <w:sz w:val="20"/>
                <w:szCs w:val="20"/>
              </w:rPr>
            </w:pPr>
            <w:r w:rsidRPr="003A424B">
              <w:rPr>
                <w:b/>
                <w:bCs/>
                <w:iCs/>
                <w:sz w:val="20"/>
                <w:szCs w:val="20"/>
              </w:rPr>
              <w:t xml:space="preserve">Please note: </w:t>
            </w:r>
            <w:r>
              <w:rPr>
                <w:bCs/>
                <w:iCs/>
                <w:sz w:val="20"/>
                <w:szCs w:val="20"/>
              </w:rPr>
              <w:t xml:space="preserve">the Authority </w:t>
            </w:r>
            <w:r w:rsidRPr="00B57FCB">
              <w:rPr>
                <w:iCs/>
                <w:sz w:val="20"/>
                <w:szCs w:val="20"/>
              </w:rPr>
              <w:t>r</w:t>
            </w:r>
            <w:r w:rsidRPr="003A424B">
              <w:rPr>
                <w:iCs/>
                <w:sz w:val="20"/>
                <w:szCs w:val="20"/>
              </w:rPr>
              <w:t xml:space="preserve">eserves the right to cancel the </w:t>
            </w:r>
            <w:r>
              <w:rPr>
                <w:iCs/>
                <w:sz w:val="20"/>
                <w:szCs w:val="20"/>
              </w:rPr>
              <w:t>quotation</w:t>
            </w:r>
            <w:r w:rsidRPr="003A424B">
              <w:rPr>
                <w:iCs/>
                <w:sz w:val="20"/>
                <w:szCs w:val="20"/>
              </w:rPr>
              <w:t xml:space="preserve"> process at any point</w:t>
            </w:r>
            <w:r>
              <w:rPr>
                <w:iCs/>
                <w:sz w:val="20"/>
                <w:szCs w:val="20"/>
              </w:rPr>
              <w:t xml:space="preserve"> and </w:t>
            </w:r>
            <w:r w:rsidRPr="003A424B">
              <w:rPr>
                <w:iCs/>
                <w:sz w:val="20"/>
                <w:szCs w:val="20"/>
              </w:rPr>
              <w:t xml:space="preserve">is not liable for any costs </w:t>
            </w:r>
            <w:r>
              <w:rPr>
                <w:iCs/>
                <w:sz w:val="20"/>
                <w:szCs w:val="20"/>
              </w:rPr>
              <w:t xml:space="preserve">incurred. </w:t>
            </w:r>
          </w:p>
        </w:tc>
      </w:tr>
    </w:tbl>
    <w:p w14:paraId="4D024F79" w14:textId="77777777" w:rsidR="00293A4B" w:rsidRDefault="00293A4B" w:rsidP="00293A4B">
      <w:pPr>
        <w:pStyle w:val="ListParagraph"/>
        <w:spacing w:before="0" w:after="240"/>
        <w:ind w:left="360"/>
        <w:contextualSpacing w:val="0"/>
        <w:rPr>
          <w:rFonts w:ascii="Calibri" w:hAnsi="Calibri"/>
          <w:b/>
          <w:bCs/>
          <w:color w:val="4F6228" w:themeColor="accent3" w:themeShade="80"/>
          <w:sz w:val="28"/>
          <w:szCs w:val="28"/>
        </w:rPr>
      </w:pPr>
    </w:p>
    <w:p w14:paraId="6CAFA37B" w14:textId="77777777" w:rsidR="00F07028" w:rsidRPr="00B319D0" w:rsidRDefault="00F07028" w:rsidP="00F07028">
      <w:pPr>
        <w:pStyle w:val="ListParagraph"/>
        <w:numPr>
          <w:ilvl w:val="0"/>
          <w:numId w:val="31"/>
        </w:numPr>
        <w:spacing w:before="0" w:after="240"/>
        <w:contextualSpacing w:val="0"/>
        <w:rPr>
          <w:rFonts w:ascii="Calibri" w:hAnsi="Calibri"/>
          <w:b/>
          <w:bCs/>
          <w:color w:val="4BACC6" w:themeColor="accent5"/>
          <w:sz w:val="28"/>
          <w:szCs w:val="28"/>
        </w:rPr>
      </w:pPr>
      <w:r w:rsidRPr="00B319D0">
        <w:rPr>
          <w:rFonts w:ascii="Calibri" w:hAnsi="Calibri"/>
          <w:b/>
          <w:bCs/>
          <w:color w:val="4BACC6" w:themeColor="accent5"/>
          <w:sz w:val="28"/>
          <w:szCs w:val="28"/>
        </w:rPr>
        <w:t>Evaluation</w:t>
      </w:r>
      <w:r w:rsidR="00131529" w:rsidRPr="00B319D0">
        <w:rPr>
          <w:rFonts w:ascii="Calibri" w:hAnsi="Calibri"/>
          <w:b/>
          <w:bCs/>
          <w:color w:val="4BACC6" w:themeColor="accent5"/>
          <w:sz w:val="28"/>
          <w:szCs w:val="28"/>
        </w:rPr>
        <w:t xml:space="preserve"> Process</w:t>
      </w:r>
    </w:p>
    <w:p w14:paraId="291F8D50" w14:textId="2D24A28C" w:rsidR="00AE5DDE" w:rsidRPr="00AE5DDE" w:rsidRDefault="00F07028" w:rsidP="00AE5DDE">
      <w:pPr>
        <w:pStyle w:val="ListParagraph"/>
        <w:numPr>
          <w:ilvl w:val="1"/>
          <w:numId w:val="31"/>
        </w:numPr>
        <w:rPr>
          <w:rFonts w:ascii="Calibri" w:hAnsi="Calibri" w:cs="Calibri"/>
        </w:rPr>
      </w:pPr>
      <w:r w:rsidRPr="00AE5DDE">
        <w:rPr>
          <w:rFonts w:ascii="Calibri" w:hAnsi="Calibri" w:cs="Calibri"/>
        </w:rPr>
        <w:t>The evaluation process to be applied to this quotation exercise shall be</w:t>
      </w:r>
      <w:r w:rsidR="00AE5DDE" w:rsidRPr="00AE5DDE">
        <w:rPr>
          <w:rFonts w:ascii="Calibri" w:hAnsi="Calibri" w:cs="Calibri"/>
        </w:rPr>
        <w:t xml:space="preserve"> </w:t>
      </w:r>
      <w:r w:rsidR="00AE5DDE">
        <w:rPr>
          <w:rFonts w:ascii="Calibri" w:hAnsi="Calibri" w:cs="Calibri"/>
        </w:rPr>
        <w:t>a combination q</w:t>
      </w:r>
      <w:r w:rsidR="00AE5DDE" w:rsidRPr="00AE5DDE">
        <w:rPr>
          <w:rFonts w:ascii="Calibri" w:hAnsi="Calibri" w:cs="Calibri"/>
        </w:rPr>
        <w:t>uality and price</w:t>
      </w:r>
      <w:r w:rsidR="00AE5DDE">
        <w:rPr>
          <w:rFonts w:ascii="Calibri" w:hAnsi="Calibri" w:cs="Calibri"/>
        </w:rPr>
        <w:t>. Q</w:t>
      </w:r>
      <w:r w:rsidR="00AE5DDE" w:rsidRPr="00AE5DDE">
        <w:rPr>
          <w:rFonts w:ascii="Calibri" w:hAnsi="Calibri" w:cs="Calibri"/>
        </w:rPr>
        <w:t xml:space="preserve">uotations will be assessed on the basis of the most economically advantageous quotation with a quality / </w:t>
      </w:r>
      <w:r w:rsidR="00AE5DDE" w:rsidRPr="00AF300C">
        <w:rPr>
          <w:rFonts w:ascii="Calibri" w:hAnsi="Calibri" w:cs="Calibri"/>
        </w:rPr>
        <w:t xml:space="preserve">price split of </w:t>
      </w:r>
      <w:r w:rsidR="00AF300C" w:rsidRPr="00AF300C">
        <w:rPr>
          <w:rFonts w:ascii="Calibri" w:hAnsi="Calibri" w:cs="Calibri"/>
        </w:rPr>
        <w:t>30</w:t>
      </w:r>
      <w:r w:rsidR="00AE5DDE" w:rsidRPr="00AF300C">
        <w:rPr>
          <w:rFonts w:ascii="Calibri" w:hAnsi="Calibri" w:cs="Calibri"/>
        </w:rPr>
        <w:t xml:space="preserve">% price / </w:t>
      </w:r>
      <w:r w:rsidR="00AF300C" w:rsidRPr="00AF300C">
        <w:rPr>
          <w:rFonts w:ascii="Calibri" w:hAnsi="Calibri" w:cs="Calibri"/>
        </w:rPr>
        <w:t>70</w:t>
      </w:r>
      <w:r w:rsidR="00AE5DDE" w:rsidRPr="00AF300C">
        <w:rPr>
          <w:rFonts w:ascii="Calibri" w:hAnsi="Calibri" w:cs="Calibri"/>
        </w:rPr>
        <w:t>% quality.</w:t>
      </w:r>
    </w:p>
    <w:p w14:paraId="6A017131" w14:textId="77777777" w:rsidR="00AE5DDE" w:rsidRPr="00F07028" w:rsidRDefault="00AE5DDE" w:rsidP="00AE5DDE">
      <w:pPr>
        <w:pStyle w:val="ListParagraph"/>
        <w:spacing w:before="0" w:after="240"/>
        <w:ind w:left="792"/>
        <w:rPr>
          <w:rFonts w:ascii="Calibri" w:hAnsi="Calibri" w:cs="Calibri"/>
          <w:color w:val="FF0000"/>
        </w:rPr>
      </w:pPr>
    </w:p>
    <w:p w14:paraId="54605A36" w14:textId="77777777" w:rsidR="00F07028" w:rsidRPr="0063304B" w:rsidRDefault="00F07028" w:rsidP="0063304B">
      <w:pPr>
        <w:pStyle w:val="ListParagraph"/>
        <w:numPr>
          <w:ilvl w:val="1"/>
          <w:numId w:val="31"/>
        </w:numPr>
        <w:spacing w:before="0" w:after="240"/>
        <w:contextualSpacing w:val="0"/>
        <w:rPr>
          <w:rFonts w:ascii="Calibri" w:hAnsi="Calibri" w:cs="Calibri"/>
        </w:rPr>
      </w:pPr>
      <w:r w:rsidRPr="0063304B">
        <w:rPr>
          <w:rFonts w:ascii="Calibri" w:hAnsi="Calibri" w:cs="Calibri"/>
        </w:rPr>
        <w:t xml:space="preserve">The evaluation process will </w:t>
      </w:r>
      <w:r w:rsidR="0063304B" w:rsidRPr="0063304B">
        <w:rPr>
          <w:rFonts w:ascii="Calibri" w:hAnsi="Calibri" w:cs="Calibri"/>
        </w:rPr>
        <w:t>include the following stages</w:t>
      </w:r>
      <w:r w:rsidR="00F744FF">
        <w:rPr>
          <w:rFonts w:ascii="Calibri" w:hAnsi="Calibri" w:cs="Calibri"/>
        </w:rPr>
        <w:t>.</w:t>
      </w:r>
    </w:p>
    <w:p w14:paraId="0F71BBA9" w14:textId="397C024A" w:rsidR="00F744FF" w:rsidRPr="00F744FF" w:rsidRDefault="00F07028" w:rsidP="00F744FF">
      <w:pPr>
        <w:pStyle w:val="ListParagraph"/>
        <w:numPr>
          <w:ilvl w:val="0"/>
          <w:numId w:val="31"/>
        </w:numPr>
        <w:spacing w:before="0" w:after="240"/>
        <w:contextualSpacing w:val="0"/>
        <w:rPr>
          <w:rFonts w:ascii="Calibri" w:hAnsi="Calibri"/>
          <w:b/>
          <w:bCs/>
          <w:color w:val="4F6228" w:themeColor="accent3" w:themeShade="80"/>
          <w:sz w:val="28"/>
          <w:szCs w:val="28"/>
        </w:rPr>
      </w:pPr>
      <w:r w:rsidRPr="00B319D0">
        <w:rPr>
          <w:rFonts w:ascii="Calibri" w:hAnsi="Calibri"/>
          <w:b/>
          <w:bCs/>
          <w:color w:val="4BACC6" w:themeColor="accent5"/>
          <w:sz w:val="28"/>
          <w:szCs w:val="28"/>
        </w:rPr>
        <w:t>Stage 1: Evaluation of S</w:t>
      </w:r>
      <w:r w:rsidR="0063304B" w:rsidRPr="00B319D0">
        <w:rPr>
          <w:rFonts w:ascii="Calibri" w:hAnsi="Calibri"/>
          <w:b/>
          <w:bCs/>
          <w:color w:val="4BACC6" w:themeColor="accent5"/>
          <w:sz w:val="28"/>
          <w:szCs w:val="28"/>
        </w:rPr>
        <w:t>election Criteria</w:t>
      </w:r>
      <w:r w:rsidR="00F744FF" w:rsidRPr="00B319D0">
        <w:rPr>
          <w:rFonts w:ascii="Calibri" w:hAnsi="Calibri"/>
          <w:b/>
          <w:bCs/>
          <w:color w:val="4BACC6" w:themeColor="accent5"/>
          <w:sz w:val="28"/>
          <w:szCs w:val="28"/>
        </w:rPr>
        <w:t xml:space="preserve">. </w:t>
      </w:r>
    </w:p>
    <w:p w14:paraId="19390768" w14:textId="77777777" w:rsidR="00F744FF" w:rsidRPr="008E14FB" w:rsidRDefault="00F744FF" w:rsidP="00F744FF">
      <w:pPr>
        <w:pStyle w:val="ListParagraph"/>
        <w:numPr>
          <w:ilvl w:val="1"/>
          <w:numId w:val="31"/>
        </w:numPr>
        <w:spacing w:before="0" w:after="240"/>
        <w:contextualSpacing w:val="0"/>
        <w:rPr>
          <w:rFonts w:ascii="Calibri" w:hAnsi="Calibri" w:cs="Calibri"/>
        </w:rPr>
      </w:pPr>
      <w:r w:rsidRPr="008E14FB">
        <w:rPr>
          <w:rFonts w:ascii="Calibri" w:hAnsi="Calibri" w:cs="Calibri"/>
        </w:rPr>
        <w:t xml:space="preserve">The selection criteria shall be evaluated on a </w:t>
      </w:r>
      <w:r w:rsidR="00F07028" w:rsidRPr="008E14FB">
        <w:rPr>
          <w:rFonts w:ascii="Calibri" w:hAnsi="Calibri" w:cs="Calibri"/>
        </w:rPr>
        <w:t>pass / fail</w:t>
      </w:r>
      <w:r w:rsidRPr="008E14FB">
        <w:rPr>
          <w:rFonts w:ascii="Calibri" w:hAnsi="Calibri" w:cs="Calibri"/>
        </w:rPr>
        <w:t xml:space="preserve"> basis</w:t>
      </w:r>
      <w:r w:rsidR="00D03A4D" w:rsidRPr="008E14FB">
        <w:rPr>
          <w:rFonts w:ascii="Calibri" w:hAnsi="Calibri" w:cs="Calibri"/>
        </w:rPr>
        <w:t xml:space="preserve">. </w:t>
      </w:r>
    </w:p>
    <w:p w14:paraId="3BDDDF6C" w14:textId="77777777" w:rsidR="00F07028" w:rsidRPr="008E14FB" w:rsidRDefault="00D03A4D" w:rsidP="00F744FF">
      <w:pPr>
        <w:pStyle w:val="ListParagraph"/>
        <w:numPr>
          <w:ilvl w:val="1"/>
          <w:numId w:val="31"/>
        </w:numPr>
        <w:spacing w:before="0" w:after="240"/>
        <w:contextualSpacing w:val="0"/>
        <w:rPr>
          <w:rFonts w:ascii="Calibri" w:hAnsi="Calibri" w:cs="Calibri"/>
        </w:rPr>
      </w:pPr>
      <w:r w:rsidRPr="008E14FB">
        <w:rPr>
          <w:rFonts w:ascii="Calibri" w:hAnsi="Calibri" w:cs="Calibri"/>
        </w:rPr>
        <w:t xml:space="preserve">Any quotation that fails </w:t>
      </w:r>
      <w:r w:rsidR="00F744FF" w:rsidRPr="008E14FB">
        <w:rPr>
          <w:rFonts w:ascii="Calibri" w:hAnsi="Calibri" w:cs="Calibri"/>
        </w:rPr>
        <w:t xml:space="preserve">to </w:t>
      </w:r>
      <w:r w:rsidRPr="008E14FB">
        <w:rPr>
          <w:rFonts w:ascii="Calibri" w:hAnsi="Calibri" w:cs="Calibri"/>
        </w:rPr>
        <w:t>pass all of the requirements of the selection criteria will be eliminated f</w:t>
      </w:r>
      <w:r w:rsidR="00AF4EB7" w:rsidRPr="008E14FB">
        <w:rPr>
          <w:rFonts w:ascii="Calibri" w:hAnsi="Calibri" w:cs="Calibri"/>
        </w:rPr>
        <w:t>ro</w:t>
      </w:r>
      <w:r w:rsidRPr="008E14FB">
        <w:rPr>
          <w:rFonts w:ascii="Calibri" w:hAnsi="Calibri" w:cs="Calibri"/>
        </w:rPr>
        <w:t>m the procurement process and not evaluated further.</w:t>
      </w:r>
      <w:r w:rsidR="0063304B" w:rsidRPr="008E14FB">
        <w:rPr>
          <w:rFonts w:ascii="Calibri" w:hAnsi="Calibri" w:cs="Calibri"/>
        </w:rPr>
        <w:t xml:space="preserve"> </w:t>
      </w:r>
    </w:p>
    <w:p w14:paraId="49D10661" w14:textId="77777777" w:rsidR="0063304B" w:rsidRPr="00B319D0" w:rsidRDefault="00F07028" w:rsidP="00F744FF">
      <w:pPr>
        <w:pStyle w:val="ListParagraph"/>
        <w:numPr>
          <w:ilvl w:val="0"/>
          <w:numId w:val="31"/>
        </w:numPr>
        <w:spacing w:before="0" w:after="240"/>
        <w:contextualSpacing w:val="0"/>
        <w:rPr>
          <w:rFonts w:ascii="Calibri" w:hAnsi="Calibri"/>
          <w:b/>
          <w:bCs/>
          <w:color w:val="4BACC6" w:themeColor="accent5"/>
          <w:sz w:val="28"/>
          <w:szCs w:val="28"/>
        </w:rPr>
      </w:pPr>
      <w:r w:rsidRPr="00B319D0">
        <w:rPr>
          <w:rFonts w:ascii="Calibri" w:hAnsi="Calibri"/>
          <w:b/>
          <w:bCs/>
          <w:color w:val="4BACC6" w:themeColor="accent5"/>
          <w:sz w:val="28"/>
          <w:szCs w:val="28"/>
        </w:rPr>
        <w:t xml:space="preserve">Stage 2: Evaluation of </w:t>
      </w:r>
      <w:r w:rsidR="0063304B" w:rsidRPr="00B319D0">
        <w:rPr>
          <w:rFonts w:ascii="Calibri" w:hAnsi="Calibri"/>
          <w:b/>
          <w:bCs/>
          <w:color w:val="4BACC6" w:themeColor="accent5"/>
          <w:sz w:val="28"/>
          <w:szCs w:val="28"/>
        </w:rPr>
        <w:t>Quality Criteria</w:t>
      </w:r>
      <w:r w:rsidR="00F744FF" w:rsidRPr="00B319D0">
        <w:rPr>
          <w:rFonts w:ascii="Calibri" w:hAnsi="Calibri"/>
          <w:b/>
          <w:bCs/>
          <w:color w:val="4BACC6" w:themeColor="accent5"/>
          <w:sz w:val="28"/>
          <w:szCs w:val="28"/>
        </w:rPr>
        <w:t xml:space="preserve">. </w:t>
      </w:r>
    </w:p>
    <w:p w14:paraId="72EE9066" w14:textId="5028B1B4" w:rsidR="0063304B" w:rsidRPr="0093095F" w:rsidRDefault="0063304B" w:rsidP="0063304B">
      <w:pPr>
        <w:pStyle w:val="ListParagraph"/>
        <w:numPr>
          <w:ilvl w:val="1"/>
          <w:numId w:val="31"/>
        </w:numPr>
        <w:spacing w:before="0" w:after="240"/>
        <w:contextualSpacing w:val="0"/>
        <w:rPr>
          <w:rFonts w:ascii="Calibri" w:hAnsi="Calibri" w:cs="Calibri"/>
        </w:rPr>
      </w:pPr>
      <w:r>
        <w:rPr>
          <w:rFonts w:ascii="Calibri" w:hAnsi="Calibri" w:cs="Calibri"/>
        </w:rPr>
        <w:t>The maximum p</w:t>
      </w:r>
      <w:r w:rsidR="00AF300C">
        <w:rPr>
          <w:rFonts w:ascii="Calibri" w:hAnsi="Calibri" w:cs="Calibri"/>
        </w:rPr>
        <w:t>ercentage</w:t>
      </w:r>
      <w:r>
        <w:rPr>
          <w:rFonts w:ascii="Calibri" w:hAnsi="Calibri" w:cs="Calibri"/>
        </w:rPr>
        <w:t xml:space="preserve"> available for quality </w:t>
      </w:r>
      <w:r w:rsidRPr="0093095F">
        <w:rPr>
          <w:rFonts w:ascii="Calibri" w:hAnsi="Calibri" w:cs="Calibri"/>
        </w:rPr>
        <w:t xml:space="preserve">are </w:t>
      </w:r>
      <w:r w:rsidR="00AF300C" w:rsidRPr="0093095F">
        <w:rPr>
          <w:rFonts w:ascii="Calibri" w:hAnsi="Calibri" w:cs="Calibri"/>
        </w:rPr>
        <w:t>70%</w:t>
      </w:r>
      <w:r w:rsidRPr="0093095F">
        <w:rPr>
          <w:rFonts w:ascii="Calibri" w:hAnsi="Calibri" w:cs="Calibri"/>
        </w:rPr>
        <w:t xml:space="preserve"> </w:t>
      </w:r>
    </w:p>
    <w:p w14:paraId="45269F1A" w14:textId="74DCE65E" w:rsidR="0063304B" w:rsidRPr="0063304B" w:rsidRDefault="0063304B" w:rsidP="0063304B">
      <w:pPr>
        <w:pStyle w:val="ListParagraph"/>
        <w:numPr>
          <w:ilvl w:val="1"/>
          <w:numId w:val="31"/>
        </w:numPr>
        <w:spacing w:before="0" w:after="240"/>
        <w:contextualSpacing w:val="0"/>
        <w:rPr>
          <w:rFonts w:ascii="Calibri" w:hAnsi="Calibri" w:cs="Calibri"/>
        </w:rPr>
      </w:pPr>
      <w:r w:rsidRPr="0093095F">
        <w:rPr>
          <w:rFonts w:ascii="Calibri" w:hAnsi="Calibri" w:cs="Calibri"/>
        </w:rPr>
        <w:t xml:space="preserve">An overall quality threshold of </w:t>
      </w:r>
      <w:r w:rsidR="0093095F" w:rsidRPr="0093095F">
        <w:rPr>
          <w:rFonts w:ascii="Calibri" w:hAnsi="Calibri" w:cs="Calibri"/>
        </w:rPr>
        <w:t>50%</w:t>
      </w:r>
      <w:r w:rsidRPr="0093095F">
        <w:rPr>
          <w:rFonts w:ascii="Calibri" w:hAnsi="Calibri" w:cs="Calibri"/>
        </w:rPr>
        <w:t xml:space="preserve"> has been set, </w:t>
      </w:r>
      <w:bookmarkStart w:id="0" w:name="_Hlk40443411"/>
      <w:r w:rsidRPr="0093095F">
        <w:rPr>
          <w:rFonts w:ascii="Calibri" w:hAnsi="Calibri" w:cs="Calibri"/>
        </w:rPr>
        <w:t>any quotation that fail</w:t>
      </w:r>
      <w:r w:rsidR="00D03A4D" w:rsidRPr="0093095F">
        <w:rPr>
          <w:rFonts w:ascii="Calibri" w:hAnsi="Calibri" w:cs="Calibri"/>
        </w:rPr>
        <w:t>s</w:t>
      </w:r>
      <w:r w:rsidRPr="0093095F">
        <w:rPr>
          <w:rFonts w:ascii="Calibri" w:hAnsi="Calibri" w:cs="Calibri"/>
        </w:rPr>
        <w:t xml:space="preserve"> to meet the threshold shall be eliminated from the procurement </w:t>
      </w:r>
      <w:r>
        <w:rPr>
          <w:rFonts w:ascii="Calibri" w:hAnsi="Calibri" w:cs="Calibri"/>
        </w:rPr>
        <w:t xml:space="preserve">process. </w:t>
      </w:r>
      <w:bookmarkEnd w:id="0"/>
    </w:p>
    <w:p w14:paraId="75B280A2" w14:textId="003E13FB" w:rsidR="0063304B" w:rsidRDefault="00D03A4D" w:rsidP="0063304B">
      <w:pPr>
        <w:pStyle w:val="ListParagraph"/>
        <w:numPr>
          <w:ilvl w:val="1"/>
          <w:numId w:val="31"/>
        </w:numPr>
        <w:spacing w:before="0" w:after="240"/>
        <w:contextualSpacing w:val="0"/>
        <w:rPr>
          <w:rFonts w:ascii="Calibri" w:hAnsi="Calibri" w:cs="Calibri"/>
        </w:rPr>
      </w:pPr>
      <w:r w:rsidRPr="0017527C">
        <w:rPr>
          <w:rFonts w:ascii="Calibri" w:hAnsi="Calibri" w:cs="Calibri"/>
        </w:rPr>
        <w:t>In addition to the overall quality threshold stated above, i</w:t>
      </w:r>
      <w:r w:rsidR="0063304B" w:rsidRPr="0017527C">
        <w:rPr>
          <w:rFonts w:ascii="Calibri" w:hAnsi="Calibri" w:cs="Calibri"/>
        </w:rPr>
        <w:t xml:space="preserve">ndividual quality thresholds have </w:t>
      </w:r>
      <w:r w:rsidRPr="0017527C">
        <w:rPr>
          <w:rFonts w:ascii="Calibri" w:hAnsi="Calibri" w:cs="Calibri"/>
        </w:rPr>
        <w:t xml:space="preserve">also </w:t>
      </w:r>
      <w:r w:rsidR="0063304B" w:rsidRPr="0017527C">
        <w:rPr>
          <w:rFonts w:ascii="Calibri" w:hAnsi="Calibri" w:cs="Calibri"/>
        </w:rPr>
        <w:t>been set on</w:t>
      </w:r>
      <w:r w:rsidRPr="0017527C">
        <w:rPr>
          <w:rFonts w:ascii="Calibri" w:hAnsi="Calibri" w:cs="Calibri"/>
        </w:rPr>
        <w:t xml:space="preserve"> the</w:t>
      </w:r>
      <w:r w:rsidR="0063304B" w:rsidRPr="0017527C">
        <w:rPr>
          <w:rFonts w:ascii="Calibri" w:hAnsi="Calibri" w:cs="Calibri"/>
        </w:rPr>
        <w:t xml:space="preserve"> individual questions as set out in the table below. </w:t>
      </w:r>
    </w:p>
    <w:p w14:paraId="45E2B65B" w14:textId="77777777" w:rsidR="00FB65C3" w:rsidRPr="00FB65C3" w:rsidRDefault="00FB65C3" w:rsidP="00FB65C3">
      <w:pPr>
        <w:pStyle w:val="ListParagraph"/>
        <w:numPr>
          <w:ilvl w:val="1"/>
          <w:numId w:val="31"/>
        </w:numPr>
        <w:spacing w:before="0" w:after="240"/>
        <w:rPr>
          <w:rFonts w:ascii="Calibri" w:hAnsi="Calibri" w:cs="Calibri"/>
        </w:rPr>
      </w:pPr>
      <w:r w:rsidRPr="00FB65C3">
        <w:rPr>
          <w:rFonts w:ascii="Calibri" w:hAnsi="Calibri" w:cs="Calibri"/>
        </w:rPr>
        <w:t>Your Method Statement is also the formal offer to the SYMCA and will form part of any contract between us.  Therefore, please respond in Word format and do not convert the RFQ to PDF.</w:t>
      </w:r>
    </w:p>
    <w:p w14:paraId="257A8A0A" w14:textId="77777777" w:rsidR="00FB65C3" w:rsidRPr="00FB65C3" w:rsidRDefault="00FB65C3" w:rsidP="00953ED3">
      <w:pPr>
        <w:pStyle w:val="ListParagraph"/>
        <w:spacing w:before="0" w:after="240"/>
        <w:ind w:left="792"/>
        <w:rPr>
          <w:rFonts w:ascii="Calibri" w:hAnsi="Calibri" w:cs="Calibri"/>
        </w:rPr>
      </w:pPr>
    </w:p>
    <w:p w14:paraId="690E7853" w14:textId="77777777" w:rsidR="00FB65C3" w:rsidRPr="00FB65C3" w:rsidRDefault="00FB65C3" w:rsidP="00FB65C3">
      <w:pPr>
        <w:pStyle w:val="ListParagraph"/>
        <w:numPr>
          <w:ilvl w:val="1"/>
          <w:numId w:val="31"/>
        </w:numPr>
        <w:spacing w:before="0" w:after="240"/>
        <w:rPr>
          <w:rFonts w:ascii="Calibri" w:hAnsi="Calibri" w:cs="Calibri"/>
        </w:rPr>
      </w:pPr>
      <w:r w:rsidRPr="00FB65C3">
        <w:rPr>
          <w:rFonts w:ascii="Calibri" w:hAnsi="Calibri" w:cs="Calibri"/>
        </w:rPr>
        <w:lastRenderedPageBreak/>
        <w:t>If more than one organisation will be involved in the delivery of the contract (for example, through a sub-contract arrangement), full details should be provided of how the arrangements will operate to meet the Council’s requirements.</w:t>
      </w:r>
    </w:p>
    <w:p w14:paraId="6B2AE80F" w14:textId="77777777" w:rsidR="00FB65C3" w:rsidRPr="00FB65C3" w:rsidRDefault="00FB65C3" w:rsidP="00FB65C3">
      <w:pPr>
        <w:pStyle w:val="ListParagraph"/>
        <w:spacing w:before="0" w:after="240"/>
        <w:ind w:left="792"/>
        <w:rPr>
          <w:rFonts w:ascii="Calibri" w:hAnsi="Calibri" w:cs="Calibri"/>
        </w:rPr>
      </w:pPr>
    </w:p>
    <w:p w14:paraId="68912DFE" w14:textId="68157478" w:rsidR="00FB65C3" w:rsidRPr="0017527C" w:rsidRDefault="00FB65C3" w:rsidP="00FB65C3">
      <w:pPr>
        <w:pStyle w:val="ListParagraph"/>
        <w:numPr>
          <w:ilvl w:val="1"/>
          <w:numId w:val="31"/>
        </w:numPr>
        <w:spacing w:before="0" w:after="240"/>
        <w:contextualSpacing w:val="0"/>
        <w:rPr>
          <w:rFonts w:ascii="Calibri" w:hAnsi="Calibri" w:cs="Calibri"/>
        </w:rPr>
      </w:pPr>
      <w:r w:rsidRPr="00FB65C3">
        <w:rPr>
          <w:rFonts w:ascii="Calibri" w:hAnsi="Calibri" w:cs="Calibri"/>
        </w:rPr>
        <w:t>If a word count limit is included, ensure this is not breached.  Out of fairness to all Bidders, we will only evaluate responses up to the point the word limit has been reached.  You may wish to include the total number of words to each response as your own check as you go along.</w:t>
      </w:r>
    </w:p>
    <w:p w14:paraId="5BFDBF09" w14:textId="55A97011" w:rsidR="00D03A4D" w:rsidRPr="00BC47B6" w:rsidRDefault="0017527C" w:rsidP="0017527C">
      <w:pPr>
        <w:pStyle w:val="ListParagraph"/>
        <w:numPr>
          <w:ilvl w:val="1"/>
          <w:numId w:val="31"/>
        </w:numPr>
        <w:spacing w:before="0" w:after="240"/>
        <w:contextualSpacing w:val="0"/>
        <w:rPr>
          <w:rFonts w:ascii="Calibri" w:hAnsi="Calibri" w:cs="Calibri"/>
          <w:color w:val="FF0000"/>
        </w:rPr>
      </w:pPr>
      <w:r>
        <w:rPr>
          <w:rFonts w:ascii="Calibri" w:hAnsi="Calibri" w:cs="Calibri"/>
        </w:rPr>
        <w:t>The quality criteria are weighted as illustrated in the table below</w:t>
      </w:r>
    </w:p>
    <w:tbl>
      <w:tblPr>
        <w:tblStyle w:val="TableGrid"/>
        <w:tblW w:w="6516" w:type="dxa"/>
        <w:tblLayout w:type="fixed"/>
        <w:tblLook w:val="04A0" w:firstRow="1" w:lastRow="0" w:firstColumn="1" w:lastColumn="0" w:noHBand="0" w:noVBand="1"/>
      </w:tblPr>
      <w:tblGrid>
        <w:gridCol w:w="562"/>
        <w:gridCol w:w="2977"/>
        <w:gridCol w:w="2977"/>
      </w:tblGrid>
      <w:tr w:rsidR="004C7E9C" w:rsidRPr="000F6785" w14:paraId="7C418DF9" w14:textId="77777777" w:rsidTr="004C7E9C">
        <w:trPr>
          <w:trHeight w:val="70"/>
        </w:trPr>
        <w:tc>
          <w:tcPr>
            <w:tcW w:w="562" w:type="dxa"/>
            <w:shd w:val="clear" w:color="auto" w:fill="4BACC6" w:themeFill="accent5"/>
            <w:hideMark/>
          </w:tcPr>
          <w:p w14:paraId="3096A399" w14:textId="77777777" w:rsidR="004C7E9C" w:rsidRPr="000F6785" w:rsidRDefault="004C7E9C" w:rsidP="00D03A4D">
            <w:pPr>
              <w:ind w:right="30"/>
              <w:rPr>
                <w:b/>
                <w:bCs/>
              </w:rPr>
            </w:pPr>
            <w:r>
              <w:rPr>
                <w:b/>
                <w:bCs/>
              </w:rPr>
              <w:t>No</w:t>
            </w:r>
          </w:p>
        </w:tc>
        <w:tc>
          <w:tcPr>
            <w:tcW w:w="2977" w:type="dxa"/>
            <w:shd w:val="clear" w:color="auto" w:fill="4BACC6" w:themeFill="accent5"/>
            <w:hideMark/>
          </w:tcPr>
          <w:p w14:paraId="1E0EEA91" w14:textId="77777777" w:rsidR="004C7E9C" w:rsidRPr="000F6785" w:rsidRDefault="004C7E9C" w:rsidP="00B778BB">
            <w:pPr>
              <w:ind w:right="624"/>
              <w:rPr>
                <w:b/>
                <w:bCs/>
              </w:rPr>
            </w:pPr>
            <w:r w:rsidRPr="000F6785">
              <w:rPr>
                <w:b/>
                <w:bCs/>
              </w:rPr>
              <w:t>Quality criteria</w:t>
            </w:r>
          </w:p>
        </w:tc>
        <w:tc>
          <w:tcPr>
            <w:tcW w:w="2977" w:type="dxa"/>
            <w:shd w:val="clear" w:color="auto" w:fill="4BACC6" w:themeFill="accent5"/>
            <w:hideMark/>
          </w:tcPr>
          <w:p w14:paraId="3D49892E" w14:textId="45E3E7E5" w:rsidR="004C7E9C" w:rsidRPr="000F6785" w:rsidRDefault="004C7E9C" w:rsidP="00D03A4D">
            <w:pPr>
              <w:rPr>
                <w:b/>
                <w:bCs/>
              </w:rPr>
            </w:pPr>
            <w:r w:rsidRPr="000F6785">
              <w:rPr>
                <w:b/>
                <w:bCs/>
              </w:rPr>
              <w:t xml:space="preserve">Maximum </w:t>
            </w:r>
            <w:r w:rsidR="00387BAD">
              <w:rPr>
                <w:b/>
                <w:bCs/>
              </w:rPr>
              <w:t xml:space="preserve">percentage </w:t>
            </w:r>
            <w:r w:rsidRPr="000F6785">
              <w:rPr>
                <w:b/>
                <w:bCs/>
              </w:rPr>
              <w:t xml:space="preserve">available </w:t>
            </w:r>
          </w:p>
        </w:tc>
      </w:tr>
      <w:tr w:rsidR="004C7E9C" w:rsidRPr="000F6785" w14:paraId="002C045F" w14:textId="77777777" w:rsidTr="004C7E9C">
        <w:trPr>
          <w:trHeight w:val="135"/>
        </w:trPr>
        <w:tc>
          <w:tcPr>
            <w:tcW w:w="562" w:type="dxa"/>
            <w:noWrap/>
            <w:hideMark/>
          </w:tcPr>
          <w:p w14:paraId="79F08815" w14:textId="77777777" w:rsidR="004C7E9C" w:rsidRPr="000F6785" w:rsidRDefault="004C7E9C" w:rsidP="00B778BB">
            <w:pPr>
              <w:ind w:right="288"/>
            </w:pPr>
            <w:r w:rsidRPr="000F6785">
              <w:t>1</w:t>
            </w:r>
          </w:p>
        </w:tc>
        <w:tc>
          <w:tcPr>
            <w:tcW w:w="2977" w:type="dxa"/>
            <w:hideMark/>
          </w:tcPr>
          <w:p w14:paraId="1FA877AE" w14:textId="10CD03E0" w:rsidR="004C7E9C" w:rsidRPr="00387BAD" w:rsidRDefault="004C7E9C" w:rsidP="00B778BB">
            <w:pPr>
              <w:ind w:right="5"/>
            </w:pPr>
            <w:r w:rsidRPr="00387BAD">
              <w:t xml:space="preserve">Delivering the Review / Assessment of the EDRF projects </w:t>
            </w:r>
          </w:p>
        </w:tc>
        <w:tc>
          <w:tcPr>
            <w:tcW w:w="2977" w:type="dxa"/>
            <w:noWrap/>
            <w:hideMark/>
          </w:tcPr>
          <w:p w14:paraId="1D04134C" w14:textId="0104C243" w:rsidR="004C7E9C" w:rsidRPr="00387BAD" w:rsidRDefault="00387BAD" w:rsidP="00D03A4D">
            <w:r w:rsidRPr="00387BAD">
              <w:t>40%</w:t>
            </w:r>
          </w:p>
        </w:tc>
      </w:tr>
      <w:tr w:rsidR="004C7E9C" w:rsidRPr="000F6785" w14:paraId="1BFCC8C8" w14:textId="77777777" w:rsidTr="004C7E9C">
        <w:trPr>
          <w:trHeight w:val="285"/>
        </w:trPr>
        <w:tc>
          <w:tcPr>
            <w:tcW w:w="562" w:type="dxa"/>
            <w:noWrap/>
            <w:hideMark/>
          </w:tcPr>
          <w:p w14:paraId="33B063B0" w14:textId="77777777" w:rsidR="004C7E9C" w:rsidRPr="000F6785" w:rsidRDefault="004C7E9C" w:rsidP="00B778BB">
            <w:pPr>
              <w:ind w:right="288"/>
            </w:pPr>
            <w:r w:rsidRPr="000F6785">
              <w:t>2</w:t>
            </w:r>
          </w:p>
        </w:tc>
        <w:tc>
          <w:tcPr>
            <w:tcW w:w="2977" w:type="dxa"/>
          </w:tcPr>
          <w:p w14:paraId="10ED331B" w14:textId="45A70DCB" w:rsidR="004C7E9C" w:rsidRPr="00387BAD" w:rsidRDefault="00387BAD" w:rsidP="00B778BB">
            <w:pPr>
              <w:ind w:right="5"/>
            </w:pPr>
            <w:r w:rsidRPr="00387BAD">
              <w:t xml:space="preserve">Relevant experience </w:t>
            </w:r>
          </w:p>
        </w:tc>
        <w:tc>
          <w:tcPr>
            <w:tcW w:w="2977" w:type="dxa"/>
            <w:noWrap/>
          </w:tcPr>
          <w:p w14:paraId="76CE3E57" w14:textId="61DEE1CF" w:rsidR="004C7E9C" w:rsidRPr="00387BAD" w:rsidRDefault="00387BAD" w:rsidP="00D03A4D">
            <w:r w:rsidRPr="00387BAD">
              <w:t>10%</w:t>
            </w:r>
          </w:p>
        </w:tc>
      </w:tr>
      <w:tr w:rsidR="004C7E9C" w:rsidRPr="000F6785" w14:paraId="018EDE8D" w14:textId="77777777" w:rsidTr="004C7E9C">
        <w:trPr>
          <w:trHeight w:val="285"/>
        </w:trPr>
        <w:tc>
          <w:tcPr>
            <w:tcW w:w="562" w:type="dxa"/>
            <w:noWrap/>
            <w:hideMark/>
          </w:tcPr>
          <w:p w14:paraId="4BAF6D88" w14:textId="77777777" w:rsidR="004C7E9C" w:rsidRPr="000F6785" w:rsidRDefault="004C7E9C" w:rsidP="00B778BB">
            <w:pPr>
              <w:ind w:right="288"/>
            </w:pPr>
            <w:r w:rsidRPr="000F6785">
              <w:t>3</w:t>
            </w:r>
          </w:p>
        </w:tc>
        <w:tc>
          <w:tcPr>
            <w:tcW w:w="2977" w:type="dxa"/>
          </w:tcPr>
          <w:p w14:paraId="2409E22F" w14:textId="4A06A562" w:rsidR="004C7E9C" w:rsidRPr="00387BAD" w:rsidRDefault="00387BAD" w:rsidP="00B778BB">
            <w:pPr>
              <w:ind w:right="5"/>
            </w:pPr>
            <w:r w:rsidRPr="00387BAD">
              <w:t xml:space="preserve">Project management </w:t>
            </w:r>
          </w:p>
        </w:tc>
        <w:tc>
          <w:tcPr>
            <w:tcW w:w="2977" w:type="dxa"/>
            <w:noWrap/>
          </w:tcPr>
          <w:p w14:paraId="2A36EE81" w14:textId="2E012144" w:rsidR="004C7E9C" w:rsidRPr="00387BAD" w:rsidRDefault="00387BAD" w:rsidP="00D03A4D">
            <w:r w:rsidRPr="00387BAD">
              <w:t>20</w:t>
            </w:r>
          </w:p>
        </w:tc>
      </w:tr>
      <w:tr w:rsidR="004C7E9C" w:rsidRPr="000F6785" w14:paraId="69C9A7B6" w14:textId="77777777" w:rsidTr="004C7E9C">
        <w:trPr>
          <w:trHeight w:val="285"/>
        </w:trPr>
        <w:tc>
          <w:tcPr>
            <w:tcW w:w="562" w:type="dxa"/>
            <w:noWrap/>
            <w:hideMark/>
          </w:tcPr>
          <w:p w14:paraId="60FC69C3" w14:textId="77777777" w:rsidR="004C7E9C" w:rsidRPr="000F6785" w:rsidRDefault="004C7E9C" w:rsidP="00B778BB">
            <w:pPr>
              <w:ind w:right="288"/>
            </w:pPr>
            <w:r w:rsidRPr="000F6785">
              <w:t>4</w:t>
            </w:r>
          </w:p>
        </w:tc>
        <w:tc>
          <w:tcPr>
            <w:tcW w:w="2977" w:type="dxa"/>
          </w:tcPr>
          <w:p w14:paraId="4E7253ED" w14:textId="77777777" w:rsidR="004C7E9C" w:rsidRPr="000F6785" w:rsidRDefault="004C7E9C" w:rsidP="00B778BB">
            <w:pPr>
              <w:ind w:right="5"/>
              <w:rPr>
                <w:i/>
                <w:iCs/>
              </w:rPr>
            </w:pPr>
          </w:p>
        </w:tc>
        <w:tc>
          <w:tcPr>
            <w:tcW w:w="2977" w:type="dxa"/>
            <w:noWrap/>
          </w:tcPr>
          <w:p w14:paraId="130A9A98" w14:textId="77777777" w:rsidR="004C7E9C" w:rsidRPr="000F6785" w:rsidRDefault="004C7E9C" w:rsidP="00D03A4D"/>
        </w:tc>
      </w:tr>
    </w:tbl>
    <w:p w14:paraId="7833DEE2" w14:textId="77777777" w:rsidR="0063304B" w:rsidRDefault="002B28EB" w:rsidP="00465B0E">
      <w:pPr>
        <w:pStyle w:val="ListParagraph"/>
        <w:numPr>
          <w:ilvl w:val="1"/>
          <w:numId w:val="31"/>
        </w:numPr>
        <w:spacing w:after="240"/>
        <w:ind w:left="788" w:hanging="431"/>
        <w:contextualSpacing w:val="0"/>
        <w:rPr>
          <w:rFonts w:ascii="Calibri" w:hAnsi="Calibri" w:cs="Calibri"/>
        </w:rPr>
      </w:pPr>
      <w:r w:rsidRPr="0017527C">
        <w:rPr>
          <w:rFonts w:ascii="Calibri" w:hAnsi="Calibri" w:cs="Calibri"/>
        </w:rPr>
        <w:t>Any quotation that fails to meet the individual quality thresholds shall be eliminated from the procurement process and not evaluated further.</w:t>
      </w:r>
    </w:p>
    <w:p w14:paraId="78FA8846" w14:textId="58B101A9" w:rsidR="00995794" w:rsidRDefault="00995794" w:rsidP="002B28EB">
      <w:pPr>
        <w:pStyle w:val="ListParagraph"/>
        <w:numPr>
          <w:ilvl w:val="1"/>
          <w:numId w:val="31"/>
        </w:numPr>
        <w:spacing w:before="0" w:after="240"/>
        <w:contextualSpacing w:val="0"/>
        <w:rPr>
          <w:rFonts w:ascii="Calibri" w:hAnsi="Calibri" w:cs="Calibri"/>
          <w:color w:val="FF0000"/>
        </w:rPr>
      </w:pPr>
      <w:r>
        <w:rPr>
          <w:rFonts w:ascii="Calibri" w:hAnsi="Calibri" w:cs="Calibri"/>
        </w:rPr>
        <w:t xml:space="preserve">Scores for quality will be allocated by the evaluation team using the model illustrated below. </w:t>
      </w:r>
    </w:p>
    <w:tbl>
      <w:tblPr>
        <w:tblW w:w="0" w:type="auto"/>
        <w:tblCellMar>
          <w:left w:w="0" w:type="dxa"/>
          <w:right w:w="0" w:type="dxa"/>
        </w:tblCellMar>
        <w:tblLook w:val="04A0" w:firstRow="1" w:lastRow="0" w:firstColumn="1" w:lastColumn="0" w:noHBand="0" w:noVBand="1"/>
      </w:tblPr>
      <w:tblGrid>
        <w:gridCol w:w="838"/>
        <w:gridCol w:w="1321"/>
        <w:gridCol w:w="7565"/>
      </w:tblGrid>
      <w:tr w:rsidR="00995794" w:rsidRPr="005A764D" w14:paraId="7E68B4D2" w14:textId="77777777" w:rsidTr="00B319D0">
        <w:tc>
          <w:tcPr>
            <w:tcW w:w="841" w:type="dxa"/>
            <w:tcBorders>
              <w:top w:val="single" w:sz="8" w:space="0" w:color="auto"/>
              <w:left w:val="single" w:sz="8" w:space="0" w:color="auto"/>
              <w:bottom w:val="single" w:sz="8" w:space="0" w:color="auto"/>
              <w:right w:val="single" w:sz="8" w:space="0" w:color="auto"/>
            </w:tcBorders>
            <w:shd w:val="clear" w:color="auto" w:fill="4BACC6" w:themeFill="accent5"/>
            <w:tcMar>
              <w:top w:w="0" w:type="dxa"/>
              <w:left w:w="108" w:type="dxa"/>
              <w:bottom w:w="0" w:type="dxa"/>
              <w:right w:w="108" w:type="dxa"/>
            </w:tcMar>
            <w:hideMark/>
          </w:tcPr>
          <w:p w14:paraId="3E4ACF27" w14:textId="77777777" w:rsidR="00995794" w:rsidRPr="005B236D" w:rsidRDefault="00995794" w:rsidP="005F699C">
            <w:pPr>
              <w:jc w:val="center"/>
              <w:rPr>
                <w:rFonts w:cstheme="minorHAnsi"/>
                <w:b/>
                <w:bCs/>
                <w:sz w:val="20"/>
                <w:szCs w:val="20"/>
                <w:lang w:eastAsia="en-GB"/>
              </w:rPr>
            </w:pPr>
            <w:r w:rsidRPr="005B236D">
              <w:rPr>
                <w:b/>
                <w:bCs/>
              </w:rPr>
              <w:t xml:space="preserve">Score </w:t>
            </w:r>
          </w:p>
        </w:tc>
        <w:tc>
          <w:tcPr>
            <w:tcW w:w="1188" w:type="dxa"/>
            <w:tcBorders>
              <w:top w:val="single" w:sz="8" w:space="0" w:color="auto"/>
              <w:left w:val="nil"/>
              <w:bottom w:val="single" w:sz="8" w:space="0" w:color="auto"/>
              <w:right w:val="single" w:sz="8" w:space="0" w:color="auto"/>
            </w:tcBorders>
            <w:shd w:val="clear" w:color="auto" w:fill="4BACC6" w:themeFill="accent5"/>
            <w:tcMar>
              <w:top w:w="0" w:type="dxa"/>
              <w:left w:w="108" w:type="dxa"/>
              <w:bottom w:w="0" w:type="dxa"/>
              <w:right w:w="108" w:type="dxa"/>
            </w:tcMar>
            <w:hideMark/>
          </w:tcPr>
          <w:p w14:paraId="56F9F065" w14:textId="77777777" w:rsidR="00995794" w:rsidRPr="005B236D" w:rsidRDefault="00995794" w:rsidP="005F699C">
            <w:pPr>
              <w:rPr>
                <w:rFonts w:cstheme="minorHAnsi"/>
                <w:b/>
                <w:bCs/>
                <w:sz w:val="20"/>
                <w:szCs w:val="20"/>
                <w:lang w:eastAsia="en-GB"/>
              </w:rPr>
            </w:pPr>
            <w:r w:rsidRPr="005B236D">
              <w:rPr>
                <w:b/>
                <w:bCs/>
              </w:rPr>
              <w:t>Score Standards</w:t>
            </w:r>
          </w:p>
        </w:tc>
        <w:tc>
          <w:tcPr>
            <w:tcW w:w="7695" w:type="dxa"/>
            <w:tcBorders>
              <w:top w:val="single" w:sz="8" w:space="0" w:color="auto"/>
              <w:left w:val="nil"/>
              <w:bottom w:val="single" w:sz="8" w:space="0" w:color="auto"/>
              <w:right w:val="single" w:sz="8" w:space="0" w:color="auto"/>
            </w:tcBorders>
            <w:shd w:val="clear" w:color="auto" w:fill="4BACC6" w:themeFill="accent5"/>
            <w:tcMar>
              <w:top w:w="0" w:type="dxa"/>
              <w:left w:w="108" w:type="dxa"/>
              <w:bottom w:w="0" w:type="dxa"/>
              <w:right w:w="108" w:type="dxa"/>
            </w:tcMar>
            <w:hideMark/>
          </w:tcPr>
          <w:p w14:paraId="4D883BBE" w14:textId="77777777" w:rsidR="00995794" w:rsidRPr="005B236D" w:rsidRDefault="00995794" w:rsidP="005F699C">
            <w:pPr>
              <w:rPr>
                <w:rFonts w:cstheme="minorHAnsi"/>
                <w:b/>
                <w:bCs/>
                <w:sz w:val="20"/>
                <w:szCs w:val="20"/>
                <w:lang w:eastAsia="en-GB"/>
              </w:rPr>
            </w:pPr>
            <w:r w:rsidRPr="005B236D">
              <w:rPr>
                <w:b/>
                <w:bCs/>
              </w:rPr>
              <w:t>Assessment</w:t>
            </w:r>
          </w:p>
        </w:tc>
      </w:tr>
      <w:tr w:rsidR="00995794" w:rsidRPr="005A764D" w14:paraId="7E70009F" w14:textId="77777777" w:rsidTr="00465B0E">
        <w:trPr>
          <w:trHeight w:val="800"/>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DE376" w14:textId="77777777" w:rsidR="00995794" w:rsidRPr="005A764D" w:rsidRDefault="00995794" w:rsidP="005F699C">
            <w:pPr>
              <w:jc w:val="center"/>
              <w:rPr>
                <w:rFonts w:cstheme="minorHAnsi"/>
                <w:sz w:val="20"/>
                <w:szCs w:val="20"/>
                <w:lang w:eastAsia="en-GB"/>
              </w:rPr>
            </w:pPr>
            <w:r w:rsidRPr="005A764D">
              <w:rPr>
                <w:rFonts w:cstheme="minorHAnsi"/>
                <w:sz w:val="20"/>
                <w:szCs w:val="20"/>
                <w:lang w:eastAsia="en-GB"/>
              </w:rPr>
              <w:t>5</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14:paraId="6E3BF36A" w14:textId="77777777" w:rsidR="00995794" w:rsidRPr="005A764D" w:rsidRDefault="00995794" w:rsidP="005F699C">
            <w:pPr>
              <w:rPr>
                <w:rFonts w:cstheme="minorHAnsi"/>
                <w:sz w:val="20"/>
                <w:szCs w:val="20"/>
                <w:lang w:eastAsia="en-GB"/>
              </w:rPr>
            </w:pPr>
            <w:r w:rsidRPr="005A764D">
              <w:rPr>
                <w:rFonts w:cstheme="minorHAnsi"/>
                <w:sz w:val="20"/>
                <w:szCs w:val="20"/>
                <w:lang w:eastAsia="en-GB"/>
              </w:rPr>
              <w:t>Excellent</w:t>
            </w:r>
          </w:p>
          <w:p w14:paraId="0CF629A3" w14:textId="77777777" w:rsidR="00995794" w:rsidRPr="005A764D" w:rsidRDefault="00995794" w:rsidP="005F699C">
            <w:pPr>
              <w:rPr>
                <w:rFonts w:cstheme="minorHAnsi"/>
                <w:sz w:val="20"/>
                <w:szCs w:val="20"/>
                <w:lang w:eastAsia="en-GB"/>
              </w:rPr>
            </w:pPr>
          </w:p>
        </w:tc>
        <w:tc>
          <w:tcPr>
            <w:tcW w:w="7695" w:type="dxa"/>
            <w:tcBorders>
              <w:top w:val="nil"/>
              <w:left w:val="nil"/>
              <w:bottom w:val="single" w:sz="8" w:space="0" w:color="auto"/>
              <w:right w:val="single" w:sz="8" w:space="0" w:color="auto"/>
            </w:tcBorders>
            <w:tcMar>
              <w:top w:w="0" w:type="dxa"/>
              <w:left w:w="108" w:type="dxa"/>
              <w:bottom w:w="0" w:type="dxa"/>
              <w:right w:w="108" w:type="dxa"/>
            </w:tcMar>
            <w:hideMark/>
          </w:tcPr>
          <w:p w14:paraId="5AA81D11" w14:textId="77777777" w:rsidR="00995794" w:rsidRPr="005A764D" w:rsidRDefault="00995794" w:rsidP="005F699C">
            <w:pPr>
              <w:jc w:val="both"/>
              <w:rPr>
                <w:rFonts w:cstheme="minorHAnsi"/>
                <w:sz w:val="20"/>
                <w:szCs w:val="20"/>
                <w:lang w:eastAsia="en-GB"/>
              </w:rPr>
            </w:pPr>
            <w:r w:rsidRPr="00112CFE">
              <w:rPr>
                <w:rFonts w:cstheme="minorHAnsi"/>
                <w:sz w:val="20"/>
                <w:szCs w:val="20"/>
                <w:lang w:eastAsia="en-GB"/>
              </w:rPr>
              <w:t>Exceptional demonstration of the relevant ability, understanding, experience, skills and resource and/or quality measures required to meet the requirements of the contract. Full evidence provided where required supporting the response.</w:t>
            </w:r>
          </w:p>
        </w:tc>
      </w:tr>
      <w:tr w:rsidR="00995794" w:rsidRPr="005A764D" w14:paraId="1066E701" w14:textId="77777777" w:rsidTr="00465B0E">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4BFBC" w14:textId="77777777" w:rsidR="00995794" w:rsidRPr="005A764D" w:rsidRDefault="00995794" w:rsidP="005F699C">
            <w:pPr>
              <w:jc w:val="center"/>
              <w:rPr>
                <w:rFonts w:cstheme="minorHAnsi"/>
                <w:sz w:val="20"/>
                <w:szCs w:val="20"/>
                <w:lang w:eastAsia="en-GB"/>
              </w:rPr>
            </w:pPr>
            <w:r w:rsidRPr="005A764D">
              <w:rPr>
                <w:rFonts w:cstheme="minorHAnsi"/>
                <w:sz w:val="20"/>
                <w:szCs w:val="20"/>
                <w:lang w:eastAsia="en-GB"/>
              </w:rPr>
              <w:t>4</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14:paraId="61CC5F65" w14:textId="77777777" w:rsidR="00995794" w:rsidRPr="005A764D" w:rsidRDefault="00995794" w:rsidP="005F699C">
            <w:pPr>
              <w:rPr>
                <w:rFonts w:cstheme="minorHAnsi"/>
                <w:sz w:val="20"/>
                <w:szCs w:val="20"/>
                <w:lang w:eastAsia="en-GB"/>
              </w:rPr>
            </w:pPr>
            <w:r w:rsidRPr="005A764D">
              <w:rPr>
                <w:rFonts w:cstheme="minorHAnsi"/>
                <w:sz w:val="20"/>
                <w:szCs w:val="20"/>
                <w:lang w:eastAsia="en-GB"/>
              </w:rPr>
              <w:t>Good</w:t>
            </w:r>
          </w:p>
          <w:p w14:paraId="78748632" w14:textId="77777777" w:rsidR="00995794" w:rsidRPr="005A764D" w:rsidRDefault="00995794" w:rsidP="005F699C">
            <w:pPr>
              <w:rPr>
                <w:rFonts w:cstheme="minorHAnsi"/>
                <w:sz w:val="20"/>
                <w:szCs w:val="20"/>
                <w:lang w:eastAsia="en-GB"/>
              </w:rPr>
            </w:pPr>
          </w:p>
        </w:tc>
        <w:tc>
          <w:tcPr>
            <w:tcW w:w="7695" w:type="dxa"/>
            <w:tcBorders>
              <w:top w:val="nil"/>
              <w:left w:val="nil"/>
              <w:bottom w:val="single" w:sz="8" w:space="0" w:color="auto"/>
              <w:right w:val="single" w:sz="8" w:space="0" w:color="auto"/>
            </w:tcBorders>
            <w:tcMar>
              <w:top w:w="0" w:type="dxa"/>
              <w:left w:w="108" w:type="dxa"/>
              <w:bottom w:w="0" w:type="dxa"/>
              <w:right w:w="108" w:type="dxa"/>
            </w:tcMar>
            <w:hideMark/>
          </w:tcPr>
          <w:p w14:paraId="294D2A92" w14:textId="77777777" w:rsidR="00995794" w:rsidRPr="005A764D" w:rsidRDefault="00995794" w:rsidP="005F699C">
            <w:pPr>
              <w:jc w:val="both"/>
              <w:rPr>
                <w:rFonts w:cstheme="minorHAnsi"/>
                <w:sz w:val="20"/>
                <w:szCs w:val="20"/>
                <w:lang w:eastAsia="en-GB"/>
              </w:rPr>
            </w:pPr>
            <w:r w:rsidRPr="005538D8">
              <w:rPr>
                <w:rFonts w:cstheme="minorHAnsi"/>
                <w:sz w:val="20"/>
                <w:szCs w:val="20"/>
                <w:lang w:eastAsia="en-GB"/>
              </w:rPr>
              <w:t>A good demonstration of the relevant ability, understanding, experience, skills, and resource and/or quality measures required to meet the requirements of the contract. A small number of omissions of minor importance are contained within the evidence that has been provided to support the response.</w:t>
            </w:r>
          </w:p>
        </w:tc>
      </w:tr>
      <w:tr w:rsidR="00995794" w:rsidRPr="005A764D" w14:paraId="1BB2FCA1" w14:textId="77777777" w:rsidTr="00465B0E">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8BB2C" w14:textId="77777777" w:rsidR="00995794" w:rsidRPr="005A764D" w:rsidRDefault="00995794" w:rsidP="005F699C">
            <w:pPr>
              <w:jc w:val="center"/>
              <w:rPr>
                <w:rFonts w:cstheme="minorHAnsi"/>
                <w:sz w:val="20"/>
                <w:szCs w:val="20"/>
                <w:lang w:eastAsia="en-GB"/>
              </w:rPr>
            </w:pPr>
            <w:r w:rsidRPr="005A764D">
              <w:rPr>
                <w:rFonts w:cstheme="minorHAnsi"/>
                <w:sz w:val="20"/>
                <w:szCs w:val="20"/>
                <w:lang w:eastAsia="en-GB"/>
              </w:rPr>
              <w:t>3</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14:paraId="07F16E77" w14:textId="77777777" w:rsidR="00995794" w:rsidRPr="005A764D" w:rsidRDefault="00995794" w:rsidP="005F699C">
            <w:pPr>
              <w:rPr>
                <w:rFonts w:cstheme="minorHAnsi"/>
                <w:sz w:val="20"/>
                <w:szCs w:val="20"/>
                <w:lang w:eastAsia="en-GB"/>
              </w:rPr>
            </w:pPr>
            <w:r>
              <w:rPr>
                <w:rFonts w:cstheme="minorHAnsi"/>
                <w:sz w:val="20"/>
                <w:szCs w:val="20"/>
                <w:lang w:eastAsia="en-GB"/>
              </w:rPr>
              <w:t>Acceptable</w:t>
            </w:r>
          </w:p>
          <w:p w14:paraId="542778C9" w14:textId="77777777" w:rsidR="00995794" w:rsidRPr="005A764D" w:rsidRDefault="00995794" w:rsidP="005F699C">
            <w:pPr>
              <w:rPr>
                <w:rFonts w:cstheme="minorHAnsi"/>
                <w:sz w:val="20"/>
                <w:szCs w:val="20"/>
                <w:lang w:eastAsia="en-GB"/>
              </w:rPr>
            </w:pPr>
          </w:p>
        </w:tc>
        <w:tc>
          <w:tcPr>
            <w:tcW w:w="7695" w:type="dxa"/>
            <w:tcBorders>
              <w:top w:val="nil"/>
              <w:left w:val="nil"/>
              <w:bottom w:val="single" w:sz="8" w:space="0" w:color="auto"/>
              <w:right w:val="single" w:sz="8" w:space="0" w:color="auto"/>
            </w:tcBorders>
            <w:tcMar>
              <w:top w:w="0" w:type="dxa"/>
              <w:left w:w="108" w:type="dxa"/>
              <w:bottom w:w="0" w:type="dxa"/>
              <w:right w:w="108" w:type="dxa"/>
            </w:tcMar>
            <w:hideMark/>
          </w:tcPr>
          <w:p w14:paraId="0951A1A5" w14:textId="77777777" w:rsidR="00995794" w:rsidRPr="005A764D" w:rsidRDefault="00995794" w:rsidP="005F699C">
            <w:pPr>
              <w:jc w:val="both"/>
              <w:rPr>
                <w:rFonts w:cstheme="minorHAnsi"/>
                <w:sz w:val="20"/>
                <w:szCs w:val="20"/>
                <w:lang w:eastAsia="en-GB"/>
              </w:rPr>
            </w:pPr>
            <w:r w:rsidRPr="005538D8">
              <w:rPr>
                <w:rFonts w:cstheme="minorHAnsi"/>
                <w:sz w:val="20"/>
                <w:szCs w:val="20"/>
              </w:rPr>
              <w:t>An adequate demonstration of the relevant ability, understanding, experience, skills, resource, and / or quality measures required to meet the requirements of the contract. The evidence that has been provided to support the response is lacking in detail and contains a number of omissions of minor importance.</w:t>
            </w:r>
          </w:p>
        </w:tc>
      </w:tr>
      <w:tr w:rsidR="00995794" w:rsidRPr="005A764D" w14:paraId="1EF11055" w14:textId="77777777" w:rsidTr="00465B0E">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25D1E" w14:textId="77777777" w:rsidR="00995794" w:rsidRPr="005A764D" w:rsidRDefault="00995794" w:rsidP="005F699C">
            <w:pPr>
              <w:jc w:val="center"/>
              <w:rPr>
                <w:rFonts w:cstheme="minorHAnsi"/>
                <w:sz w:val="20"/>
                <w:szCs w:val="20"/>
                <w:lang w:eastAsia="en-GB"/>
              </w:rPr>
            </w:pPr>
            <w:r w:rsidRPr="005A764D">
              <w:rPr>
                <w:rFonts w:cstheme="minorHAnsi"/>
                <w:sz w:val="20"/>
                <w:szCs w:val="20"/>
                <w:lang w:eastAsia="en-GB"/>
              </w:rPr>
              <w:t>2</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14:paraId="560B1D51" w14:textId="77777777" w:rsidR="00995794" w:rsidRPr="005A764D" w:rsidRDefault="00995794" w:rsidP="005F699C">
            <w:pPr>
              <w:rPr>
                <w:rFonts w:cstheme="minorHAnsi"/>
                <w:sz w:val="20"/>
                <w:szCs w:val="20"/>
                <w:lang w:eastAsia="en-GB"/>
              </w:rPr>
            </w:pPr>
            <w:r w:rsidRPr="005A764D">
              <w:rPr>
                <w:rFonts w:cstheme="minorHAnsi"/>
                <w:sz w:val="20"/>
                <w:szCs w:val="20"/>
                <w:lang w:eastAsia="en-GB"/>
              </w:rPr>
              <w:t>Poor</w:t>
            </w:r>
          </w:p>
          <w:p w14:paraId="037088F7" w14:textId="77777777" w:rsidR="00995794" w:rsidRPr="005A764D" w:rsidRDefault="00995794" w:rsidP="005F699C">
            <w:pPr>
              <w:rPr>
                <w:rFonts w:cstheme="minorHAnsi"/>
                <w:sz w:val="20"/>
                <w:szCs w:val="20"/>
                <w:lang w:eastAsia="en-GB"/>
              </w:rPr>
            </w:pPr>
          </w:p>
        </w:tc>
        <w:tc>
          <w:tcPr>
            <w:tcW w:w="7695" w:type="dxa"/>
            <w:tcBorders>
              <w:top w:val="nil"/>
              <w:left w:val="nil"/>
              <w:bottom w:val="single" w:sz="8" w:space="0" w:color="auto"/>
              <w:right w:val="single" w:sz="8" w:space="0" w:color="auto"/>
            </w:tcBorders>
            <w:tcMar>
              <w:top w:w="0" w:type="dxa"/>
              <w:left w:w="108" w:type="dxa"/>
              <w:bottom w:w="0" w:type="dxa"/>
              <w:right w:w="108" w:type="dxa"/>
            </w:tcMar>
            <w:hideMark/>
          </w:tcPr>
          <w:p w14:paraId="0F432BB9" w14:textId="77777777" w:rsidR="00995794" w:rsidRPr="005A764D" w:rsidRDefault="00995794" w:rsidP="005F699C">
            <w:pPr>
              <w:pStyle w:val="ListParagraph"/>
              <w:autoSpaceDE w:val="0"/>
              <w:autoSpaceDN w:val="0"/>
              <w:ind w:left="0"/>
              <w:contextualSpacing w:val="0"/>
              <w:jc w:val="both"/>
              <w:rPr>
                <w:rFonts w:cstheme="minorHAnsi"/>
                <w:sz w:val="20"/>
                <w:szCs w:val="20"/>
                <w:lang w:eastAsia="en-GB"/>
              </w:rPr>
            </w:pPr>
            <w:r w:rsidRPr="005538D8">
              <w:rPr>
                <w:rFonts w:cstheme="minorHAnsi"/>
                <w:sz w:val="20"/>
                <w:szCs w:val="20"/>
              </w:rPr>
              <w:t>Some minor reservations of the relevant ability, understanding, experience, skills, resource, and / or quality measures required to meet the requirements of the contract. The evidence that has been provided to support the response is lacking detail in at least one key area.</w:t>
            </w:r>
          </w:p>
        </w:tc>
      </w:tr>
      <w:tr w:rsidR="00995794" w:rsidRPr="005A764D" w14:paraId="6FD43DF4" w14:textId="77777777" w:rsidTr="00465B0E">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C423B" w14:textId="77777777" w:rsidR="00995794" w:rsidRPr="005A764D" w:rsidRDefault="00995794" w:rsidP="005F699C">
            <w:pPr>
              <w:jc w:val="center"/>
              <w:rPr>
                <w:rFonts w:cstheme="minorHAnsi"/>
                <w:sz w:val="20"/>
                <w:szCs w:val="20"/>
                <w:lang w:eastAsia="en-GB"/>
              </w:rPr>
            </w:pPr>
            <w:r w:rsidRPr="005A764D">
              <w:rPr>
                <w:rFonts w:cstheme="minorHAnsi"/>
                <w:sz w:val="20"/>
                <w:szCs w:val="20"/>
                <w:lang w:eastAsia="en-GB"/>
              </w:rPr>
              <w:t>1</w:t>
            </w:r>
          </w:p>
        </w:tc>
        <w:tc>
          <w:tcPr>
            <w:tcW w:w="1188" w:type="dxa"/>
            <w:tcBorders>
              <w:top w:val="nil"/>
              <w:left w:val="nil"/>
              <w:bottom w:val="single" w:sz="8" w:space="0" w:color="auto"/>
              <w:right w:val="single" w:sz="8" w:space="0" w:color="auto"/>
            </w:tcBorders>
            <w:tcMar>
              <w:top w:w="0" w:type="dxa"/>
              <w:left w:w="108" w:type="dxa"/>
              <w:bottom w:w="0" w:type="dxa"/>
              <w:right w:w="108" w:type="dxa"/>
            </w:tcMar>
          </w:tcPr>
          <w:p w14:paraId="6E55917F" w14:textId="77777777" w:rsidR="00995794" w:rsidRPr="005A764D" w:rsidRDefault="00995794" w:rsidP="005F699C">
            <w:pPr>
              <w:rPr>
                <w:rFonts w:cstheme="minorHAnsi"/>
                <w:sz w:val="20"/>
                <w:szCs w:val="20"/>
                <w:lang w:eastAsia="en-GB"/>
              </w:rPr>
            </w:pPr>
            <w:r w:rsidRPr="005A764D">
              <w:rPr>
                <w:rFonts w:cstheme="minorHAnsi"/>
                <w:sz w:val="20"/>
                <w:szCs w:val="20"/>
                <w:lang w:eastAsia="en-GB"/>
              </w:rPr>
              <w:t>Very Poor</w:t>
            </w:r>
          </w:p>
          <w:p w14:paraId="63BB9A96" w14:textId="77777777" w:rsidR="00995794" w:rsidRPr="005A764D" w:rsidRDefault="00995794" w:rsidP="005F699C">
            <w:pPr>
              <w:rPr>
                <w:rFonts w:cstheme="minorHAnsi"/>
                <w:sz w:val="20"/>
                <w:szCs w:val="20"/>
                <w:lang w:eastAsia="en-GB"/>
              </w:rPr>
            </w:pPr>
          </w:p>
        </w:tc>
        <w:tc>
          <w:tcPr>
            <w:tcW w:w="7695" w:type="dxa"/>
            <w:tcBorders>
              <w:top w:val="nil"/>
              <w:left w:val="nil"/>
              <w:bottom w:val="single" w:sz="8" w:space="0" w:color="auto"/>
              <w:right w:val="single" w:sz="8" w:space="0" w:color="auto"/>
            </w:tcBorders>
            <w:tcMar>
              <w:top w:w="0" w:type="dxa"/>
              <w:left w:w="108" w:type="dxa"/>
              <w:bottom w:w="0" w:type="dxa"/>
              <w:right w:w="108" w:type="dxa"/>
            </w:tcMar>
            <w:hideMark/>
          </w:tcPr>
          <w:p w14:paraId="2F266A99" w14:textId="77777777" w:rsidR="00995794" w:rsidRPr="005A764D" w:rsidRDefault="00995794" w:rsidP="005F699C">
            <w:pPr>
              <w:jc w:val="both"/>
              <w:rPr>
                <w:rFonts w:cstheme="minorHAnsi"/>
                <w:sz w:val="20"/>
                <w:szCs w:val="20"/>
                <w:lang w:eastAsia="en-GB"/>
              </w:rPr>
            </w:pPr>
            <w:r w:rsidRPr="005538D8">
              <w:rPr>
                <w:rFonts w:cstheme="minorHAnsi"/>
                <w:sz w:val="20"/>
                <w:szCs w:val="20"/>
              </w:rPr>
              <w:t>Considerable reservations of the relevant ability, understanding, experience, skills, resource, and/or quality measures required to meet the requirements of the contract. The information that has been provided to support the response is lacking evidence in one or more key areas.</w:t>
            </w:r>
          </w:p>
        </w:tc>
      </w:tr>
      <w:tr w:rsidR="00995794" w:rsidRPr="005A764D" w14:paraId="51D4664E" w14:textId="77777777" w:rsidTr="00465B0E">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9B9B2" w14:textId="77777777" w:rsidR="00995794" w:rsidRPr="005A764D" w:rsidRDefault="00995794" w:rsidP="005F699C">
            <w:pPr>
              <w:jc w:val="center"/>
              <w:rPr>
                <w:rFonts w:cstheme="minorHAnsi"/>
                <w:sz w:val="20"/>
                <w:szCs w:val="20"/>
                <w:lang w:eastAsia="en-GB"/>
              </w:rPr>
            </w:pPr>
            <w:bookmarkStart w:id="1" w:name="_Toc388694735"/>
            <w:r w:rsidRPr="005A764D">
              <w:rPr>
                <w:rFonts w:cstheme="minorHAnsi"/>
                <w:sz w:val="20"/>
                <w:szCs w:val="20"/>
                <w:lang w:eastAsia="en-GB"/>
              </w:rPr>
              <w:lastRenderedPageBreak/>
              <w:t>0</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14:paraId="5935A579" w14:textId="77777777" w:rsidR="00995794" w:rsidRPr="005A764D" w:rsidRDefault="00995794" w:rsidP="005F699C">
            <w:pPr>
              <w:rPr>
                <w:rFonts w:cstheme="minorHAnsi"/>
                <w:sz w:val="20"/>
                <w:szCs w:val="20"/>
                <w:lang w:eastAsia="en-GB"/>
              </w:rPr>
            </w:pPr>
            <w:r w:rsidRPr="005A764D">
              <w:rPr>
                <w:rFonts w:cstheme="minorHAnsi"/>
                <w:sz w:val="20"/>
                <w:szCs w:val="20"/>
                <w:lang w:eastAsia="en-GB"/>
              </w:rPr>
              <w:t>Unacceptable</w:t>
            </w:r>
          </w:p>
        </w:tc>
        <w:tc>
          <w:tcPr>
            <w:tcW w:w="7695" w:type="dxa"/>
            <w:tcBorders>
              <w:top w:val="nil"/>
              <w:left w:val="nil"/>
              <w:bottom w:val="single" w:sz="8" w:space="0" w:color="auto"/>
              <w:right w:val="single" w:sz="8" w:space="0" w:color="auto"/>
            </w:tcBorders>
            <w:tcMar>
              <w:top w:w="0" w:type="dxa"/>
              <w:left w:w="108" w:type="dxa"/>
              <w:bottom w:w="0" w:type="dxa"/>
              <w:right w:w="108" w:type="dxa"/>
            </w:tcMar>
            <w:hideMark/>
          </w:tcPr>
          <w:p w14:paraId="7A19FB8E" w14:textId="77777777" w:rsidR="00995794" w:rsidRPr="005A764D" w:rsidRDefault="00995794" w:rsidP="005F699C">
            <w:pPr>
              <w:jc w:val="both"/>
              <w:rPr>
                <w:rFonts w:cstheme="minorHAnsi"/>
                <w:sz w:val="20"/>
                <w:szCs w:val="20"/>
                <w:lang w:eastAsia="en-GB"/>
              </w:rPr>
            </w:pPr>
            <w:r w:rsidRPr="005A764D">
              <w:rPr>
                <w:rFonts w:cstheme="minorHAnsi"/>
                <w:sz w:val="20"/>
                <w:szCs w:val="20"/>
                <w:lang w:eastAsia="en-GB"/>
              </w:rPr>
              <w:t>An explanation is not provided and/or does not relate to the question asked.</w:t>
            </w:r>
          </w:p>
        </w:tc>
      </w:tr>
      <w:bookmarkEnd w:id="1"/>
    </w:tbl>
    <w:p w14:paraId="5C659194" w14:textId="77777777" w:rsidR="00995794" w:rsidRDefault="00995794" w:rsidP="00995794">
      <w:pPr>
        <w:spacing w:before="0" w:after="240"/>
        <w:rPr>
          <w:rFonts w:ascii="Calibri" w:hAnsi="Calibri" w:cs="Calibri"/>
          <w:color w:val="FF0000"/>
        </w:rPr>
      </w:pPr>
    </w:p>
    <w:p w14:paraId="3F8ED367" w14:textId="77777777" w:rsidR="00F744FF" w:rsidRPr="0093095F" w:rsidRDefault="00F744FF" w:rsidP="00F744FF">
      <w:pPr>
        <w:pStyle w:val="ListParagraph"/>
        <w:numPr>
          <w:ilvl w:val="0"/>
          <w:numId w:val="31"/>
        </w:numPr>
        <w:spacing w:before="0" w:after="240"/>
        <w:contextualSpacing w:val="0"/>
        <w:rPr>
          <w:rFonts w:ascii="Calibri" w:hAnsi="Calibri"/>
          <w:b/>
          <w:bCs/>
          <w:sz w:val="28"/>
          <w:szCs w:val="28"/>
        </w:rPr>
      </w:pPr>
      <w:r w:rsidRPr="00B319D0">
        <w:rPr>
          <w:rFonts w:ascii="Calibri" w:hAnsi="Calibri"/>
          <w:b/>
          <w:bCs/>
          <w:color w:val="4BACC6" w:themeColor="accent5"/>
          <w:sz w:val="28"/>
          <w:szCs w:val="28"/>
        </w:rPr>
        <w:t xml:space="preserve">Stage 3: Evaluation of Price </w:t>
      </w:r>
    </w:p>
    <w:p w14:paraId="6550DAD3" w14:textId="1A0AC175" w:rsidR="00503A7E" w:rsidRDefault="00503A7E" w:rsidP="00503A7E">
      <w:pPr>
        <w:pStyle w:val="ListParagraph"/>
        <w:numPr>
          <w:ilvl w:val="1"/>
          <w:numId w:val="31"/>
        </w:numPr>
        <w:spacing w:before="0" w:after="240"/>
        <w:ind w:left="788" w:hanging="431"/>
        <w:contextualSpacing w:val="0"/>
        <w:rPr>
          <w:rFonts w:ascii="Calibri" w:hAnsi="Calibri" w:cs="Calibri"/>
        </w:rPr>
      </w:pPr>
      <w:r w:rsidRPr="0093095F">
        <w:rPr>
          <w:rFonts w:ascii="Calibri" w:hAnsi="Calibri" w:cs="Calibri"/>
        </w:rPr>
        <w:t>The maximum p</w:t>
      </w:r>
      <w:r w:rsidR="0093095F" w:rsidRPr="0093095F">
        <w:rPr>
          <w:rFonts w:ascii="Calibri" w:hAnsi="Calibri" w:cs="Calibri"/>
        </w:rPr>
        <w:t>ercentage</w:t>
      </w:r>
      <w:r w:rsidRPr="0093095F">
        <w:rPr>
          <w:rFonts w:ascii="Calibri" w:hAnsi="Calibri" w:cs="Calibri"/>
        </w:rPr>
        <w:t xml:space="preserve"> available for price are </w:t>
      </w:r>
      <w:r w:rsidR="0093095F" w:rsidRPr="0093095F">
        <w:rPr>
          <w:rFonts w:ascii="Calibri" w:hAnsi="Calibri" w:cs="Calibri"/>
        </w:rPr>
        <w:t>30%</w:t>
      </w:r>
    </w:p>
    <w:p w14:paraId="00BFAB9F" w14:textId="77777777" w:rsidR="00192C6A" w:rsidRPr="00192C6A" w:rsidRDefault="00192C6A" w:rsidP="00192C6A">
      <w:pPr>
        <w:pStyle w:val="ListParagraph"/>
        <w:numPr>
          <w:ilvl w:val="1"/>
          <w:numId w:val="31"/>
        </w:numPr>
        <w:spacing w:before="0" w:after="240"/>
        <w:rPr>
          <w:rFonts w:ascii="Calibri" w:hAnsi="Calibri" w:cs="Calibri"/>
        </w:rPr>
      </w:pPr>
      <w:r w:rsidRPr="00192C6A">
        <w:rPr>
          <w:rFonts w:ascii="Calibri" w:hAnsi="Calibri" w:cs="Calibri"/>
        </w:rPr>
        <w:t>The budget available for this contract is between £10,000 – 15,000.  Please provide as much budget detail as possible and be aware that value for money forms a part of the scoring process.  A payment schedule will be agreed with the successful bidder, but it is expected that the majority will be paid on completion of this work.</w:t>
      </w:r>
    </w:p>
    <w:p w14:paraId="195A19C1" w14:textId="77777777" w:rsidR="007A0BBC" w:rsidRDefault="007A0BBC" w:rsidP="00192C6A">
      <w:pPr>
        <w:pStyle w:val="ListParagraph"/>
        <w:spacing w:before="0" w:after="240"/>
        <w:ind w:left="792"/>
        <w:rPr>
          <w:rFonts w:ascii="Calibri" w:hAnsi="Calibri" w:cs="Calibri"/>
        </w:rPr>
      </w:pPr>
    </w:p>
    <w:p w14:paraId="101B8418" w14:textId="37994F07" w:rsidR="00192C6A" w:rsidRPr="007A0BBC" w:rsidRDefault="00192C6A" w:rsidP="007A0BBC">
      <w:pPr>
        <w:pStyle w:val="ListParagraph"/>
        <w:numPr>
          <w:ilvl w:val="1"/>
          <w:numId w:val="31"/>
        </w:numPr>
        <w:spacing w:before="0" w:after="240"/>
        <w:rPr>
          <w:rFonts w:ascii="Calibri" w:hAnsi="Calibri" w:cs="Calibri"/>
        </w:rPr>
      </w:pPr>
      <w:r w:rsidRPr="007A0BBC">
        <w:rPr>
          <w:rFonts w:ascii="Calibri" w:hAnsi="Calibri" w:cs="Calibri"/>
        </w:rPr>
        <w:t>Any proposals received which are over budget will automatically fail to get through the initial gateway review process with no further evaluation of the Method Statement responses.</w:t>
      </w:r>
    </w:p>
    <w:p w14:paraId="0AA75374" w14:textId="77777777" w:rsidR="00192C6A" w:rsidRPr="00192C6A" w:rsidRDefault="00192C6A" w:rsidP="007A0BBC">
      <w:pPr>
        <w:pStyle w:val="ListParagraph"/>
        <w:spacing w:before="0" w:after="240"/>
        <w:ind w:left="792"/>
        <w:rPr>
          <w:rFonts w:ascii="Calibri" w:hAnsi="Calibri" w:cs="Calibri"/>
        </w:rPr>
      </w:pPr>
    </w:p>
    <w:p w14:paraId="50394E99" w14:textId="77777777" w:rsidR="00192C6A" w:rsidRPr="00192C6A" w:rsidRDefault="00192C6A" w:rsidP="00192C6A">
      <w:pPr>
        <w:pStyle w:val="ListParagraph"/>
        <w:numPr>
          <w:ilvl w:val="1"/>
          <w:numId w:val="31"/>
        </w:numPr>
        <w:spacing w:before="0" w:after="240"/>
        <w:rPr>
          <w:rFonts w:ascii="Calibri" w:hAnsi="Calibri" w:cs="Calibri"/>
        </w:rPr>
      </w:pPr>
      <w:r w:rsidRPr="00192C6A">
        <w:rPr>
          <w:rFonts w:ascii="Calibri" w:hAnsi="Calibri" w:cs="Calibri"/>
        </w:rPr>
        <w:t>The following points should also be factored in when pricing:</w:t>
      </w:r>
    </w:p>
    <w:p w14:paraId="41892C08" w14:textId="77777777" w:rsidR="00192C6A" w:rsidRPr="00192C6A" w:rsidRDefault="00192C6A" w:rsidP="007A0BBC">
      <w:pPr>
        <w:pStyle w:val="ListParagraph"/>
        <w:spacing w:before="0" w:after="240"/>
        <w:ind w:left="792"/>
        <w:rPr>
          <w:rFonts w:ascii="Calibri" w:hAnsi="Calibri" w:cs="Calibri"/>
        </w:rPr>
      </w:pPr>
    </w:p>
    <w:p w14:paraId="466B10B0" w14:textId="0F798F58" w:rsidR="00192C6A" w:rsidRDefault="00192C6A" w:rsidP="00192C6A">
      <w:pPr>
        <w:pStyle w:val="ListParagraph"/>
        <w:numPr>
          <w:ilvl w:val="1"/>
          <w:numId w:val="31"/>
        </w:numPr>
        <w:spacing w:before="0" w:after="240"/>
        <w:rPr>
          <w:rFonts w:ascii="Calibri" w:hAnsi="Calibri" w:cs="Calibri"/>
        </w:rPr>
      </w:pPr>
      <w:r w:rsidRPr="00192C6A">
        <w:rPr>
          <w:rFonts w:ascii="Calibri" w:hAnsi="Calibri" w:cs="Calibri"/>
        </w:rPr>
        <w:t>All prices should exclude VAT and be in £ sterling (GBP)</w:t>
      </w:r>
    </w:p>
    <w:p w14:paraId="63CDE778" w14:textId="77777777" w:rsidR="007A0BBC" w:rsidRPr="007A0BBC" w:rsidRDefault="007A0BBC" w:rsidP="007A0BBC">
      <w:pPr>
        <w:pStyle w:val="ListParagraph"/>
        <w:rPr>
          <w:rFonts w:ascii="Calibri" w:hAnsi="Calibri" w:cs="Calibri"/>
        </w:rPr>
      </w:pPr>
    </w:p>
    <w:p w14:paraId="457CE79A" w14:textId="77777777" w:rsidR="007A0BBC" w:rsidRPr="00192C6A" w:rsidRDefault="007A0BBC" w:rsidP="007A0BBC">
      <w:pPr>
        <w:pStyle w:val="ListParagraph"/>
        <w:spacing w:before="0" w:after="240"/>
        <w:ind w:left="792"/>
        <w:rPr>
          <w:rFonts w:ascii="Calibri" w:hAnsi="Calibri" w:cs="Calibri"/>
        </w:rPr>
      </w:pPr>
    </w:p>
    <w:p w14:paraId="146C0B5A" w14:textId="77777777" w:rsidR="00192C6A" w:rsidRPr="00192C6A" w:rsidRDefault="00192C6A" w:rsidP="00192C6A">
      <w:pPr>
        <w:pStyle w:val="ListParagraph"/>
        <w:numPr>
          <w:ilvl w:val="1"/>
          <w:numId w:val="31"/>
        </w:numPr>
        <w:spacing w:before="0" w:after="240"/>
        <w:rPr>
          <w:rFonts w:ascii="Calibri" w:hAnsi="Calibri" w:cs="Calibri"/>
        </w:rPr>
      </w:pPr>
      <w:r w:rsidRPr="00192C6A">
        <w:rPr>
          <w:rFonts w:ascii="Calibri" w:hAnsi="Calibri" w:cs="Calibri"/>
        </w:rPr>
        <w:t>Prices shall remain fixed for the duration of the contract.</w:t>
      </w:r>
    </w:p>
    <w:p w14:paraId="0FFC4641" w14:textId="23DA3932" w:rsidR="00192C6A" w:rsidRPr="00192C6A" w:rsidRDefault="00192C6A" w:rsidP="007A0BBC">
      <w:pPr>
        <w:pStyle w:val="ListParagraph"/>
        <w:spacing w:before="0" w:after="240"/>
        <w:ind w:left="792"/>
        <w:rPr>
          <w:rFonts w:ascii="Calibri" w:hAnsi="Calibri" w:cs="Calibri"/>
        </w:rPr>
      </w:pPr>
    </w:p>
    <w:p w14:paraId="5C1FD4D3" w14:textId="10B76A92" w:rsidR="00192C6A" w:rsidRDefault="00192C6A" w:rsidP="00192C6A">
      <w:pPr>
        <w:pStyle w:val="ListParagraph"/>
        <w:numPr>
          <w:ilvl w:val="1"/>
          <w:numId w:val="31"/>
        </w:numPr>
        <w:spacing w:before="0" w:after="240"/>
        <w:rPr>
          <w:rFonts w:ascii="Calibri" w:hAnsi="Calibri" w:cs="Calibri"/>
        </w:rPr>
      </w:pPr>
      <w:r w:rsidRPr="00192C6A">
        <w:rPr>
          <w:rFonts w:ascii="Calibri" w:hAnsi="Calibri" w:cs="Calibri"/>
        </w:rPr>
        <w:t>Your price submission must be a fully costed proposal inclusive of all disbursements and any other costs or expenses necessary for the proper provision of the Goods / Services. There will be no opportunity to negotiate any missed costs subsequently.  Please stipulate a clear and final total contract price payable – this allows us to understand and compare your price</w:t>
      </w:r>
      <w:r w:rsidR="00D76F65">
        <w:rPr>
          <w:rFonts w:ascii="Calibri" w:hAnsi="Calibri" w:cs="Calibri"/>
        </w:rPr>
        <w:t>.</w:t>
      </w:r>
    </w:p>
    <w:p w14:paraId="3B453116" w14:textId="77777777" w:rsidR="00D76F65" w:rsidRPr="00D76F65" w:rsidRDefault="00D76F65" w:rsidP="00D76F65">
      <w:pPr>
        <w:pStyle w:val="ListParagraph"/>
        <w:rPr>
          <w:rFonts w:ascii="Calibri" w:hAnsi="Calibri" w:cs="Calibri"/>
        </w:rPr>
      </w:pPr>
    </w:p>
    <w:p w14:paraId="67802CD7" w14:textId="77777777" w:rsidR="00D76F65" w:rsidRPr="00192C6A" w:rsidRDefault="00D76F65" w:rsidP="00D76F65">
      <w:pPr>
        <w:pStyle w:val="ListParagraph"/>
        <w:spacing w:before="0" w:after="240"/>
        <w:ind w:left="792"/>
        <w:rPr>
          <w:rFonts w:ascii="Calibri" w:hAnsi="Calibri" w:cs="Calibri"/>
        </w:rPr>
      </w:pPr>
    </w:p>
    <w:p w14:paraId="29AC572F" w14:textId="4C3478BF" w:rsidR="00192C6A" w:rsidRDefault="00192C6A" w:rsidP="00192C6A">
      <w:pPr>
        <w:pStyle w:val="ListParagraph"/>
        <w:numPr>
          <w:ilvl w:val="1"/>
          <w:numId w:val="31"/>
        </w:numPr>
        <w:spacing w:before="0" w:after="240"/>
        <w:contextualSpacing w:val="0"/>
        <w:rPr>
          <w:rFonts w:ascii="Calibri" w:hAnsi="Calibri" w:cs="Calibri"/>
        </w:rPr>
      </w:pPr>
      <w:r w:rsidRPr="00192C6A">
        <w:rPr>
          <w:rFonts w:ascii="Calibri" w:hAnsi="Calibri" w:cs="Calibri"/>
        </w:rPr>
        <w:t>Detail your fee structure in a clear and transparent manner which covers all your fees and on-costs to deliver the requirements as laid out in the specification (and any Method Statement responses) and allows us to fully understand the final fee payable by the Council for this requirement</w:t>
      </w:r>
    </w:p>
    <w:p w14:paraId="69E7CAA2" w14:textId="77777777" w:rsidR="00F744FF" w:rsidRPr="00F744FF" w:rsidRDefault="00F744FF" w:rsidP="002B28EB">
      <w:pPr>
        <w:pStyle w:val="ListParagraph"/>
        <w:numPr>
          <w:ilvl w:val="1"/>
          <w:numId w:val="31"/>
        </w:numPr>
        <w:spacing w:before="0" w:after="240"/>
        <w:contextualSpacing w:val="0"/>
        <w:rPr>
          <w:rFonts w:ascii="Calibri" w:hAnsi="Calibri" w:cs="Calibri"/>
        </w:rPr>
      </w:pPr>
      <w:r w:rsidRPr="00F744FF">
        <w:rPr>
          <w:rFonts w:ascii="Calibri" w:hAnsi="Calibri" w:cs="Calibri"/>
        </w:rPr>
        <w:t xml:space="preserve">The </w:t>
      </w:r>
      <w:r w:rsidR="00353E35">
        <w:rPr>
          <w:rFonts w:ascii="Calibri" w:hAnsi="Calibri" w:cs="Calibri"/>
        </w:rPr>
        <w:t>quote</w:t>
      </w:r>
      <w:r w:rsidRPr="00F744FF">
        <w:rPr>
          <w:rFonts w:ascii="Calibri" w:hAnsi="Calibri" w:cs="Calibri"/>
        </w:rPr>
        <w:t xml:space="preserve"> with the lowest total price will achieve the highest score available</w:t>
      </w:r>
      <w:r w:rsidR="00353E35">
        <w:rPr>
          <w:rFonts w:ascii="Calibri" w:hAnsi="Calibri" w:cs="Calibri"/>
        </w:rPr>
        <w:t xml:space="preserve">. All other quotes will receive </w:t>
      </w:r>
      <w:r w:rsidRPr="00F744FF">
        <w:rPr>
          <w:rFonts w:ascii="Calibri" w:hAnsi="Calibri" w:cs="Calibri"/>
        </w:rPr>
        <w:t xml:space="preserve">a reduced score </w:t>
      </w:r>
      <w:r w:rsidR="00353E35">
        <w:rPr>
          <w:rFonts w:ascii="Calibri" w:hAnsi="Calibri" w:cs="Calibri"/>
        </w:rPr>
        <w:t xml:space="preserve">in proportion to how much more expensive that quote is. An example is provided below: </w:t>
      </w:r>
    </w:p>
    <w:p w14:paraId="7C559DF6" w14:textId="77777777" w:rsidR="00AF4EB7" w:rsidRDefault="00353E35" w:rsidP="00465B0E">
      <w:pPr>
        <w:pStyle w:val="ListParagraph"/>
        <w:numPr>
          <w:ilvl w:val="2"/>
          <w:numId w:val="31"/>
        </w:numPr>
        <w:spacing w:before="0" w:after="240"/>
        <w:ind w:left="1276" w:hanging="556"/>
        <w:contextualSpacing w:val="0"/>
        <w:rPr>
          <w:rFonts w:ascii="Calibri" w:hAnsi="Calibri" w:cs="Calibri"/>
        </w:rPr>
      </w:pPr>
      <w:r>
        <w:rPr>
          <w:rFonts w:ascii="Calibri" w:hAnsi="Calibri" w:cs="Calibri"/>
        </w:rPr>
        <w:t xml:space="preserve">If a </w:t>
      </w:r>
      <w:r w:rsidR="00F744FF" w:rsidRPr="00353E35">
        <w:rPr>
          <w:rFonts w:ascii="Calibri" w:hAnsi="Calibri" w:cs="Calibri"/>
        </w:rPr>
        <w:t xml:space="preserve">maximum of 50 points </w:t>
      </w:r>
      <w:r>
        <w:rPr>
          <w:rFonts w:ascii="Calibri" w:hAnsi="Calibri" w:cs="Calibri"/>
        </w:rPr>
        <w:t xml:space="preserve">is </w:t>
      </w:r>
      <w:r w:rsidR="00F744FF" w:rsidRPr="00353E35">
        <w:rPr>
          <w:rFonts w:ascii="Calibri" w:hAnsi="Calibri" w:cs="Calibri"/>
        </w:rPr>
        <w:t>available for price</w:t>
      </w:r>
      <w:r>
        <w:rPr>
          <w:rFonts w:ascii="Calibri" w:hAnsi="Calibri" w:cs="Calibri"/>
        </w:rPr>
        <w:t xml:space="preserve"> and the </w:t>
      </w:r>
      <w:r w:rsidR="00F744FF" w:rsidRPr="00353E35">
        <w:rPr>
          <w:rFonts w:ascii="Calibri" w:hAnsi="Calibri" w:cs="Calibri"/>
        </w:rPr>
        <w:t>lowest</w:t>
      </w:r>
      <w:r w:rsidRPr="00353E35">
        <w:rPr>
          <w:rFonts w:ascii="Calibri" w:hAnsi="Calibri" w:cs="Calibri"/>
        </w:rPr>
        <w:t xml:space="preserve"> quote </w:t>
      </w:r>
      <w:r w:rsidR="00F744FF" w:rsidRPr="00353E35">
        <w:rPr>
          <w:rFonts w:ascii="Calibri" w:hAnsi="Calibri" w:cs="Calibri"/>
        </w:rPr>
        <w:t>is £100k</w:t>
      </w:r>
      <w:r>
        <w:rPr>
          <w:rFonts w:ascii="Calibri" w:hAnsi="Calibri" w:cs="Calibri"/>
        </w:rPr>
        <w:t>,</w:t>
      </w:r>
      <w:r w:rsidR="00F744FF" w:rsidRPr="00353E35">
        <w:rPr>
          <w:rFonts w:ascii="Calibri" w:hAnsi="Calibri" w:cs="Calibri"/>
        </w:rPr>
        <w:t xml:space="preserve"> that submission </w:t>
      </w:r>
      <w:r w:rsidR="00F744FF" w:rsidRPr="0076073F">
        <w:rPr>
          <w:rFonts w:ascii="Calibri" w:hAnsi="Calibri" w:cs="Calibri"/>
        </w:rPr>
        <w:t>receive</w:t>
      </w:r>
      <w:r w:rsidRPr="0076073F">
        <w:rPr>
          <w:rFonts w:ascii="Calibri" w:hAnsi="Calibri" w:cs="Calibri"/>
        </w:rPr>
        <w:t>s</w:t>
      </w:r>
      <w:r w:rsidR="00F744FF" w:rsidRPr="0076073F">
        <w:rPr>
          <w:rFonts w:ascii="Calibri" w:hAnsi="Calibri" w:cs="Calibri"/>
        </w:rPr>
        <w:t xml:space="preserve"> the full 50 points.  </w:t>
      </w:r>
      <w:r w:rsidR="00AF4EB7" w:rsidRPr="00353E35">
        <w:rPr>
          <w:rFonts w:ascii="Calibri" w:hAnsi="Calibri" w:cs="Calibri"/>
        </w:rPr>
        <w:t>If another quote is £110k (10% more expensive)</w:t>
      </w:r>
      <w:r w:rsidR="00AF4EB7">
        <w:rPr>
          <w:rFonts w:ascii="Calibri" w:hAnsi="Calibri" w:cs="Calibri"/>
        </w:rPr>
        <w:t>,</w:t>
      </w:r>
      <w:r w:rsidR="00AF4EB7" w:rsidRPr="00353E35">
        <w:rPr>
          <w:rFonts w:ascii="Calibri" w:hAnsi="Calibri" w:cs="Calibri"/>
        </w:rPr>
        <w:t xml:space="preserve"> 10% (</w:t>
      </w:r>
      <w:r w:rsidR="00AF4EB7">
        <w:rPr>
          <w:rFonts w:ascii="Calibri" w:hAnsi="Calibri" w:cs="Calibri"/>
        </w:rPr>
        <w:t>fi</w:t>
      </w:r>
      <w:r w:rsidR="001D5780">
        <w:rPr>
          <w:rFonts w:ascii="Calibri" w:hAnsi="Calibri" w:cs="Calibri"/>
        </w:rPr>
        <w:t>ve</w:t>
      </w:r>
      <w:r w:rsidR="00AF4EB7">
        <w:rPr>
          <w:rFonts w:ascii="Calibri" w:hAnsi="Calibri" w:cs="Calibri"/>
        </w:rPr>
        <w:t xml:space="preserve"> points</w:t>
      </w:r>
      <w:r w:rsidR="00AF4EB7" w:rsidRPr="00353E35">
        <w:rPr>
          <w:rFonts w:ascii="Calibri" w:hAnsi="Calibri" w:cs="Calibri"/>
        </w:rPr>
        <w:t>) will be deducted</w:t>
      </w:r>
      <w:r w:rsidR="00AF4EB7">
        <w:rPr>
          <w:rFonts w:ascii="Calibri" w:hAnsi="Calibri" w:cs="Calibri"/>
        </w:rPr>
        <w:t xml:space="preserve"> from the maximum points available</w:t>
      </w:r>
      <w:r w:rsidR="00AF4EB7" w:rsidRPr="00353E35">
        <w:rPr>
          <w:rFonts w:ascii="Calibri" w:hAnsi="Calibri" w:cs="Calibri"/>
        </w:rPr>
        <w:t xml:space="preserve">. </w:t>
      </w:r>
      <w:r w:rsidR="00AF4EB7">
        <w:rPr>
          <w:rFonts w:ascii="Calibri" w:hAnsi="Calibri" w:cs="Calibri"/>
        </w:rPr>
        <w:t xml:space="preserve"> </w:t>
      </w:r>
      <w:r w:rsidR="00AF4EB7" w:rsidRPr="00353E35">
        <w:rPr>
          <w:rFonts w:ascii="Calibri" w:hAnsi="Calibri" w:cs="Calibri"/>
        </w:rPr>
        <w:t>If another quote is £</w:t>
      </w:r>
      <w:r w:rsidR="00AF4EB7">
        <w:rPr>
          <w:rFonts w:ascii="Calibri" w:hAnsi="Calibri" w:cs="Calibri"/>
        </w:rPr>
        <w:t>200</w:t>
      </w:r>
      <w:r w:rsidR="00AF4EB7" w:rsidRPr="00353E35">
        <w:rPr>
          <w:rFonts w:ascii="Calibri" w:hAnsi="Calibri" w:cs="Calibri"/>
        </w:rPr>
        <w:t>k (1</w:t>
      </w:r>
      <w:r w:rsidR="00AF4EB7">
        <w:rPr>
          <w:rFonts w:ascii="Calibri" w:hAnsi="Calibri" w:cs="Calibri"/>
        </w:rPr>
        <w:t>0</w:t>
      </w:r>
      <w:r w:rsidR="00AF4EB7" w:rsidRPr="00353E35">
        <w:rPr>
          <w:rFonts w:ascii="Calibri" w:hAnsi="Calibri" w:cs="Calibri"/>
        </w:rPr>
        <w:t>0% more expensive)</w:t>
      </w:r>
      <w:r w:rsidR="00AF4EB7">
        <w:rPr>
          <w:rFonts w:ascii="Calibri" w:hAnsi="Calibri" w:cs="Calibri"/>
        </w:rPr>
        <w:t>,</w:t>
      </w:r>
      <w:r w:rsidR="00AF4EB7" w:rsidRPr="00353E35">
        <w:rPr>
          <w:rFonts w:ascii="Calibri" w:hAnsi="Calibri" w:cs="Calibri"/>
        </w:rPr>
        <w:t xml:space="preserve"> 1</w:t>
      </w:r>
      <w:r w:rsidR="00AF4EB7">
        <w:rPr>
          <w:rFonts w:ascii="Calibri" w:hAnsi="Calibri" w:cs="Calibri"/>
        </w:rPr>
        <w:t>0</w:t>
      </w:r>
      <w:r w:rsidR="00AF4EB7" w:rsidRPr="00353E35">
        <w:rPr>
          <w:rFonts w:ascii="Calibri" w:hAnsi="Calibri" w:cs="Calibri"/>
        </w:rPr>
        <w:t>0% will be deducted</w:t>
      </w:r>
      <w:r w:rsidR="00AF4EB7">
        <w:rPr>
          <w:rFonts w:ascii="Calibri" w:hAnsi="Calibri" w:cs="Calibri"/>
        </w:rPr>
        <w:t xml:space="preserve"> from the maximum points available as illustrated below.</w:t>
      </w:r>
    </w:p>
    <w:tbl>
      <w:tblPr>
        <w:tblStyle w:val="TableGrid"/>
        <w:tblW w:w="0" w:type="auto"/>
        <w:tblInd w:w="792" w:type="dxa"/>
        <w:tblLook w:val="04A0" w:firstRow="1" w:lastRow="0" w:firstColumn="1" w:lastColumn="0" w:noHBand="0" w:noVBand="1"/>
      </w:tblPr>
      <w:tblGrid>
        <w:gridCol w:w="4510"/>
        <w:gridCol w:w="3765"/>
      </w:tblGrid>
      <w:tr w:rsidR="00667C33" w:rsidRPr="001C010C" w14:paraId="465DDAAE" w14:textId="77777777" w:rsidTr="00B319D0">
        <w:tc>
          <w:tcPr>
            <w:tcW w:w="4510" w:type="dxa"/>
            <w:shd w:val="clear" w:color="auto" w:fill="4BACC6" w:themeFill="accent5"/>
          </w:tcPr>
          <w:p w14:paraId="7B99E2E5" w14:textId="77777777" w:rsidR="00667C33" w:rsidRPr="00AF4EB7" w:rsidRDefault="00667C33" w:rsidP="00667C33">
            <w:pPr>
              <w:spacing w:before="0"/>
              <w:rPr>
                <w:rFonts w:ascii="Calibri" w:hAnsi="Calibri" w:cs="Calibri"/>
              </w:rPr>
            </w:pPr>
            <w:r>
              <w:rPr>
                <w:rFonts w:ascii="Calibri" w:hAnsi="Calibri" w:cs="Calibri"/>
              </w:rPr>
              <w:t xml:space="preserve">Tendered Price </w:t>
            </w:r>
          </w:p>
        </w:tc>
        <w:tc>
          <w:tcPr>
            <w:tcW w:w="3765" w:type="dxa"/>
            <w:shd w:val="clear" w:color="auto" w:fill="4BACC6" w:themeFill="accent5"/>
          </w:tcPr>
          <w:p w14:paraId="59A26732" w14:textId="77777777" w:rsidR="00667C33" w:rsidRPr="00AF4EB7" w:rsidRDefault="00667C33" w:rsidP="00667C33">
            <w:pPr>
              <w:spacing w:before="0"/>
              <w:rPr>
                <w:rFonts w:ascii="Calibri" w:hAnsi="Calibri" w:cs="Calibri"/>
              </w:rPr>
            </w:pPr>
            <w:r>
              <w:rPr>
                <w:rFonts w:ascii="Calibri" w:hAnsi="Calibri" w:cs="Calibri"/>
              </w:rPr>
              <w:t xml:space="preserve">Price Points Awarded </w:t>
            </w:r>
          </w:p>
        </w:tc>
      </w:tr>
      <w:tr w:rsidR="001C010C" w:rsidRPr="001C010C" w14:paraId="4E60D2B1" w14:textId="77777777" w:rsidTr="001C010C">
        <w:tc>
          <w:tcPr>
            <w:tcW w:w="4510" w:type="dxa"/>
          </w:tcPr>
          <w:p w14:paraId="199B262C" w14:textId="77777777" w:rsidR="001C010C" w:rsidRPr="00AF4EB7" w:rsidRDefault="001C010C" w:rsidP="00667C33">
            <w:pPr>
              <w:spacing w:before="0"/>
              <w:rPr>
                <w:rFonts w:ascii="Calibri" w:hAnsi="Calibri" w:cs="Calibri"/>
              </w:rPr>
            </w:pPr>
            <w:r w:rsidRPr="00AF4EB7">
              <w:rPr>
                <w:rFonts w:ascii="Calibri" w:hAnsi="Calibri" w:cs="Calibri"/>
              </w:rPr>
              <w:t>Quote 1 - £100,000</w:t>
            </w:r>
          </w:p>
        </w:tc>
        <w:tc>
          <w:tcPr>
            <w:tcW w:w="3765" w:type="dxa"/>
          </w:tcPr>
          <w:p w14:paraId="70141B1B" w14:textId="77777777" w:rsidR="001C010C" w:rsidRPr="00AF4EB7" w:rsidRDefault="00AF4EB7" w:rsidP="00667C33">
            <w:pPr>
              <w:spacing w:before="0"/>
              <w:rPr>
                <w:rFonts w:ascii="Calibri" w:hAnsi="Calibri" w:cs="Calibri"/>
              </w:rPr>
            </w:pPr>
            <w:r w:rsidRPr="00AF4EB7">
              <w:rPr>
                <w:rFonts w:ascii="Calibri" w:hAnsi="Calibri" w:cs="Calibri"/>
              </w:rPr>
              <w:t>50 points</w:t>
            </w:r>
          </w:p>
        </w:tc>
      </w:tr>
      <w:tr w:rsidR="001C010C" w:rsidRPr="001C010C" w14:paraId="428E144D" w14:textId="77777777" w:rsidTr="001C010C">
        <w:tc>
          <w:tcPr>
            <w:tcW w:w="4510" w:type="dxa"/>
          </w:tcPr>
          <w:p w14:paraId="737FC21D" w14:textId="77777777" w:rsidR="001C010C" w:rsidRPr="00AF4EB7" w:rsidRDefault="001C010C" w:rsidP="00667C33">
            <w:pPr>
              <w:spacing w:before="0"/>
              <w:rPr>
                <w:rFonts w:ascii="Calibri" w:hAnsi="Calibri" w:cs="Calibri"/>
              </w:rPr>
            </w:pPr>
            <w:r w:rsidRPr="00AF4EB7">
              <w:rPr>
                <w:rFonts w:ascii="Calibri" w:hAnsi="Calibri" w:cs="Calibri"/>
              </w:rPr>
              <w:t>Quote 2 - £110,000</w:t>
            </w:r>
          </w:p>
        </w:tc>
        <w:tc>
          <w:tcPr>
            <w:tcW w:w="3765" w:type="dxa"/>
          </w:tcPr>
          <w:p w14:paraId="0746CF5F" w14:textId="77777777" w:rsidR="001C010C" w:rsidRPr="00AF4EB7" w:rsidRDefault="00AF4EB7" w:rsidP="00667C33">
            <w:pPr>
              <w:spacing w:before="0"/>
              <w:rPr>
                <w:rFonts w:ascii="Calibri" w:hAnsi="Calibri" w:cs="Calibri"/>
              </w:rPr>
            </w:pPr>
            <w:r w:rsidRPr="00AF4EB7">
              <w:rPr>
                <w:rFonts w:ascii="Calibri" w:hAnsi="Calibri" w:cs="Calibri"/>
              </w:rPr>
              <w:t>45 points</w:t>
            </w:r>
          </w:p>
        </w:tc>
      </w:tr>
      <w:tr w:rsidR="001C010C" w14:paraId="5A632ACC" w14:textId="77777777" w:rsidTr="001C010C">
        <w:tc>
          <w:tcPr>
            <w:tcW w:w="4510" w:type="dxa"/>
          </w:tcPr>
          <w:p w14:paraId="5FADAEEE" w14:textId="77777777" w:rsidR="001C010C" w:rsidRPr="00AF4EB7" w:rsidRDefault="001C010C" w:rsidP="00667C33">
            <w:pPr>
              <w:spacing w:before="0"/>
              <w:rPr>
                <w:rFonts w:ascii="Calibri" w:hAnsi="Calibri" w:cs="Calibri"/>
              </w:rPr>
            </w:pPr>
            <w:r w:rsidRPr="00AF4EB7">
              <w:rPr>
                <w:rFonts w:ascii="Calibri" w:hAnsi="Calibri" w:cs="Calibri"/>
              </w:rPr>
              <w:t>Quote 3 - £200,000</w:t>
            </w:r>
          </w:p>
        </w:tc>
        <w:tc>
          <w:tcPr>
            <w:tcW w:w="3765" w:type="dxa"/>
          </w:tcPr>
          <w:p w14:paraId="251CBBF3" w14:textId="77777777" w:rsidR="001C010C" w:rsidRPr="00AF4EB7" w:rsidRDefault="00AF4EB7" w:rsidP="00667C33">
            <w:pPr>
              <w:spacing w:before="0"/>
              <w:rPr>
                <w:rFonts w:ascii="Calibri" w:hAnsi="Calibri" w:cs="Calibri"/>
              </w:rPr>
            </w:pPr>
            <w:r w:rsidRPr="00AF4EB7">
              <w:rPr>
                <w:rFonts w:ascii="Calibri" w:hAnsi="Calibri" w:cs="Calibri"/>
              </w:rPr>
              <w:t>0 points</w:t>
            </w:r>
          </w:p>
        </w:tc>
      </w:tr>
    </w:tbl>
    <w:p w14:paraId="5CCC2D08" w14:textId="5529BB7A" w:rsidR="00F744FF" w:rsidRPr="0093095F" w:rsidRDefault="00F744FF" w:rsidP="0093095F">
      <w:pPr>
        <w:spacing w:before="0" w:after="240"/>
        <w:rPr>
          <w:rFonts w:ascii="Calibri" w:hAnsi="Calibri" w:cs="Calibri"/>
          <w:color w:val="FF0000"/>
        </w:rPr>
      </w:pPr>
    </w:p>
    <w:p w14:paraId="1FE87EEC" w14:textId="77777777" w:rsidR="00F744FF" w:rsidRPr="00AF4EB7" w:rsidRDefault="00F744FF" w:rsidP="002B28EB">
      <w:pPr>
        <w:pStyle w:val="ListParagraph"/>
        <w:numPr>
          <w:ilvl w:val="1"/>
          <w:numId w:val="31"/>
        </w:numPr>
        <w:spacing w:before="0" w:after="240"/>
        <w:contextualSpacing w:val="0"/>
        <w:rPr>
          <w:sz w:val="24"/>
        </w:rPr>
      </w:pPr>
      <w:r w:rsidRPr="00F744FF">
        <w:rPr>
          <w:rFonts w:ascii="Calibri" w:hAnsi="Calibri" w:cs="Calibri"/>
        </w:rPr>
        <w:t xml:space="preserve">Tenderers should be aware that in evaluating costs, the </w:t>
      </w:r>
      <w:r w:rsidR="00AF4EB7">
        <w:rPr>
          <w:rFonts w:ascii="Calibri" w:hAnsi="Calibri" w:cs="Calibri"/>
        </w:rPr>
        <w:t>Authority</w:t>
      </w:r>
      <w:r w:rsidRPr="00F744FF">
        <w:rPr>
          <w:rFonts w:ascii="Calibri" w:hAnsi="Calibri" w:cs="Calibri"/>
        </w:rPr>
        <w:t xml:space="preserve"> will consider the credibility of the price submitted for the goods, works or services being procured. If officers believe </w:t>
      </w:r>
      <w:r w:rsidRPr="00F744FF">
        <w:rPr>
          <w:rFonts w:ascii="Calibri" w:hAnsi="Calibri" w:cs="Calibri"/>
        </w:rPr>
        <w:lastRenderedPageBreak/>
        <w:t xml:space="preserve">the cost is abnormally low (e.g. unrealistically low prices for goods/works or resource commitments etc), the </w:t>
      </w:r>
      <w:r w:rsidR="00AF4EB7">
        <w:rPr>
          <w:rFonts w:ascii="Calibri" w:hAnsi="Calibri" w:cs="Calibri"/>
        </w:rPr>
        <w:t xml:space="preserve">Authority </w:t>
      </w:r>
      <w:r w:rsidRPr="00F744FF">
        <w:rPr>
          <w:rFonts w:ascii="Calibri" w:hAnsi="Calibri" w:cs="Calibri"/>
        </w:rPr>
        <w:t xml:space="preserve">will seek clarification from the Tenderer to understand further the basis of the price submitted. If </w:t>
      </w:r>
      <w:r w:rsidR="00AF4EB7">
        <w:rPr>
          <w:rFonts w:ascii="Calibri" w:hAnsi="Calibri" w:cs="Calibri"/>
        </w:rPr>
        <w:t xml:space="preserve">the response is not satisfactory the quote may </w:t>
      </w:r>
      <w:r w:rsidR="00AF4EB7" w:rsidRPr="00F744FF">
        <w:rPr>
          <w:rFonts w:ascii="Calibri" w:hAnsi="Calibri" w:cs="Calibri"/>
        </w:rPr>
        <w:t>be eliminated f</w:t>
      </w:r>
      <w:r w:rsidR="00AF4EB7">
        <w:rPr>
          <w:rFonts w:ascii="Calibri" w:hAnsi="Calibri" w:cs="Calibri"/>
        </w:rPr>
        <w:t>ro</w:t>
      </w:r>
      <w:r w:rsidR="00AF4EB7" w:rsidRPr="00F744FF">
        <w:rPr>
          <w:rFonts w:ascii="Calibri" w:hAnsi="Calibri" w:cs="Calibri"/>
        </w:rPr>
        <w:t>m the procurement process and not evaluated further</w:t>
      </w:r>
      <w:r w:rsidRPr="00F744FF">
        <w:rPr>
          <w:rFonts w:ascii="Calibri" w:hAnsi="Calibri" w:cs="Calibri"/>
        </w:rPr>
        <w:t xml:space="preserve">. Tenderers should note that prices cannot be altered after final </w:t>
      </w:r>
      <w:r w:rsidR="00AF4EB7">
        <w:rPr>
          <w:rFonts w:ascii="Calibri" w:hAnsi="Calibri" w:cs="Calibri"/>
        </w:rPr>
        <w:t>quotes</w:t>
      </w:r>
      <w:r w:rsidRPr="00F744FF">
        <w:rPr>
          <w:rFonts w:ascii="Calibri" w:hAnsi="Calibri" w:cs="Calibri"/>
        </w:rPr>
        <w:t xml:space="preserve"> have been submitted.</w:t>
      </w:r>
    </w:p>
    <w:p w14:paraId="3559F69B" w14:textId="77777777" w:rsidR="00AF4EB7" w:rsidRPr="00B319D0" w:rsidRDefault="00AF4EB7" w:rsidP="00AF4EB7">
      <w:pPr>
        <w:pStyle w:val="ListParagraph"/>
        <w:numPr>
          <w:ilvl w:val="0"/>
          <w:numId w:val="31"/>
        </w:numPr>
        <w:spacing w:before="0" w:after="240"/>
        <w:contextualSpacing w:val="0"/>
        <w:rPr>
          <w:rFonts w:ascii="Calibri" w:hAnsi="Calibri"/>
          <w:b/>
          <w:bCs/>
          <w:color w:val="4BACC6" w:themeColor="accent5"/>
          <w:sz w:val="28"/>
          <w:szCs w:val="28"/>
        </w:rPr>
      </w:pPr>
      <w:r w:rsidRPr="00B319D0">
        <w:rPr>
          <w:rFonts w:ascii="Calibri" w:hAnsi="Calibri"/>
          <w:b/>
          <w:bCs/>
          <w:color w:val="4BACC6" w:themeColor="accent5"/>
          <w:sz w:val="28"/>
          <w:szCs w:val="28"/>
        </w:rPr>
        <w:t>Specification</w:t>
      </w:r>
    </w:p>
    <w:p w14:paraId="57566E1A" w14:textId="77777777" w:rsidR="00BC47B6" w:rsidRPr="00BC47B6" w:rsidRDefault="00BC47B6" w:rsidP="00BC47B6">
      <w:pPr>
        <w:pStyle w:val="ListParagraph"/>
        <w:numPr>
          <w:ilvl w:val="1"/>
          <w:numId w:val="31"/>
        </w:numPr>
        <w:spacing w:before="0" w:after="240"/>
        <w:contextualSpacing w:val="0"/>
        <w:rPr>
          <w:rFonts w:ascii="Calibri" w:hAnsi="Calibri" w:cs="Calibri"/>
          <w:b/>
          <w:bCs/>
        </w:rPr>
      </w:pPr>
      <w:r w:rsidRPr="00BC47B6">
        <w:rPr>
          <w:rFonts w:ascii="Calibri" w:hAnsi="Calibri" w:cs="Calibri"/>
          <w:b/>
          <w:bCs/>
        </w:rPr>
        <w:t xml:space="preserve">Introduction </w:t>
      </w:r>
    </w:p>
    <w:p w14:paraId="70B9B25C" w14:textId="77777777" w:rsidR="000A10BE" w:rsidRPr="000A10BE" w:rsidRDefault="000A10BE" w:rsidP="000A10BE">
      <w:pPr>
        <w:pStyle w:val="NoSpacing"/>
        <w:rPr>
          <w:rFonts w:cstheme="minorHAnsi"/>
        </w:rPr>
      </w:pPr>
      <w:r w:rsidRPr="000A10BE">
        <w:rPr>
          <w:rFonts w:cstheme="minorHAnsi"/>
        </w:rPr>
        <w:t xml:space="preserve">South Yorkshire has benefitted from significant European Regional Development Fund (ERDF) from the 2014-20 Programme and this has supported a number of projects including a range of Business Support programmes and projects. As the region moves from access to ERDF to the new UK Shared Prosperity Fund (SPF) an independent review of current local authority managed and partner-managed Business Support activity is considered appropriate to determine future needs. </w:t>
      </w:r>
    </w:p>
    <w:p w14:paraId="1EFC73C7" w14:textId="77777777" w:rsidR="000A10BE" w:rsidRPr="000A10BE" w:rsidRDefault="000A10BE" w:rsidP="000A10BE">
      <w:pPr>
        <w:pStyle w:val="NoSpacing"/>
        <w:rPr>
          <w:rFonts w:cstheme="minorHAnsi"/>
        </w:rPr>
      </w:pPr>
    </w:p>
    <w:p w14:paraId="55F2529D" w14:textId="77777777" w:rsidR="000A10BE" w:rsidRPr="000A10BE" w:rsidRDefault="000A10BE" w:rsidP="000A10BE">
      <w:pPr>
        <w:pStyle w:val="NoSpacing"/>
        <w:rPr>
          <w:rFonts w:cstheme="minorHAnsi"/>
        </w:rPr>
      </w:pPr>
      <w:r w:rsidRPr="000A10BE">
        <w:rPr>
          <w:rFonts w:cstheme="minorHAnsi"/>
        </w:rPr>
        <w:t>This ITT seeks a ‘light touch’ interim review and assessment of the delivered projects with the outcome expected to address the following:</w:t>
      </w:r>
    </w:p>
    <w:p w14:paraId="4C582927" w14:textId="77777777" w:rsidR="000A10BE" w:rsidRPr="000A10BE" w:rsidRDefault="000A10BE" w:rsidP="000A10BE">
      <w:pPr>
        <w:pStyle w:val="NoSpacing"/>
        <w:rPr>
          <w:rFonts w:cstheme="minorHAnsi"/>
        </w:rPr>
      </w:pPr>
    </w:p>
    <w:p w14:paraId="6D2F8805" w14:textId="77777777" w:rsidR="000A10BE" w:rsidRPr="000A10BE" w:rsidRDefault="000A10BE" w:rsidP="000A10BE">
      <w:pPr>
        <w:pStyle w:val="NoSpacing"/>
        <w:numPr>
          <w:ilvl w:val="0"/>
          <w:numId w:val="41"/>
        </w:numPr>
        <w:rPr>
          <w:rFonts w:cstheme="minorHAnsi"/>
        </w:rPr>
      </w:pPr>
      <w:r w:rsidRPr="000A10BE">
        <w:rPr>
          <w:rFonts w:cstheme="minorHAnsi"/>
        </w:rPr>
        <w:t>A high-level summary of the impacts achieved by the activity to date.</w:t>
      </w:r>
    </w:p>
    <w:p w14:paraId="53821343" w14:textId="77777777" w:rsidR="000A10BE" w:rsidRPr="000A10BE" w:rsidRDefault="000A10BE" w:rsidP="000A10BE">
      <w:pPr>
        <w:pStyle w:val="NoSpacing"/>
        <w:numPr>
          <w:ilvl w:val="0"/>
          <w:numId w:val="41"/>
        </w:numPr>
        <w:rPr>
          <w:rFonts w:cstheme="minorHAnsi"/>
        </w:rPr>
      </w:pPr>
      <w:r w:rsidRPr="000A10BE">
        <w:rPr>
          <w:rFonts w:cstheme="minorHAnsi"/>
        </w:rPr>
        <w:t>Analysis of the different models of delivery and their complementarity</w:t>
      </w:r>
    </w:p>
    <w:p w14:paraId="4029DD76" w14:textId="77777777" w:rsidR="000A10BE" w:rsidRPr="000A10BE" w:rsidRDefault="000A10BE" w:rsidP="000A10BE">
      <w:pPr>
        <w:pStyle w:val="NoSpacing"/>
        <w:numPr>
          <w:ilvl w:val="0"/>
          <w:numId w:val="41"/>
        </w:numPr>
        <w:rPr>
          <w:rFonts w:cstheme="minorHAnsi"/>
        </w:rPr>
      </w:pPr>
      <w:r w:rsidRPr="000A10BE">
        <w:rPr>
          <w:rFonts w:cstheme="minorHAnsi"/>
        </w:rPr>
        <w:t>Views of partners and beneficiaries to the effectiveness of the programmes.</w:t>
      </w:r>
    </w:p>
    <w:p w14:paraId="2121D5D4" w14:textId="77777777" w:rsidR="000A10BE" w:rsidRPr="000A10BE" w:rsidRDefault="000A10BE" w:rsidP="000A10BE">
      <w:pPr>
        <w:pStyle w:val="NoSpacing"/>
        <w:numPr>
          <w:ilvl w:val="0"/>
          <w:numId w:val="41"/>
        </w:numPr>
        <w:rPr>
          <w:rFonts w:cstheme="minorHAnsi"/>
        </w:rPr>
      </w:pPr>
      <w:r w:rsidRPr="000A10BE">
        <w:rPr>
          <w:rFonts w:cstheme="minorHAnsi"/>
        </w:rPr>
        <w:t>In the context of a Cost-of-Living crisis, a likely recession and a need to significantly improve the performance of the South Yorkshire economy consideration of the following:</w:t>
      </w:r>
    </w:p>
    <w:p w14:paraId="2A14F751" w14:textId="77777777" w:rsidR="000A10BE" w:rsidRPr="000A10BE" w:rsidRDefault="000A10BE" w:rsidP="000A10BE">
      <w:pPr>
        <w:pStyle w:val="NoSpacing"/>
        <w:rPr>
          <w:rFonts w:cstheme="minorHAnsi"/>
        </w:rPr>
      </w:pPr>
    </w:p>
    <w:p w14:paraId="016094FA" w14:textId="77777777" w:rsidR="000A10BE" w:rsidRPr="000A10BE" w:rsidRDefault="000A10BE" w:rsidP="000A10BE">
      <w:pPr>
        <w:pStyle w:val="NoSpacing"/>
        <w:numPr>
          <w:ilvl w:val="0"/>
          <w:numId w:val="39"/>
        </w:numPr>
        <w:rPr>
          <w:rFonts w:cstheme="minorHAnsi"/>
        </w:rPr>
      </w:pPr>
      <w:r w:rsidRPr="000A10BE">
        <w:rPr>
          <w:rFonts w:cstheme="minorHAnsi"/>
        </w:rPr>
        <w:t>What should the nature and mix of Business Support programmes in South Yorkshire look like from April 2023 – taking a lead from work already undertaken by SYMCA?</w:t>
      </w:r>
    </w:p>
    <w:p w14:paraId="713FF749" w14:textId="77777777" w:rsidR="000A10BE" w:rsidRPr="000A10BE" w:rsidRDefault="000A10BE" w:rsidP="000A10BE">
      <w:pPr>
        <w:pStyle w:val="NoSpacing"/>
        <w:rPr>
          <w:rFonts w:cstheme="minorHAnsi"/>
        </w:rPr>
      </w:pPr>
    </w:p>
    <w:p w14:paraId="3DFE9BC4" w14:textId="77777777" w:rsidR="000A10BE" w:rsidRPr="000A10BE" w:rsidRDefault="000A10BE" w:rsidP="000A10BE">
      <w:pPr>
        <w:pStyle w:val="NoSpacing"/>
        <w:numPr>
          <w:ilvl w:val="0"/>
          <w:numId w:val="39"/>
        </w:numPr>
        <w:rPr>
          <w:rFonts w:cstheme="minorHAnsi"/>
        </w:rPr>
      </w:pPr>
      <w:r w:rsidRPr="000A10BE">
        <w:rPr>
          <w:rFonts w:cstheme="minorHAnsi"/>
        </w:rPr>
        <w:t xml:space="preserve">Consideration as to any duplication/overlap of activity, either in theme, focus or delivery geography. </w:t>
      </w:r>
    </w:p>
    <w:p w14:paraId="6BAA70F6" w14:textId="77777777" w:rsidR="000A10BE" w:rsidRPr="000A10BE" w:rsidRDefault="000A10BE" w:rsidP="000A10BE">
      <w:pPr>
        <w:pStyle w:val="NoSpacing"/>
        <w:rPr>
          <w:rFonts w:cstheme="minorHAnsi"/>
        </w:rPr>
      </w:pPr>
    </w:p>
    <w:p w14:paraId="04BC8781" w14:textId="77777777" w:rsidR="000A10BE" w:rsidRPr="000A10BE" w:rsidRDefault="000A10BE" w:rsidP="000A10BE">
      <w:pPr>
        <w:pStyle w:val="NoSpacing"/>
        <w:numPr>
          <w:ilvl w:val="0"/>
          <w:numId w:val="39"/>
        </w:numPr>
        <w:rPr>
          <w:rFonts w:cstheme="minorHAnsi"/>
        </w:rPr>
      </w:pPr>
      <w:r w:rsidRPr="000A10BE">
        <w:rPr>
          <w:rFonts w:cstheme="minorHAnsi"/>
        </w:rPr>
        <w:t>In the context of 1), what effective role could of existing ERDF Business Support projects have from April 2023 and:</w:t>
      </w:r>
    </w:p>
    <w:p w14:paraId="4FA71656" w14:textId="77777777" w:rsidR="000A10BE" w:rsidRPr="000A10BE" w:rsidRDefault="000A10BE" w:rsidP="000A10BE">
      <w:pPr>
        <w:pStyle w:val="NoSpacing"/>
        <w:rPr>
          <w:rFonts w:cstheme="minorHAnsi"/>
        </w:rPr>
      </w:pPr>
    </w:p>
    <w:p w14:paraId="5810BD1A" w14:textId="77777777" w:rsidR="000A10BE" w:rsidRPr="000A10BE" w:rsidRDefault="000A10BE" w:rsidP="000A10BE">
      <w:pPr>
        <w:pStyle w:val="NoSpacing"/>
        <w:numPr>
          <w:ilvl w:val="0"/>
          <w:numId w:val="40"/>
        </w:numPr>
        <w:rPr>
          <w:rFonts w:cstheme="minorHAnsi"/>
        </w:rPr>
      </w:pPr>
      <w:r w:rsidRPr="000A10BE">
        <w:rPr>
          <w:rFonts w:cstheme="minorHAnsi"/>
        </w:rPr>
        <w:t>Should any of the activity continue ‘as is’?</w:t>
      </w:r>
    </w:p>
    <w:p w14:paraId="153382D0" w14:textId="77777777" w:rsidR="000A10BE" w:rsidRPr="000A10BE" w:rsidRDefault="000A10BE" w:rsidP="000A10BE">
      <w:pPr>
        <w:pStyle w:val="NoSpacing"/>
        <w:numPr>
          <w:ilvl w:val="0"/>
          <w:numId w:val="40"/>
        </w:numPr>
        <w:rPr>
          <w:rFonts w:cstheme="minorHAnsi"/>
        </w:rPr>
      </w:pPr>
      <w:r w:rsidRPr="000A10BE">
        <w:rPr>
          <w:rFonts w:cstheme="minorHAnsi"/>
        </w:rPr>
        <w:t>Should any of the activity be brought to a conclusion by June 2023?</w:t>
      </w:r>
    </w:p>
    <w:p w14:paraId="742E1C68" w14:textId="77777777" w:rsidR="000A10BE" w:rsidRPr="000A10BE" w:rsidRDefault="000A10BE" w:rsidP="000A10BE">
      <w:pPr>
        <w:pStyle w:val="NoSpacing"/>
        <w:numPr>
          <w:ilvl w:val="0"/>
          <w:numId w:val="40"/>
        </w:numPr>
        <w:rPr>
          <w:rFonts w:cstheme="minorHAnsi"/>
        </w:rPr>
      </w:pPr>
      <w:r w:rsidRPr="000A10BE">
        <w:rPr>
          <w:rFonts w:cstheme="minorHAnsi"/>
        </w:rPr>
        <w:t>Should any of the activity continue but be adapted to meet current and future needs?</w:t>
      </w:r>
    </w:p>
    <w:p w14:paraId="2804C07D" w14:textId="77777777" w:rsidR="000A10BE" w:rsidRPr="000A10BE" w:rsidRDefault="000A10BE" w:rsidP="000A10BE">
      <w:pPr>
        <w:pStyle w:val="NoSpacing"/>
        <w:numPr>
          <w:ilvl w:val="0"/>
          <w:numId w:val="40"/>
        </w:numPr>
        <w:rPr>
          <w:rFonts w:cstheme="minorHAnsi"/>
        </w:rPr>
      </w:pPr>
      <w:r w:rsidRPr="000A10BE">
        <w:rPr>
          <w:rFonts w:cstheme="minorHAnsi"/>
        </w:rPr>
        <w:t>Should some elements of the activity be brought together to create simplification and cost-effectiveness going forward?</w:t>
      </w:r>
    </w:p>
    <w:p w14:paraId="595934E1" w14:textId="77777777" w:rsidR="000A10BE" w:rsidRPr="000A10BE" w:rsidRDefault="000A10BE" w:rsidP="000A10BE">
      <w:pPr>
        <w:pStyle w:val="NoSpacing"/>
        <w:ind w:left="360"/>
        <w:rPr>
          <w:rFonts w:cstheme="minorHAnsi"/>
        </w:rPr>
      </w:pPr>
    </w:p>
    <w:p w14:paraId="4E4E81CA" w14:textId="77777777" w:rsidR="000A10BE" w:rsidRPr="000A10BE" w:rsidRDefault="000A10BE" w:rsidP="000A10BE">
      <w:pPr>
        <w:pStyle w:val="NoSpacing"/>
        <w:numPr>
          <w:ilvl w:val="0"/>
          <w:numId w:val="39"/>
        </w:numPr>
        <w:rPr>
          <w:rFonts w:cstheme="minorHAnsi"/>
        </w:rPr>
      </w:pPr>
      <w:r w:rsidRPr="000A10BE">
        <w:rPr>
          <w:rFonts w:cstheme="minorHAnsi"/>
        </w:rPr>
        <w:t>In respect to 3) recommendations and identification of delivery efficiencies that could be achieved.</w:t>
      </w:r>
    </w:p>
    <w:p w14:paraId="6079E49D" w14:textId="27B23741" w:rsidR="00BC47B6" w:rsidRDefault="00BC47B6" w:rsidP="00BC47B6">
      <w:pPr>
        <w:pStyle w:val="ListParagraph"/>
        <w:numPr>
          <w:ilvl w:val="1"/>
          <w:numId w:val="31"/>
        </w:numPr>
        <w:spacing w:before="0" w:after="240"/>
        <w:ind w:left="788" w:hanging="431"/>
        <w:contextualSpacing w:val="0"/>
        <w:rPr>
          <w:rFonts w:ascii="Calibri" w:hAnsi="Calibri" w:cs="Calibri"/>
          <w:b/>
          <w:bCs/>
        </w:rPr>
      </w:pPr>
      <w:r w:rsidRPr="00BC47B6">
        <w:rPr>
          <w:rFonts w:ascii="Calibri" w:hAnsi="Calibri" w:cs="Calibri"/>
          <w:b/>
          <w:bCs/>
        </w:rPr>
        <w:t xml:space="preserve">Vision and Benefits </w:t>
      </w:r>
    </w:p>
    <w:p w14:paraId="5FBCF16E" w14:textId="77777777" w:rsidR="00B950EA" w:rsidRPr="00B950EA" w:rsidRDefault="00B950EA" w:rsidP="00B950EA">
      <w:pPr>
        <w:pStyle w:val="NoSpacing"/>
        <w:rPr>
          <w:rFonts w:cstheme="minorHAnsi"/>
        </w:rPr>
      </w:pPr>
      <w:r w:rsidRPr="00B950EA">
        <w:rPr>
          <w:rFonts w:cstheme="minorHAnsi"/>
        </w:rPr>
        <w:t>Appendix 1 provides a list of ERDF funding Business Support projects that are currently delivering activity within South Yorkshire. The activity varies from direct 1 2 1 support from experienced Business Advisors to grant programmes where businesses can access direct financial support subject to the provision of match funding.</w:t>
      </w:r>
    </w:p>
    <w:p w14:paraId="6E86F1C8" w14:textId="77777777" w:rsidR="00B950EA" w:rsidRPr="00B950EA" w:rsidRDefault="00B950EA" w:rsidP="00B950EA">
      <w:pPr>
        <w:pStyle w:val="NoSpacing"/>
        <w:rPr>
          <w:rFonts w:cstheme="minorHAnsi"/>
        </w:rPr>
      </w:pPr>
    </w:p>
    <w:p w14:paraId="49F68A47" w14:textId="77777777" w:rsidR="00B950EA" w:rsidRPr="00B950EA" w:rsidRDefault="00B950EA" w:rsidP="00B950EA">
      <w:pPr>
        <w:pStyle w:val="NoSpacing"/>
        <w:rPr>
          <w:rFonts w:cstheme="minorHAnsi"/>
        </w:rPr>
      </w:pPr>
      <w:r w:rsidRPr="00B950EA">
        <w:rPr>
          <w:rFonts w:cstheme="minorHAnsi"/>
        </w:rPr>
        <w:t>The ERDF programme comes to an end in December 2023; however, the majority of projects listed in Appendix will cease activity between April and June 2023 to enable a timely ERDF closure process. Without additional external funding support, it is not expected that any of the projects would continue with LA funding alone. This potentially leaves a significant gap in the South Yorkshire Business Support offer.</w:t>
      </w:r>
    </w:p>
    <w:p w14:paraId="1223B31E" w14:textId="77777777" w:rsidR="00B950EA" w:rsidRPr="00B950EA" w:rsidRDefault="00B950EA" w:rsidP="00B950EA">
      <w:pPr>
        <w:pStyle w:val="NoSpacing"/>
        <w:rPr>
          <w:rFonts w:cstheme="minorHAnsi"/>
        </w:rPr>
      </w:pPr>
    </w:p>
    <w:p w14:paraId="7E9B39E5" w14:textId="77777777" w:rsidR="00B950EA" w:rsidRPr="00B950EA" w:rsidRDefault="00B950EA" w:rsidP="00B950EA">
      <w:pPr>
        <w:pStyle w:val="NoSpacing"/>
        <w:rPr>
          <w:rFonts w:cstheme="minorHAnsi"/>
        </w:rPr>
      </w:pPr>
      <w:r w:rsidRPr="00B950EA">
        <w:rPr>
          <w:rFonts w:cstheme="minorHAnsi"/>
        </w:rPr>
        <w:t>The majority of ERDF projects operate across South Yorkshire on a ‘hub’ and ‘spoke’ type model where one Local Authority acts as an Accountable Body for the project on behalf of the other LA’s. Thereafter the activity is either delivered like-for-like in each LA area or the individual LA has the ability to establish a Service that is slightly more bespoke to their business community needs.</w:t>
      </w:r>
    </w:p>
    <w:p w14:paraId="240908A5" w14:textId="77777777" w:rsidR="00B950EA" w:rsidRPr="00B950EA" w:rsidRDefault="00B950EA" w:rsidP="00B950EA">
      <w:pPr>
        <w:pStyle w:val="NoSpacing"/>
        <w:rPr>
          <w:rFonts w:cstheme="minorHAnsi"/>
        </w:rPr>
      </w:pPr>
    </w:p>
    <w:p w14:paraId="099D5E90" w14:textId="77777777" w:rsidR="00B950EA" w:rsidRPr="00B950EA" w:rsidRDefault="00B950EA" w:rsidP="00B950EA">
      <w:pPr>
        <w:pStyle w:val="NoSpacing"/>
        <w:rPr>
          <w:rFonts w:cstheme="minorHAnsi"/>
        </w:rPr>
      </w:pPr>
      <w:r w:rsidRPr="00B950EA">
        <w:rPr>
          <w:rFonts w:cstheme="minorHAnsi"/>
        </w:rPr>
        <w:t xml:space="preserve">The approach outlined above has been put into practice for over 20 years and sits alongside other business support activity either delivered through the other public sector support include SYMCA (the Growth Hub) and the private sector. More recently SYMCA has provided additional resource through their Recovery Action Plan (RAP). A consequence of the approach is that a number of teams have been built up to deliver and/or administer complex ERDF funded projects. Without replacement funding some of this experience might be lost to the region and its businesses. </w:t>
      </w:r>
    </w:p>
    <w:p w14:paraId="75416BC3" w14:textId="77777777" w:rsidR="00B950EA" w:rsidRPr="00B950EA" w:rsidRDefault="00B950EA" w:rsidP="00B950EA">
      <w:pPr>
        <w:pStyle w:val="NoSpacing"/>
        <w:rPr>
          <w:rFonts w:cstheme="minorHAnsi"/>
        </w:rPr>
      </w:pPr>
    </w:p>
    <w:p w14:paraId="69D0138B" w14:textId="77777777" w:rsidR="00B950EA" w:rsidRPr="00B950EA" w:rsidRDefault="00B950EA" w:rsidP="00B950EA">
      <w:pPr>
        <w:pStyle w:val="NoSpacing"/>
        <w:rPr>
          <w:rFonts w:cstheme="minorHAnsi"/>
        </w:rPr>
      </w:pPr>
      <w:r w:rsidRPr="00B950EA">
        <w:rPr>
          <w:rFonts w:cstheme="minorHAnsi"/>
        </w:rPr>
        <w:t>Each ERDF project is subject to bespoke and detailed evaluation prior to its financial competition. This review, subject to this tender, is not to replicate these evaluations but rather undertake a ‘light touch’ review to inform partners whether UKSPF would be an option for the continuation of the type of activity, where the existing ERDF projects could represent a route to deliver such activity, and what kind of model is likely to be most effective for delivery</w:t>
      </w:r>
    </w:p>
    <w:p w14:paraId="6E8AB780" w14:textId="77777777" w:rsidR="00B950EA" w:rsidRPr="00B950EA" w:rsidRDefault="00B950EA" w:rsidP="00B950EA">
      <w:pPr>
        <w:pStyle w:val="NoSpacing"/>
        <w:rPr>
          <w:rFonts w:cstheme="minorHAnsi"/>
        </w:rPr>
      </w:pPr>
    </w:p>
    <w:p w14:paraId="5AAE9AF1" w14:textId="77777777" w:rsidR="00B950EA" w:rsidRPr="00B950EA" w:rsidRDefault="00B950EA" w:rsidP="00B950EA">
      <w:pPr>
        <w:pStyle w:val="NoSpacing"/>
        <w:rPr>
          <w:rFonts w:cstheme="minorHAnsi"/>
        </w:rPr>
      </w:pPr>
      <w:r w:rsidRPr="00B950EA">
        <w:rPr>
          <w:rFonts w:cstheme="minorHAnsi"/>
        </w:rPr>
        <w:t>The South Yorkshire Shared Prosperity Investment Plan was submitted to Government on 1</w:t>
      </w:r>
      <w:r w:rsidRPr="00B950EA">
        <w:rPr>
          <w:rFonts w:cstheme="minorHAnsi"/>
          <w:vertAlign w:val="superscript"/>
        </w:rPr>
        <w:t>st</w:t>
      </w:r>
      <w:r w:rsidRPr="00B950EA">
        <w:rPr>
          <w:rFonts w:cstheme="minorHAnsi"/>
        </w:rPr>
        <w:t xml:space="preserve"> August (Appendix 2) and has a specific allocation of £14.9m aimed at Business Support activity. The SYMCA is the Accountable Body for the SYSPF activity and will need to source Business Support activity to deliver the objectives of the Investment Plan. Funding is likely to be made available either by direct Commissioning and/or a series of competitive Calls or Proposals. It is hoped that this process will start before the end of October 2022. Notably the level of funding is less than previous ERDF allocations and as such the output of this Review / Assessment is likely to influence the UKSPF process.</w:t>
      </w:r>
    </w:p>
    <w:p w14:paraId="0F60859E" w14:textId="2FA802B9" w:rsidR="00BC47B6" w:rsidRPr="00657114" w:rsidRDefault="00BC47B6" w:rsidP="00F308D3">
      <w:pPr>
        <w:spacing w:before="0"/>
        <w:rPr>
          <w:rFonts w:ascii="Calibri" w:hAnsi="Calibri" w:cs="Calibri"/>
        </w:rPr>
      </w:pPr>
    </w:p>
    <w:p w14:paraId="4B53F1E7" w14:textId="77777777" w:rsidR="00657114" w:rsidRPr="00657114" w:rsidRDefault="00BC47B6" w:rsidP="00657114">
      <w:pPr>
        <w:pStyle w:val="NoSpacing"/>
        <w:rPr>
          <w:rFonts w:ascii="Arial" w:hAnsi="Arial"/>
          <w:lang w:val="en-US"/>
        </w:rPr>
      </w:pPr>
      <w:r w:rsidRPr="00657114">
        <w:rPr>
          <w:rFonts w:ascii="Calibri" w:hAnsi="Calibri" w:cs="Calibri"/>
          <w:b/>
          <w:bCs/>
        </w:rPr>
        <w:t>Description of Goods / Service to be provided</w:t>
      </w:r>
      <w:r w:rsidR="00657114" w:rsidRPr="00657114">
        <w:rPr>
          <w:rFonts w:ascii="Arial" w:hAnsi="Arial"/>
          <w:lang w:val="en-US"/>
        </w:rPr>
        <w:t xml:space="preserve"> </w:t>
      </w:r>
    </w:p>
    <w:p w14:paraId="7600DFF6" w14:textId="77777777" w:rsidR="00657114" w:rsidRDefault="00657114" w:rsidP="00657114">
      <w:pPr>
        <w:pStyle w:val="NoSpacing"/>
        <w:rPr>
          <w:rFonts w:ascii="Arial" w:hAnsi="Arial"/>
          <w:lang w:val="en-US"/>
        </w:rPr>
      </w:pPr>
    </w:p>
    <w:p w14:paraId="45188A40" w14:textId="6E7412C4" w:rsidR="00657114" w:rsidRPr="00657114" w:rsidRDefault="00657114" w:rsidP="00657114">
      <w:pPr>
        <w:pStyle w:val="NoSpacing"/>
        <w:rPr>
          <w:rFonts w:cstheme="minorHAnsi"/>
          <w:lang w:val="en-US"/>
        </w:rPr>
      </w:pPr>
      <w:r w:rsidRPr="00657114">
        <w:rPr>
          <w:rFonts w:cstheme="minorHAnsi"/>
          <w:lang w:val="en-US"/>
        </w:rPr>
        <w:t xml:space="preserve">South Yorkshire Mayoral Combined Authority, together with its South Yorkshire local authorities and universities, seeks to commission a ‘light touch’ assessment of the ERDF funded Business Support projects to help inform future activity funded through the SYSPF. </w:t>
      </w:r>
    </w:p>
    <w:p w14:paraId="597C9D94" w14:textId="77777777" w:rsidR="00657114" w:rsidRPr="00657114" w:rsidRDefault="00657114" w:rsidP="00657114">
      <w:pPr>
        <w:spacing w:before="0" w:after="0"/>
        <w:rPr>
          <w:rFonts w:asciiTheme="minorHAnsi" w:hAnsiTheme="minorHAnsi" w:cstheme="minorHAnsi"/>
          <w:szCs w:val="22"/>
          <w:lang w:val="en-US"/>
        </w:rPr>
      </w:pPr>
    </w:p>
    <w:p w14:paraId="1CB618ED" w14:textId="77777777" w:rsidR="00657114" w:rsidRPr="00657114" w:rsidRDefault="00657114" w:rsidP="00657114">
      <w:pPr>
        <w:spacing w:before="0" w:after="0"/>
        <w:rPr>
          <w:rFonts w:asciiTheme="minorHAnsi" w:hAnsiTheme="minorHAnsi" w:cstheme="minorHAnsi"/>
          <w:szCs w:val="22"/>
          <w:lang w:val="en-US"/>
        </w:rPr>
      </w:pPr>
      <w:r w:rsidRPr="00657114">
        <w:rPr>
          <w:rFonts w:asciiTheme="minorHAnsi" w:hAnsiTheme="minorHAnsi" w:cstheme="minorHAnsi"/>
          <w:szCs w:val="22"/>
          <w:lang w:val="en-US"/>
        </w:rPr>
        <w:t>The outputs of this work should be a report due by the end of October 2022 and should include the following:</w:t>
      </w:r>
    </w:p>
    <w:p w14:paraId="10E6EDA1" w14:textId="77777777" w:rsidR="00657114" w:rsidRPr="00657114" w:rsidRDefault="00657114" w:rsidP="00657114">
      <w:pPr>
        <w:spacing w:before="0" w:after="0"/>
        <w:rPr>
          <w:rFonts w:asciiTheme="minorHAnsi" w:hAnsiTheme="minorHAnsi" w:cstheme="minorHAnsi"/>
          <w:szCs w:val="22"/>
          <w:lang w:val="en-US"/>
        </w:rPr>
      </w:pPr>
    </w:p>
    <w:p w14:paraId="0636EF71" w14:textId="77777777" w:rsidR="00657114" w:rsidRPr="00657114" w:rsidRDefault="00657114" w:rsidP="00657114">
      <w:pPr>
        <w:numPr>
          <w:ilvl w:val="0"/>
          <w:numId w:val="42"/>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A review of the Business Support activity required in South Yorkshire (based on work undertaken by SYMCA).</w:t>
      </w:r>
    </w:p>
    <w:p w14:paraId="048C6D23" w14:textId="77777777" w:rsidR="00657114" w:rsidRPr="00657114" w:rsidRDefault="00657114" w:rsidP="00657114">
      <w:pPr>
        <w:numPr>
          <w:ilvl w:val="0"/>
          <w:numId w:val="42"/>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A short description of the ERDF projects included in the assessment and a summary of performance to date in respect to outputs and outcomes together with costs to date. This information shall be provided by each Accountable Body for the project and represents more of a ‘desk top analysis’.</w:t>
      </w:r>
    </w:p>
    <w:p w14:paraId="1A439C34" w14:textId="77777777" w:rsidR="00657114" w:rsidRPr="00657114" w:rsidRDefault="00657114" w:rsidP="00657114">
      <w:pPr>
        <w:numPr>
          <w:ilvl w:val="0"/>
          <w:numId w:val="42"/>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A limited number of focused interviews with relevant individuals, businesses and organisations that have been involved with the project either as a delivery partner or beneficiary. To be facilitated by SYMCA and the ERDF Accountable Bodies.</w:t>
      </w:r>
    </w:p>
    <w:p w14:paraId="2ECC2B1E" w14:textId="77777777" w:rsidR="00657114" w:rsidRPr="00657114" w:rsidRDefault="00657114" w:rsidP="00657114">
      <w:pPr>
        <w:numPr>
          <w:ilvl w:val="0"/>
          <w:numId w:val="42"/>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A brief assessment of the value of the project to date in terms of achieving its aims, its direct and indirect impact and whether the activity represents overall added value.</w:t>
      </w:r>
    </w:p>
    <w:p w14:paraId="699EE886" w14:textId="77777777" w:rsidR="00657114" w:rsidRPr="00657114" w:rsidRDefault="00657114" w:rsidP="00657114">
      <w:pPr>
        <w:numPr>
          <w:ilvl w:val="0"/>
          <w:numId w:val="42"/>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An assessment of any strengths or weaknesses identified through the research.</w:t>
      </w:r>
    </w:p>
    <w:p w14:paraId="104B5997" w14:textId="77777777" w:rsidR="00657114" w:rsidRPr="00657114" w:rsidRDefault="00657114" w:rsidP="00657114">
      <w:pPr>
        <w:numPr>
          <w:ilvl w:val="0"/>
          <w:numId w:val="42"/>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As assessment of value for money based on costs and benefits to date.</w:t>
      </w:r>
    </w:p>
    <w:p w14:paraId="35B8A177" w14:textId="77777777" w:rsidR="00657114" w:rsidRPr="00657114" w:rsidRDefault="00657114" w:rsidP="00657114">
      <w:pPr>
        <w:spacing w:before="0" w:after="0"/>
        <w:rPr>
          <w:rFonts w:asciiTheme="minorHAnsi" w:hAnsiTheme="minorHAnsi" w:cstheme="minorHAnsi"/>
          <w:szCs w:val="22"/>
          <w:lang w:val="en-US"/>
        </w:rPr>
      </w:pPr>
    </w:p>
    <w:p w14:paraId="07172122" w14:textId="77777777" w:rsidR="00657114" w:rsidRPr="00657114" w:rsidRDefault="00657114" w:rsidP="00657114">
      <w:pPr>
        <w:spacing w:before="0" w:after="0"/>
        <w:rPr>
          <w:rFonts w:asciiTheme="minorHAnsi" w:hAnsiTheme="minorHAnsi" w:cstheme="minorHAnsi"/>
          <w:szCs w:val="22"/>
          <w:lang w:val="en-US"/>
        </w:rPr>
      </w:pPr>
    </w:p>
    <w:p w14:paraId="1D5ED318" w14:textId="77777777" w:rsidR="00657114" w:rsidRPr="00657114" w:rsidRDefault="00657114" w:rsidP="00657114">
      <w:pPr>
        <w:spacing w:before="0" w:after="0"/>
        <w:rPr>
          <w:rFonts w:asciiTheme="minorHAnsi" w:hAnsiTheme="minorHAnsi" w:cstheme="minorHAnsi"/>
          <w:szCs w:val="22"/>
          <w:lang w:val="en-US"/>
        </w:rPr>
      </w:pPr>
      <w:r w:rsidRPr="00657114">
        <w:rPr>
          <w:rFonts w:asciiTheme="minorHAnsi" w:hAnsiTheme="minorHAnsi" w:cstheme="minorHAnsi"/>
          <w:szCs w:val="22"/>
          <w:lang w:val="en-US"/>
        </w:rPr>
        <w:lastRenderedPageBreak/>
        <w:t>In the context of the replacement of ERDF with the SYSPF and its Investment Plan and using the quantitative and qualitative data collected from the Stage 1 the bidder shall provide an opinion as to the following and the associated implications:</w:t>
      </w:r>
    </w:p>
    <w:p w14:paraId="59D50CF8" w14:textId="77777777" w:rsidR="00657114" w:rsidRPr="00657114" w:rsidRDefault="00657114" w:rsidP="00657114">
      <w:pPr>
        <w:spacing w:before="0" w:after="0"/>
        <w:rPr>
          <w:rFonts w:asciiTheme="minorHAnsi" w:hAnsiTheme="minorHAnsi" w:cstheme="minorHAnsi"/>
          <w:szCs w:val="22"/>
          <w:lang w:val="en-US"/>
        </w:rPr>
      </w:pPr>
    </w:p>
    <w:p w14:paraId="5D5F6A59" w14:textId="77777777" w:rsidR="00657114" w:rsidRPr="00657114" w:rsidRDefault="00657114" w:rsidP="00657114">
      <w:pPr>
        <w:numPr>
          <w:ilvl w:val="0"/>
          <w:numId w:val="43"/>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What should the nature and mix of Business Support programmes in South Yorkshire look like from April 2023 – taking a lead from work already undertaken by SYMCA?</w:t>
      </w:r>
    </w:p>
    <w:p w14:paraId="307FB385" w14:textId="77777777" w:rsidR="00657114" w:rsidRPr="00657114" w:rsidRDefault="00657114" w:rsidP="00657114">
      <w:pPr>
        <w:spacing w:before="0" w:after="0"/>
        <w:ind w:left="360"/>
        <w:rPr>
          <w:rFonts w:asciiTheme="minorHAnsi" w:hAnsiTheme="minorHAnsi" w:cstheme="minorHAnsi"/>
          <w:szCs w:val="22"/>
          <w:lang w:val="en-US"/>
        </w:rPr>
      </w:pPr>
    </w:p>
    <w:p w14:paraId="2E16D154" w14:textId="77777777" w:rsidR="00657114" w:rsidRPr="00657114" w:rsidRDefault="00657114" w:rsidP="00657114">
      <w:pPr>
        <w:numPr>
          <w:ilvl w:val="0"/>
          <w:numId w:val="43"/>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Consideration as to any duplication/overlap of activity.</w:t>
      </w:r>
    </w:p>
    <w:p w14:paraId="3C695F74" w14:textId="77777777" w:rsidR="00657114" w:rsidRPr="00657114" w:rsidRDefault="00657114" w:rsidP="00657114">
      <w:pPr>
        <w:spacing w:before="0" w:after="0"/>
        <w:ind w:left="360"/>
        <w:rPr>
          <w:rFonts w:asciiTheme="minorHAnsi" w:hAnsiTheme="minorHAnsi" w:cstheme="minorHAnsi"/>
          <w:szCs w:val="22"/>
          <w:lang w:val="en-US"/>
        </w:rPr>
      </w:pPr>
    </w:p>
    <w:p w14:paraId="317FBA1C" w14:textId="77777777" w:rsidR="00657114" w:rsidRPr="00657114" w:rsidRDefault="00657114" w:rsidP="00657114">
      <w:pPr>
        <w:numPr>
          <w:ilvl w:val="0"/>
          <w:numId w:val="43"/>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In the context of 1), what effective role could of existing ERDF Business Support projects have from April 2023 and:</w:t>
      </w:r>
    </w:p>
    <w:p w14:paraId="0C139D44" w14:textId="77777777" w:rsidR="00657114" w:rsidRPr="00657114" w:rsidRDefault="00657114" w:rsidP="00657114">
      <w:pPr>
        <w:spacing w:before="0" w:after="0"/>
        <w:ind w:left="360"/>
        <w:rPr>
          <w:rFonts w:asciiTheme="minorHAnsi" w:hAnsiTheme="minorHAnsi" w:cstheme="minorHAnsi"/>
          <w:szCs w:val="22"/>
          <w:lang w:val="en-US"/>
        </w:rPr>
      </w:pPr>
    </w:p>
    <w:p w14:paraId="6784EC0E" w14:textId="77777777" w:rsidR="00657114" w:rsidRPr="00657114" w:rsidRDefault="00657114" w:rsidP="00657114">
      <w:pPr>
        <w:numPr>
          <w:ilvl w:val="0"/>
          <w:numId w:val="44"/>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Should any of the activity continue ‘as is’?</w:t>
      </w:r>
    </w:p>
    <w:p w14:paraId="7160B152" w14:textId="77777777" w:rsidR="00657114" w:rsidRPr="00657114" w:rsidRDefault="00657114" w:rsidP="00657114">
      <w:pPr>
        <w:numPr>
          <w:ilvl w:val="0"/>
          <w:numId w:val="44"/>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Should any of the activity be terminated by June 2023?</w:t>
      </w:r>
    </w:p>
    <w:p w14:paraId="257F87A2" w14:textId="77777777" w:rsidR="00657114" w:rsidRPr="00657114" w:rsidRDefault="00657114" w:rsidP="00657114">
      <w:pPr>
        <w:numPr>
          <w:ilvl w:val="0"/>
          <w:numId w:val="44"/>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Should any of the activity continue be but adapted to meet current and future needs?</w:t>
      </w:r>
    </w:p>
    <w:p w14:paraId="28831A9C" w14:textId="77777777" w:rsidR="00657114" w:rsidRPr="00657114" w:rsidRDefault="00657114" w:rsidP="00657114">
      <w:pPr>
        <w:numPr>
          <w:ilvl w:val="0"/>
          <w:numId w:val="44"/>
        </w:numPr>
        <w:spacing w:before="0" w:after="0" w:line="259" w:lineRule="auto"/>
        <w:rPr>
          <w:rFonts w:asciiTheme="minorHAnsi" w:hAnsiTheme="minorHAnsi" w:cstheme="minorHAnsi"/>
          <w:szCs w:val="22"/>
          <w:lang w:val="en-US"/>
        </w:rPr>
      </w:pPr>
      <w:r w:rsidRPr="00657114">
        <w:rPr>
          <w:rFonts w:asciiTheme="minorHAnsi" w:hAnsiTheme="minorHAnsi" w:cstheme="minorHAnsi"/>
          <w:szCs w:val="22"/>
          <w:lang w:val="en-US"/>
        </w:rPr>
        <w:t>Should some elements of the activity be brought together to create simplification and cost-effectiveness going forward?</w:t>
      </w:r>
    </w:p>
    <w:p w14:paraId="48A09475" w14:textId="77777777" w:rsidR="00657114" w:rsidRPr="00657114" w:rsidRDefault="00657114" w:rsidP="00657114">
      <w:pPr>
        <w:spacing w:before="0" w:after="0"/>
        <w:ind w:left="720"/>
        <w:rPr>
          <w:rFonts w:asciiTheme="minorHAnsi" w:hAnsiTheme="minorHAnsi" w:cstheme="minorHAnsi"/>
          <w:szCs w:val="22"/>
          <w:lang w:val="en-US"/>
        </w:rPr>
      </w:pPr>
    </w:p>
    <w:p w14:paraId="536C38C6" w14:textId="77777777" w:rsidR="00657114" w:rsidRPr="00657114" w:rsidRDefault="00657114" w:rsidP="00657114">
      <w:pPr>
        <w:spacing w:before="0" w:after="0"/>
        <w:ind w:left="360"/>
        <w:rPr>
          <w:rFonts w:asciiTheme="minorHAnsi" w:hAnsiTheme="minorHAnsi" w:cstheme="minorHAnsi"/>
          <w:szCs w:val="22"/>
          <w:lang w:val="en-US"/>
        </w:rPr>
      </w:pPr>
    </w:p>
    <w:p w14:paraId="79CAEFD3" w14:textId="77777777" w:rsidR="00657114" w:rsidRPr="00657114" w:rsidRDefault="00657114" w:rsidP="00657114">
      <w:pPr>
        <w:spacing w:before="0" w:after="0"/>
        <w:ind w:left="360"/>
        <w:rPr>
          <w:rFonts w:asciiTheme="minorHAnsi" w:hAnsiTheme="minorHAnsi" w:cstheme="minorHAnsi"/>
          <w:szCs w:val="22"/>
          <w:lang w:val="en-US"/>
        </w:rPr>
      </w:pPr>
      <w:r w:rsidRPr="00657114">
        <w:rPr>
          <w:rFonts w:asciiTheme="minorHAnsi" w:hAnsiTheme="minorHAnsi" w:cstheme="minorHAnsi"/>
          <w:szCs w:val="22"/>
          <w:lang w:val="en-US"/>
        </w:rPr>
        <w:t>In respect to 3) recommendations and identification of delivery efficiencies that could be achieved.</w:t>
      </w:r>
    </w:p>
    <w:p w14:paraId="795F6111" w14:textId="77777777" w:rsidR="00657114" w:rsidRPr="00657114" w:rsidRDefault="00657114" w:rsidP="00657114">
      <w:pPr>
        <w:spacing w:before="0" w:after="0"/>
        <w:ind w:left="360"/>
        <w:rPr>
          <w:rFonts w:asciiTheme="minorHAnsi" w:hAnsiTheme="minorHAnsi" w:cstheme="minorHAnsi"/>
          <w:szCs w:val="22"/>
          <w:lang w:val="en-US"/>
        </w:rPr>
      </w:pPr>
    </w:p>
    <w:p w14:paraId="5B1BCD46" w14:textId="77777777" w:rsidR="00657114" w:rsidRPr="00657114" w:rsidRDefault="00657114" w:rsidP="00657114">
      <w:pPr>
        <w:spacing w:before="0" w:after="0"/>
        <w:rPr>
          <w:rFonts w:asciiTheme="minorHAnsi" w:hAnsiTheme="minorHAnsi" w:cstheme="minorHAnsi"/>
          <w:szCs w:val="22"/>
          <w:lang w:val="en-US"/>
        </w:rPr>
      </w:pPr>
      <w:r w:rsidRPr="00657114">
        <w:rPr>
          <w:rFonts w:asciiTheme="minorHAnsi" w:hAnsiTheme="minorHAnsi" w:cstheme="minorHAnsi"/>
          <w:szCs w:val="22"/>
          <w:lang w:val="en-US"/>
        </w:rPr>
        <w:t xml:space="preserve">Bidders should note that the SY LA partners will work with the successful bidder on developing and facilitating their review and assessment. </w:t>
      </w:r>
    </w:p>
    <w:p w14:paraId="549ED942" w14:textId="77777777" w:rsidR="00657114" w:rsidRPr="00657114" w:rsidRDefault="00657114" w:rsidP="00657114">
      <w:pPr>
        <w:spacing w:before="0" w:after="0"/>
        <w:rPr>
          <w:rFonts w:asciiTheme="minorHAnsi" w:hAnsiTheme="minorHAnsi" w:cstheme="minorHAnsi"/>
          <w:szCs w:val="22"/>
          <w:lang w:val="en-US"/>
        </w:rPr>
      </w:pPr>
    </w:p>
    <w:p w14:paraId="6D01A937" w14:textId="77777777" w:rsidR="00657114" w:rsidRPr="00657114" w:rsidRDefault="00657114" w:rsidP="00657114">
      <w:pPr>
        <w:spacing w:before="0" w:after="0"/>
        <w:rPr>
          <w:rFonts w:asciiTheme="minorHAnsi" w:hAnsiTheme="minorHAnsi" w:cstheme="minorHAnsi"/>
          <w:szCs w:val="22"/>
          <w:lang w:val="en-US"/>
        </w:rPr>
      </w:pPr>
      <w:r w:rsidRPr="00657114">
        <w:rPr>
          <w:rFonts w:asciiTheme="minorHAnsi" w:hAnsiTheme="minorHAnsi" w:cstheme="minorHAnsi"/>
          <w:szCs w:val="22"/>
          <w:lang w:val="en-US"/>
        </w:rPr>
        <w:t xml:space="preserve">At a minimum we would expect the work to entail discussions with the Lead parties for each ERDF project and a limited number of interviews participants and businesses that have directly benefited from the project activity. Where appropriate the SY LAs will facilitate workshops with other partner organisations.  </w:t>
      </w:r>
    </w:p>
    <w:p w14:paraId="73C5A6ED" w14:textId="77777777" w:rsidR="00657114" w:rsidRPr="00657114" w:rsidRDefault="00657114" w:rsidP="00657114">
      <w:pPr>
        <w:spacing w:before="0" w:after="0"/>
        <w:rPr>
          <w:rFonts w:asciiTheme="minorHAnsi" w:hAnsiTheme="minorHAnsi" w:cstheme="minorHAnsi"/>
          <w:szCs w:val="22"/>
          <w:lang w:val="en-US"/>
        </w:rPr>
      </w:pPr>
    </w:p>
    <w:p w14:paraId="00A1CD5C" w14:textId="41501B93" w:rsidR="00657114" w:rsidRDefault="00657114" w:rsidP="00657114">
      <w:pPr>
        <w:spacing w:before="0" w:after="0"/>
        <w:rPr>
          <w:rFonts w:asciiTheme="minorHAnsi" w:hAnsiTheme="minorHAnsi" w:cstheme="minorHAnsi"/>
          <w:szCs w:val="22"/>
          <w:lang w:val="en-US"/>
        </w:rPr>
      </w:pPr>
      <w:r w:rsidRPr="00657114">
        <w:rPr>
          <w:rFonts w:asciiTheme="minorHAnsi" w:hAnsiTheme="minorHAnsi" w:cstheme="minorHAnsi"/>
          <w:szCs w:val="22"/>
          <w:lang w:val="en-US"/>
        </w:rPr>
        <w:t xml:space="preserve">We expect the respondents to this tender to design the methodology to answer the above questions and it is expected that bidders will suggest other areas of enquiry where it is felt there are gaps in this specification. </w:t>
      </w:r>
    </w:p>
    <w:p w14:paraId="393E9FD5" w14:textId="77777777" w:rsidR="00270A11" w:rsidRPr="00657114" w:rsidRDefault="00270A11" w:rsidP="00657114">
      <w:pPr>
        <w:spacing w:before="0" w:after="0"/>
        <w:rPr>
          <w:rFonts w:asciiTheme="minorHAnsi" w:hAnsiTheme="minorHAnsi" w:cstheme="minorHAnsi"/>
          <w:szCs w:val="22"/>
          <w:lang w:val="en-US"/>
        </w:rPr>
      </w:pPr>
    </w:p>
    <w:p w14:paraId="424F96F2" w14:textId="77777777" w:rsidR="007A7F60" w:rsidRPr="00270A11" w:rsidRDefault="007A7F60" w:rsidP="007A7F60">
      <w:pPr>
        <w:pStyle w:val="ListParagraph"/>
        <w:numPr>
          <w:ilvl w:val="1"/>
          <w:numId w:val="31"/>
        </w:numPr>
        <w:spacing w:before="0" w:after="240"/>
        <w:ind w:left="788" w:hanging="431"/>
        <w:contextualSpacing w:val="0"/>
        <w:rPr>
          <w:rFonts w:ascii="Calibri" w:hAnsi="Calibri" w:cs="Calibri"/>
          <w:b/>
          <w:bCs/>
        </w:rPr>
      </w:pPr>
      <w:r w:rsidRPr="00270A11">
        <w:rPr>
          <w:rFonts w:ascii="Calibri" w:hAnsi="Calibri" w:cs="Calibri"/>
          <w:b/>
          <w:bCs/>
        </w:rPr>
        <w:t xml:space="preserve">Performance Measures /Contract monitoring </w:t>
      </w:r>
    </w:p>
    <w:p w14:paraId="6F3940E8" w14:textId="4BF81A84" w:rsidR="007A7F60" w:rsidRDefault="00270A11" w:rsidP="00C06F22">
      <w:pPr>
        <w:pStyle w:val="ListParagraph"/>
        <w:numPr>
          <w:ilvl w:val="2"/>
          <w:numId w:val="31"/>
        </w:numPr>
        <w:spacing w:before="0" w:after="240"/>
        <w:ind w:left="1418" w:hanging="698"/>
        <w:contextualSpacing w:val="0"/>
        <w:rPr>
          <w:rFonts w:ascii="Calibri" w:hAnsi="Calibri" w:cs="Calibri"/>
        </w:rPr>
      </w:pPr>
      <w:r w:rsidRPr="00270A11">
        <w:rPr>
          <w:rFonts w:ascii="Calibri" w:hAnsi="Calibri" w:cs="Calibri"/>
        </w:rPr>
        <w:t>The contract will be managed by SYMCA, who will be responsible for overseeing the work of the supplier and managing performance.  The successful bidder will be expected to attend a limited number of contract meetings in order to report progress, issues and request decisions/steer.  The frequency of these is to be agreed at the inception meeting.</w:t>
      </w:r>
    </w:p>
    <w:p w14:paraId="347346E0" w14:textId="4B656406" w:rsidR="00C36092" w:rsidRPr="00C36092" w:rsidRDefault="00C36092" w:rsidP="00C36092">
      <w:pPr>
        <w:spacing w:before="0" w:after="240"/>
        <w:rPr>
          <w:rFonts w:ascii="Calibri" w:hAnsi="Calibri" w:cs="Calibri"/>
        </w:rPr>
      </w:pPr>
    </w:p>
    <w:p w14:paraId="081E17EB" w14:textId="4572D505" w:rsidR="00C36092" w:rsidRPr="00270A11" w:rsidRDefault="00C36092" w:rsidP="00C36092">
      <w:pPr>
        <w:pStyle w:val="ListParagraph"/>
        <w:numPr>
          <w:ilvl w:val="2"/>
          <w:numId w:val="31"/>
        </w:numPr>
        <w:spacing w:before="0" w:after="240"/>
        <w:contextualSpacing w:val="0"/>
        <w:rPr>
          <w:rFonts w:ascii="Calibri" w:hAnsi="Calibri" w:cs="Calibri"/>
        </w:rPr>
      </w:pPr>
      <w:r w:rsidRPr="00C36092">
        <w:rPr>
          <w:rFonts w:ascii="Calibri" w:hAnsi="Calibri" w:cs="Calibri"/>
        </w:rPr>
        <w:t>We have an established Steering Group for the ERDF Business Support Review comprised of Council officers from the South Yorkshire LAs as well as private sector representatives who will take oversight of this piece of work, provide guidance and steer, and approve the final document.</w:t>
      </w:r>
    </w:p>
    <w:p w14:paraId="027BE676" w14:textId="3EF9D6BE" w:rsidR="007A7F60" w:rsidRPr="00270A11" w:rsidRDefault="007A7F60" w:rsidP="00270A11">
      <w:pPr>
        <w:spacing w:before="0" w:after="240"/>
        <w:rPr>
          <w:rFonts w:ascii="Calibri" w:hAnsi="Calibri" w:cs="Calibri"/>
          <w:color w:val="FF0000"/>
        </w:rPr>
      </w:pPr>
    </w:p>
    <w:p w14:paraId="6644E69A" w14:textId="77777777" w:rsidR="007A7F60" w:rsidRPr="0021347A" w:rsidRDefault="007A7F60" w:rsidP="007A7F60">
      <w:pPr>
        <w:pStyle w:val="ListParagraph"/>
        <w:numPr>
          <w:ilvl w:val="1"/>
          <w:numId w:val="31"/>
        </w:numPr>
        <w:spacing w:before="0" w:after="240"/>
        <w:ind w:left="788" w:hanging="431"/>
        <w:contextualSpacing w:val="0"/>
        <w:rPr>
          <w:rFonts w:ascii="Calibri" w:hAnsi="Calibri" w:cs="Calibri"/>
          <w:b/>
          <w:bCs/>
        </w:rPr>
      </w:pPr>
      <w:r w:rsidRPr="0021347A">
        <w:rPr>
          <w:rFonts w:ascii="Calibri" w:hAnsi="Calibri" w:cs="Calibri"/>
          <w:b/>
          <w:bCs/>
        </w:rPr>
        <w:t>Payments and Invoices</w:t>
      </w:r>
    </w:p>
    <w:p w14:paraId="7C4F8274" w14:textId="73F96075" w:rsidR="007A7F60" w:rsidRPr="0021347A" w:rsidRDefault="00144AF0" w:rsidP="00C06F22">
      <w:pPr>
        <w:pStyle w:val="ListParagraph"/>
        <w:numPr>
          <w:ilvl w:val="2"/>
          <w:numId w:val="31"/>
        </w:numPr>
        <w:spacing w:before="0" w:after="240"/>
        <w:ind w:left="1418" w:hanging="698"/>
        <w:contextualSpacing w:val="0"/>
        <w:rPr>
          <w:rFonts w:ascii="Calibri" w:hAnsi="Calibri" w:cs="Calibri"/>
        </w:rPr>
      </w:pPr>
      <w:r w:rsidRPr="0021347A">
        <w:rPr>
          <w:rFonts w:ascii="Calibri" w:hAnsi="Calibri" w:cs="Calibri"/>
        </w:rPr>
        <w:lastRenderedPageBreak/>
        <w:t xml:space="preserve">Payments will be made following </w:t>
      </w:r>
      <w:r w:rsidR="0021347A" w:rsidRPr="0021347A">
        <w:rPr>
          <w:rFonts w:ascii="Calibri" w:hAnsi="Calibri" w:cs="Calibri"/>
        </w:rPr>
        <w:t>completion</w:t>
      </w:r>
      <w:r w:rsidRPr="0021347A">
        <w:rPr>
          <w:rFonts w:ascii="Calibri" w:hAnsi="Calibri" w:cs="Calibri"/>
        </w:rPr>
        <w:t xml:space="preserve"> of required work and presentation of a valid invoice which will be required to be sent to</w:t>
      </w:r>
      <w:r w:rsidRPr="0021347A">
        <w:rPr>
          <w:rFonts w:ascii="Calibri" w:hAnsi="Calibri" w:cs="Calibri"/>
          <w:color w:val="0066FF"/>
        </w:rPr>
        <w:t xml:space="preserve"> </w:t>
      </w:r>
      <w:hyperlink r:id="rId16" w:history="1">
        <w:r w:rsidRPr="0021347A">
          <w:rPr>
            <w:rStyle w:val="Hyperlink"/>
            <w:rFonts w:ascii="Calibri" w:hAnsi="Calibri" w:cs="Calibri"/>
            <w:color w:val="0066FF"/>
          </w:rPr>
          <w:t>payments@southyorkshire-ca.gov.uk</w:t>
        </w:r>
      </w:hyperlink>
      <w:r w:rsidR="0021347A">
        <w:rPr>
          <w:rFonts w:ascii="Calibri" w:hAnsi="Calibri" w:cs="Calibri"/>
        </w:rPr>
        <w:t xml:space="preserve"> </w:t>
      </w:r>
      <w:r w:rsidRPr="0021347A">
        <w:rPr>
          <w:rFonts w:ascii="Calibri" w:hAnsi="Calibri" w:cs="Calibri"/>
        </w:rPr>
        <w:t xml:space="preserve"> . Please ensure </w:t>
      </w:r>
      <w:r w:rsidR="0021347A" w:rsidRPr="0021347A">
        <w:rPr>
          <w:rFonts w:ascii="Calibri" w:hAnsi="Calibri" w:cs="Calibri"/>
        </w:rPr>
        <w:t>invoices are sent with your P/O customer number which you will be provided with.</w:t>
      </w:r>
    </w:p>
    <w:p w14:paraId="114C8B30" w14:textId="77777777" w:rsidR="007A7F60" w:rsidRPr="007A7F60" w:rsidRDefault="007A7F60" w:rsidP="0076073F">
      <w:pPr>
        <w:pStyle w:val="ListParagraph"/>
        <w:spacing w:before="0" w:after="240"/>
        <w:ind w:left="792"/>
        <w:rPr>
          <w:rFonts w:ascii="Calibri" w:hAnsi="Calibri" w:cs="Calibri"/>
        </w:rPr>
      </w:pPr>
    </w:p>
    <w:p w14:paraId="40846B68" w14:textId="77777777" w:rsidR="007A7F60" w:rsidRPr="007A7F60" w:rsidRDefault="007A7F60" w:rsidP="007A7F60">
      <w:pPr>
        <w:pStyle w:val="ListParagraph"/>
        <w:spacing w:before="0" w:after="240"/>
        <w:ind w:left="360"/>
        <w:rPr>
          <w:rFonts w:ascii="Calibri" w:hAnsi="Calibri"/>
          <w:b/>
          <w:bCs/>
          <w:color w:val="4F6228" w:themeColor="accent3" w:themeShade="80"/>
          <w:sz w:val="28"/>
          <w:szCs w:val="28"/>
        </w:rPr>
      </w:pPr>
    </w:p>
    <w:p w14:paraId="33194CC0" w14:textId="77777777" w:rsidR="00AF4EB7" w:rsidRPr="00AF4EB7" w:rsidRDefault="00AF4EB7" w:rsidP="007A7F60">
      <w:pPr>
        <w:pStyle w:val="ListParagraph"/>
        <w:spacing w:before="0" w:after="240"/>
        <w:ind w:left="360"/>
        <w:contextualSpacing w:val="0"/>
        <w:rPr>
          <w:rFonts w:ascii="Calibri" w:hAnsi="Calibri"/>
          <w:b/>
          <w:bCs/>
          <w:color w:val="4F6228" w:themeColor="accent3" w:themeShade="80"/>
          <w:sz w:val="28"/>
          <w:szCs w:val="28"/>
        </w:rPr>
      </w:pPr>
    </w:p>
    <w:p w14:paraId="6CA21EAA" w14:textId="77777777" w:rsidR="00D03A4D" w:rsidRPr="00D03A4D" w:rsidRDefault="00D03A4D" w:rsidP="00D03A4D">
      <w:pPr>
        <w:spacing w:before="0" w:after="240"/>
        <w:rPr>
          <w:rFonts w:ascii="Calibri" w:hAnsi="Calibri" w:cs="Calibri"/>
        </w:rPr>
      </w:pPr>
    </w:p>
    <w:sectPr w:rsidR="00D03A4D" w:rsidRPr="00D03A4D" w:rsidSect="00A56D49">
      <w:headerReference w:type="first" r:id="rId17"/>
      <w:footerReference w:type="first" r:id="rId18"/>
      <w:pgSz w:w="11904" w:h="16836" w:code="9"/>
      <w:pgMar w:top="1440" w:right="1080" w:bottom="1440" w:left="1080"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AD32" w14:textId="77777777" w:rsidR="00D84B0B" w:rsidRDefault="00D84B0B">
      <w:r>
        <w:separator/>
      </w:r>
    </w:p>
  </w:endnote>
  <w:endnote w:type="continuationSeparator" w:id="0">
    <w:p w14:paraId="38A2FF46" w14:textId="77777777" w:rsidR="00D84B0B" w:rsidRDefault="00D8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4A99" w14:textId="380FA776" w:rsidR="00C07254" w:rsidRDefault="00C07254">
    <w:pPr>
      <w:pStyle w:val="Footer"/>
    </w:pPr>
    <w:r>
      <w:t>£5k - £25k RFQ</w:t>
    </w:r>
    <w:r w:rsidR="00B319D0">
      <w:t xml:space="preserve"> 2022 V</w:t>
    </w:r>
    <w:r w:rsidR="00B319D0">
      <w:tab/>
    </w:r>
  </w:p>
  <w:p w14:paraId="37BBEE2C" w14:textId="77777777" w:rsidR="00C07254" w:rsidRDefault="00C07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7476" w14:textId="77777777" w:rsidR="00D84B0B" w:rsidRDefault="00D84B0B">
      <w:r>
        <w:separator/>
      </w:r>
    </w:p>
  </w:footnote>
  <w:footnote w:type="continuationSeparator" w:id="0">
    <w:p w14:paraId="1979CFD4" w14:textId="77777777" w:rsidR="00D84B0B" w:rsidRDefault="00D8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BC5" w14:textId="77777777" w:rsidR="00ED2190" w:rsidRPr="00B319D0" w:rsidRDefault="0077457A">
    <w:pPr>
      <w:pStyle w:val="Header"/>
      <w:rPr>
        <w:rFonts w:ascii="Calibri" w:hAnsi="Calibri" w:cs="Calibri"/>
        <w:color w:val="4BACC6" w:themeColor="accent5"/>
        <w:sz w:val="32"/>
        <w:szCs w:val="32"/>
      </w:rPr>
    </w:pPr>
    <w:r w:rsidRPr="00B319D0">
      <w:rPr>
        <w:rFonts w:ascii="Calibri" w:hAnsi="Calibri" w:cs="Calibri"/>
        <w:color w:val="4BACC6" w:themeColor="accent5"/>
        <w:sz w:val="32"/>
        <w:szCs w:val="32"/>
      </w:rPr>
      <w:t>Request for Quotation</w:t>
    </w:r>
    <w:r w:rsidR="00ED2190" w:rsidRPr="00B319D0">
      <w:rPr>
        <w:rFonts w:ascii="Calibri" w:hAnsi="Calibri" w:cs="Calibri"/>
        <w:color w:val="4BACC6" w:themeColor="accent5"/>
        <w:sz w:val="32"/>
        <w:szCs w:val="32"/>
      </w:rPr>
      <w:t xml:space="preserve">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B81"/>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5699"/>
    <w:multiLevelType w:val="hybridMultilevel"/>
    <w:tmpl w:val="C03E838A"/>
    <w:lvl w:ilvl="0" w:tplc="C91E3D4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B37AC"/>
    <w:multiLevelType w:val="multilevel"/>
    <w:tmpl w:val="0A12A0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757C4"/>
    <w:multiLevelType w:val="hybridMultilevel"/>
    <w:tmpl w:val="6EEE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51B12"/>
    <w:multiLevelType w:val="hybridMultilevel"/>
    <w:tmpl w:val="E9F6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7858BA"/>
    <w:multiLevelType w:val="multilevel"/>
    <w:tmpl w:val="4B4876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A24E69"/>
    <w:multiLevelType w:val="hybridMultilevel"/>
    <w:tmpl w:val="9148F5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1510D8"/>
    <w:multiLevelType w:val="hybridMultilevel"/>
    <w:tmpl w:val="C8FC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C334B9"/>
    <w:multiLevelType w:val="multilevel"/>
    <w:tmpl w:val="10943AA2"/>
    <w:lvl w:ilvl="0">
      <w:start w:val="1"/>
      <w:numFmt w:val="decimal"/>
      <w:lvlText w:val="%1."/>
      <w:lvlJc w:val="left"/>
      <w:pPr>
        <w:ind w:left="360" w:hanging="360"/>
      </w:pPr>
      <w:rPr>
        <w:color w:val="4BACC6" w:themeColor="accent5"/>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4A153C"/>
    <w:multiLevelType w:val="hybridMultilevel"/>
    <w:tmpl w:val="A7642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81944"/>
    <w:multiLevelType w:val="hybridMultilevel"/>
    <w:tmpl w:val="06AC3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3863DB"/>
    <w:multiLevelType w:val="hybridMultilevel"/>
    <w:tmpl w:val="177C6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75751D"/>
    <w:multiLevelType w:val="hybridMultilevel"/>
    <w:tmpl w:val="9BEA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AD2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1053FC"/>
    <w:multiLevelType w:val="hybridMultilevel"/>
    <w:tmpl w:val="68842AF4"/>
    <w:lvl w:ilvl="0" w:tplc="4E00AEA4">
      <w:start w:val="1"/>
      <w:numFmt w:val="decimal"/>
      <w:lvlText w:val="%1"/>
      <w:lvlJc w:val="left"/>
      <w:pPr>
        <w:tabs>
          <w:tab w:val="num" w:pos="1080"/>
        </w:tabs>
        <w:ind w:left="1080" w:hanging="720"/>
      </w:pPr>
      <w:rPr>
        <w:rFonts w:hint="default"/>
      </w:rPr>
    </w:lvl>
    <w:lvl w:ilvl="1" w:tplc="7D4ADF2A">
      <w:numFmt w:val="none"/>
      <w:lvlText w:val=""/>
      <w:lvlJc w:val="left"/>
      <w:pPr>
        <w:tabs>
          <w:tab w:val="num" w:pos="360"/>
        </w:tabs>
      </w:pPr>
    </w:lvl>
    <w:lvl w:ilvl="2" w:tplc="01B24EE2">
      <w:numFmt w:val="none"/>
      <w:lvlText w:val=""/>
      <w:lvlJc w:val="left"/>
      <w:pPr>
        <w:tabs>
          <w:tab w:val="num" w:pos="360"/>
        </w:tabs>
      </w:pPr>
    </w:lvl>
    <w:lvl w:ilvl="3" w:tplc="875E9CBC">
      <w:numFmt w:val="none"/>
      <w:lvlText w:val=""/>
      <w:lvlJc w:val="left"/>
      <w:pPr>
        <w:tabs>
          <w:tab w:val="num" w:pos="360"/>
        </w:tabs>
      </w:pPr>
    </w:lvl>
    <w:lvl w:ilvl="4" w:tplc="745C7A2A">
      <w:numFmt w:val="none"/>
      <w:lvlText w:val=""/>
      <w:lvlJc w:val="left"/>
      <w:pPr>
        <w:tabs>
          <w:tab w:val="num" w:pos="360"/>
        </w:tabs>
      </w:pPr>
    </w:lvl>
    <w:lvl w:ilvl="5" w:tplc="38EC2872">
      <w:numFmt w:val="none"/>
      <w:lvlText w:val=""/>
      <w:lvlJc w:val="left"/>
      <w:pPr>
        <w:tabs>
          <w:tab w:val="num" w:pos="360"/>
        </w:tabs>
      </w:pPr>
    </w:lvl>
    <w:lvl w:ilvl="6" w:tplc="08169C9C">
      <w:numFmt w:val="none"/>
      <w:lvlText w:val=""/>
      <w:lvlJc w:val="left"/>
      <w:pPr>
        <w:tabs>
          <w:tab w:val="num" w:pos="360"/>
        </w:tabs>
      </w:pPr>
    </w:lvl>
    <w:lvl w:ilvl="7" w:tplc="AC8E558E">
      <w:numFmt w:val="none"/>
      <w:lvlText w:val=""/>
      <w:lvlJc w:val="left"/>
      <w:pPr>
        <w:tabs>
          <w:tab w:val="num" w:pos="360"/>
        </w:tabs>
      </w:pPr>
    </w:lvl>
    <w:lvl w:ilvl="8" w:tplc="80CC8AB0">
      <w:numFmt w:val="none"/>
      <w:lvlText w:val=""/>
      <w:lvlJc w:val="left"/>
      <w:pPr>
        <w:tabs>
          <w:tab w:val="num" w:pos="360"/>
        </w:tabs>
      </w:pPr>
    </w:lvl>
  </w:abstractNum>
  <w:abstractNum w:abstractNumId="18" w15:restartNumberingAfterBreak="0">
    <w:nsid w:val="2C795286"/>
    <w:multiLevelType w:val="hybridMultilevel"/>
    <w:tmpl w:val="D688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97FB5"/>
    <w:multiLevelType w:val="hybridMultilevel"/>
    <w:tmpl w:val="38708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C00C13"/>
    <w:multiLevelType w:val="hybridMultilevel"/>
    <w:tmpl w:val="D918E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151735"/>
    <w:multiLevelType w:val="hybridMultilevel"/>
    <w:tmpl w:val="EF32F76C"/>
    <w:lvl w:ilvl="0" w:tplc="73D2D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D3023"/>
    <w:multiLevelType w:val="hybridMultilevel"/>
    <w:tmpl w:val="88B40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95082"/>
    <w:multiLevelType w:val="hybridMultilevel"/>
    <w:tmpl w:val="A824F8D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10F2C18"/>
    <w:multiLevelType w:val="hybridMultilevel"/>
    <w:tmpl w:val="7E64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C73EA2"/>
    <w:multiLevelType w:val="multilevel"/>
    <w:tmpl w:val="0A12A0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A7FC2"/>
    <w:multiLevelType w:val="hybridMultilevel"/>
    <w:tmpl w:val="6CEC297C"/>
    <w:lvl w:ilvl="0" w:tplc="FC088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B3655"/>
    <w:multiLevelType w:val="hybridMultilevel"/>
    <w:tmpl w:val="412C7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064552"/>
    <w:multiLevelType w:val="hybridMultilevel"/>
    <w:tmpl w:val="4A842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E41988"/>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240637"/>
    <w:multiLevelType w:val="hybridMultilevel"/>
    <w:tmpl w:val="27646994"/>
    <w:lvl w:ilvl="0" w:tplc="73D2D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FE7220"/>
    <w:multiLevelType w:val="hybridMultilevel"/>
    <w:tmpl w:val="8516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753056"/>
    <w:multiLevelType w:val="hybridMultilevel"/>
    <w:tmpl w:val="DDE2BF54"/>
    <w:lvl w:ilvl="0" w:tplc="0809000F">
      <w:start w:val="1"/>
      <w:numFmt w:val="decimal"/>
      <w:lvlText w:val="%1."/>
      <w:lvlJc w:val="left"/>
      <w:pPr>
        <w:tabs>
          <w:tab w:val="num" w:pos="1074"/>
        </w:tabs>
        <w:ind w:left="1074" w:hanging="360"/>
      </w:pPr>
    </w:lvl>
    <w:lvl w:ilvl="1" w:tplc="08090001">
      <w:start w:val="1"/>
      <w:numFmt w:val="bullet"/>
      <w:lvlText w:val=""/>
      <w:lvlJc w:val="left"/>
      <w:pPr>
        <w:tabs>
          <w:tab w:val="num" w:pos="1794"/>
        </w:tabs>
        <w:ind w:left="1794" w:hanging="360"/>
      </w:pPr>
      <w:rPr>
        <w:rFonts w:ascii="Symbol" w:hAnsi="Symbol" w:hint="default"/>
      </w:rPr>
    </w:lvl>
    <w:lvl w:ilvl="2" w:tplc="0809001B">
      <w:start w:val="1"/>
      <w:numFmt w:val="decimal"/>
      <w:lvlText w:val="%3."/>
      <w:lvlJc w:val="left"/>
      <w:pPr>
        <w:tabs>
          <w:tab w:val="num" w:pos="2514"/>
        </w:tabs>
        <w:ind w:left="2514" w:hanging="360"/>
      </w:pPr>
    </w:lvl>
    <w:lvl w:ilvl="3" w:tplc="0809000F">
      <w:start w:val="1"/>
      <w:numFmt w:val="decimal"/>
      <w:lvlText w:val="%4."/>
      <w:lvlJc w:val="left"/>
      <w:pPr>
        <w:tabs>
          <w:tab w:val="num" w:pos="3234"/>
        </w:tabs>
        <w:ind w:left="3234" w:hanging="360"/>
      </w:pPr>
    </w:lvl>
    <w:lvl w:ilvl="4" w:tplc="08090019">
      <w:start w:val="1"/>
      <w:numFmt w:val="decimal"/>
      <w:lvlText w:val="%5."/>
      <w:lvlJc w:val="left"/>
      <w:pPr>
        <w:tabs>
          <w:tab w:val="num" w:pos="3954"/>
        </w:tabs>
        <w:ind w:left="3954" w:hanging="360"/>
      </w:pPr>
    </w:lvl>
    <w:lvl w:ilvl="5" w:tplc="0809001B">
      <w:start w:val="1"/>
      <w:numFmt w:val="decimal"/>
      <w:lvlText w:val="%6."/>
      <w:lvlJc w:val="left"/>
      <w:pPr>
        <w:tabs>
          <w:tab w:val="num" w:pos="4674"/>
        </w:tabs>
        <w:ind w:left="4674" w:hanging="360"/>
      </w:pPr>
    </w:lvl>
    <w:lvl w:ilvl="6" w:tplc="0809000F">
      <w:start w:val="1"/>
      <w:numFmt w:val="decimal"/>
      <w:lvlText w:val="%7."/>
      <w:lvlJc w:val="left"/>
      <w:pPr>
        <w:tabs>
          <w:tab w:val="num" w:pos="5394"/>
        </w:tabs>
        <w:ind w:left="5394" w:hanging="360"/>
      </w:pPr>
    </w:lvl>
    <w:lvl w:ilvl="7" w:tplc="08090019">
      <w:start w:val="1"/>
      <w:numFmt w:val="decimal"/>
      <w:lvlText w:val="%8."/>
      <w:lvlJc w:val="left"/>
      <w:pPr>
        <w:tabs>
          <w:tab w:val="num" w:pos="6114"/>
        </w:tabs>
        <w:ind w:left="6114" w:hanging="360"/>
      </w:pPr>
    </w:lvl>
    <w:lvl w:ilvl="8" w:tplc="0809001B">
      <w:start w:val="1"/>
      <w:numFmt w:val="decimal"/>
      <w:lvlText w:val="%9."/>
      <w:lvlJc w:val="left"/>
      <w:pPr>
        <w:tabs>
          <w:tab w:val="num" w:pos="6834"/>
        </w:tabs>
        <w:ind w:left="6834" w:hanging="360"/>
      </w:pPr>
    </w:lvl>
  </w:abstractNum>
  <w:abstractNum w:abstractNumId="36" w15:restartNumberingAfterBreak="0">
    <w:nsid w:val="68C8068E"/>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9B3A8A"/>
    <w:multiLevelType w:val="hybridMultilevel"/>
    <w:tmpl w:val="E0F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C42A0"/>
    <w:multiLevelType w:val="hybridMultilevel"/>
    <w:tmpl w:val="50BE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250CFF"/>
    <w:multiLevelType w:val="hybridMultilevel"/>
    <w:tmpl w:val="B2863668"/>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96F5C3F"/>
    <w:multiLevelType w:val="hybridMultilevel"/>
    <w:tmpl w:val="574C6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4"/>
  </w:num>
  <w:num w:numId="6">
    <w:abstractNumId w:val="14"/>
  </w:num>
  <w:num w:numId="7">
    <w:abstractNumId w:val="41"/>
  </w:num>
  <w:num w:numId="8">
    <w:abstractNumId w:val="28"/>
  </w:num>
  <w:num w:numId="9">
    <w:abstractNumId w:val="32"/>
  </w:num>
  <w:num w:numId="10">
    <w:abstractNumId w:val="8"/>
  </w:num>
  <w:num w:numId="11">
    <w:abstractNumId w:val="3"/>
  </w:num>
  <w:num w:numId="12">
    <w:abstractNumId w:val="33"/>
  </w:num>
  <w:num w:numId="13">
    <w:abstractNumId w:val="37"/>
  </w:num>
  <w:num w:numId="14">
    <w:abstractNumId w:val="24"/>
  </w:num>
  <w:num w:numId="15">
    <w:abstractNumId w:val="36"/>
  </w:num>
  <w:num w:numId="16">
    <w:abstractNumId w:val="18"/>
  </w:num>
  <w:num w:numId="17">
    <w:abstractNumId w:val="15"/>
  </w:num>
  <w:num w:numId="18">
    <w:abstractNumId w:val="29"/>
  </w:num>
  <w:num w:numId="19">
    <w:abstractNumId w:val="4"/>
  </w:num>
  <w:num w:numId="20">
    <w:abstractNumId w:val="20"/>
  </w:num>
  <w:num w:numId="21">
    <w:abstractNumId w:val="40"/>
  </w:num>
  <w:num w:numId="22">
    <w:abstractNumId w:val="12"/>
  </w:num>
  <w:num w:numId="23">
    <w:abstractNumId w:val="1"/>
  </w:num>
  <w:num w:numId="24">
    <w:abstractNumId w:val="30"/>
  </w:num>
  <w:num w:numId="25">
    <w:abstractNumId w:val="0"/>
  </w:num>
  <w:num w:numId="26">
    <w:abstractNumId w:val="17"/>
  </w:num>
  <w:num w:numId="27">
    <w:abstractNumId w:val="22"/>
  </w:num>
  <w:num w:numId="28">
    <w:abstractNumId w:val="19"/>
  </w:num>
  <w:num w:numId="29">
    <w:abstractNumId w:val="38"/>
  </w:num>
  <w:num w:numId="30">
    <w:abstractNumId w:val="11"/>
  </w:num>
  <w:num w:numId="31">
    <w:abstractNumId w:val="9"/>
  </w:num>
  <w:num w:numId="32">
    <w:abstractNumId w:val="5"/>
  </w:num>
  <w:num w:numId="33">
    <w:abstractNumId w:val="23"/>
  </w:num>
  <w:num w:numId="34">
    <w:abstractNumId w:val="16"/>
  </w:num>
  <w:num w:numId="35">
    <w:abstractNumId w:val="2"/>
  </w:num>
  <w:num w:numId="36">
    <w:abstractNumId w:val="2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9"/>
  </w:num>
  <w:num w:numId="41">
    <w:abstractNumId w:val="10"/>
  </w:num>
  <w:num w:numId="42">
    <w:abstractNumId w:val="27"/>
  </w:num>
  <w:num w:numId="43">
    <w:abstractNumId w:val="31"/>
  </w:num>
  <w:num w:numId="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54"/>
    <w:rsid w:val="00002D3C"/>
    <w:rsid w:val="00007420"/>
    <w:rsid w:val="000148B5"/>
    <w:rsid w:val="00022D7D"/>
    <w:rsid w:val="00025C35"/>
    <w:rsid w:val="0003400D"/>
    <w:rsid w:val="00043604"/>
    <w:rsid w:val="00043E5E"/>
    <w:rsid w:val="0004784A"/>
    <w:rsid w:val="000525D1"/>
    <w:rsid w:val="00053A28"/>
    <w:rsid w:val="000641B9"/>
    <w:rsid w:val="0006494A"/>
    <w:rsid w:val="000908FC"/>
    <w:rsid w:val="000975EA"/>
    <w:rsid w:val="000A10BE"/>
    <w:rsid w:val="000A2073"/>
    <w:rsid w:val="000A56FC"/>
    <w:rsid w:val="000A60DB"/>
    <w:rsid w:val="000B178C"/>
    <w:rsid w:val="000B2C33"/>
    <w:rsid w:val="000E4CFF"/>
    <w:rsid w:val="000E6F50"/>
    <w:rsid w:val="000F42D3"/>
    <w:rsid w:val="000F4B6A"/>
    <w:rsid w:val="001020C2"/>
    <w:rsid w:val="00102847"/>
    <w:rsid w:val="00103D9A"/>
    <w:rsid w:val="00106D58"/>
    <w:rsid w:val="0012270F"/>
    <w:rsid w:val="00131529"/>
    <w:rsid w:val="0013359C"/>
    <w:rsid w:val="001407BC"/>
    <w:rsid w:val="00144AF0"/>
    <w:rsid w:val="001452A6"/>
    <w:rsid w:val="00154939"/>
    <w:rsid w:val="001623F9"/>
    <w:rsid w:val="00166C17"/>
    <w:rsid w:val="00171595"/>
    <w:rsid w:val="0017293D"/>
    <w:rsid w:val="0017527C"/>
    <w:rsid w:val="0017649A"/>
    <w:rsid w:val="00182124"/>
    <w:rsid w:val="001838F8"/>
    <w:rsid w:val="001844A7"/>
    <w:rsid w:val="0018763A"/>
    <w:rsid w:val="00192C6A"/>
    <w:rsid w:val="001A7259"/>
    <w:rsid w:val="001C010C"/>
    <w:rsid w:val="001C6A3D"/>
    <w:rsid w:val="001C7845"/>
    <w:rsid w:val="001D5780"/>
    <w:rsid w:val="001F6B2D"/>
    <w:rsid w:val="001F7E1D"/>
    <w:rsid w:val="002100B3"/>
    <w:rsid w:val="00211BC6"/>
    <w:rsid w:val="00213167"/>
    <w:rsid w:val="0021347A"/>
    <w:rsid w:val="002170D9"/>
    <w:rsid w:val="00225262"/>
    <w:rsid w:val="0023180C"/>
    <w:rsid w:val="002423DD"/>
    <w:rsid w:val="00243DBD"/>
    <w:rsid w:val="00247CF4"/>
    <w:rsid w:val="00266EDF"/>
    <w:rsid w:val="00270A11"/>
    <w:rsid w:val="0028000E"/>
    <w:rsid w:val="0028221D"/>
    <w:rsid w:val="00285EB6"/>
    <w:rsid w:val="00286185"/>
    <w:rsid w:val="00287D80"/>
    <w:rsid w:val="00293A4B"/>
    <w:rsid w:val="002957F3"/>
    <w:rsid w:val="002979E2"/>
    <w:rsid w:val="002A797B"/>
    <w:rsid w:val="002B1F5A"/>
    <w:rsid w:val="002B28EB"/>
    <w:rsid w:val="002B688B"/>
    <w:rsid w:val="002B7AFB"/>
    <w:rsid w:val="002C063E"/>
    <w:rsid w:val="002C145C"/>
    <w:rsid w:val="002C2758"/>
    <w:rsid w:val="002C5CD4"/>
    <w:rsid w:val="002D1115"/>
    <w:rsid w:val="002D1CE0"/>
    <w:rsid w:val="002D7A9F"/>
    <w:rsid w:val="002D7D63"/>
    <w:rsid w:val="002E0B8F"/>
    <w:rsid w:val="002E362C"/>
    <w:rsid w:val="002E372A"/>
    <w:rsid w:val="002E5041"/>
    <w:rsid w:val="002E6EF3"/>
    <w:rsid w:val="002F14ED"/>
    <w:rsid w:val="00303382"/>
    <w:rsid w:val="003121E9"/>
    <w:rsid w:val="00314442"/>
    <w:rsid w:val="00315C1A"/>
    <w:rsid w:val="00315C28"/>
    <w:rsid w:val="00320A9B"/>
    <w:rsid w:val="003233D6"/>
    <w:rsid w:val="00353E35"/>
    <w:rsid w:val="00357000"/>
    <w:rsid w:val="00363B8A"/>
    <w:rsid w:val="00366403"/>
    <w:rsid w:val="00386ED2"/>
    <w:rsid w:val="00387243"/>
    <w:rsid w:val="00387BAD"/>
    <w:rsid w:val="00396643"/>
    <w:rsid w:val="003A0036"/>
    <w:rsid w:val="003A424B"/>
    <w:rsid w:val="003B3CC0"/>
    <w:rsid w:val="003C77AD"/>
    <w:rsid w:val="003D1F26"/>
    <w:rsid w:val="003D38C8"/>
    <w:rsid w:val="003E7B98"/>
    <w:rsid w:val="003F32AE"/>
    <w:rsid w:val="003F6140"/>
    <w:rsid w:val="0040134D"/>
    <w:rsid w:val="00405AF1"/>
    <w:rsid w:val="00406722"/>
    <w:rsid w:val="00414C3B"/>
    <w:rsid w:val="004217DC"/>
    <w:rsid w:val="00421CA2"/>
    <w:rsid w:val="004234AB"/>
    <w:rsid w:val="00432FF8"/>
    <w:rsid w:val="00433C82"/>
    <w:rsid w:val="0043753D"/>
    <w:rsid w:val="0043789C"/>
    <w:rsid w:val="00441948"/>
    <w:rsid w:val="004529DB"/>
    <w:rsid w:val="00465B0E"/>
    <w:rsid w:val="0049528A"/>
    <w:rsid w:val="00495D41"/>
    <w:rsid w:val="00497CEE"/>
    <w:rsid w:val="004A6A77"/>
    <w:rsid w:val="004C385B"/>
    <w:rsid w:val="004C4999"/>
    <w:rsid w:val="004C7E9C"/>
    <w:rsid w:val="004D1208"/>
    <w:rsid w:val="004D5D24"/>
    <w:rsid w:val="004E601F"/>
    <w:rsid w:val="004E7AF5"/>
    <w:rsid w:val="004F1E5A"/>
    <w:rsid w:val="00500DAD"/>
    <w:rsid w:val="00503A7E"/>
    <w:rsid w:val="00504D31"/>
    <w:rsid w:val="0051454C"/>
    <w:rsid w:val="00532E48"/>
    <w:rsid w:val="00534CE0"/>
    <w:rsid w:val="00536BFD"/>
    <w:rsid w:val="005426C5"/>
    <w:rsid w:val="00547C4A"/>
    <w:rsid w:val="005550A8"/>
    <w:rsid w:val="005572E2"/>
    <w:rsid w:val="005646C0"/>
    <w:rsid w:val="005806AB"/>
    <w:rsid w:val="00583A35"/>
    <w:rsid w:val="0059045E"/>
    <w:rsid w:val="00590BFF"/>
    <w:rsid w:val="005A4651"/>
    <w:rsid w:val="005A65ED"/>
    <w:rsid w:val="005A7466"/>
    <w:rsid w:val="005B2223"/>
    <w:rsid w:val="005B2C0D"/>
    <w:rsid w:val="005C4AFC"/>
    <w:rsid w:val="005C59C2"/>
    <w:rsid w:val="005D39C6"/>
    <w:rsid w:val="005D71E1"/>
    <w:rsid w:val="005E16E2"/>
    <w:rsid w:val="005E1886"/>
    <w:rsid w:val="005E29C3"/>
    <w:rsid w:val="005E317D"/>
    <w:rsid w:val="005E67E6"/>
    <w:rsid w:val="005E6A49"/>
    <w:rsid w:val="005F270D"/>
    <w:rsid w:val="005F2B93"/>
    <w:rsid w:val="005F7B6B"/>
    <w:rsid w:val="00603EC3"/>
    <w:rsid w:val="006113AF"/>
    <w:rsid w:val="00617031"/>
    <w:rsid w:val="0063304B"/>
    <w:rsid w:val="00635F3B"/>
    <w:rsid w:val="00637A3A"/>
    <w:rsid w:val="0064333E"/>
    <w:rsid w:val="00650713"/>
    <w:rsid w:val="00656661"/>
    <w:rsid w:val="00657114"/>
    <w:rsid w:val="00667C33"/>
    <w:rsid w:val="00685732"/>
    <w:rsid w:val="00685B49"/>
    <w:rsid w:val="00690627"/>
    <w:rsid w:val="006A5F24"/>
    <w:rsid w:val="006B0354"/>
    <w:rsid w:val="006B2797"/>
    <w:rsid w:val="006C344A"/>
    <w:rsid w:val="006D1DE2"/>
    <w:rsid w:val="006E4266"/>
    <w:rsid w:val="006E59DB"/>
    <w:rsid w:val="006E7DD5"/>
    <w:rsid w:val="006F662B"/>
    <w:rsid w:val="00702EFF"/>
    <w:rsid w:val="0072167C"/>
    <w:rsid w:val="00726282"/>
    <w:rsid w:val="00735F12"/>
    <w:rsid w:val="00743BB9"/>
    <w:rsid w:val="00743D1D"/>
    <w:rsid w:val="0076073F"/>
    <w:rsid w:val="00762BEB"/>
    <w:rsid w:val="00767C77"/>
    <w:rsid w:val="007700FE"/>
    <w:rsid w:val="0077457A"/>
    <w:rsid w:val="007868CB"/>
    <w:rsid w:val="00790748"/>
    <w:rsid w:val="00794552"/>
    <w:rsid w:val="00795F64"/>
    <w:rsid w:val="007A07B1"/>
    <w:rsid w:val="007A0BBC"/>
    <w:rsid w:val="007A3E10"/>
    <w:rsid w:val="007A7F60"/>
    <w:rsid w:val="007B1820"/>
    <w:rsid w:val="007B1D82"/>
    <w:rsid w:val="007C1AF4"/>
    <w:rsid w:val="007C1B65"/>
    <w:rsid w:val="007C7C68"/>
    <w:rsid w:val="007D1E37"/>
    <w:rsid w:val="007E3187"/>
    <w:rsid w:val="007E539B"/>
    <w:rsid w:val="00800AB0"/>
    <w:rsid w:val="00801632"/>
    <w:rsid w:val="00802166"/>
    <w:rsid w:val="00805BBC"/>
    <w:rsid w:val="0082039C"/>
    <w:rsid w:val="00821382"/>
    <w:rsid w:val="00827AF4"/>
    <w:rsid w:val="00831D75"/>
    <w:rsid w:val="00836898"/>
    <w:rsid w:val="00850B20"/>
    <w:rsid w:val="0085219E"/>
    <w:rsid w:val="00860268"/>
    <w:rsid w:val="008621A6"/>
    <w:rsid w:val="00874525"/>
    <w:rsid w:val="00891CB8"/>
    <w:rsid w:val="00893E3B"/>
    <w:rsid w:val="008A21EE"/>
    <w:rsid w:val="008A2707"/>
    <w:rsid w:val="008B5920"/>
    <w:rsid w:val="008B79FD"/>
    <w:rsid w:val="008D1D33"/>
    <w:rsid w:val="008D2D72"/>
    <w:rsid w:val="008D493F"/>
    <w:rsid w:val="008D5112"/>
    <w:rsid w:val="008E14FB"/>
    <w:rsid w:val="008F5F0B"/>
    <w:rsid w:val="009003C8"/>
    <w:rsid w:val="00907ADC"/>
    <w:rsid w:val="009119E0"/>
    <w:rsid w:val="009129E0"/>
    <w:rsid w:val="0091320D"/>
    <w:rsid w:val="009219F9"/>
    <w:rsid w:val="0092434E"/>
    <w:rsid w:val="009249E9"/>
    <w:rsid w:val="0093095F"/>
    <w:rsid w:val="00935505"/>
    <w:rsid w:val="009401C0"/>
    <w:rsid w:val="00941C27"/>
    <w:rsid w:val="00942051"/>
    <w:rsid w:val="00942D5D"/>
    <w:rsid w:val="00953ED3"/>
    <w:rsid w:val="00954D88"/>
    <w:rsid w:val="00961FEF"/>
    <w:rsid w:val="00971197"/>
    <w:rsid w:val="00976881"/>
    <w:rsid w:val="00992B09"/>
    <w:rsid w:val="00992B71"/>
    <w:rsid w:val="00995794"/>
    <w:rsid w:val="009A0E0D"/>
    <w:rsid w:val="009A138E"/>
    <w:rsid w:val="009C5AD7"/>
    <w:rsid w:val="009D7D1F"/>
    <w:rsid w:val="009F3589"/>
    <w:rsid w:val="009F6686"/>
    <w:rsid w:val="00A00E88"/>
    <w:rsid w:val="00A3152F"/>
    <w:rsid w:val="00A4050B"/>
    <w:rsid w:val="00A44C16"/>
    <w:rsid w:val="00A458E2"/>
    <w:rsid w:val="00A5577C"/>
    <w:rsid w:val="00A56D49"/>
    <w:rsid w:val="00A603E6"/>
    <w:rsid w:val="00A815FB"/>
    <w:rsid w:val="00A86049"/>
    <w:rsid w:val="00A9187D"/>
    <w:rsid w:val="00AB53F2"/>
    <w:rsid w:val="00AB7C1F"/>
    <w:rsid w:val="00AC1EA5"/>
    <w:rsid w:val="00AE01AE"/>
    <w:rsid w:val="00AE36D7"/>
    <w:rsid w:val="00AE5DDE"/>
    <w:rsid w:val="00AF0E7A"/>
    <w:rsid w:val="00AF300C"/>
    <w:rsid w:val="00AF4670"/>
    <w:rsid w:val="00AF4B75"/>
    <w:rsid w:val="00AF4EB7"/>
    <w:rsid w:val="00B16210"/>
    <w:rsid w:val="00B213DD"/>
    <w:rsid w:val="00B26EA8"/>
    <w:rsid w:val="00B304BE"/>
    <w:rsid w:val="00B319D0"/>
    <w:rsid w:val="00B32D9C"/>
    <w:rsid w:val="00B4244C"/>
    <w:rsid w:val="00B57FCB"/>
    <w:rsid w:val="00B60A9D"/>
    <w:rsid w:val="00B73033"/>
    <w:rsid w:val="00B84B33"/>
    <w:rsid w:val="00B85B68"/>
    <w:rsid w:val="00B950EA"/>
    <w:rsid w:val="00BA3CDA"/>
    <w:rsid w:val="00BC47B6"/>
    <w:rsid w:val="00BD1DBB"/>
    <w:rsid w:val="00BE3CA5"/>
    <w:rsid w:val="00BF0963"/>
    <w:rsid w:val="00BF7E5B"/>
    <w:rsid w:val="00C014F2"/>
    <w:rsid w:val="00C06F22"/>
    <w:rsid w:val="00C07254"/>
    <w:rsid w:val="00C16642"/>
    <w:rsid w:val="00C27FDC"/>
    <w:rsid w:val="00C33427"/>
    <w:rsid w:val="00C36092"/>
    <w:rsid w:val="00C36201"/>
    <w:rsid w:val="00C43877"/>
    <w:rsid w:val="00C620D5"/>
    <w:rsid w:val="00C639CF"/>
    <w:rsid w:val="00C6424C"/>
    <w:rsid w:val="00C72E68"/>
    <w:rsid w:val="00C73CAB"/>
    <w:rsid w:val="00C80E7A"/>
    <w:rsid w:val="00C93173"/>
    <w:rsid w:val="00CA1B6A"/>
    <w:rsid w:val="00CA61F2"/>
    <w:rsid w:val="00CB1BFF"/>
    <w:rsid w:val="00CC32D5"/>
    <w:rsid w:val="00CC3474"/>
    <w:rsid w:val="00CE405C"/>
    <w:rsid w:val="00CE411E"/>
    <w:rsid w:val="00CE43F5"/>
    <w:rsid w:val="00CF1622"/>
    <w:rsid w:val="00CF2481"/>
    <w:rsid w:val="00CF7F5C"/>
    <w:rsid w:val="00D03A4D"/>
    <w:rsid w:val="00D03BC6"/>
    <w:rsid w:val="00D119F8"/>
    <w:rsid w:val="00D30D0C"/>
    <w:rsid w:val="00D61044"/>
    <w:rsid w:val="00D73F4F"/>
    <w:rsid w:val="00D76F65"/>
    <w:rsid w:val="00D84B0B"/>
    <w:rsid w:val="00DA297B"/>
    <w:rsid w:val="00DA5429"/>
    <w:rsid w:val="00DB193E"/>
    <w:rsid w:val="00DB1A5C"/>
    <w:rsid w:val="00DB2764"/>
    <w:rsid w:val="00DD0484"/>
    <w:rsid w:val="00DD06BD"/>
    <w:rsid w:val="00DD232B"/>
    <w:rsid w:val="00DD2CD6"/>
    <w:rsid w:val="00E147BB"/>
    <w:rsid w:val="00E238C1"/>
    <w:rsid w:val="00E25C98"/>
    <w:rsid w:val="00E30221"/>
    <w:rsid w:val="00E309F8"/>
    <w:rsid w:val="00E3390B"/>
    <w:rsid w:val="00E368C2"/>
    <w:rsid w:val="00E42D00"/>
    <w:rsid w:val="00E46731"/>
    <w:rsid w:val="00E47CF2"/>
    <w:rsid w:val="00E507A3"/>
    <w:rsid w:val="00E61794"/>
    <w:rsid w:val="00E63A33"/>
    <w:rsid w:val="00E72613"/>
    <w:rsid w:val="00E72680"/>
    <w:rsid w:val="00E76F6C"/>
    <w:rsid w:val="00E80B3F"/>
    <w:rsid w:val="00E816FE"/>
    <w:rsid w:val="00E92F94"/>
    <w:rsid w:val="00E93684"/>
    <w:rsid w:val="00EB14A6"/>
    <w:rsid w:val="00EC0B34"/>
    <w:rsid w:val="00ED2190"/>
    <w:rsid w:val="00ED27F3"/>
    <w:rsid w:val="00ED3B58"/>
    <w:rsid w:val="00ED4F3E"/>
    <w:rsid w:val="00ED51DB"/>
    <w:rsid w:val="00EF1F23"/>
    <w:rsid w:val="00F014D3"/>
    <w:rsid w:val="00F04C6A"/>
    <w:rsid w:val="00F07028"/>
    <w:rsid w:val="00F11591"/>
    <w:rsid w:val="00F12F13"/>
    <w:rsid w:val="00F149B8"/>
    <w:rsid w:val="00F308D3"/>
    <w:rsid w:val="00F30C63"/>
    <w:rsid w:val="00F44EFB"/>
    <w:rsid w:val="00F463CF"/>
    <w:rsid w:val="00F744FF"/>
    <w:rsid w:val="00FA3935"/>
    <w:rsid w:val="00FA5B46"/>
    <w:rsid w:val="00FA5C38"/>
    <w:rsid w:val="00FA5FAF"/>
    <w:rsid w:val="00FB09D5"/>
    <w:rsid w:val="00FB09E5"/>
    <w:rsid w:val="00FB1F86"/>
    <w:rsid w:val="00FB50D4"/>
    <w:rsid w:val="00FB5D43"/>
    <w:rsid w:val="00FB65C3"/>
    <w:rsid w:val="00FD6224"/>
    <w:rsid w:val="00FF5268"/>
    <w:rsid w:val="00FF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FB5F5F"/>
  <w15:docId w15:val="{1CAD655B-DF18-4BFC-9325-E31766A0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243"/>
    <w:pPr>
      <w:spacing w:before="120" w:after="120"/>
    </w:pPr>
    <w:rPr>
      <w:rFonts w:ascii="Calibri Light" w:hAnsi="Calibri Light" w:cs="Arial"/>
      <w:sz w:val="22"/>
      <w:szCs w:val="24"/>
      <w:lang w:eastAsia="en-US"/>
    </w:rPr>
  </w:style>
  <w:style w:type="paragraph" w:styleId="Heading1">
    <w:name w:val="heading 1"/>
    <w:basedOn w:val="Normal"/>
    <w:next w:val="Normal"/>
    <w:link w:val="Heading1Char"/>
    <w:qFormat/>
    <w:rsid w:val="00C80E7A"/>
    <w:pPr>
      <w:keepNext/>
      <w:jc w:val="both"/>
      <w:outlineLvl w:val="0"/>
    </w:pPr>
    <w:rPr>
      <w:rFonts w:ascii="Times New Roman" w:hAnsi="Times New Roman"/>
    </w:rPr>
  </w:style>
  <w:style w:type="paragraph" w:styleId="Heading2">
    <w:name w:val="heading 2"/>
    <w:aliases w:val="PARA2,Headline 2,nmhd2"/>
    <w:basedOn w:val="Normal"/>
    <w:next w:val="Normal"/>
    <w:link w:val="Heading2Char"/>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1A3"/>
    <w:rPr>
      <w:rFonts w:asciiTheme="majorHAnsi" w:eastAsiaTheme="majorEastAsia" w:hAnsiTheme="majorHAnsi" w:cstheme="majorBidi"/>
      <w:b/>
      <w:bCs/>
      <w:kern w:val="32"/>
      <w:sz w:val="32"/>
      <w:szCs w:val="32"/>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uiPriority w:val="99"/>
    <w:rsid w:val="00C80E7A"/>
    <w:pPr>
      <w:tabs>
        <w:tab w:val="center" w:pos="4819"/>
        <w:tab w:val="right" w:pos="9071"/>
      </w:tabs>
    </w:pPr>
  </w:style>
  <w:style w:type="character" w:customStyle="1" w:styleId="HeaderChar">
    <w:name w:val="Header Char"/>
    <w:basedOn w:val="DefaultParagraphFont"/>
    <w:link w:val="Header"/>
    <w:uiPriority w:val="99"/>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uiPriority w:val="99"/>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uiPriority w:val="59"/>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E6A49"/>
    <w:rPr>
      <w:rFonts w:cs="Times New Roman"/>
      <w:vertAlign w:val="superscript"/>
    </w:rPr>
  </w:style>
  <w:style w:type="paragraph" w:styleId="FootnoteText">
    <w:name w:val="footnote text"/>
    <w:basedOn w:val="Normal"/>
    <w:link w:val="FootnoteTextChar"/>
    <w:uiPriority w:val="99"/>
    <w:semiHidden/>
    <w:rsid w:val="005E6A49"/>
    <w:rPr>
      <w:rFonts w:ascii="Times New Roman" w:hAnsi="Times New Roman"/>
      <w:lang w:eastAsia="en-GB"/>
    </w:rPr>
  </w:style>
  <w:style w:type="character" w:customStyle="1" w:styleId="FootnoteTextChar">
    <w:name w:val="Footnote Text Char"/>
    <w:basedOn w:val="DefaultParagraphFont"/>
    <w:link w:val="FootnoteText"/>
    <w:uiPriority w:val="99"/>
    <w:semiHidden/>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link w:val="NoSpacingChar"/>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rsid w:val="00790748"/>
    <w:pPr>
      <w:tabs>
        <w:tab w:val="right" w:pos="8930"/>
      </w:tabs>
      <w:spacing w:before="360"/>
    </w:pPr>
    <w:rPr>
      <w:rFonts w:ascii="Times New Roman" w:hAnsi="Times New Roman" w:cs="Times New Roman"/>
      <w:b/>
      <w:caps/>
      <w:szCs w:val="20"/>
    </w:rPr>
  </w:style>
  <w:style w:type="paragraph" w:styleId="TOC2">
    <w:name w:val="toc 2"/>
    <w:basedOn w:val="Normal"/>
    <w:next w:val="Normal"/>
    <w:autoRedefine/>
    <w:rsid w:val="00790748"/>
    <w:pPr>
      <w:ind w:left="240"/>
    </w:pPr>
    <w:rPr>
      <w:rFonts w:cs="Times New Roman"/>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character" w:customStyle="1" w:styleId="NoSpacingChar">
    <w:name w:val="No Spacing Char"/>
    <w:basedOn w:val="DefaultParagraphFont"/>
    <w:link w:val="NoSpacing"/>
    <w:uiPriority w:val="1"/>
    <w:rsid w:val="003F61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6016">
      <w:bodyDiv w:val="1"/>
      <w:marLeft w:val="0"/>
      <w:marRight w:val="0"/>
      <w:marTop w:val="0"/>
      <w:marBottom w:val="0"/>
      <w:divBdr>
        <w:top w:val="none" w:sz="0" w:space="0" w:color="auto"/>
        <w:left w:val="none" w:sz="0" w:space="0" w:color="auto"/>
        <w:bottom w:val="none" w:sz="0" w:space="0" w:color="auto"/>
        <w:right w:val="none" w:sz="0" w:space="0" w:color="auto"/>
      </w:divBdr>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1032413300">
      <w:bodyDiv w:val="1"/>
      <w:marLeft w:val="0"/>
      <w:marRight w:val="0"/>
      <w:marTop w:val="0"/>
      <w:marBottom w:val="0"/>
      <w:divBdr>
        <w:top w:val="none" w:sz="0" w:space="0" w:color="auto"/>
        <w:left w:val="none" w:sz="0" w:space="0" w:color="auto"/>
        <w:bottom w:val="none" w:sz="0" w:space="0" w:color="auto"/>
        <w:right w:val="none" w:sz="0" w:space="0" w:color="auto"/>
      </w:divBdr>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6490">
      <w:bodyDiv w:val="1"/>
      <w:marLeft w:val="0"/>
      <w:marRight w:val="0"/>
      <w:marTop w:val="0"/>
      <w:marBottom w:val="0"/>
      <w:divBdr>
        <w:top w:val="none" w:sz="0" w:space="0" w:color="auto"/>
        <w:left w:val="none" w:sz="0" w:space="0" w:color="auto"/>
        <w:bottom w:val="none" w:sz="0" w:space="0" w:color="auto"/>
        <w:right w:val="none" w:sz="0" w:space="0" w:color="auto"/>
      </w:divBdr>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9560">
      <w:bodyDiv w:val="1"/>
      <w:marLeft w:val="0"/>
      <w:marRight w:val="0"/>
      <w:marTop w:val="0"/>
      <w:marBottom w:val="0"/>
      <w:divBdr>
        <w:top w:val="none" w:sz="0" w:space="0" w:color="auto"/>
        <w:left w:val="none" w:sz="0" w:space="0" w:color="auto"/>
        <w:bottom w:val="none" w:sz="0" w:space="0" w:color="auto"/>
        <w:right w:val="none" w:sz="0" w:space="0" w:color="auto"/>
      </w:divBdr>
    </w:div>
    <w:div w:id="1756777796">
      <w:bodyDiv w:val="1"/>
      <w:marLeft w:val="0"/>
      <w:marRight w:val="0"/>
      <w:marTop w:val="0"/>
      <w:marBottom w:val="0"/>
      <w:divBdr>
        <w:top w:val="none" w:sz="0" w:space="0" w:color="auto"/>
        <w:left w:val="none" w:sz="0" w:space="0" w:color="auto"/>
        <w:bottom w:val="none" w:sz="0" w:space="0" w:color="auto"/>
        <w:right w:val="none" w:sz="0" w:space="0" w:color="auto"/>
      </w:divBdr>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act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acti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yments@southyorkshire-ca.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yorkshire-ca.gov.uk" TargetMode="External"/><Relationship Id="rId5" Type="http://schemas.openxmlformats.org/officeDocument/2006/relationships/webSettings" Target="webSettings.xml"/><Relationship Id="rId15" Type="http://schemas.openxmlformats.org/officeDocument/2006/relationships/hyperlink" Target="http://www.proactis.com" TargetMode="External"/><Relationship Id="rId10" Type="http://schemas.openxmlformats.org/officeDocument/2006/relationships/hyperlink" Target="http://www.procontrac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thyorkshire-ca.gov.uk" TargetMode="External"/><Relationship Id="rId14" Type="http://schemas.openxmlformats.org/officeDocument/2006/relationships/hyperlink" Target="http://www.proa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64A0-79FD-4C7C-B48E-B1CD6EB4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3086</Words>
  <Characters>16577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Sheffield City Region</vt:lpstr>
    </vt:vector>
  </TitlesOfParts>
  <Company>Sheffield City Region</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dc:title>
  <dc:creator>Jill Smith</dc:creator>
  <cp:lastModifiedBy>Simon Jackson</cp:lastModifiedBy>
  <cp:revision>3</cp:revision>
  <cp:lastPrinted>2019-03-25T09:41:00Z</cp:lastPrinted>
  <dcterms:created xsi:type="dcterms:W3CDTF">2022-09-28T13:05:00Z</dcterms:created>
  <dcterms:modified xsi:type="dcterms:W3CDTF">2022-09-28T13:31:00Z</dcterms:modified>
</cp:coreProperties>
</file>