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1D78" w14:textId="77777777" w:rsidR="00327E34" w:rsidRDefault="00327E34"/>
    <w:p w14:paraId="4F6E4A0D" w14:textId="60461F8C" w:rsidR="00327E34" w:rsidRDefault="00327E34" w:rsidP="00327E34">
      <w:pPr>
        <w:jc w:val="center"/>
      </w:pPr>
      <w:r>
        <w:rPr>
          <w:noProof/>
        </w:rPr>
        <w:drawing>
          <wp:inline distT="0" distB="0" distL="0" distR="0" wp14:anchorId="7D3524BC" wp14:editId="7ACF2931">
            <wp:extent cx="1771650" cy="1127760"/>
            <wp:effectExtent l="0" t="0" r="0" b="0"/>
            <wp:docPr id="3" name="Picture 3" descr="C:\Documents and Settings\grovek01\Local Settings\Temporary Internet Files\Content.Outlook\ACKC0OZM\kcclogonew.jpg"/>
            <wp:cNvGraphicFramePr/>
            <a:graphic xmlns:a="http://schemas.openxmlformats.org/drawingml/2006/main">
              <a:graphicData uri="http://schemas.openxmlformats.org/drawingml/2006/picture">
                <pic:pic xmlns:pic="http://schemas.openxmlformats.org/drawingml/2006/picture">
                  <pic:nvPicPr>
                    <pic:cNvPr id="3" name="Picture 3" descr="C:\Documents and Settings\grovek01\Local Settings\Temporary Internet Files\Content.Outlook\ACKC0OZM\kcclogonew.jpg"/>
                    <pic:cNvPicPr/>
                  </pic:nvPicPr>
                  <pic:blipFill>
                    <a:blip r:embed="rId5"/>
                    <a:srcRect/>
                    <a:stretch>
                      <a:fillRect/>
                    </a:stretch>
                  </pic:blipFill>
                  <pic:spPr bwMode="auto">
                    <a:xfrm>
                      <a:off x="0" y="0"/>
                      <a:ext cx="1771650" cy="1127760"/>
                    </a:xfrm>
                    <a:prstGeom prst="rect">
                      <a:avLst/>
                    </a:prstGeom>
                    <a:noFill/>
                    <a:ln w="9525">
                      <a:noFill/>
                      <a:miter lim="800000"/>
                      <a:headEnd/>
                      <a:tailEnd/>
                    </a:ln>
                  </pic:spPr>
                </pic:pic>
              </a:graphicData>
            </a:graphic>
          </wp:inline>
        </w:drawing>
      </w:r>
    </w:p>
    <w:p w14:paraId="551BBD2C" w14:textId="786C4864" w:rsidR="00327E34" w:rsidRDefault="00327E34"/>
    <w:p w14:paraId="6D220D73" w14:textId="4E6AEEFC" w:rsidR="00327E34" w:rsidRDefault="00327E34"/>
    <w:p w14:paraId="775F1D46" w14:textId="16F2FD92" w:rsidR="00327E34" w:rsidRDefault="00327E34"/>
    <w:p w14:paraId="02F67653" w14:textId="44260F0A" w:rsidR="00327E34" w:rsidRDefault="00327E34"/>
    <w:p w14:paraId="031BD804" w14:textId="77777777" w:rsidR="00327E34" w:rsidRDefault="00327E34"/>
    <w:p w14:paraId="62370F40" w14:textId="77777777" w:rsidR="00CB7FDC" w:rsidRDefault="00327E34" w:rsidP="00327E34">
      <w:pPr>
        <w:framePr w:w="7301" w:h="6155" w:hRule="exact" w:hSpace="245" w:vSpace="245" w:wrap="notBeside" w:vAnchor="page" w:hAnchor="page" w:x="2321" w:y="5446"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r>
        <w:rPr>
          <w:rFonts w:ascii="Calibri" w:hAnsi="Calibri"/>
          <w:b/>
          <w:sz w:val="72"/>
          <w:szCs w:val="72"/>
        </w:rPr>
        <w:t>Kent County Council Request for Quotation</w:t>
      </w:r>
    </w:p>
    <w:p w14:paraId="010EF682" w14:textId="288F20E6" w:rsidR="00327E34" w:rsidRDefault="00327E34" w:rsidP="00327E34">
      <w:pPr>
        <w:framePr w:w="7301" w:h="6155" w:hRule="exact" w:hSpace="245" w:vSpace="245" w:wrap="notBeside" w:vAnchor="page" w:hAnchor="page" w:x="2321" w:y="5446"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r>
        <w:rPr>
          <w:rFonts w:ascii="Calibri" w:hAnsi="Calibri"/>
          <w:b/>
          <w:sz w:val="72"/>
          <w:szCs w:val="72"/>
        </w:rPr>
        <w:t xml:space="preserve"> </w:t>
      </w:r>
      <w:bookmarkStart w:id="0" w:name="_GoBack"/>
      <w:r w:rsidR="00CB7FDC">
        <w:rPr>
          <w:rFonts w:ascii="Calibri" w:hAnsi="Calibri"/>
          <w:b/>
          <w:sz w:val="72"/>
          <w:szCs w:val="72"/>
        </w:rPr>
        <w:t>T</w:t>
      </w:r>
      <w:r w:rsidR="00CB7FDC" w:rsidRPr="00CB7FDC">
        <w:rPr>
          <w:rFonts w:ascii="Calibri" w:hAnsi="Calibri"/>
          <w:b/>
          <w:sz w:val="72"/>
          <w:szCs w:val="72"/>
        </w:rPr>
        <w:t xml:space="preserve">opographical </w:t>
      </w:r>
      <w:r w:rsidR="00CB7FDC">
        <w:rPr>
          <w:rFonts w:ascii="Calibri" w:hAnsi="Calibri"/>
          <w:b/>
          <w:sz w:val="72"/>
          <w:szCs w:val="72"/>
        </w:rPr>
        <w:t>S</w:t>
      </w:r>
      <w:r w:rsidR="00CB7FDC" w:rsidRPr="00CB7FDC">
        <w:rPr>
          <w:rFonts w:ascii="Calibri" w:hAnsi="Calibri"/>
          <w:b/>
          <w:sz w:val="72"/>
          <w:szCs w:val="72"/>
        </w:rPr>
        <w:t>urvey</w:t>
      </w:r>
    </w:p>
    <w:p w14:paraId="15EDF093" w14:textId="01EBD5B6" w:rsidR="00CB7FDC" w:rsidRDefault="00CB7FDC" w:rsidP="00327E34">
      <w:pPr>
        <w:framePr w:w="7301" w:h="6155" w:hRule="exact" w:hSpace="245" w:vSpace="245" w:wrap="notBeside" w:vAnchor="page" w:hAnchor="page" w:x="2321" w:y="5446"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proofErr w:type="spellStart"/>
      <w:r w:rsidRPr="00CB7FDC">
        <w:rPr>
          <w:rFonts w:ascii="Calibri" w:hAnsi="Calibri"/>
          <w:b/>
          <w:sz w:val="72"/>
          <w:szCs w:val="72"/>
        </w:rPr>
        <w:t>Whetsed</w:t>
      </w:r>
      <w:proofErr w:type="spellEnd"/>
      <w:r w:rsidRPr="00CB7FDC">
        <w:rPr>
          <w:rFonts w:ascii="Calibri" w:hAnsi="Calibri"/>
          <w:b/>
          <w:sz w:val="72"/>
          <w:szCs w:val="72"/>
        </w:rPr>
        <w:t xml:space="preserve"> </w:t>
      </w:r>
      <w:r>
        <w:rPr>
          <w:rFonts w:ascii="Calibri" w:hAnsi="Calibri"/>
          <w:b/>
          <w:sz w:val="72"/>
          <w:szCs w:val="72"/>
        </w:rPr>
        <w:t>W</w:t>
      </w:r>
      <w:r w:rsidRPr="00CB7FDC">
        <w:rPr>
          <w:rFonts w:ascii="Calibri" w:hAnsi="Calibri"/>
          <w:b/>
          <w:sz w:val="72"/>
          <w:szCs w:val="72"/>
        </w:rPr>
        <w:t>ood</w:t>
      </w:r>
    </w:p>
    <w:bookmarkEnd w:id="0"/>
    <w:p w14:paraId="243522C5" w14:textId="77777777" w:rsidR="00327E34" w:rsidRDefault="00327E34"/>
    <w:p w14:paraId="2583949E" w14:textId="77777777" w:rsidR="00327E34" w:rsidRDefault="00327E34"/>
    <w:p w14:paraId="43E93BF4" w14:textId="77777777" w:rsidR="00327E34" w:rsidRDefault="00327E34"/>
    <w:p w14:paraId="65ADCF36" w14:textId="77777777" w:rsidR="00327E34" w:rsidRDefault="00327E34"/>
    <w:p w14:paraId="4D6CB553" w14:textId="77777777" w:rsidR="00327E34" w:rsidRDefault="00327E34" w:rsidP="00327E34">
      <w:pPr>
        <w:widowControl w:val="0"/>
        <w:rPr>
          <w:rFonts w:ascii="Arial" w:hAnsi="Arial" w:cs="Arial"/>
          <w:b/>
          <w:sz w:val="28"/>
          <w:szCs w:val="28"/>
        </w:rPr>
      </w:pPr>
    </w:p>
    <w:p w14:paraId="4D166E38" w14:textId="77777777" w:rsidR="00327E34" w:rsidRDefault="00327E34" w:rsidP="00327E34">
      <w:pPr>
        <w:widowControl w:val="0"/>
        <w:rPr>
          <w:rFonts w:ascii="Arial" w:hAnsi="Arial" w:cs="Arial"/>
          <w:b/>
          <w:sz w:val="28"/>
          <w:szCs w:val="28"/>
        </w:rPr>
      </w:pPr>
    </w:p>
    <w:p w14:paraId="407B84A0" w14:textId="77777777" w:rsidR="00327E34" w:rsidRDefault="00327E34" w:rsidP="00327E34">
      <w:pPr>
        <w:widowControl w:val="0"/>
        <w:rPr>
          <w:rFonts w:ascii="Arial" w:hAnsi="Arial" w:cs="Arial"/>
          <w:b/>
          <w:sz w:val="28"/>
          <w:szCs w:val="28"/>
        </w:rPr>
      </w:pPr>
    </w:p>
    <w:p w14:paraId="3D899270" w14:textId="77777777" w:rsidR="00327E34" w:rsidRDefault="00327E34" w:rsidP="00327E34">
      <w:pPr>
        <w:widowControl w:val="0"/>
        <w:rPr>
          <w:rFonts w:ascii="Arial" w:hAnsi="Arial" w:cs="Arial"/>
          <w:b/>
          <w:sz w:val="28"/>
          <w:szCs w:val="28"/>
        </w:rPr>
      </w:pPr>
    </w:p>
    <w:p w14:paraId="2737F153" w14:textId="77777777" w:rsidR="00327E34" w:rsidRDefault="00327E34" w:rsidP="00327E34">
      <w:pPr>
        <w:widowControl w:val="0"/>
        <w:rPr>
          <w:rFonts w:ascii="Arial" w:hAnsi="Arial" w:cs="Arial"/>
          <w:b/>
          <w:sz w:val="28"/>
          <w:szCs w:val="28"/>
        </w:rPr>
      </w:pPr>
    </w:p>
    <w:p w14:paraId="1973B292" w14:textId="77777777" w:rsidR="00327E34" w:rsidRDefault="00327E34" w:rsidP="00327E34">
      <w:pPr>
        <w:widowControl w:val="0"/>
        <w:rPr>
          <w:rFonts w:ascii="Arial" w:hAnsi="Arial" w:cs="Arial"/>
          <w:b/>
          <w:sz w:val="28"/>
          <w:szCs w:val="28"/>
        </w:rPr>
      </w:pPr>
    </w:p>
    <w:p w14:paraId="4F89C15D" w14:textId="77777777" w:rsidR="00327E34" w:rsidRDefault="00327E34" w:rsidP="00327E34">
      <w:pPr>
        <w:widowControl w:val="0"/>
        <w:rPr>
          <w:rFonts w:ascii="Arial" w:hAnsi="Arial" w:cs="Arial"/>
          <w:b/>
          <w:sz w:val="28"/>
          <w:szCs w:val="28"/>
        </w:rPr>
      </w:pPr>
    </w:p>
    <w:p w14:paraId="1280E3A1" w14:textId="77777777" w:rsidR="00327E34" w:rsidRDefault="00327E34" w:rsidP="00327E34">
      <w:pPr>
        <w:widowControl w:val="0"/>
        <w:rPr>
          <w:rFonts w:ascii="Arial" w:hAnsi="Arial" w:cs="Arial"/>
          <w:b/>
          <w:sz w:val="28"/>
          <w:szCs w:val="28"/>
        </w:rPr>
      </w:pPr>
    </w:p>
    <w:p w14:paraId="7B93AD0E" w14:textId="77777777" w:rsidR="00327E34" w:rsidRDefault="00327E34" w:rsidP="00327E34">
      <w:pPr>
        <w:widowControl w:val="0"/>
        <w:rPr>
          <w:rFonts w:ascii="Arial" w:hAnsi="Arial" w:cs="Arial"/>
          <w:b/>
          <w:sz w:val="28"/>
          <w:szCs w:val="28"/>
        </w:rPr>
      </w:pPr>
    </w:p>
    <w:p w14:paraId="4A807A76" w14:textId="77777777" w:rsidR="00327E34" w:rsidRDefault="00327E34" w:rsidP="00327E34">
      <w:pPr>
        <w:widowControl w:val="0"/>
        <w:rPr>
          <w:rFonts w:ascii="Arial" w:hAnsi="Arial" w:cs="Arial"/>
          <w:b/>
          <w:sz w:val="28"/>
          <w:szCs w:val="28"/>
        </w:rPr>
      </w:pPr>
    </w:p>
    <w:p w14:paraId="180B1CEA" w14:textId="77777777"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sz w:val="24"/>
          <w:szCs w:val="24"/>
        </w:rPr>
      </w:pPr>
    </w:p>
    <w:p w14:paraId="7D60FCEB" w14:textId="77777777"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jc w:val="center"/>
        <w:rPr>
          <w:rFonts w:ascii="Arial" w:eastAsiaTheme="minorHAnsi" w:hAnsi="Arial" w:cstheme="minorBidi"/>
          <w:b/>
          <w:sz w:val="32"/>
          <w:szCs w:val="22"/>
          <w:lang w:eastAsia="en-US"/>
        </w:rPr>
      </w:pPr>
      <w:r>
        <w:rPr>
          <w:rFonts w:ascii="Arial" w:hAnsi="Arial"/>
          <w:b/>
          <w:sz w:val="32"/>
        </w:rPr>
        <w:t>CONTENTS</w:t>
      </w:r>
    </w:p>
    <w:p w14:paraId="0CD3C141" w14:textId="77777777"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b/>
          <w:sz w:val="22"/>
        </w:rPr>
      </w:pPr>
    </w:p>
    <w:p w14:paraId="32A99416" w14:textId="77777777"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b/>
          <w:sz w:val="26"/>
        </w:rPr>
      </w:pPr>
    </w:p>
    <w:p w14:paraId="2EA2CFAF" w14:textId="77777777"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b/>
          <w:sz w:val="26"/>
        </w:rPr>
      </w:pPr>
    </w:p>
    <w:p w14:paraId="37062F30" w14:textId="09F41859"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b/>
          <w:sz w:val="28"/>
          <w:szCs w:val="28"/>
        </w:rPr>
      </w:pPr>
      <w:r>
        <w:rPr>
          <w:rFonts w:ascii="Arial" w:hAnsi="Arial"/>
          <w:b/>
          <w:sz w:val="28"/>
          <w:szCs w:val="28"/>
        </w:rPr>
        <w:t>Section One</w:t>
      </w:r>
      <w:r>
        <w:rPr>
          <w:rFonts w:ascii="Arial" w:hAnsi="Arial"/>
          <w:b/>
          <w:sz w:val="28"/>
          <w:szCs w:val="28"/>
        </w:rPr>
        <w:tab/>
        <w:t>Requirement</w:t>
      </w:r>
    </w:p>
    <w:p w14:paraId="034D0A46" w14:textId="77777777"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b/>
          <w:sz w:val="28"/>
          <w:szCs w:val="28"/>
        </w:rPr>
      </w:pPr>
    </w:p>
    <w:p w14:paraId="3D8FDDFF" w14:textId="77777777"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b/>
          <w:sz w:val="28"/>
          <w:szCs w:val="28"/>
        </w:rPr>
      </w:pPr>
    </w:p>
    <w:p w14:paraId="53444CD0" w14:textId="4BBD7D85" w:rsidR="00327E34" w:rsidRDefault="00327E34" w:rsidP="00327E34">
      <w:pPr>
        <w:framePr w:w="7301" w:h="6155" w:hRule="exact" w:hSpace="245" w:vSpace="245" w:wrap="notBeside" w:vAnchor="page" w:hAnchor="page" w:x="2351" w:y="976" w:anchorLock="1"/>
        <w:widowControl w:val="0"/>
        <w:pBdr>
          <w:top w:val="single" w:sz="6" w:space="5" w:color="000000"/>
          <w:left w:val="single" w:sz="6" w:space="5" w:color="000000"/>
          <w:bottom w:val="single" w:sz="6" w:space="5" w:color="000000"/>
          <w:right w:val="single" w:sz="6" w:space="5" w:color="000000"/>
        </w:pBdr>
        <w:rPr>
          <w:rFonts w:ascii="Arial" w:hAnsi="Arial"/>
          <w:b/>
          <w:sz w:val="28"/>
          <w:szCs w:val="28"/>
        </w:rPr>
      </w:pPr>
      <w:r>
        <w:rPr>
          <w:rFonts w:ascii="Arial" w:hAnsi="Arial"/>
          <w:b/>
          <w:sz w:val="28"/>
          <w:szCs w:val="28"/>
        </w:rPr>
        <w:t>Section Two</w:t>
      </w:r>
      <w:r>
        <w:rPr>
          <w:rFonts w:ascii="Arial" w:hAnsi="Arial"/>
          <w:b/>
          <w:sz w:val="28"/>
          <w:szCs w:val="28"/>
        </w:rPr>
        <w:tab/>
        <w:t xml:space="preserve">Tender  </w:t>
      </w:r>
    </w:p>
    <w:p w14:paraId="7E43BBD9" w14:textId="77777777" w:rsidR="00327E34" w:rsidRDefault="00327E34" w:rsidP="00327E34">
      <w:pPr>
        <w:framePr w:w="7301" w:h="6155" w:hRule="exact" w:hSpace="245" w:vSpace="245" w:wrap="notBeside" w:vAnchor="page" w:hAnchor="page" w:x="2351" w:y="976" w:anchorLock="1"/>
        <w:widowControl w:val="0"/>
        <w:numPr>
          <w:ilvl w:val="12"/>
          <w:numId w:val="0"/>
        </w:numPr>
        <w:pBdr>
          <w:top w:val="single" w:sz="6" w:space="5" w:color="000000"/>
          <w:left w:val="single" w:sz="6" w:space="5" w:color="000000"/>
          <w:bottom w:val="single" w:sz="6" w:space="5" w:color="000000"/>
          <w:right w:val="single" w:sz="6" w:space="5" w:color="000000"/>
        </w:pBdr>
        <w:tabs>
          <w:tab w:val="left" w:pos="-1440"/>
        </w:tabs>
        <w:rPr>
          <w:rFonts w:ascii="Arial" w:hAnsi="Arial"/>
          <w:b/>
          <w:sz w:val="28"/>
          <w:szCs w:val="28"/>
        </w:rPr>
      </w:pPr>
    </w:p>
    <w:p w14:paraId="078A7071" w14:textId="77777777" w:rsidR="00327E34" w:rsidRDefault="00327E34" w:rsidP="00327E34">
      <w:pPr>
        <w:framePr w:w="7301" w:h="6155" w:hRule="exact" w:hSpace="245" w:vSpace="245" w:wrap="notBeside" w:vAnchor="page" w:hAnchor="page" w:x="2351" w:y="976" w:anchorLock="1"/>
        <w:widowControl w:val="0"/>
        <w:numPr>
          <w:ilvl w:val="12"/>
          <w:numId w:val="0"/>
        </w:numPr>
        <w:pBdr>
          <w:top w:val="single" w:sz="6" w:space="5" w:color="000000"/>
          <w:left w:val="single" w:sz="6" w:space="5" w:color="000000"/>
          <w:bottom w:val="single" w:sz="6" w:space="5" w:color="000000"/>
          <w:right w:val="single" w:sz="6" w:space="5" w:color="000000"/>
        </w:pBdr>
        <w:rPr>
          <w:rFonts w:ascii="Arial" w:hAnsi="Arial"/>
          <w:b/>
          <w:sz w:val="28"/>
          <w:szCs w:val="28"/>
        </w:rPr>
      </w:pPr>
    </w:p>
    <w:p w14:paraId="65085539" w14:textId="77777777" w:rsidR="00327E34" w:rsidRDefault="00327E34" w:rsidP="00327E34">
      <w:pPr>
        <w:framePr w:w="7301" w:h="6155" w:hRule="exact" w:hSpace="245" w:vSpace="245" w:wrap="notBeside" w:vAnchor="page" w:hAnchor="page" w:x="2351" w:y="976" w:anchorLock="1"/>
        <w:widowControl w:val="0"/>
        <w:numPr>
          <w:ilvl w:val="12"/>
          <w:numId w:val="0"/>
        </w:numPr>
        <w:pBdr>
          <w:top w:val="single" w:sz="6" w:space="5" w:color="000000"/>
          <w:left w:val="single" w:sz="6" w:space="5" w:color="000000"/>
          <w:bottom w:val="single" w:sz="6" w:space="5" w:color="000000"/>
          <w:right w:val="single" w:sz="6" w:space="5" w:color="000000"/>
        </w:pBdr>
        <w:rPr>
          <w:rFonts w:ascii="Arial" w:hAnsi="Arial" w:cs="Arial"/>
          <w:b/>
          <w:sz w:val="28"/>
          <w:szCs w:val="28"/>
        </w:rPr>
      </w:pPr>
      <w:r>
        <w:rPr>
          <w:rFonts w:ascii="Arial" w:hAnsi="Arial"/>
          <w:b/>
          <w:sz w:val="28"/>
          <w:szCs w:val="28"/>
        </w:rPr>
        <w:t>Section Three</w:t>
      </w:r>
      <w:r>
        <w:rPr>
          <w:rFonts w:ascii="Arial" w:hAnsi="Arial"/>
          <w:b/>
          <w:sz w:val="28"/>
          <w:szCs w:val="28"/>
        </w:rPr>
        <w:tab/>
      </w:r>
      <w:r>
        <w:rPr>
          <w:rFonts w:ascii="Arial" w:hAnsi="Arial" w:cs="Arial"/>
          <w:b/>
          <w:sz w:val="28"/>
          <w:szCs w:val="28"/>
        </w:rPr>
        <w:t>Contract Conditions</w:t>
      </w:r>
    </w:p>
    <w:p w14:paraId="5DDC925A" w14:textId="77777777" w:rsidR="00327E34" w:rsidRDefault="00327E34" w:rsidP="00327E34">
      <w:pPr>
        <w:widowControl w:val="0"/>
        <w:rPr>
          <w:rFonts w:ascii="Arial" w:hAnsi="Arial" w:cs="Arial"/>
          <w:b/>
          <w:sz w:val="28"/>
          <w:szCs w:val="28"/>
        </w:rPr>
      </w:pPr>
    </w:p>
    <w:p w14:paraId="591543E6" w14:textId="77777777" w:rsidR="00327E34" w:rsidRDefault="00327E34" w:rsidP="00327E34">
      <w:pPr>
        <w:widowControl w:val="0"/>
        <w:rPr>
          <w:rFonts w:ascii="Arial" w:hAnsi="Arial" w:cs="Arial"/>
          <w:b/>
          <w:sz w:val="28"/>
          <w:szCs w:val="28"/>
        </w:rPr>
      </w:pPr>
    </w:p>
    <w:p w14:paraId="2571DA39" w14:textId="77777777" w:rsidR="00327E34" w:rsidRDefault="00327E34" w:rsidP="00327E34">
      <w:pPr>
        <w:widowControl w:val="0"/>
        <w:rPr>
          <w:rFonts w:ascii="Arial" w:hAnsi="Arial" w:cs="Arial"/>
          <w:b/>
          <w:sz w:val="28"/>
          <w:szCs w:val="28"/>
        </w:rPr>
      </w:pPr>
    </w:p>
    <w:p w14:paraId="36F3231B" w14:textId="77777777" w:rsidR="00327E34" w:rsidRDefault="00327E34" w:rsidP="00327E34">
      <w:pPr>
        <w:widowControl w:val="0"/>
        <w:rPr>
          <w:rFonts w:ascii="Arial" w:hAnsi="Arial" w:cs="Arial"/>
          <w:b/>
          <w:sz w:val="28"/>
          <w:szCs w:val="28"/>
        </w:rPr>
      </w:pPr>
    </w:p>
    <w:p w14:paraId="43DB3EB0" w14:textId="77777777" w:rsidR="00327E34" w:rsidRDefault="00327E34" w:rsidP="00327E34">
      <w:pPr>
        <w:widowControl w:val="0"/>
        <w:rPr>
          <w:rFonts w:ascii="Arial" w:hAnsi="Arial" w:cs="Arial"/>
          <w:b/>
          <w:sz w:val="28"/>
          <w:szCs w:val="28"/>
        </w:rPr>
      </w:pPr>
    </w:p>
    <w:p w14:paraId="323156CD" w14:textId="77777777" w:rsidR="00327E34" w:rsidRDefault="00327E34" w:rsidP="00327E34">
      <w:pPr>
        <w:widowControl w:val="0"/>
        <w:rPr>
          <w:rFonts w:ascii="Arial" w:hAnsi="Arial" w:cs="Arial"/>
          <w:b/>
          <w:sz w:val="28"/>
          <w:szCs w:val="28"/>
        </w:rPr>
      </w:pPr>
    </w:p>
    <w:p w14:paraId="6E4C9BD5" w14:textId="77777777" w:rsidR="00327E34" w:rsidRDefault="00327E34" w:rsidP="00327E34">
      <w:pPr>
        <w:widowControl w:val="0"/>
        <w:rPr>
          <w:rFonts w:ascii="Arial" w:hAnsi="Arial" w:cs="Arial"/>
          <w:b/>
          <w:sz w:val="28"/>
          <w:szCs w:val="28"/>
        </w:rPr>
      </w:pPr>
    </w:p>
    <w:p w14:paraId="6E144F8A" w14:textId="77777777" w:rsidR="00327E34" w:rsidRDefault="00327E34" w:rsidP="00327E34">
      <w:pPr>
        <w:widowControl w:val="0"/>
        <w:rPr>
          <w:rFonts w:ascii="Arial" w:hAnsi="Arial" w:cs="Arial"/>
          <w:b/>
          <w:sz w:val="28"/>
          <w:szCs w:val="28"/>
        </w:rPr>
      </w:pPr>
    </w:p>
    <w:p w14:paraId="0FBECCFE" w14:textId="77777777" w:rsidR="00327E34" w:rsidRDefault="00327E34" w:rsidP="00327E34">
      <w:pPr>
        <w:widowControl w:val="0"/>
        <w:rPr>
          <w:rFonts w:ascii="Arial" w:hAnsi="Arial" w:cs="Arial"/>
          <w:b/>
          <w:sz w:val="28"/>
          <w:szCs w:val="28"/>
        </w:rPr>
      </w:pPr>
    </w:p>
    <w:p w14:paraId="05EAE7F0" w14:textId="1FD0978A" w:rsidR="00327E34" w:rsidRDefault="00327E34" w:rsidP="00327E34">
      <w:pPr>
        <w:widowControl w:val="0"/>
        <w:rPr>
          <w:rFonts w:ascii="Arial" w:hAnsi="Arial" w:cs="Arial"/>
          <w:b/>
          <w:sz w:val="28"/>
          <w:szCs w:val="28"/>
        </w:rPr>
      </w:pPr>
    </w:p>
    <w:p w14:paraId="20524933" w14:textId="77777777" w:rsidR="00327E34" w:rsidRDefault="00327E34" w:rsidP="00327E34">
      <w:pPr>
        <w:widowControl w:val="0"/>
        <w:rPr>
          <w:rFonts w:ascii="Arial" w:hAnsi="Arial" w:cs="Arial"/>
          <w:b/>
          <w:sz w:val="28"/>
          <w:szCs w:val="28"/>
        </w:rPr>
      </w:pPr>
    </w:p>
    <w:p w14:paraId="2AA58383" w14:textId="77777777" w:rsidR="00327E34" w:rsidRDefault="00327E34" w:rsidP="00327E34">
      <w:pPr>
        <w:widowControl w:val="0"/>
        <w:rPr>
          <w:rFonts w:ascii="Arial" w:hAnsi="Arial" w:cs="Arial"/>
          <w:b/>
          <w:sz w:val="28"/>
          <w:szCs w:val="28"/>
        </w:rPr>
      </w:pPr>
    </w:p>
    <w:p w14:paraId="2EC086B5" w14:textId="77777777" w:rsidR="00327E34" w:rsidRDefault="00327E34" w:rsidP="00327E34">
      <w:pPr>
        <w:widowControl w:val="0"/>
        <w:rPr>
          <w:rFonts w:ascii="Arial" w:hAnsi="Arial" w:cs="Arial"/>
          <w:b/>
          <w:sz w:val="28"/>
          <w:szCs w:val="28"/>
        </w:rPr>
      </w:pPr>
    </w:p>
    <w:p w14:paraId="3A3A7DF1" w14:textId="77777777" w:rsidR="00327E34" w:rsidRDefault="00327E34" w:rsidP="00327E34">
      <w:pPr>
        <w:widowControl w:val="0"/>
        <w:rPr>
          <w:rFonts w:ascii="Arial" w:hAnsi="Arial" w:cs="Arial"/>
          <w:b/>
          <w:sz w:val="28"/>
          <w:szCs w:val="28"/>
        </w:rPr>
      </w:pPr>
    </w:p>
    <w:p w14:paraId="6A09AAE5" w14:textId="77777777" w:rsidR="00327E34" w:rsidRDefault="00327E34" w:rsidP="00327E34">
      <w:pPr>
        <w:widowControl w:val="0"/>
        <w:rPr>
          <w:rFonts w:ascii="Arial" w:hAnsi="Arial" w:cs="Arial"/>
          <w:b/>
          <w:sz w:val="28"/>
          <w:szCs w:val="28"/>
        </w:rPr>
      </w:pPr>
    </w:p>
    <w:p w14:paraId="380C8229" w14:textId="77777777" w:rsidR="00327E34" w:rsidRDefault="00327E34" w:rsidP="00327E34">
      <w:pPr>
        <w:widowControl w:val="0"/>
        <w:rPr>
          <w:rFonts w:ascii="Arial" w:hAnsi="Arial" w:cs="Arial"/>
          <w:b/>
          <w:sz w:val="28"/>
          <w:szCs w:val="28"/>
        </w:rPr>
      </w:pPr>
    </w:p>
    <w:p w14:paraId="7FCB87BD" w14:textId="77777777" w:rsidR="00327E34" w:rsidRDefault="00327E34" w:rsidP="00327E34">
      <w:pPr>
        <w:widowControl w:val="0"/>
        <w:rPr>
          <w:rFonts w:ascii="Arial" w:hAnsi="Arial" w:cs="Arial"/>
          <w:b/>
          <w:sz w:val="28"/>
          <w:szCs w:val="28"/>
        </w:rPr>
      </w:pPr>
    </w:p>
    <w:p w14:paraId="6ED1ADA6" w14:textId="77777777" w:rsidR="00327E34" w:rsidRDefault="00327E34" w:rsidP="00327E34">
      <w:pPr>
        <w:widowControl w:val="0"/>
        <w:rPr>
          <w:rFonts w:ascii="Arial" w:hAnsi="Arial" w:cs="Arial"/>
          <w:b/>
          <w:sz w:val="28"/>
          <w:szCs w:val="28"/>
        </w:rPr>
      </w:pPr>
    </w:p>
    <w:p w14:paraId="77DBB4CC" w14:textId="77777777" w:rsidR="00327E34" w:rsidRDefault="00327E34" w:rsidP="00327E34">
      <w:pPr>
        <w:widowControl w:val="0"/>
        <w:rPr>
          <w:rFonts w:ascii="Arial" w:hAnsi="Arial" w:cs="Arial"/>
          <w:b/>
          <w:sz w:val="28"/>
          <w:szCs w:val="28"/>
        </w:rPr>
      </w:pPr>
    </w:p>
    <w:p w14:paraId="0C95B178" w14:textId="77777777" w:rsidR="00327E34" w:rsidRDefault="00327E34" w:rsidP="00327E34">
      <w:pPr>
        <w:widowControl w:val="0"/>
        <w:rPr>
          <w:rFonts w:ascii="Arial" w:hAnsi="Arial" w:cs="Arial"/>
          <w:b/>
          <w:sz w:val="28"/>
          <w:szCs w:val="28"/>
        </w:rPr>
      </w:pPr>
    </w:p>
    <w:p w14:paraId="779AADC0" w14:textId="77777777" w:rsidR="00327E34" w:rsidRDefault="00327E34" w:rsidP="00327E34">
      <w:pPr>
        <w:widowControl w:val="0"/>
        <w:rPr>
          <w:rFonts w:ascii="Arial" w:hAnsi="Arial" w:cs="Arial"/>
          <w:b/>
          <w:sz w:val="28"/>
          <w:szCs w:val="28"/>
        </w:rPr>
      </w:pPr>
    </w:p>
    <w:p w14:paraId="59792BCE" w14:textId="77777777" w:rsidR="00327E34" w:rsidRDefault="00327E34" w:rsidP="00327E34">
      <w:pPr>
        <w:widowControl w:val="0"/>
        <w:rPr>
          <w:rFonts w:ascii="Arial" w:hAnsi="Arial" w:cs="Arial"/>
          <w:b/>
          <w:sz w:val="28"/>
          <w:szCs w:val="28"/>
        </w:rPr>
      </w:pPr>
    </w:p>
    <w:p w14:paraId="231718D0" w14:textId="77777777" w:rsidR="00327E34" w:rsidRDefault="00327E34" w:rsidP="00327E34">
      <w:pPr>
        <w:widowControl w:val="0"/>
        <w:rPr>
          <w:rFonts w:ascii="Arial" w:hAnsi="Arial" w:cs="Arial"/>
          <w:b/>
          <w:sz w:val="28"/>
          <w:szCs w:val="28"/>
        </w:rPr>
      </w:pPr>
    </w:p>
    <w:p w14:paraId="3B578338" w14:textId="4E1BFF1F" w:rsidR="00327E34" w:rsidRPr="00327E34" w:rsidRDefault="00327E34" w:rsidP="00327E34">
      <w:pPr>
        <w:widowControl w:val="0"/>
        <w:rPr>
          <w:rFonts w:ascii="Arial" w:hAnsi="Arial" w:cs="Arial"/>
          <w:b/>
          <w:sz w:val="28"/>
          <w:szCs w:val="28"/>
          <w:u w:val="single"/>
        </w:rPr>
      </w:pPr>
      <w:r w:rsidRPr="00327E34">
        <w:rPr>
          <w:rFonts w:ascii="Arial" w:hAnsi="Arial" w:cs="Arial"/>
          <w:b/>
          <w:sz w:val="28"/>
          <w:szCs w:val="28"/>
          <w:u w:val="single"/>
        </w:rPr>
        <w:lastRenderedPageBreak/>
        <w:t>Section 1</w:t>
      </w:r>
    </w:p>
    <w:p w14:paraId="7DC1E6B4" w14:textId="12BC880C" w:rsidR="00327E34" w:rsidRDefault="00327E34" w:rsidP="00327E34">
      <w:pPr>
        <w:widowControl w:val="0"/>
        <w:rPr>
          <w:rFonts w:ascii="Arial" w:hAnsi="Arial" w:cs="Arial"/>
          <w:b/>
          <w:sz w:val="28"/>
          <w:szCs w:val="28"/>
        </w:rPr>
      </w:pPr>
    </w:p>
    <w:p w14:paraId="272FE491" w14:textId="6C916F51" w:rsidR="00CB7FDC" w:rsidRDefault="00CB7FDC" w:rsidP="00CB7FDC">
      <w:pPr>
        <w:pStyle w:val="Default"/>
        <w:rPr>
          <w:rFonts w:ascii="Arial" w:hAnsi="Arial" w:cs="Arial"/>
          <w:u w:val="single"/>
        </w:rPr>
      </w:pPr>
      <w:r w:rsidRPr="00CB7FDC">
        <w:rPr>
          <w:rFonts w:ascii="Arial" w:hAnsi="Arial" w:cs="Arial"/>
          <w:u w:val="single"/>
        </w:rPr>
        <w:t>Introduction:</w:t>
      </w:r>
    </w:p>
    <w:p w14:paraId="226858A9" w14:textId="77777777" w:rsidR="00CB7FDC" w:rsidRPr="00CB7FDC" w:rsidRDefault="00CB7FDC" w:rsidP="00CB7FDC">
      <w:pPr>
        <w:pStyle w:val="Default"/>
        <w:rPr>
          <w:rFonts w:ascii="Arial" w:hAnsi="Arial" w:cs="Arial"/>
          <w:u w:val="single"/>
        </w:rPr>
      </w:pPr>
    </w:p>
    <w:p w14:paraId="73604359" w14:textId="181E03F8" w:rsidR="00CB7FDC" w:rsidRDefault="00CB7FDC" w:rsidP="00CB7FDC">
      <w:pPr>
        <w:pStyle w:val="Default"/>
        <w:rPr>
          <w:rFonts w:ascii="Arial" w:hAnsi="Arial" w:cs="Arial"/>
        </w:rPr>
      </w:pPr>
      <w:r w:rsidRPr="00CB7FDC">
        <w:rPr>
          <w:rFonts w:ascii="Arial" w:hAnsi="Arial" w:cs="Arial"/>
        </w:rPr>
        <w:t xml:space="preserve">The Countryside Management Partnerships deliver a programme of Natural Flood Management projects on behalf of Kent County Council (KCC) as the Lead Local Flood Authority.  </w:t>
      </w:r>
    </w:p>
    <w:p w14:paraId="528AF9E3" w14:textId="77777777" w:rsidR="00CB7FDC" w:rsidRPr="00CB7FDC" w:rsidRDefault="00CB7FDC" w:rsidP="00CB7FDC">
      <w:pPr>
        <w:pStyle w:val="Default"/>
        <w:rPr>
          <w:rFonts w:ascii="Arial" w:hAnsi="Arial" w:cs="Arial"/>
        </w:rPr>
      </w:pPr>
    </w:p>
    <w:p w14:paraId="4F04A1C5" w14:textId="38A16D88" w:rsidR="00CB7FDC" w:rsidRDefault="00CB7FDC" w:rsidP="00CB7FDC">
      <w:pPr>
        <w:pStyle w:val="Default"/>
        <w:rPr>
          <w:rFonts w:ascii="Arial" w:hAnsi="Arial" w:cs="Arial"/>
        </w:rPr>
      </w:pPr>
      <w:r w:rsidRPr="00CB7FDC">
        <w:rPr>
          <w:rFonts w:ascii="Arial" w:hAnsi="Arial" w:cs="Arial"/>
        </w:rPr>
        <w:t xml:space="preserve">Minor flooding in Paddock Wood from the </w:t>
      </w:r>
      <w:proofErr w:type="spellStart"/>
      <w:r w:rsidRPr="00CB7FDC">
        <w:rPr>
          <w:rFonts w:ascii="Arial" w:hAnsi="Arial" w:cs="Arial"/>
        </w:rPr>
        <w:t>Tudeley</w:t>
      </w:r>
      <w:proofErr w:type="spellEnd"/>
      <w:r w:rsidRPr="00CB7FDC">
        <w:rPr>
          <w:rFonts w:ascii="Arial" w:hAnsi="Arial" w:cs="Arial"/>
        </w:rPr>
        <w:t xml:space="preserve"> Brook and Gravelly Way streams occurs on an annual basis, however during 2013/14 the flooding was significant enough to affect up to 50 properties on the eastern edge of Paddock Wood. The flood event has been investigated by KCC, with </w:t>
      </w:r>
      <w:proofErr w:type="gramStart"/>
      <w:r w:rsidRPr="00CB7FDC">
        <w:rPr>
          <w:rFonts w:ascii="Arial" w:hAnsi="Arial" w:cs="Arial"/>
        </w:rPr>
        <w:t>a number of</w:t>
      </w:r>
      <w:proofErr w:type="gramEnd"/>
      <w:r w:rsidRPr="00CB7FDC">
        <w:rPr>
          <w:rFonts w:ascii="Arial" w:hAnsi="Arial" w:cs="Arial"/>
        </w:rPr>
        <w:t xml:space="preserve"> options for flood alleviation schemes proposed. </w:t>
      </w:r>
    </w:p>
    <w:p w14:paraId="23F3BBBF" w14:textId="77777777" w:rsidR="00CB7FDC" w:rsidRPr="00CB7FDC" w:rsidRDefault="00CB7FDC" w:rsidP="00CB7FDC">
      <w:pPr>
        <w:pStyle w:val="Default"/>
        <w:rPr>
          <w:rFonts w:ascii="Arial" w:hAnsi="Arial" w:cs="Arial"/>
        </w:rPr>
      </w:pPr>
    </w:p>
    <w:p w14:paraId="7FBEE6E4" w14:textId="587650D9" w:rsidR="00CB7FDC" w:rsidRDefault="00CB7FDC" w:rsidP="00CB7FDC">
      <w:pPr>
        <w:pStyle w:val="Default"/>
        <w:rPr>
          <w:rFonts w:ascii="Arial" w:hAnsi="Arial" w:cs="Arial"/>
        </w:rPr>
      </w:pPr>
      <w:r w:rsidRPr="00CB7FDC">
        <w:rPr>
          <w:rFonts w:ascii="Arial" w:hAnsi="Arial" w:cs="Arial"/>
        </w:rPr>
        <w:t xml:space="preserve">Regrading and widening of a redundant ditch system which runs east to west alongside the </w:t>
      </w:r>
      <w:proofErr w:type="spellStart"/>
      <w:r w:rsidRPr="00CB7FDC">
        <w:rPr>
          <w:rFonts w:ascii="Arial" w:hAnsi="Arial" w:cs="Arial"/>
        </w:rPr>
        <w:t>Whetsed</w:t>
      </w:r>
      <w:proofErr w:type="spellEnd"/>
      <w:r w:rsidRPr="00CB7FDC">
        <w:rPr>
          <w:rFonts w:ascii="Arial" w:hAnsi="Arial" w:cs="Arial"/>
        </w:rPr>
        <w:t xml:space="preserve"> wood before passing under the railway line through a culvert, has been identified as positive option for conveying water away from properties and reducing peak flows on the </w:t>
      </w:r>
      <w:proofErr w:type="spellStart"/>
      <w:r w:rsidRPr="00CB7FDC">
        <w:rPr>
          <w:rFonts w:ascii="Arial" w:hAnsi="Arial" w:cs="Arial"/>
        </w:rPr>
        <w:t>Tudeley</w:t>
      </w:r>
      <w:proofErr w:type="spellEnd"/>
      <w:r w:rsidRPr="00CB7FDC">
        <w:rPr>
          <w:rFonts w:ascii="Arial" w:hAnsi="Arial" w:cs="Arial"/>
        </w:rPr>
        <w:t xml:space="preserve"> Brook watercourse. </w:t>
      </w:r>
    </w:p>
    <w:p w14:paraId="4E087317" w14:textId="77777777" w:rsidR="00CB7FDC" w:rsidRPr="00CB7FDC" w:rsidRDefault="00CB7FDC" w:rsidP="00CB7FDC">
      <w:pPr>
        <w:pStyle w:val="Default"/>
        <w:rPr>
          <w:rFonts w:ascii="Arial" w:hAnsi="Arial" w:cs="Arial"/>
        </w:rPr>
      </w:pPr>
    </w:p>
    <w:p w14:paraId="59ACC159" w14:textId="77777777" w:rsidR="00CB7FDC" w:rsidRPr="00CB7FDC" w:rsidRDefault="00CB7FDC" w:rsidP="00CB7FDC">
      <w:pPr>
        <w:pStyle w:val="Default"/>
        <w:rPr>
          <w:rFonts w:ascii="Arial" w:hAnsi="Arial" w:cs="Arial"/>
        </w:rPr>
      </w:pPr>
      <w:r w:rsidRPr="00CB7FDC">
        <w:rPr>
          <w:rFonts w:ascii="Arial" w:hAnsi="Arial" w:cs="Arial"/>
          <w:u w:val="single"/>
        </w:rPr>
        <w:t>Primary Objective:</w:t>
      </w:r>
    </w:p>
    <w:p w14:paraId="53824B5F" w14:textId="35342687" w:rsidR="00CB7FDC" w:rsidRDefault="00CB7FDC" w:rsidP="00CB7FDC">
      <w:pPr>
        <w:pStyle w:val="Default"/>
        <w:rPr>
          <w:rFonts w:ascii="Arial" w:hAnsi="Arial" w:cs="Arial"/>
        </w:rPr>
      </w:pPr>
      <w:r w:rsidRPr="00CB7FDC">
        <w:rPr>
          <w:rFonts w:ascii="Arial" w:hAnsi="Arial" w:cs="Arial"/>
        </w:rPr>
        <w:t xml:space="preserve">To carry out a topographical survey on the ditch system adjacent to </w:t>
      </w:r>
      <w:proofErr w:type="spellStart"/>
      <w:r w:rsidRPr="00CB7FDC">
        <w:rPr>
          <w:rFonts w:ascii="Arial" w:hAnsi="Arial" w:cs="Arial"/>
        </w:rPr>
        <w:t>Whetsed</w:t>
      </w:r>
      <w:proofErr w:type="spellEnd"/>
      <w:r w:rsidRPr="00CB7FDC">
        <w:rPr>
          <w:rFonts w:ascii="Arial" w:hAnsi="Arial" w:cs="Arial"/>
        </w:rPr>
        <w:t xml:space="preserve"> Woods, to determine the current gradient and appropriate flow path and identify any low spots which can be used for additional flood storage. </w:t>
      </w:r>
    </w:p>
    <w:p w14:paraId="2CB6D579" w14:textId="77777777" w:rsidR="00CB7FDC" w:rsidRPr="00CB7FDC" w:rsidRDefault="00CB7FDC" w:rsidP="00CB7FDC">
      <w:pPr>
        <w:pStyle w:val="Default"/>
        <w:rPr>
          <w:rFonts w:ascii="Arial" w:hAnsi="Arial" w:cs="Arial"/>
        </w:rPr>
      </w:pPr>
    </w:p>
    <w:p w14:paraId="489265C3" w14:textId="7D2840EB" w:rsidR="00CB7FDC" w:rsidRDefault="00CB7FDC" w:rsidP="00CB7FDC">
      <w:pPr>
        <w:pStyle w:val="Default"/>
        <w:rPr>
          <w:rFonts w:ascii="Arial" w:hAnsi="Arial" w:cs="Arial"/>
        </w:rPr>
      </w:pPr>
      <w:r w:rsidRPr="00CB7FDC">
        <w:rPr>
          <w:rFonts w:ascii="Arial" w:hAnsi="Arial" w:cs="Arial"/>
        </w:rPr>
        <w:t xml:space="preserve">The topographical survey will include the drainage channel and surrounding area, survey will include 10 metres from both the left and </w:t>
      </w:r>
      <w:proofErr w:type="gramStart"/>
      <w:r w:rsidRPr="00CB7FDC">
        <w:rPr>
          <w:rFonts w:ascii="Arial" w:hAnsi="Arial" w:cs="Arial"/>
        </w:rPr>
        <w:t>right hand</w:t>
      </w:r>
      <w:proofErr w:type="gramEnd"/>
      <w:r w:rsidRPr="00CB7FDC">
        <w:rPr>
          <w:rFonts w:ascii="Arial" w:hAnsi="Arial" w:cs="Arial"/>
        </w:rPr>
        <w:t xml:space="preserve"> banks.  The invert from the hard bed level of the </w:t>
      </w:r>
      <w:proofErr w:type="spellStart"/>
      <w:r w:rsidRPr="00CB7FDC">
        <w:rPr>
          <w:rFonts w:ascii="Arial" w:hAnsi="Arial" w:cs="Arial"/>
        </w:rPr>
        <w:t>Tudeley</w:t>
      </w:r>
      <w:proofErr w:type="spellEnd"/>
      <w:r w:rsidRPr="00CB7FDC">
        <w:rPr>
          <w:rFonts w:ascii="Arial" w:hAnsi="Arial" w:cs="Arial"/>
        </w:rPr>
        <w:t xml:space="preserve"> Brook watercourse will be taken along with the invert of the culvert under the railway to determine the correct gradient that the ditch must achieve when excavated. </w:t>
      </w:r>
    </w:p>
    <w:p w14:paraId="0C4F7FE5" w14:textId="77777777" w:rsidR="00CB7FDC" w:rsidRPr="00CB7FDC" w:rsidRDefault="00CB7FDC" w:rsidP="00CB7FDC">
      <w:pPr>
        <w:pStyle w:val="Default"/>
        <w:rPr>
          <w:rFonts w:ascii="Arial" w:hAnsi="Arial" w:cs="Arial"/>
        </w:rPr>
      </w:pPr>
    </w:p>
    <w:p w14:paraId="3356B30C" w14:textId="77777777" w:rsidR="00CB7FDC" w:rsidRPr="00CB7FDC" w:rsidRDefault="00CB7FDC" w:rsidP="00CB7FDC">
      <w:pPr>
        <w:pStyle w:val="Default"/>
        <w:rPr>
          <w:rFonts w:ascii="Arial" w:hAnsi="Arial" w:cs="Arial"/>
        </w:rPr>
      </w:pPr>
      <w:r w:rsidRPr="00CB7FDC">
        <w:rPr>
          <w:rFonts w:ascii="Arial" w:hAnsi="Arial" w:cs="Arial"/>
        </w:rPr>
        <w:t xml:space="preserve">The location and extent of the watercourse to be surveyed is shown in the attached figure 1. </w:t>
      </w:r>
    </w:p>
    <w:p w14:paraId="201F9898" w14:textId="60EA25DE" w:rsidR="00CB7FDC" w:rsidRDefault="00CB7FDC" w:rsidP="00CB7FDC">
      <w:pPr>
        <w:pStyle w:val="Default"/>
        <w:rPr>
          <w:rFonts w:ascii="Arial" w:hAnsi="Arial" w:cs="Arial"/>
          <w:u w:val="single"/>
        </w:rPr>
      </w:pPr>
      <w:r w:rsidRPr="00CB7FDC">
        <w:rPr>
          <w:rFonts w:ascii="Arial" w:hAnsi="Arial" w:cs="Arial"/>
          <w:u w:val="single"/>
        </w:rPr>
        <w:t>Available Details:</w:t>
      </w:r>
    </w:p>
    <w:p w14:paraId="11BB9FE6" w14:textId="77777777" w:rsidR="00CB7FDC" w:rsidRPr="00CB7FDC" w:rsidRDefault="00CB7FDC" w:rsidP="00CB7FDC">
      <w:pPr>
        <w:pStyle w:val="Default"/>
        <w:rPr>
          <w:rFonts w:ascii="Arial" w:hAnsi="Arial" w:cs="Arial"/>
          <w:u w:val="single"/>
        </w:rPr>
      </w:pPr>
    </w:p>
    <w:p w14:paraId="772DD2C3" w14:textId="77777777" w:rsidR="00CB7FDC" w:rsidRPr="00CB7FDC" w:rsidRDefault="00CB7FDC" w:rsidP="00CB7FDC">
      <w:pPr>
        <w:pStyle w:val="Default"/>
        <w:rPr>
          <w:rFonts w:ascii="Arial" w:hAnsi="Arial" w:cs="Arial"/>
        </w:rPr>
      </w:pPr>
      <w:r w:rsidRPr="00CB7FDC">
        <w:rPr>
          <w:rFonts w:ascii="Arial" w:hAnsi="Arial" w:cs="Arial"/>
        </w:rPr>
        <w:t xml:space="preserve">Topographical data exists from the Environment Agency for the main channel of the </w:t>
      </w:r>
      <w:proofErr w:type="spellStart"/>
      <w:r w:rsidRPr="00CB7FDC">
        <w:rPr>
          <w:rFonts w:ascii="Arial" w:hAnsi="Arial" w:cs="Arial"/>
        </w:rPr>
        <w:t>Tudeley</w:t>
      </w:r>
      <w:proofErr w:type="spellEnd"/>
      <w:r w:rsidRPr="00CB7FDC">
        <w:rPr>
          <w:rFonts w:ascii="Arial" w:hAnsi="Arial" w:cs="Arial"/>
        </w:rPr>
        <w:t xml:space="preserve"> Brook, however this data does not cover the drainage ditch system. </w:t>
      </w:r>
    </w:p>
    <w:p w14:paraId="33FB70FC" w14:textId="65F203C2" w:rsidR="00CB7FDC" w:rsidRDefault="00CB7FDC" w:rsidP="00CB7FDC">
      <w:pPr>
        <w:pStyle w:val="Default"/>
        <w:rPr>
          <w:rFonts w:ascii="Arial" w:hAnsi="Arial" w:cs="Arial"/>
        </w:rPr>
      </w:pPr>
      <w:r w:rsidRPr="00CB7FDC">
        <w:rPr>
          <w:rFonts w:ascii="Arial" w:hAnsi="Arial" w:cs="Arial"/>
        </w:rPr>
        <w:t xml:space="preserve">The data held by KCC for the </w:t>
      </w:r>
      <w:proofErr w:type="spellStart"/>
      <w:r w:rsidRPr="00CB7FDC">
        <w:rPr>
          <w:rFonts w:ascii="Arial" w:hAnsi="Arial" w:cs="Arial"/>
        </w:rPr>
        <w:t>Tudeley</w:t>
      </w:r>
      <w:proofErr w:type="spellEnd"/>
      <w:r w:rsidRPr="00CB7FDC">
        <w:rPr>
          <w:rFonts w:ascii="Arial" w:hAnsi="Arial" w:cs="Arial"/>
        </w:rPr>
        <w:t xml:space="preserve"> Brook can be supplied on request. </w:t>
      </w:r>
    </w:p>
    <w:p w14:paraId="10871514" w14:textId="77777777" w:rsidR="00CB7FDC" w:rsidRPr="00CB7FDC" w:rsidRDefault="00CB7FDC" w:rsidP="00CB7FDC">
      <w:pPr>
        <w:pStyle w:val="Default"/>
        <w:rPr>
          <w:rFonts w:ascii="Arial" w:hAnsi="Arial" w:cs="Arial"/>
        </w:rPr>
      </w:pPr>
    </w:p>
    <w:p w14:paraId="502A4DFC" w14:textId="77777777" w:rsidR="00CB7FDC" w:rsidRPr="00CB7FDC" w:rsidRDefault="00CB7FDC" w:rsidP="00CB7FDC">
      <w:pPr>
        <w:pStyle w:val="Default"/>
        <w:rPr>
          <w:rFonts w:ascii="Arial" w:hAnsi="Arial" w:cs="Arial"/>
          <w:u w:val="single"/>
        </w:rPr>
      </w:pPr>
      <w:r w:rsidRPr="00CB7FDC">
        <w:rPr>
          <w:rFonts w:ascii="Arial" w:hAnsi="Arial" w:cs="Arial"/>
          <w:u w:val="single"/>
        </w:rPr>
        <w:t>Access:</w:t>
      </w:r>
    </w:p>
    <w:p w14:paraId="01FE9F9B" w14:textId="77777777" w:rsidR="00CB7FDC" w:rsidRPr="00CB7FDC" w:rsidRDefault="00CB7FDC" w:rsidP="00CB7FDC">
      <w:pPr>
        <w:pStyle w:val="Default"/>
        <w:rPr>
          <w:rFonts w:ascii="Arial" w:hAnsi="Arial" w:cs="Arial"/>
        </w:rPr>
      </w:pPr>
      <w:r w:rsidRPr="00CB7FDC">
        <w:rPr>
          <w:rFonts w:ascii="Arial" w:hAnsi="Arial" w:cs="Arial"/>
        </w:rPr>
        <w:t xml:space="preserve">The land is in private ownership and KCC will arrange access to the land and has commenced liaison with the landowner.  A public footpath (route code 0051/WT179/1) runs adjacent to the ditch for approximately 220m providing good access to the section of ditch to the south of the railway line. There is no public access to the ditch system to the north of the railway line and access will need to be arranged by prior agreement with the landowner. </w:t>
      </w:r>
    </w:p>
    <w:p w14:paraId="203DB5BB" w14:textId="77777777" w:rsidR="00CB7FDC" w:rsidRPr="00CB7FDC" w:rsidRDefault="00CB7FDC" w:rsidP="00CB7FDC">
      <w:pPr>
        <w:pStyle w:val="Default"/>
        <w:rPr>
          <w:rFonts w:ascii="Arial" w:hAnsi="Arial" w:cs="Arial"/>
        </w:rPr>
      </w:pPr>
      <w:r w:rsidRPr="00CB7FDC">
        <w:rPr>
          <w:rFonts w:ascii="Arial" w:hAnsi="Arial" w:cs="Arial"/>
        </w:rPr>
        <w:t xml:space="preserve">Access to the culvert will be arranged with Network Rail. </w:t>
      </w:r>
    </w:p>
    <w:p w14:paraId="7A719828" w14:textId="77777777" w:rsidR="00CB7FDC" w:rsidRPr="00CB7FDC" w:rsidRDefault="00CB7FDC" w:rsidP="00CB7FDC">
      <w:pPr>
        <w:pStyle w:val="Default"/>
        <w:rPr>
          <w:rFonts w:ascii="Arial" w:hAnsi="Arial" w:cs="Arial"/>
        </w:rPr>
      </w:pPr>
      <w:r w:rsidRPr="00CB7FDC">
        <w:rPr>
          <w:rFonts w:ascii="Arial" w:hAnsi="Arial" w:cs="Arial"/>
        </w:rPr>
        <w:t>Vehicle access to the southern section is not possible and therefore equipment must be portable.</w:t>
      </w:r>
    </w:p>
    <w:p w14:paraId="72E72379" w14:textId="77777777" w:rsidR="00CB7FDC" w:rsidRPr="00CB7FDC" w:rsidRDefault="00CB7FDC" w:rsidP="00CB7FDC">
      <w:pPr>
        <w:pStyle w:val="Default"/>
        <w:rPr>
          <w:rFonts w:ascii="Arial" w:hAnsi="Arial" w:cs="Arial"/>
          <w:u w:val="single"/>
        </w:rPr>
      </w:pPr>
    </w:p>
    <w:p w14:paraId="2848DD5B" w14:textId="77777777" w:rsidR="00CB7FDC" w:rsidRPr="00CB7FDC" w:rsidRDefault="00CB7FDC" w:rsidP="00CB7FDC">
      <w:pPr>
        <w:pStyle w:val="Default"/>
        <w:rPr>
          <w:rFonts w:ascii="Arial" w:hAnsi="Arial" w:cs="Arial"/>
          <w:u w:val="single"/>
        </w:rPr>
      </w:pPr>
    </w:p>
    <w:p w14:paraId="0E60C467" w14:textId="77777777" w:rsidR="00CB7FDC" w:rsidRPr="00CB7FDC" w:rsidRDefault="00CB7FDC" w:rsidP="00CB7FDC">
      <w:pPr>
        <w:pStyle w:val="Default"/>
        <w:rPr>
          <w:rFonts w:ascii="Arial" w:hAnsi="Arial" w:cs="Arial"/>
          <w:u w:val="single"/>
        </w:rPr>
      </w:pPr>
      <w:r w:rsidRPr="00CB7FDC">
        <w:rPr>
          <w:rFonts w:ascii="Arial" w:hAnsi="Arial" w:cs="Arial"/>
          <w:u w:val="single"/>
        </w:rPr>
        <w:lastRenderedPageBreak/>
        <w:t>Programme:</w:t>
      </w:r>
    </w:p>
    <w:p w14:paraId="315B5CD0" w14:textId="29404D73" w:rsidR="00CB7FDC" w:rsidRDefault="00CB7FDC" w:rsidP="00CB7FDC">
      <w:pPr>
        <w:pStyle w:val="Default"/>
        <w:rPr>
          <w:rFonts w:ascii="Arial" w:hAnsi="Arial" w:cs="Arial"/>
        </w:rPr>
      </w:pPr>
      <w:r w:rsidRPr="00CB7FDC">
        <w:rPr>
          <w:rFonts w:ascii="Arial" w:hAnsi="Arial" w:cs="Arial"/>
        </w:rPr>
        <w:t>It is anticipated that at least two weeks’ notice will need to be given to the landowner prior to the survey work commencing. We would seek to complete the work by May 2018.</w:t>
      </w:r>
    </w:p>
    <w:p w14:paraId="22E7FC90" w14:textId="77777777" w:rsidR="00CB7FDC" w:rsidRPr="00CB7FDC" w:rsidRDefault="00CB7FDC" w:rsidP="00CB7FDC">
      <w:pPr>
        <w:pStyle w:val="Default"/>
        <w:rPr>
          <w:rFonts w:ascii="Arial" w:hAnsi="Arial" w:cs="Arial"/>
        </w:rPr>
      </w:pPr>
    </w:p>
    <w:p w14:paraId="190476A6" w14:textId="77777777" w:rsidR="00CB7FDC" w:rsidRPr="00CB7FDC" w:rsidRDefault="00CB7FDC" w:rsidP="00CB7FDC">
      <w:pPr>
        <w:pStyle w:val="Default"/>
        <w:rPr>
          <w:rFonts w:ascii="Arial" w:hAnsi="Arial" w:cs="Arial"/>
          <w:u w:val="single"/>
        </w:rPr>
      </w:pPr>
      <w:r w:rsidRPr="00CB7FDC">
        <w:rPr>
          <w:rFonts w:ascii="Arial" w:hAnsi="Arial" w:cs="Arial"/>
          <w:u w:val="single"/>
        </w:rPr>
        <w:t>Deliverables:</w:t>
      </w:r>
    </w:p>
    <w:p w14:paraId="5B488509" w14:textId="77777777" w:rsidR="00CB7FDC" w:rsidRPr="00CB7FDC" w:rsidRDefault="00CB7FDC" w:rsidP="00CB7FDC">
      <w:pPr>
        <w:pStyle w:val="Default"/>
        <w:rPr>
          <w:rFonts w:ascii="Arial" w:hAnsi="Arial" w:cs="Arial"/>
        </w:rPr>
      </w:pPr>
      <w:r w:rsidRPr="00CB7FDC">
        <w:rPr>
          <w:rFonts w:ascii="Arial" w:hAnsi="Arial" w:cs="Arial"/>
        </w:rPr>
        <w:t xml:space="preserve">A detailed topographical report should be completed and include a written report and PDF drawings and maps. In addition to this a GIS layer should be produced with all relevant information included. </w:t>
      </w:r>
    </w:p>
    <w:p w14:paraId="08249618" w14:textId="38D0D43D" w:rsidR="00CB7FDC" w:rsidRDefault="00CB7FDC" w:rsidP="00CB7FDC">
      <w:pPr>
        <w:pStyle w:val="Default"/>
        <w:rPr>
          <w:rFonts w:ascii="Arial" w:hAnsi="Arial" w:cs="Arial"/>
        </w:rPr>
      </w:pPr>
      <w:proofErr w:type="gramStart"/>
      <w:r w:rsidRPr="00CB7FDC">
        <w:rPr>
          <w:rFonts w:ascii="Arial" w:hAnsi="Arial" w:cs="Arial"/>
        </w:rPr>
        <w:t>All of</w:t>
      </w:r>
      <w:proofErr w:type="gramEnd"/>
      <w:r w:rsidRPr="00CB7FDC">
        <w:rPr>
          <w:rFonts w:ascii="Arial" w:hAnsi="Arial" w:cs="Arial"/>
        </w:rPr>
        <w:t xml:space="preserve"> the information should be issued by electronic means to the client. </w:t>
      </w:r>
    </w:p>
    <w:p w14:paraId="3E6AFD47" w14:textId="77777777" w:rsidR="00CB7FDC" w:rsidRPr="00CB7FDC" w:rsidRDefault="00CB7FDC" w:rsidP="00CB7FDC">
      <w:pPr>
        <w:pStyle w:val="Default"/>
        <w:rPr>
          <w:rFonts w:ascii="Arial" w:hAnsi="Arial" w:cs="Arial"/>
        </w:rPr>
      </w:pPr>
    </w:p>
    <w:p w14:paraId="7E9ED8CD" w14:textId="77777777" w:rsidR="00CB7FDC" w:rsidRPr="00CB7FDC" w:rsidRDefault="00CB7FDC" w:rsidP="00CB7FDC">
      <w:pPr>
        <w:pStyle w:val="Default"/>
        <w:rPr>
          <w:rFonts w:ascii="Arial" w:hAnsi="Arial" w:cs="Arial"/>
          <w:u w:val="single"/>
        </w:rPr>
      </w:pPr>
      <w:r w:rsidRPr="00CB7FDC">
        <w:rPr>
          <w:rFonts w:ascii="Arial" w:hAnsi="Arial" w:cs="Arial"/>
          <w:u w:val="single"/>
        </w:rPr>
        <w:t>Assumptions:</w:t>
      </w:r>
    </w:p>
    <w:p w14:paraId="2EF0389E" w14:textId="77777777" w:rsidR="00CB7FDC" w:rsidRPr="00CB7FDC" w:rsidRDefault="00CB7FDC" w:rsidP="00CB7FDC">
      <w:pPr>
        <w:pStyle w:val="Default"/>
        <w:rPr>
          <w:rFonts w:ascii="Arial" w:hAnsi="Arial" w:cs="Arial"/>
        </w:rPr>
      </w:pPr>
      <w:r w:rsidRPr="00CB7FDC">
        <w:rPr>
          <w:rFonts w:ascii="Arial" w:hAnsi="Arial" w:cs="Arial"/>
        </w:rPr>
        <w:t xml:space="preserve">Due to the location of the site and the vegetative cover it may be difficult to access some of the ditch system </w:t>
      </w:r>
    </w:p>
    <w:p w14:paraId="50B8E0E3" w14:textId="77777777" w:rsidR="00CB7FDC" w:rsidRPr="00CB7FDC" w:rsidRDefault="00CB7FDC" w:rsidP="00CB7FDC">
      <w:pPr>
        <w:pStyle w:val="Default"/>
        <w:rPr>
          <w:rFonts w:ascii="Arial" w:hAnsi="Arial" w:cs="Arial"/>
        </w:rPr>
      </w:pPr>
      <w:r w:rsidRPr="00CB7FDC">
        <w:rPr>
          <w:rFonts w:ascii="Arial" w:hAnsi="Arial" w:cs="Arial"/>
        </w:rPr>
        <w:t>During site visits no flows have been apparently in the ditch, however the ditch may convey flow during very high flows. The survey work should only be undertaken during suitable weather conditions.</w:t>
      </w:r>
    </w:p>
    <w:p w14:paraId="5F9835FC" w14:textId="77777777" w:rsidR="00CB7FDC" w:rsidRPr="00CB7FDC" w:rsidRDefault="00CB7FDC" w:rsidP="00CB7FDC">
      <w:pPr>
        <w:pStyle w:val="Default"/>
        <w:rPr>
          <w:rFonts w:ascii="Arial" w:hAnsi="Arial" w:cs="Arial"/>
        </w:rPr>
      </w:pPr>
      <w:r w:rsidRPr="00CB7FDC">
        <w:rPr>
          <w:rFonts w:ascii="Arial" w:hAnsi="Arial" w:cs="Arial"/>
        </w:rPr>
        <w:t xml:space="preserve">A pre-works site visit will be undertaken by the contractor to discuss the works with the client prior to works commencing. </w:t>
      </w:r>
    </w:p>
    <w:p w14:paraId="3A752EE5" w14:textId="74C3D8F9" w:rsidR="00262C42" w:rsidRDefault="00262C42" w:rsidP="00262C42">
      <w:pPr>
        <w:pStyle w:val="Default"/>
        <w:adjustRightInd/>
        <w:rPr>
          <w:rFonts w:ascii="Arial" w:eastAsia="Times New Roman" w:hAnsi="Arial" w:cs="Arial"/>
        </w:rPr>
      </w:pPr>
    </w:p>
    <w:p w14:paraId="02E5CBA5" w14:textId="77777777" w:rsidR="00262C42" w:rsidRDefault="00262C42" w:rsidP="00262C42">
      <w:pPr>
        <w:rPr>
          <w:rFonts w:ascii="Arial" w:eastAsiaTheme="minorHAnsi" w:hAnsi="Arial" w:cs="Arial"/>
          <w:sz w:val="24"/>
          <w:szCs w:val="24"/>
        </w:rPr>
      </w:pPr>
    </w:p>
    <w:p w14:paraId="24E18AF6" w14:textId="44A1AE89" w:rsidR="00327E34" w:rsidRPr="00327E34" w:rsidRDefault="00327E34" w:rsidP="00327E34">
      <w:pPr>
        <w:widowControl w:val="0"/>
        <w:rPr>
          <w:rFonts w:ascii="Arial" w:hAnsi="Arial" w:cs="Arial"/>
          <w:b/>
          <w:sz w:val="28"/>
          <w:szCs w:val="28"/>
          <w:u w:val="single"/>
        </w:rPr>
      </w:pPr>
      <w:r w:rsidRPr="00327E34">
        <w:rPr>
          <w:rFonts w:ascii="Arial" w:hAnsi="Arial" w:cs="Arial"/>
          <w:b/>
          <w:sz w:val="28"/>
          <w:szCs w:val="28"/>
          <w:u w:val="single"/>
        </w:rPr>
        <w:t xml:space="preserve">Section </w:t>
      </w:r>
      <w:r>
        <w:rPr>
          <w:rFonts w:ascii="Arial" w:hAnsi="Arial" w:cs="Arial"/>
          <w:b/>
          <w:sz w:val="28"/>
          <w:szCs w:val="28"/>
          <w:u w:val="single"/>
        </w:rPr>
        <w:t>2</w:t>
      </w:r>
    </w:p>
    <w:p w14:paraId="691DEFDB" w14:textId="77777777" w:rsidR="00327E34" w:rsidRDefault="00327E34" w:rsidP="00327E34">
      <w:pPr>
        <w:rPr>
          <w:rFonts w:ascii="Arial" w:hAnsi="Arial" w:cs="Arial"/>
          <w:b/>
          <w:sz w:val="24"/>
          <w:szCs w:val="24"/>
        </w:rPr>
      </w:pPr>
    </w:p>
    <w:p w14:paraId="37DD4023" w14:textId="77777777" w:rsidR="00327E34" w:rsidRDefault="00327E34" w:rsidP="00327E34">
      <w:pPr>
        <w:rPr>
          <w:rFonts w:ascii="Arial" w:hAnsi="Arial" w:cs="Arial"/>
          <w:b/>
          <w:sz w:val="24"/>
          <w:szCs w:val="24"/>
        </w:rPr>
      </w:pPr>
    </w:p>
    <w:p w14:paraId="3EBAC422" w14:textId="3C879148" w:rsidR="00327E34" w:rsidRDefault="00327E34" w:rsidP="00327E34">
      <w:pPr>
        <w:rPr>
          <w:rFonts w:ascii="Arial" w:hAnsi="Arial" w:cs="Arial"/>
          <w:b/>
          <w:sz w:val="24"/>
          <w:szCs w:val="24"/>
        </w:rPr>
      </w:pPr>
      <w:r>
        <w:rPr>
          <w:rFonts w:ascii="Arial" w:hAnsi="Arial" w:cs="Arial"/>
          <w:b/>
          <w:sz w:val="24"/>
          <w:szCs w:val="24"/>
        </w:rPr>
        <w:t>Tender</w:t>
      </w:r>
    </w:p>
    <w:p w14:paraId="1E031AF4" w14:textId="32972082" w:rsidR="00327E34" w:rsidRDefault="00327E34" w:rsidP="00327E34">
      <w:pPr>
        <w:rPr>
          <w:rFonts w:ascii="Arial" w:hAnsi="Arial" w:cs="Arial"/>
          <w:sz w:val="24"/>
          <w:szCs w:val="24"/>
        </w:rPr>
      </w:pPr>
      <w:r>
        <w:rPr>
          <w:rFonts w:ascii="Arial" w:hAnsi="Arial" w:cs="Arial"/>
          <w:sz w:val="24"/>
          <w:szCs w:val="24"/>
        </w:rPr>
        <w:t>Your tender should include:</w:t>
      </w:r>
    </w:p>
    <w:p w14:paraId="6AC6F3A4" w14:textId="77777777" w:rsidR="00D85D98" w:rsidRDefault="00D85D98" w:rsidP="00327E34">
      <w:pPr>
        <w:rPr>
          <w:rFonts w:ascii="Arial" w:hAnsi="Arial" w:cs="Arial"/>
          <w:sz w:val="24"/>
          <w:szCs w:val="24"/>
        </w:rPr>
      </w:pPr>
    </w:p>
    <w:p w14:paraId="3F620FBA" w14:textId="1FDA9511" w:rsidR="00D85D98" w:rsidRDefault="00D85D98" w:rsidP="00503C65">
      <w:pPr>
        <w:pStyle w:val="ListParagraph"/>
        <w:numPr>
          <w:ilvl w:val="0"/>
          <w:numId w:val="3"/>
        </w:numPr>
        <w:rPr>
          <w:rFonts w:ascii="Arial" w:hAnsi="Arial" w:cs="Arial"/>
          <w:sz w:val="24"/>
          <w:szCs w:val="24"/>
        </w:rPr>
      </w:pPr>
      <w:r w:rsidRPr="00D85D98">
        <w:rPr>
          <w:rFonts w:ascii="Arial" w:hAnsi="Arial" w:cs="Arial"/>
          <w:sz w:val="24"/>
          <w:szCs w:val="24"/>
        </w:rPr>
        <w:t>An</w:t>
      </w:r>
      <w:r>
        <w:rPr>
          <w:rFonts w:ascii="Arial" w:hAnsi="Arial" w:cs="Arial"/>
          <w:sz w:val="24"/>
          <w:szCs w:val="24"/>
        </w:rPr>
        <w:t>swers to the mandatory questions, see below</w:t>
      </w:r>
    </w:p>
    <w:p w14:paraId="1F956AC5" w14:textId="77777777" w:rsidR="00262C42" w:rsidRDefault="00262C42" w:rsidP="00262C42">
      <w:pPr>
        <w:pStyle w:val="ListParagraph"/>
        <w:rPr>
          <w:rFonts w:ascii="Arial" w:hAnsi="Arial" w:cs="Arial"/>
          <w:sz w:val="24"/>
          <w:szCs w:val="24"/>
        </w:rPr>
      </w:pPr>
    </w:p>
    <w:p w14:paraId="3F970654" w14:textId="4BDE5A71" w:rsidR="00262C42" w:rsidRDefault="00262C42" w:rsidP="00503C65">
      <w:pPr>
        <w:pStyle w:val="ListParagraph"/>
        <w:numPr>
          <w:ilvl w:val="0"/>
          <w:numId w:val="3"/>
        </w:numPr>
        <w:rPr>
          <w:rFonts w:ascii="Arial" w:hAnsi="Arial" w:cs="Arial"/>
          <w:sz w:val="24"/>
          <w:szCs w:val="24"/>
        </w:rPr>
      </w:pPr>
      <w:r>
        <w:rPr>
          <w:rFonts w:ascii="Arial" w:hAnsi="Arial" w:cs="Arial"/>
          <w:sz w:val="24"/>
          <w:szCs w:val="24"/>
        </w:rPr>
        <w:t>Full pricing schedule including:</w:t>
      </w:r>
    </w:p>
    <w:p w14:paraId="623463E7" w14:textId="77777777" w:rsidR="00262C42" w:rsidRPr="00262C42" w:rsidRDefault="00262C42" w:rsidP="00262C42">
      <w:pPr>
        <w:pStyle w:val="ListParagraph"/>
        <w:rPr>
          <w:rFonts w:ascii="Arial" w:hAnsi="Arial" w:cs="Arial"/>
          <w:sz w:val="24"/>
          <w:szCs w:val="24"/>
        </w:rPr>
      </w:pPr>
    </w:p>
    <w:p w14:paraId="3093186F" w14:textId="3DBC965D" w:rsidR="00D85D98" w:rsidRDefault="00CB7FDC" w:rsidP="00CB7FDC">
      <w:pPr>
        <w:pStyle w:val="ListParagraph"/>
        <w:numPr>
          <w:ilvl w:val="1"/>
          <w:numId w:val="3"/>
        </w:numPr>
        <w:rPr>
          <w:rFonts w:ascii="Arial" w:hAnsi="Arial" w:cs="Arial"/>
          <w:sz w:val="24"/>
          <w:szCs w:val="24"/>
        </w:rPr>
      </w:pPr>
      <w:r>
        <w:rPr>
          <w:rFonts w:ascii="Arial" w:hAnsi="Arial" w:cs="Arial"/>
          <w:sz w:val="24"/>
          <w:szCs w:val="24"/>
        </w:rPr>
        <w:t>Cost of labour</w:t>
      </w:r>
    </w:p>
    <w:p w14:paraId="06E13AAA" w14:textId="346C2FAA" w:rsidR="00CB7FDC" w:rsidRDefault="00CB7FDC" w:rsidP="00CB7FDC">
      <w:pPr>
        <w:pStyle w:val="ListParagraph"/>
        <w:numPr>
          <w:ilvl w:val="1"/>
          <w:numId w:val="3"/>
        </w:numPr>
        <w:rPr>
          <w:rFonts w:ascii="Arial" w:hAnsi="Arial" w:cs="Arial"/>
          <w:sz w:val="24"/>
          <w:szCs w:val="24"/>
        </w:rPr>
      </w:pPr>
      <w:r>
        <w:rPr>
          <w:rFonts w:ascii="Arial" w:hAnsi="Arial" w:cs="Arial"/>
          <w:sz w:val="24"/>
          <w:szCs w:val="24"/>
        </w:rPr>
        <w:t>Cost of any equipment</w:t>
      </w:r>
    </w:p>
    <w:p w14:paraId="2C99E357" w14:textId="1A03F1D9" w:rsidR="00D85D98" w:rsidRPr="00D85D98" w:rsidRDefault="00D85D98" w:rsidP="00D85D98">
      <w:pPr>
        <w:rPr>
          <w:rFonts w:ascii="Arial" w:hAnsi="Arial" w:cs="Arial"/>
          <w:sz w:val="24"/>
          <w:szCs w:val="24"/>
        </w:rPr>
      </w:pPr>
    </w:p>
    <w:p w14:paraId="46685BE3" w14:textId="77777777" w:rsidR="00D85D98" w:rsidRPr="00D85D98" w:rsidRDefault="00D85D98" w:rsidP="00D85D98">
      <w:pPr>
        <w:rPr>
          <w:rFonts w:ascii="Arial" w:hAnsi="Arial" w:cs="Arial"/>
          <w:sz w:val="24"/>
          <w:szCs w:val="24"/>
        </w:rPr>
      </w:pPr>
    </w:p>
    <w:tbl>
      <w:tblPr>
        <w:tblW w:w="936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5"/>
        <w:gridCol w:w="5365"/>
      </w:tblGrid>
      <w:tr w:rsidR="00D85D98" w14:paraId="794D276F" w14:textId="00FF0FE4" w:rsidTr="00B256B5">
        <w:trPr>
          <w:tblCellSpacing w:w="22" w:type="dxa"/>
          <w:jc w:val="center"/>
        </w:trPr>
        <w:tc>
          <w:tcPr>
            <w:tcW w:w="3929" w:type="dxa"/>
            <w:tcBorders>
              <w:top w:val="outset" w:sz="6" w:space="0" w:color="auto"/>
              <w:left w:val="outset" w:sz="6" w:space="0" w:color="auto"/>
              <w:bottom w:val="outset" w:sz="6" w:space="0" w:color="auto"/>
              <w:right w:val="outset" w:sz="6" w:space="0" w:color="auto"/>
            </w:tcBorders>
            <w:shd w:val="clear" w:color="auto" w:fill="DDD9C3"/>
            <w:tcMar>
              <w:top w:w="0" w:type="dxa"/>
              <w:left w:w="108" w:type="dxa"/>
              <w:bottom w:w="0" w:type="dxa"/>
              <w:right w:w="108" w:type="dxa"/>
            </w:tcMar>
            <w:hideMark/>
          </w:tcPr>
          <w:p w14:paraId="20EE8410" w14:textId="2C80E282" w:rsidR="00D85D98" w:rsidRDefault="00BD4177">
            <w:pPr>
              <w:numPr>
                <w:ilvl w:val="12"/>
                <w:numId w:val="0"/>
              </w:numPr>
              <w:jc w:val="center"/>
              <w:rPr>
                <w:rFonts w:ascii="Arial" w:hAnsi="Arial" w:cs="Arial"/>
                <w:b/>
                <w:bCs/>
              </w:rPr>
            </w:pPr>
            <w:r>
              <w:rPr>
                <w:rFonts w:ascii="Arial" w:hAnsi="Arial" w:cs="Arial"/>
                <w:b/>
                <w:bCs/>
              </w:rPr>
              <w:t xml:space="preserve">Mandatory Questions </w:t>
            </w:r>
          </w:p>
        </w:tc>
        <w:tc>
          <w:tcPr>
            <w:tcW w:w="5299" w:type="dxa"/>
            <w:tcBorders>
              <w:top w:val="outset" w:sz="6" w:space="0" w:color="auto"/>
              <w:left w:val="outset" w:sz="6" w:space="0" w:color="auto"/>
              <w:bottom w:val="outset" w:sz="6" w:space="0" w:color="auto"/>
              <w:right w:val="outset" w:sz="6" w:space="0" w:color="auto"/>
            </w:tcBorders>
            <w:shd w:val="clear" w:color="auto" w:fill="DDD9C3"/>
          </w:tcPr>
          <w:p w14:paraId="54114A7C" w14:textId="77777777" w:rsidR="00D85D98" w:rsidRDefault="00D85D98">
            <w:pPr>
              <w:numPr>
                <w:ilvl w:val="12"/>
                <w:numId w:val="0"/>
              </w:numPr>
              <w:jc w:val="center"/>
              <w:rPr>
                <w:rFonts w:ascii="Arial" w:hAnsi="Arial" w:cs="Arial"/>
                <w:b/>
                <w:bCs/>
              </w:rPr>
            </w:pPr>
          </w:p>
        </w:tc>
      </w:tr>
      <w:tr w:rsidR="00D85D98" w14:paraId="2857F9E5" w14:textId="36635AC7" w:rsidTr="00B256B5">
        <w:trPr>
          <w:tblCellSpacing w:w="22" w:type="dxa"/>
          <w:jc w:val="center"/>
        </w:trPr>
        <w:tc>
          <w:tcPr>
            <w:tcW w:w="3929" w:type="dxa"/>
            <w:tcBorders>
              <w:top w:val="outset" w:sz="6" w:space="0" w:color="auto"/>
              <w:left w:val="outset" w:sz="6" w:space="0" w:color="auto"/>
              <w:bottom w:val="outset" w:sz="6" w:space="0" w:color="auto"/>
              <w:right w:val="outset" w:sz="6" w:space="0" w:color="auto"/>
            </w:tcBorders>
            <w:shd w:val="clear" w:color="auto" w:fill="DDD9C3"/>
            <w:tcMar>
              <w:top w:w="0" w:type="dxa"/>
              <w:left w:w="108" w:type="dxa"/>
              <w:bottom w:w="0" w:type="dxa"/>
              <w:right w:w="108" w:type="dxa"/>
            </w:tcMar>
            <w:hideMark/>
          </w:tcPr>
          <w:p w14:paraId="03C013F7" w14:textId="609F85F5" w:rsidR="00D85D98" w:rsidRDefault="00262C42">
            <w:pPr>
              <w:numPr>
                <w:ilvl w:val="12"/>
                <w:numId w:val="0"/>
              </w:numPr>
              <w:rPr>
                <w:rFonts w:ascii="Arial" w:hAnsi="Arial" w:cs="Arial"/>
                <w:sz w:val="24"/>
                <w:szCs w:val="24"/>
              </w:rPr>
            </w:pPr>
            <w:r w:rsidRPr="00262C42">
              <w:rPr>
                <w:rFonts w:ascii="Arial" w:hAnsi="Arial" w:cs="Arial"/>
                <w:sz w:val="24"/>
                <w:szCs w:val="24"/>
              </w:rPr>
              <w:t xml:space="preserve">Please confirm that </w:t>
            </w:r>
            <w:r w:rsidR="00CB7FDC">
              <w:rPr>
                <w:rFonts w:ascii="Arial" w:hAnsi="Arial" w:cs="Arial"/>
                <w:sz w:val="24"/>
                <w:szCs w:val="24"/>
              </w:rPr>
              <w:t>the following will be supplied electronically:</w:t>
            </w:r>
          </w:p>
          <w:p w14:paraId="4ABA2965" w14:textId="77777777" w:rsidR="00CB7FDC" w:rsidRPr="00CB7FDC" w:rsidRDefault="00CB7FDC" w:rsidP="00CB7FDC">
            <w:pPr>
              <w:pStyle w:val="ListParagraph"/>
              <w:numPr>
                <w:ilvl w:val="0"/>
                <w:numId w:val="7"/>
              </w:numPr>
              <w:rPr>
                <w:rFonts w:ascii="Arial" w:hAnsi="Arial" w:cs="Arial"/>
                <w:b/>
                <w:bCs/>
              </w:rPr>
            </w:pPr>
            <w:r w:rsidRPr="00CB7FDC">
              <w:rPr>
                <w:rFonts w:ascii="Arial" w:hAnsi="Arial" w:cs="Arial"/>
                <w:color w:val="000000"/>
                <w:sz w:val="24"/>
                <w:szCs w:val="24"/>
                <w:lang w:eastAsia="en-US"/>
              </w:rPr>
              <w:t>a written report</w:t>
            </w:r>
          </w:p>
          <w:p w14:paraId="533E74FD" w14:textId="77777777" w:rsidR="00CB7FDC" w:rsidRPr="00CB7FDC" w:rsidRDefault="00CB7FDC" w:rsidP="00CB7FDC">
            <w:pPr>
              <w:pStyle w:val="ListParagraph"/>
              <w:numPr>
                <w:ilvl w:val="0"/>
                <w:numId w:val="7"/>
              </w:numPr>
              <w:rPr>
                <w:rFonts w:ascii="Arial" w:hAnsi="Arial" w:cs="Arial"/>
                <w:b/>
                <w:bCs/>
              </w:rPr>
            </w:pPr>
            <w:r w:rsidRPr="00CB7FDC">
              <w:rPr>
                <w:rFonts w:ascii="Arial" w:hAnsi="Arial" w:cs="Arial"/>
                <w:color w:val="000000"/>
                <w:sz w:val="24"/>
                <w:szCs w:val="24"/>
                <w:lang w:eastAsia="en-US"/>
              </w:rPr>
              <w:t>PDF drawings</w:t>
            </w:r>
          </w:p>
          <w:p w14:paraId="71CD0FF7" w14:textId="55FE964C" w:rsidR="00CB7FDC" w:rsidRPr="00CB7FDC" w:rsidRDefault="00CB7FDC" w:rsidP="00CB7FDC">
            <w:pPr>
              <w:pStyle w:val="ListParagraph"/>
              <w:numPr>
                <w:ilvl w:val="0"/>
                <w:numId w:val="7"/>
              </w:numPr>
              <w:rPr>
                <w:rFonts w:ascii="Arial" w:hAnsi="Arial" w:cs="Arial"/>
                <w:b/>
                <w:bCs/>
              </w:rPr>
            </w:pPr>
            <w:r w:rsidRPr="00CB7FDC">
              <w:rPr>
                <w:rFonts w:ascii="Arial" w:hAnsi="Arial" w:cs="Arial"/>
                <w:color w:val="000000"/>
                <w:sz w:val="24"/>
                <w:szCs w:val="24"/>
                <w:lang w:eastAsia="en-US"/>
              </w:rPr>
              <w:t>M</w:t>
            </w:r>
            <w:r w:rsidRPr="00CB7FDC">
              <w:rPr>
                <w:rFonts w:ascii="Arial" w:hAnsi="Arial" w:cs="Arial"/>
                <w:color w:val="000000"/>
                <w:sz w:val="24"/>
                <w:szCs w:val="24"/>
                <w:lang w:eastAsia="en-US"/>
              </w:rPr>
              <w:t>aps</w:t>
            </w:r>
          </w:p>
          <w:p w14:paraId="1FEED46C" w14:textId="47DC054E" w:rsidR="00CB7FDC" w:rsidRPr="00CB7FDC" w:rsidRDefault="00CB7FDC" w:rsidP="00CB7FDC">
            <w:pPr>
              <w:pStyle w:val="ListParagraph"/>
              <w:numPr>
                <w:ilvl w:val="0"/>
                <w:numId w:val="7"/>
              </w:numPr>
              <w:rPr>
                <w:rFonts w:ascii="Arial" w:hAnsi="Arial" w:cs="Arial"/>
                <w:b/>
                <w:bCs/>
              </w:rPr>
            </w:pPr>
            <w:r w:rsidRPr="00CB7FDC">
              <w:rPr>
                <w:rFonts w:ascii="Arial" w:hAnsi="Arial" w:cs="Arial"/>
                <w:color w:val="000000"/>
                <w:sz w:val="24"/>
                <w:szCs w:val="24"/>
                <w:lang w:eastAsia="en-US"/>
              </w:rPr>
              <w:t>GIS layer</w:t>
            </w:r>
          </w:p>
        </w:tc>
        <w:tc>
          <w:tcPr>
            <w:tcW w:w="5299" w:type="dxa"/>
            <w:tcBorders>
              <w:top w:val="outset" w:sz="6" w:space="0" w:color="auto"/>
              <w:left w:val="outset" w:sz="6" w:space="0" w:color="auto"/>
              <w:bottom w:val="outset" w:sz="6" w:space="0" w:color="auto"/>
              <w:right w:val="outset" w:sz="6" w:space="0" w:color="auto"/>
            </w:tcBorders>
            <w:shd w:val="clear" w:color="auto" w:fill="DDD9C3"/>
          </w:tcPr>
          <w:p w14:paraId="1C9E6088" w14:textId="77777777" w:rsidR="00D85D98" w:rsidRDefault="00D85D98">
            <w:pPr>
              <w:numPr>
                <w:ilvl w:val="12"/>
                <w:numId w:val="0"/>
              </w:numPr>
              <w:rPr>
                <w:rFonts w:ascii="Arial" w:hAnsi="Arial" w:cs="Arial"/>
                <w:b/>
                <w:bCs/>
              </w:rPr>
            </w:pPr>
          </w:p>
        </w:tc>
      </w:tr>
      <w:tr w:rsidR="00D85D98" w14:paraId="5E60F3C8" w14:textId="02EA0BE4" w:rsidTr="00B256B5">
        <w:trPr>
          <w:tblCellSpacing w:w="22" w:type="dxa"/>
          <w:jc w:val="center"/>
        </w:trPr>
        <w:tc>
          <w:tcPr>
            <w:tcW w:w="3929" w:type="dxa"/>
            <w:tcBorders>
              <w:top w:val="outset" w:sz="6" w:space="0" w:color="auto"/>
              <w:left w:val="outset" w:sz="6" w:space="0" w:color="auto"/>
              <w:bottom w:val="outset" w:sz="6" w:space="0" w:color="auto"/>
              <w:right w:val="outset" w:sz="6" w:space="0" w:color="auto"/>
            </w:tcBorders>
            <w:shd w:val="clear" w:color="auto" w:fill="D9D9D9"/>
            <w:tcMar>
              <w:top w:w="0" w:type="dxa"/>
              <w:left w:w="108" w:type="dxa"/>
              <w:bottom w:w="0" w:type="dxa"/>
              <w:right w:w="108" w:type="dxa"/>
            </w:tcMar>
            <w:hideMark/>
          </w:tcPr>
          <w:p w14:paraId="521A84AE" w14:textId="125F0A81" w:rsidR="00D85D98" w:rsidRPr="00262C42" w:rsidRDefault="00B256B5">
            <w:pPr>
              <w:jc w:val="both"/>
              <w:rPr>
                <w:rFonts w:ascii="Arial" w:hAnsi="Arial" w:cs="Arial"/>
                <w:sz w:val="24"/>
                <w:szCs w:val="24"/>
              </w:rPr>
            </w:pPr>
            <w:r w:rsidRPr="00262C42">
              <w:rPr>
                <w:rFonts w:ascii="Arial" w:hAnsi="Arial" w:cs="Arial"/>
                <w:sz w:val="24"/>
                <w:szCs w:val="24"/>
              </w:rPr>
              <w:t xml:space="preserve">Is the specification fulfilled? </w:t>
            </w:r>
          </w:p>
        </w:tc>
        <w:tc>
          <w:tcPr>
            <w:tcW w:w="5299" w:type="dxa"/>
            <w:tcBorders>
              <w:top w:val="outset" w:sz="6" w:space="0" w:color="auto"/>
              <w:left w:val="outset" w:sz="6" w:space="0" w:color="auto"/>
              <w:bottom w:val="outset" w:sz="6" w:space="0" w:color="auto"/>
              <w:right w:val="outset" w:sz="6" w:space="0" w:color="auto"/>
            </w:tcBorders>
            <w:shd w:val="clear" w:color="auto" w:fill="D9D9D9"/>
          </w:tcPr>
          <w:p w14:paraId="67D6CC11" w14:textId="77777777" w:rsidR="00D85D98" w:rsidRPr="00262C42" w:rsidRDefault="00D85D98">
            <w:pPr>
              <w:jc w:val="both"/>
              <w:rPr>
                <w:rFonts w:ascii="Arial" w:hAnsi="Arial" w:cs="Arial"/>
                <w:sz w:val="24"/>
                <w:szCs w:val="24"/>
              </w:rPr>
            </w:pPr>
          </w:p>
        </w:tc>
      </w:tr>
    </w:tbl>
    <w:p w14:paraId="147F72B0" w14:textId="785F7A6A" w:rsidR="00D85D98" w:rsidRDefault="00D85D98" w:rsidP="00327E34">
      <w:pPr>
        <w:rPr>
          <w:rFonts w:ascii="Arial" w:hAnsi="Arial" w:cs="Arial"/>
          <w:sz w:val="24"/>
          <w:szCs w:val="24"/>
        </w:rPr>
      </w:pPr>
    </w:p>
    <w:p w14:paraId="01E82DDC" w14:textId="5B9ECEF2" w:rsidR="00D85D98" w:rsidRDefault="00D85D98" w:rsidP="00327E34">
      <w:pPr>
        <w:rPr>
          <w:rFonts w:ascii="Arial" w:hAnsi="Arial" w:cs="Arial"/>
          <w:sz w:val="24"/>
          <w:szCs w:val="24"/>
        </w:rPr>
      </w:pPr>
      <w:r>
        <w:rPr>
          <w:rFonts w:ascii="Arial" w:hAnsi="Arial" w:cs="Arial"/>
          <w:sz w:val="24"/>
          <w:szCs w:val="24"/>
        </w:rPr>
        <w:t xml:space="preserve">Each tender will be evaluated for suitability </w:t>
      </w:r>
      <w:r w:rsidR="00262C42">
        <w:rPr>
          <w:rFonts w:ascii="Arial" w:hAnsi="Arial" w:cs="Arial"/>
          <w:sz w:val="24"/>
          <w:szCs w:val="24"/>
        </w:rPr>
        <w:t>of the licences</w:t>
      </w:r>
      <w:r>
        <w:rPr>
          <w:rFonts w:ascii="Arial" w:hAnsi="Arial" w:cs="Arial"/>
          <w:sz w:val="24"/>
          <w:szCs w:val="24"/>
        </w:rPr>
        <w:t>, fulfilment of the specification and then will finally be assessed on price.</w:t>
      </w:r>
    </w:p>
    <w:p w14:paraId="3AAD551E" w14:textId="26A73877" w:rsidR="00D85D98" w:rsidRDefault="00D85D98" w:rsidP="00327E34">
      <w:pPr>
        <w:rPr>
          <w:rFonts w:ascii="Arial" w:hAnsi="Arial" w:cs="Arial"/>
          <w:sz w:val="24"/>
          <w:szCs w:val="24"/>
        </w:rPr>
      </w:pPr>
    </w:p>
    <w:p w14:paraId="782DFB87" w14:textId="2AD65B34" w:rsidR="00D85D98" w:rsidRDefault="00D85D98" w:rsidP="00327E34">
      <w:pPr>
        <w:rPr>
          <w:rFonts w:ascii="Arial" w:hAnsi="Arial" w:cs="Arial"/>
          <w:sz w:val="24"/>
          <w:szCs w:val="24"/>
        </w:rPr>
      </w:pPr>
      <w:r>
        <w:rPr>
          <w:rFonts w:ascii="Arial" w:hAnsi="Arial" w:cs="Arial"/>
          <w:sz w:val="24"/>
          <w:szCs w:val="24"/>
        </w:rPr>
        <w:t xml:space="preserve">You will only move to being assessed on price if the </w:t>
      </w:r>
      <w:r w:rsidR="00262C42">
        <w:rPr>
          <w:rFonts w:ascii="Arial" w:hAnsi="Arial" w:cs="Arial"/>
          <w:sz w:val="24"/>
          <w:szCs w:val="24"/>
        </w:rPr>
        <w:t>licence specification is suitable and answers to the mandatory questions being “yes</w:t>
      </w:r>
      <w:r w:rsidR="00F95E11">
        <w:rPr>
          <w:rFonts w:ascii="Arial" w:hAnsi="Arial" w:cs="Arial"/>
          <w:sz w:val="24"/>
          <w:szCs w:val="24"/>
        </w:rPr>
        <w:t>”.</w:t>
      </w:r>
      <w:r>
        <w:rPr>
          <w:rFonts w:ascii="Arial" w:hAnsi="Arial" w:cs="Arial"/>
          <w:sz w:val="24"/>
          <w:szCs w:val="24"/>
        </w:rPr>
        <w:t xml:space="preserve"> </w:t>
      </w:r>
    </w:p>
    <w:p w14:paraId="624501E4" w14:textId="77777777" w:rsidR="00CB7FDC" w:rsidRPr="00CB7FDC" w:rsidRDefault="00CB7FDC" w:rsidP="00CB7FDC">
      <w:pPr>
        <w:keepNext/>
        <w:spacing w:before="240" w:after="60"/>
        <w:jc w:val="both"/>
        <w:outlineLvl w:val="2"/>
        <w:rPr>
          <w:rFonts w:asciiTheme="minorHAnsi" w:hAnsiTheme="minorHAnsi" w:cs="Arial"/>
          <w:b/>
          <w:bCs/>
          <w:sz w:val="26"/>
          <w:szCs w:val="26"/>
        </w:rPr>
      </w:pPr>
      <w:r w:rsidRPr="00CB7FDC">
        <w:rPr>
          <w:rFonts w:asciiTheme="minorHAnsi" w:hAnsiTheme="minorHAnsi" w:cs="Arial"/>
          <w:b/>
          <w:bCs/>
          <w:sz w:val="26"/>
          <w:szCs w:val="26"/>
        </w:rPr>
        <w:lastRenderedPageBreak/>
        <w:t>Evaluation criteria</w:t>
      </w:r>
    </w:p>
    <w:p w14:paraId="0C666F3C" w14:textId="77777777" w:rsidR="00CB7FDC" w:rsidRPr="00CB7FDC" w:rsidRDefault="00CB7FDC" w:rsidP="00CB7FDC">
      <w:pPr>
        <w:jc w:val="both"/>
        <w:rPr>
          <w:rFonts w:asciiTheme="minorHAnsi" w:hAnsiTheme="minorHAnsi"/>
          <w:sz w:val="24"/>
          <w:szCs w:val="24"/>
        </w:rPr>
      </w:pPr>
      <w:r w:rsidRPr="00CB7FDC">
        <w:rPr>
          <w:rFonts w:asciiTheme="minorHAnsi" w:hAnsiTheme="minorHAnsi"/>
          <w:sz w:val="24"/>
          <w:szCs w:val="24"/>
        </w:rPr>
        <w:t>Proposals will be evaluated against the following criteria:</w:t>
      </w:r>
    </w:p>
    <w:p w14:paraId="50C5F762" w14:textId="77777777" w:rsidR="00CB7FDC" w:rsidRPr="00CB7FDC" w:rsidRDefault="00CB7FDC" w:rsidP="00CB7FDC">
      <w:pPr>
        <w:numPr>
          <w:ilvl w:val="0"/>
          <w:numId w:val="8"/>
        </w:numPr>
        <w:jc w:val="both"/>
        <w:rPr>
          <w:rFonts w:asciiTheme="minorHAnsi" w:hAnsiTheme="minorHAnsi"/>
          <w:sz w:val="24"/>
          <w:szCs w:val="24"/>
        </w:rPr>
      </w:pPr>
      <w:r w:rsidRPr="00CB7FDC">
        <w:rPr>
          <w:rFonts w:asciiTheme="minorHAnsi" w:hAnsiTheme="minorHAnsi"/>
          <w:sz w:val="24"/>
          <w:szCs w:val="24"/>
        </w:rPr>
        <w:t>Quality of method statement – 50%; consisting of:</w:t>
      </w:r>
    </w:p>
    <w:p w14:paraId="55B05958" w14:textId="77777777" w:rsidR="00CB7FDC" w:rsidRPr="00CB7FDC" w:rsidRDefault="00CB7FDC" w:rsidP="00CB7FDC">
      <w:pPr>
        <w:numPr>
          <w:ilvl w:val="1"/>
          <w:numId w:val="8"/>
        </w:numPr>
        <w:jc w:val="both"/>
        <w:rPr>
          <w:rFonts w:asciiTheme="minorHAnsi" w:hAnsiTheme="minorHAnsi"/>
          <w:sz w:val="24"/>
          <w:szCs w:val="24"/>
        </w:rPr>
      </w:pPr>
      <w:r w:rsidRPr="00CB7FDC">
        <w:rPr>
          <w:rFonts w:asciiTheme="minorHAnsi" w:hAnsiTheme="minorHAnsi"/>
          <w:sz w:val="24"/>
          <w:szCs w:val="24"/>
        </w:rPr>
        <w:t>Relevant experience (20%)</w:t>
      </w:r>
    </w:p>
    <w:p w14:paraId="696070A3" w14:textId="77777777" w:rsidR="00CB7FDC" w:rsidRPr="00CB7FDC" w:rsidRDefault="00CB7FDC" w:rsidP="00CB7FDC">
      <w:pPr>
        <w:numPr>
          <w:ilvl w:val="1"/>
          <w:numId w:val="8"/>
        </w:numPr>
        <w:jc w:val="both"/>
        <w:rPr>
          <w:rFonts w:asciiTheme="minorHAnsi" w:hAnsiTheme="minorHAnsi"/>
          <w:sz w:val="24"/>
          <w:szCs w:val="24"/>
        </w:rPr>
      </w:pPr>
      <w:r w:rsidRPr="00CB7FDC">
        <w:rPr>
          <w:rFonts w:asciiTheme="minorHAnsi" w:hAnsiTheme="minorHAnsi"/>
          <w:sz w:val="24"/>
          <w:szCs w:val="24"/>
        </w:rPr>
        <w:t>Appreciation of the issues (20%)</w:t>
      </w:r>
    </w:p>
    <w:p w14:paraId="33CE1E18" w14:textId="77777777" w:rsidR="00CB7FDC" w:rsidRPr="00CB7FDC" w:rsidRDefault="00CB7FDC" w:rsidP="00CB7FDC">
      <w:pPr>
        <w:numPr>
          <w:ilvl w:val="1"/>
          <w:numId w:val="8"/>
        </w:numPr>
        <w:jc w:val="both"/>
        <w:rPr>
          <w:rFonts w:asciiTheme="minorHAnsi" w:hAnsiTheme="minorHAnsi"/>
          <w:sz w:val="24"/>
          <w:szCs w:val="24"/>
        </w:rPr>
      </w:pPr>
      <w:r w:rsidRPr="00CB7FDC">
        <w:rPr>
          <w:rFonts w:asciiTheme="minorHAnsi" w:hAnsiTheme="minorHAnsi"/>
          <w:sz w:val="24"/>
          <w:szCs w:val="24"/>
        </w:rPr>
        <w:t>Approach to the work (10%)</w:t>
      </w:r>
    </w:p>
    <w:p w14:paraId="187DEA4A" w14:textId="452E35F2" w:rsidR="00CB7FDC" w:rsidRPr="00CB7FDC" w:rsidRDefault="00CB7FDC" w:rsidP="00CB7FDC">
      <w:pPr>
        <w:numPr>
          <w:ilvl w:val="0"/>
          <w:numId w:val="8"/>
        </w:numPr>
        <w:jc w:val="both"/>
        <w:rPr>
          <w:rFonts w:asciiTheme="minorHAnsi" w:hAnsiTheme="minorHAnsi"/>
          <w:sz w:val="24"/>
          <w:szCs w:val="24"/>
        </w:rPr>
      </w:pPr>
      <w:r w:rsidRPr="00CB7FDC">
        <w:rPr>
          <w:rFonts w:asciiTheme="minorHAnsi" w:hAnsiTheme="minorHAnsi"/>
          <w:sz w:val="24"/>
          <w:szCs w:val="24"/>
        </w:rPr>
        <w:t>Cost – 50%</w:t>
      </w:r>
      <w:r w:rsidRPr="00CB7FDC">
        <w:rPr>
          <w:rFonts w:asciiTheme="minorHAnsi" w:hAnsiTheme="minorHAnsi"/>
          <w:noProof/>
        </w:rPr>
        <mc:AlternateContent>
          <mc:Choice Requires="wps">
            <w:drawing>
              <wp:anchor distT="0" distB="0" distL="114300" distR="114300" simplePos="0" relativeHeight="251659264" behindDoc="0" locked="0" layoutInCell="1" allowOverlap="1" wp14:anchorId="3ECDFE2D" wp14:editId="7F9CE740">
                <wp:simplePos x="0" y="0"/>
                <wp:positionH relativeFrom="column">
                  <wp:posOffset>-440055</wp:posOffset>
                </wp:positionH>
                <wp:positionV relativeFrom="paragraph">
                  <wp:posOffset>3486785</wp:posOffset>
                </wp:positionV>
                <wp:extent cx="240665" cy="23749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8AA14" w14:textId="77777777" w:rsidR="00CB7FDC" w:rsidRPr="00D01325" w:rsidRDefault="00CB7FDC" w:rsidP="00CB7FDC">
                            <w:pPr>
                              <w:rPr>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CDFE2D" id="_x0000_t202" coordsize="21600,21600" o:spt="202" path="m,l,21600r21600,l21600,xe">
                <v:stroke joinstyle="miter"/>
                <v:path gradientshapeok="t" o:connecttype="rect"/>
              </v:shapetype>
              <v:shape id="Text Box 4" o:spid="_x0000_s1026" type="#_x0000_t202" style="position:absolute;left:0;text-align:left;margin-left:-34.65pt;margin-top:274.5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" stroked="f">
                <v:textbox style="mso-fit-shape-to-text:t">
                  <w:txbxContent>
                    <w:p w14:paraId="0E18AA14" w14:textId="77777777" w:rsidR="00CB7FDC" w:rsidRPr="00D01325" w:rsidRDefault="00CB7FDC" w:rsidP="00CB7FDC">
                      <w:pPr>
                        <w:rPr>
                          <w:szCs w:val="28"/>
                        </w:rPr>
                      </w:pPr>
                    </w:p>
                  </w:txbxContent>
                </v:textbox>
                <w10:wrap type="square"/>
              </v:shape>
            </w:pict>
          </mc:Fallback>
        </mc:AlternateContent>
      </w:r>
    </w:p>
    <w:p w14:paraId="3191E8C2" w14:textId="77777777" w:rsidR="00CB7FDC" w:rsidRPr="00CB7FDC" w:rsidRDefault="00CB7FDC" w:rsidP="00CB7FDC">
      <w:pPr>
        <w:jc w:val="both"/>
        <w:rPr>
          <w:rFonts w:asciiTheme="minorHAnsi" w:hAnsiTheme="minorHAnsi"/>
          <w:b/>
          <w:sz w:val="24"/>
          <w:szCs w:val="24"/>
        </w:rPr>
      </w:pPr>
    </w:p>
    <w:p w14:paraId="459B2614" w14:textId="77777777" w:rsidR="00CB7FDC" w:rsidRPr="00CB7FDC" w:rsidRDefault="00CB7FDC" w:rsidP="00CB7FDC">
      <w:pPr>
        <w:jc w:val="both"/>
        <w:rPr>
          <w:rFonts w:asciiTheme="minorHAnsi" w:hAnsiTheme="minorHAnsi"/>
          <w:b/>
          <w:sz w:val="24"/>
          <w:szCs w:val="24"/>
        </w:rPr>
      </w:pPr>
      <w:r w:rsidRPr="00CB7FDC">
        <w:rPr>
          <w:rFonts w:asciiTheme="minorHAnsi" w:hAnsiTheme="minorHAnsi"/>
          <w:b/>
          <w:sz w:val="24"/>
          <w:szCs w:val="24"/>
        </w:rPr>
        <w:t>Method Statements</w:t>
      </w:r>
    </w:p>
    <w:p w14:paraId="6C10B1AB" w14:textId="77777777" w:rsidR="00CB7FDC" w:rsidRPr="00CB7FDC" w:rsidRDefault="00CB7FDC" w:rsidP="00CB7FDC">
      <w:pPr>
        <w:jc w:val="both"/>
        <w:rPr>
          <w:rFonts w:asciiTheme="minorHAnsi" w:hAnsiTheme="minorHAnsi"/>
          <w:sz w:val="24"/>
          <w:szCs w:val="24"/>
        </w:rPr>
      </w:pPr>
    </w:p>
    <w:p w14:paraId="577CD63F" w14:textId="77777777" w:rsidR="00CB7FDC" w:rsidRPr="00CB7FDC" w:rsidRDefault="00CB7FDC" w:rsidP="00CB7FDC">
      <w:pPr>
        <w:jc w:val="both"/>
        <w:rPr>
          <w:rFonts w:asciiTheme="minorHAnsi" w:hAnsiTheme="minorHAnsi"/>
          <w:sz w:val="24"/>
          <w:szCs w:val="24"/>
        </w:rPr>
      </w:pPr>
      <w:r w:rsidRPr="00CB7FDC">
        <w:rPr>
          <w:rFonts w:asciiTheme="minorHAnsi" w:hAnsiTheme="minorHAnsi"/>
          <w:sz w:val="24"/>
          <w:szCs w:val="24"/>
        </w:rPr>
        <w:t>The method statements detailed in the documents will be assessed using the methodology below. The marks detailed in the table are the only achievable marks contractors will receive. The Employer will not be able to award marks in between each category (e.g. contractors will not be able to achieve 5, marks).</w:t>
      </w:r>
    </w:p>
    <w:p w14:paraId="6B3402BB" w14:textId="77777777" w:rsidR="00CB7FDC" w:rsidRPr="00CB7FDC" w:rsidRDefault="00CB7FDC" w:rsidP="00CB7FDC">
      <w:pPr>
        <w:jc w:val="both"/>
        <w:rPr>
          <w:rFonts w:asciiTheme="minorHAnsi" w:hAnsiTheme="minorHAnsi" w:cs="Arial"/>
          <w:b/>
          <w:sz w:val="18"/>
          <w:szCs w:val="22"/>
        </w:rPr>
      </w:pPr>
    </w:p>
    <w:tbl>
      <w:tblPr>
        <w:tblW w:w="9017" w:type="dxa"/>
        <w:tblCellSpacing w:w="20" w:type="dxa"/>
        <w:tblInd w:w="39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4A0" w:firstRow="1" w:lastRow="0" w:firstColumn="1" w:lastColumn="0" w:noHBand="0" w:noVBand="1"/>
      </w:tblPr>
      <w:tblGrid>
        <w:gridCol w:w="1910"/>
        <w:gridCol w:w="5517"/>
        <w:gridCol w:w="1590"/>
      </w:tblGrid>
      <w:tr w:rsidR="00CB7FDC" w:rsidRPr="00CB7FDC" w14:paraId="43DBCAD0" w14:textId="77777777" w:rsidTr="00AF7288">
        <w:trPr>
          <w:tblCellSpacing w:w="20" w:type="dxa"/>
        </w:trPr>
        <w:tc>
          <w:tcPr>
            <w:tcW w:w="1850" w:type="dxa"/>
            <w:tcBorders>
              <w:top w:val="inset" w:sz="6" w:space="0" w:color="auto"/>
              <w:left w:val="inset" w:sz="6" w:space="0" w:color="auto"/>
              <w:bottom w:val="inset" w:sz="6" w:space="0" w:color="auto"/>
              <w:right w:val="inset" w:sz="6" w:space="0" w:color="auto"/>
            </w:tcBorders>
            <w:shd w:val="clear" w:color="auto" w:fill="DDD9C3"/>
            <w:tcMar>
              <w:top w:w="57" w:type="dxa"/>
              <w:left w:w="57" w:type="dxa"/>
              <w:bottom w:w="57" w:type="dxa"/>
              <w:right w:w="57" w:type="dxa"/>
            </w:tcMar>
            <w:vAlign w:val="center"/>
            <w:hideMark/>
          </w:tcPr>
          <w:p w14:paraId="4559A397" w14:textId="77777777" w:rsidR="00CB7FDC" w:rsidRPr="00CB7FDC" w:rsidRDefault="00CB7FDC" w:rsidP="00CB7FDC">
            <w:pPr>
              <w:ind w:left="360"/>
              <w:rPr>
                <w:rFonts w:asciiTheme="minorHAnsi" w:hAnsiTheme="minorHAnsi" w:cs="Arial"/>
                <w:b/>
                <w:bCs/>
                <w:szCs w:val="22"/>
              </w:rPr>
            </w:pPr>
            <w:r w:rsidRPr="00CB7FDC">
              <w:rPr>
                <w:rFonts w:asciiTheme="minorHAnsi" w:hAnsiTheme="minorHAnsi" w:cs="Arial"/>
                <w:b/>
                <w:bCs/>
                <w:szCs w:val="22"/>
              </w:rPr>
              <w:t>Category</w:t>
            </w:r>
          </w:p>
        </w:tc>
        <w:tc>
          <w:tcPr>
            <w:tcW w:w="5477" w:type="dxa"/>
            <w:tcBorders>
              <w:top w:val="inset" w:sz="6" w:space="0" w:color="auto"/>
              <w:left w:val="inset" w:sz="6" w:space="0" w:color="auto"/>
              <w:bottom w:val="inset" w:sz="6" w:space="0" w:color="auto"/>
              <w:right w:val="inset" w:sz="6" w:space="0" w:color="auto"/>
            </w:tcBorders>
            <w:shd w:val="clear" w:color="auto" w:fill="DDD9C3"/>
            <w:tcMar>
              <w:top w:w="57" w:type="dxa"/>
              <w:left w:w="57" w:type="dxa"/>
              <w:bottom w:w="57" w:type="dxa"/>
              <w:right w:w="57" w:type="dxa"/>
            </w:tcMar>
            <w:vAlign w:val="center"/>
            <w:hideMark/>
          </w:tcPr>
          <w:p w14:paraId="1AE5A1D0" w14:textId="77777777" w:rsidR="00CB7FDC" w:rsidRPr="00CB7FDC" w:rsidRDefault="00CB7FDC" w:rsidP="00CB7FDC">
            <w:pPr>
              <w:ind w:left="360"/>
              <w:jc w:val="center"/>
              <w:rPr>
                <w:rFonts w:asciiTheme="minorHAnsi" w:hAnsiTheme="minorHAnsi" w:cs="Arial"/>
                <w:b/>
                <w:bCs/>
                <w:szCs w:val="22"/>
              </w:rPr>
            </w:pPr>
            <w:r w:rsidRPr="00CB7FDC">
              <w:rPr>
                <w:rFonts w:asciiTheme="minorHAnsi" w:hAnsiTheme="minorHAnsi" w:cs="Arial"/>
                <w:b/>
                <w:bCs/>
                <w:szCs w:val="22"/>
              </w:rPr>
              <w:t>Scoring</w:t>
            </w:r>
          </w:p>
        </w:tc>
        <w:tc>
          <w:tcPr>
            <w:tcW w:w="1530" w:type="dxa"/>
            <w:tcBorders>
              <w:top w:val="inset" w:sz="6" w:space="0" w:color="auto"/>
              <w:left w:val="inset" w:sz="6" w:space="0" w:color="auto"/>
              <w:bottom w:val="inset" w:sz="6" w:space="0" w:color="auto"/>
              <w:right w:val="inset" w:sz="6" w:space="0" w:color="auto"/>
            </w:tcBorders>
            <w:shd w:val="clear" w:color="auto" w:fill="DDD9C3"/>
            <w:tcMar>
              <w:top w:w="57" w:type="dxa"/>
              <w:left w:w="57" w:type="dxa"/>
              <w:bottom w:w="57" w:type="dxa"/>
              <w:right w:w="57" w:type="dxa"/>
            </w:tcMar>
            <w:vAlign w:val="center"/>
            <w:hideMark/>
          </w:tcPr>
          <w:p w14:paraId="767D66C0" w14:textId="77777777" w:rsidR="00CB7FDC" w:rsidRPr="00CB7FDC" w:rsidRDefault="00CB7FDC" w:rsidP="00CB7FDC">
            <w:pPr>
              <w:ind w:left="360"/>
              <w:rPr>
                <w:rFonts w:asciiTheme="minorHAnsi" w:hAnsiTheme="minorHAnsi" w:cs="Arial"/>
                <w:b/>
                <w:bCs/>
                <w:szCs w:val="22"/>
              </w:rPr>
            </w:pPr>
            <w:r w:rsidRPr="00CB7FDC">
              <w:rPr>
                <w:rFonts w:asciiTheme="minorHAnsi" w:hAnsiTheme="minorHAnsi" w:cs="Arial"/>
                <w:b/>
                <w:bCs/>
                <w:szCs w:val="22"/>
              </w:rPr>
              <w:t>Mark</w:t>
            </w:r>
          </w:p>
        </w:tc>
      </w:tr>
      <w:tr w:rsidR="00CB7FDC" w:rsidRPr="00CB7FDC" w14:paraId="2C393216" w14:textId="77777777" w:rsidTr="00AF7288">
        <w:trPr>
          <w:tblCellSpacing w:w="20" w:type="dxa"/>
        </w:trPr>
        <w:tc>
          <w:tcPr>
            <w:tcW w:w="1850"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6200592A"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Unacceptable Standard</w:t>
            </w:r>
          </w:p>
        </w:tc>
        <w:tc>
          <w:tcPr>
            <w:tcW w:w="5477"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426984A9" w14:textId="77777777" w:rsidR="00CB7FDC" w:rsidRPr="00CB7FDC" w:rsidRDefault="00CB7FDC" w:rsidP="00CB7FDC">
            <w:pPr>
              <w:ind w:left="360"/>
              <w:jc w:val="both"/>
              <w:rPr>
                <w:rFonts w:asciiTheme="minorHAnsi" w:hAnsiTheme="minorHAnsi" w:cs="Arial"/>
                <w:szCs w:val="22"/>
              </w:rPr>
            </w:pPr>
            <w:r w:rsidRPr="00CB7FDC">
              <w:rPr>
                <w:rFonts w:asciiTheme="minorHAnsi" w:hAnsiTheme="minorHAnsi" w:cs="Arial"/>
                <w:szCs w:val="22"/>
              </w:rPr>
              <w:t xml:space="preserve">Unacceptable Standard, </w:t>
            </w:r>
            <w:r w:rsidRPr="00CB7FDC">
              <w:rPr>
                <w:rFonts w:asciiTheme="minorHAnsi" w:hAnsiTheme="minorHAnsi" w:cs="Arial"/>
                <w:szCs w:val="22"/>
                <w:u w:val="single"/>
              </w:rPr>
              <w:t>no response or no supporting detail provided</w:t>
            </w:r>
            <w:r w:rsidRPr="00CB7FDC">
              <w:rPr>
                <w:rFonts w:asciiTheme="minorHAnsi" w:hAnsiTheme="minorHAnsi" w:cs="Arial"/>
                <w:szCs w:val="22"/>
              </w:rPr>
              <w:t xml:space="preserve"> to back up important elements of the tenderer’s proposals and/or no contract focus. Response does not give the Employer confidence in the tenderer’s ability to deliver the services.</w:t>
            </w:r>
          </w:p>
        </w:tc>
        <w:tc>
          <w:tcPr>
            <w:tcW w:w="1530"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65133084"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0</w:t>
            </w:r>
          </w:p>
        </w:tc>
      </w:tr>
      <w:tr w:rsidR="00CB7FDC" w:rsidRPr="00CB7FDC" w14:paraId="00BF1A78" w14:textId="77777777" w:rsidTr="00AF7288">
        <w:trPr>
          <w:tblCellSpacing w:w="20" w:type="dxa"/>
        </w:trPr>
        <w:tc>
          <w:tcPr>
            <w:tcW w:w="1850"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294352AE"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Weak Standard</w:t>
            </w:r>
          </w:p>
        </w:tc>
        <w:tc>
          <w:tcPr>
            <w:tcW w:w="5477"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16C7AB24" w14:textId="77777777" w:rsidR="00CB7FDC" w:rsidRPr="00CB7FDC" w:rsidRDefault="00CB7FDC" w:rsidP="00CB7FDC">
            <w:pPr>
              <w:ind w:left="360"/>
              <w:jc w:val="both"/>
              <w:rPr>
                <w:rFonts w:asciiTheme="minorHAnsi" w:hAnsiTheme="minorHAnsi" w:cs="Arial"/>
                <w:szCs w:val="22"/>
              </w:rPr>
            </w:pPr>
            <w:r w:rsidRPr="00CB7FDC">
              <w:rPr>
                <w:rFonts w:asciiTheme="minorHAnsi" w:hAnsiTheme="minorHAnsi" w:cs="Arial"/>
                <w:szCs w:val="22"/>
              </w:rPr>
              <w:t xml:space="preserve">Weak Standard, several areas are </w:t>
            </w:r>
            <w:r w:rsidRPr="00CB7FDC">
              <w:rPr>
                <w:rFonts w:asciiTheme="minorHAnsi" w:hAnsiTheme="minorHAnsi" w:cs="Arial"/>
                <w:szCs w:val="22"/>
                <w:u w:val="single"/>
              </w:rPr>
              <w:t>not backed up by a good standard of supporting detail, have little contract focus</w:t>
            </w:r>
            <w:r w:rsidRPr="00CB7FDC">
              <w:rPr>
                <w:rFonts w:asciiTheme="minorHAnsi" w:hAnsiTheme="minorHAnsi" w:cs="Arial"/>
                <w:szCs w:val="22"/>
              </w:rPr>
              <w:t xml:space="preserve"> and give the Employer concern about the tenderer’s ability to deliver some important elements of the services.</w:t>
            </w:r>
          </w:p>
        </w:tc>
        <w:tc>
          <w:tcPr>
            <w:tcW w:w="1530"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04FD33F6"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3</w:t>
            </w:r>
          </w:p>
        </w:tc>
      </w:tr>
      <w:tr w:rsidR="00CB7FDC" w:rsidRPr="00CB7FDC" w14:paraId="2FA3EC2C" w14:textId="77777777" w:rsidTr="00AF7288">
        <w:trPr>
          <w:trHeight w:val="1225"/>
          <w:tblCellSpacing w:w="20" w:type="dxa"/>
        </w:trPr>
        <w:tc>
          <w:tcPr>
            <w:tcW w:w="1850"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3E67269D"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Good Standard</w:t>
            </w:r>
          </w:p>
        </w:tc>
        <w:tc>
          <w:tcPr>
            <w:tcW w:w="5477"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164137A5" w14:textId="77777777" w:rsidR="00CB7FDC" w:rsidRPr="00CB7FDC" w:rsidRDefault="00CB7FDC" w:rsidP="00CB7FDC">
            <w:pPr>
              <w:ind w:left="360"/>
              <w:jc w:val="both"/>
              <w:rPr>
                <w:rFonts w:asciiTheme="minorHAnsi" w:hAnsiTheme="minorHAnsi" w:cs="Arial"/>
                <w:szCs w:val="22"/>
              </w:rPr>
            </w:pPr>
            <w:r w:rsidRPr="00CB7FDC">
              <w:rPr>
                <w:rFonts w:asciiTheme="minorHAnsi" w:hAnsiTheme="minorHAnsi" w:cs="Arial"/>
                <w:szCs w:val="22"/>
              </w:rPr>
              <w:t xml:space="preserve">Good Standard </w:t>
            </w:r>
            <w:r w:rsidRPr="00CB7FDC">
              <w:rPr>
                <w:rFonts w:asciiTheme="minorHAnsi" w:hAnsiTheme="minorHAnsi" w:cs="Arial"/>
                <w:szCs w:val="22"/>
                <w:u w:val="single"/>
              </w:rPr>
              <w:t xml:space="preserve">backed up by supporting detail and with contract focus in </w:t>
            </w:r>
            <w:proofErr w:type="gramStart"/>
            <w:r w:rsidRPr="00CB7FDC">
              <w:rPr>
                <w:rFonts w:asciiTheme="minorHAnsi" w:hAnsiTheme="minorHAnsi" w:cs="Arial"/>
                <w:szCs w:val="22"/>
                <w:u w:val="single"/>
              </w:rPr>
              <w:t>the majority of</w:t>
            </w:r>
            <w:proofErr w:type="gramEnd"/>
            <w:r w:rsidRPr="00CB7FDC">
              <w:rPr>
                <w:rFonts w:asciiTheme="minorHAnsi" w:hAnsiTheme="minorHAnsi" w:cs="Arial"/>
                <w:szCs w:val="22"/>
                <w:u w:val="single"/>
              </w:rPr>
              <w:t xml:space="preserve"> areas</w:t>
            </w:r>
            <w:r w:rsidRPr="00CB7FDC">
              <w:rPr>
                <w:rFonts w:asciiTheme="minorHAnsi" w:hAnsiTheme="minorHAnsi" w:cs="Arial"/>
                <w:szCs w:val="22"/>
              </w:rPr>
              <w:t xml:space="preserve"> but gives the Employer minor concerns about the tenderer’s ability to deliver the services.</w:t>
            </w:r>
          </w:p>
        </w:tc>
        <w:tc>
          <w:tcPr>
            <w:tcW w:w="1530"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5F007561"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6</w:t>
            </w:r>
          </w:p>
        </w:tc>
      </w:tr>
      <w:tr w:rsidR="00CB7FDC" w:rsidRPr="00CB7FDC" w14:paraId="2E406AE1" w14:textId="77777777" w:rsidTr="00AF7288">
        <w:trPr>
          <w:trHeight w:val="1427"/>
          <w:tblCellSpacing w:w="20" w:type="dxa"/>
        </w:trPr>
        <w:tc>
          <w:tcPr>
            <w:tcW w:w="1850"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3EA816F8"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High Standard</w:t>
            </w:r>
          </w:p>
        </w:tc>
        <w:tc>
          <w:tcPr>
            <w:tcW w:w="5477"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518610C5" w14:textId="77777777" w:rsidR="00CB7FDC" w:rsidRPr="00CB7FDC" w:rsidRDefault="00CB7FDC" w:rsidP="00CB7FDC">
            <w:pPr>
              <w:ind w:left="408" w:right="106"/>
              <w:jc w:val="both"/>
              <w:rPr>
                <w:rFonts w:asciiTheme="minorHAnsi" w:hAnsiTheme="minorHAnsi" w:cs="Arial"/>
                <w:szCs w:val="22"/>
              </w:rPr>
            </w:pPr>
            <w:r w:rsidRPr="00CB7FDC">
              <w:rPr>
                <w:rFonts w:asciiTheme="minorHAnsi" w:hAnsiTheme="minorHAnsi" w:cs="Arial"/>
                <w:szCs w:val="22"/>
              </w:rPr>
              <w:t xml:space="preserve">High Standard, </w:t>
            </w:r>
            <w:r w:rsidRPr="00CB7FDC">
              <w:rPr>
                <w:rFonts w:asciiTheme="minorHAnsi" w:hAnsiTheme="minorHAnsi" w:cs="Arial"/>
                <w:szCs w:val="22"/>
                <w:u w:val="single"/>
              </w:rPr>
              <w:t>backed up by a high standard of supporting detail in most areas with good contract focus</w:t>
            </w:r>
            <w:r w:rsidRPr="00CB7FDC">
              <w:rPr>
                <w:rFonts w:asciiTheme="minorHAnsi" w:hAnsiTheme="minorHAnsi" w:cs="Arial"/>
                <w:szCs w:val="22"/>
              </w:rPr>
              <w:t>. Response gives the Employer very few concerns about the tenderer’s ability to deliver the services.</w:t>
            </w:r>
          </w:p>
        </w:tc>
        <w:tc>
          <w:tcPr>
            <w:tcW w:w="1530" w:type="dxa"/>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1F3E25E4"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 xml:space="preserve">8 </w:t>
            </w:r>
          </w:p>
        </w:tc>
      </w:tr>
      <w:tr w:rsidR="00CB7FDC" w:rsidRPr="00CB7FDC" w14:paraId="2AB5E70A" w14:textId="77777777" w:rsidTr="00AF7288">
        <w:trPr>
          <w:trHeight w:val="509"/>
          <w:tblCellSpacing w:w="20" w:type="dxa"/>
        </w:trPr>
        <w:tc>
          <w:tcPr>
            <w:tcW w:w="1850" w:type="dxa"/>
            <w:vMerge w:val="restart"/>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7851056A"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Exceptionally High Standard</w:t>
            </w:r>
          </w:p>
        </w:tc>
        <w:tc>
          <w:tcPr>
            <w:tcW w:w="5477" w:type="dxa"/>
            <w:vMerge w:val="restart"/>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57499EE1" w14:textId="77777777" w:rsidR="00CB7FDC" w:rsidRPr="00CB7FDC" w:rsidRDefault="00CB7FDC" w:rsidP="00CB7FDC">
            <w:pPr>
              <w:ind w:left="360"/>
              <w:jc w:val="both"/>
              <w:rPr>
                <w:rFonts w:asciiTheme="minorHAnsi" w:hAnsiTheme="minorHAnsi" w:cs="Arial"/>
                <w:szCs w:val="22"/>
              </w:rPr>
            </w:pPr>
            <w:r w:rsidRPr="00CB7FDC">
              <w:rPr>
                <w:rFonts w:asciiTheme="minorHAnsi" w:hAnsiTheme="minorHAnsi" w:cs="Arial"/>
                <w:szCs w:val="22"/>
              </w:rPr>
              <w:t xml:space="preserve">Exceptionally High Standard of response, </w:t>
            </w:r>
            <w:r w:rsidRPr="00CB7FDC">
              <w:rPr>
                <w:rFonts w:asciiTheme="minorHAnsi" w:hAnsiTheme="minorHAnsi" w:cs="Arial"/>
                <w:szCs w:val="22"/>
                <w:u w:val="single"/>
              </w:rPr>
              <w:t>backed up by comprehensive supporting detail with very strong contract focus,</w:t>
            </w:r>
            <w:r w:rsidRPr="00CB7FDC">
              <w:rPr>
                <w:rFonts w:asciiTheme="minorHAnsi" w:hAnsiTheme="minorHAnsi" w:cs="Arial"/>
                <w:szCs w:val="22"/>
              </w:rPr>
              <w:t xml:space="preserve"> and which provides the Employer with complete confidence in the tenderer’s ability to deliver the services.</w:t>
            </w:r>
          </w:p>
        </w:tc>
        <w:tc>
          <w:tcPr>
            <w:tcW w:w="1530" w:type="dxa"/>
            <w:vMerge w:val="restart"/>
            <w:tcBorders>
              <w:top w:val="inset" w:sz="6" w:space="0" w:color="auto"/>
              <w:left w:val="inset" w:sz="6" w:space="0" w:color="auto"/>
              <w:bottom w:val="inset" w:sz="6" w:space="0" w:color="auto"/>
              <w:right w:val="inset" w:sz="6" w:space="0" w:color="auto"/>
            </w:tcBorders>
            <w:shd w:val="clear" w:color="auto" w:fill="D9D9D9"/>
            <w:tcMar>
              <w:top w:w="57" w:type="dxa"/>
              <w:left w:w="57" w:type="dxa"/>
              <w:bottom w:w="57" w:type="dxa"/>
              <w:right w:w="57" w:type="dxa"/>
            </w:tcMar>
            <w:vAlign w:val="center"/>
            <w:hideMark/>
          </w:tcPr>
          <w:p w14:paraId="3E6102D1" w14:textId="77777777" w:rsidR="00CB7FDC" w:rsidRPr="00CB7FDC" w:rsidRDefault="00CB7FDC" w:rsidP="00CB7FDC">
            <w:pPr>
              <w:ind w:left="360"/>
              <w:rPr>
                <w:rFonts w:asciiTheme="minorHAnsi" w:hAnsiTheme="minorHAnsi" w:cs="Arial"/>
                <w:szCs w:val="22"/>
              </w:rPr>
            </w:pPr>
            <w:r w:rsidRPr="00CB7FDC">
              <w:rPr>
                <w:rFonts w:asciiTheme="minorHAnsi" w:hAnsiTheme="minorHAnsi" w:cs="Arial"/>
                <w:szCs w:val="22"/>
              </w:rPr>
              <w:t>10</w:t>
            </w:r>
          </w:p>
        </w:tc>
      </w:tr>
      <w:tr w:rsidR="00CB7FDC" w:rsidRPr="00CB7FDC" w14:paraId="19750CFD" w14:textId="77777777" w:rsidTr="00AF7288">
        <w:trPr>
          <w:trHeight w:val="509"/>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1F6D3FAE" w14:textId="77777777" w:rsidR="00CB7FDC" w:rsidRPr="00CB7FDC" w:rsidRDefault="00CB7FDC" w:rsidP="00CB7FDC">
            <w:pPr>
              <w:rPr>
                <w:rFonts w:asciiTheme="minorHAnsi" w:hAnsiTheme="minorHAnsi" w:cs="Arial"/>
                <w:szCs w:val="22"/>
              </w:rPr>
            </w:pPr>
          </w:p>
        </w:tc>
        <w:tc>
          <w:tcPr>
            <w:tcW w:w="0" w:type="auto"/>
            <w:vMerge/>
            <w:tcBorders>
              <w:top w:val="inset" w:sz="6" w:space="0" w:color="auto"/>
              <w:left w:val="inset" w:sz="6" w:space="0" w:color="auto"/>
              <w:bottom w:val="inset" w:sz="6" w:space="0" w:color="auto"/>
              <w:right w:val="inset" w:sz="6" w:space="0" w:color="auto"/>
            </w:tcBorders>
            <w:vAlign w:val="center"/>
            <w:hideMark/>
          </w:tcPr>
          <w:p w14:paraId="3D30AFE8" w14:textId="77777777" w:rsidR="00CB7FDC" w:rsidRPr="00CB7FDC" w:rsidRDefault="00CB7FDC" w:rsidP="00CB7FDC">
            <w:pPr>
              <w:rPr>
                <w:rFonts w:asciiTheme="minorHAnsi" w:hAnsiTheme="minorHAnsi" w:cs="Arial"/>
                <w:szCs w:val="22"/>
              </w:rPr>
            </w:pPr>
          </w:p>
        </w:tc>
        <w:tc>
          <w:tcPr>
            <w:tcW w:w="0" w:type="auto"/>
            <w:vMerge/>
            <w:tcBorders>
              <w:top w:val="inset" w:sz="6" w:space="0" w:color="auto"/>
              <w:left w:val="inset" w:sz="6" w:space="0" w:color="auto"/>
              <w:bottom w:val="inset" w:sz="6" w:space="0" w:color="auto"/>
              <w:right w:val="inset" w:sz="6" w:space="0" w:color="auto"/>
            </w:tcBorders>
            <w:vAlign w:val="center"/>
            <w:hideMark/>
          </w:tcPr>
          <w:p w14:paraId="0FD92BE1" w14:textId="77777777" w:rsidR="00CB7FDC" w:rsidRPr="00CB7FDC" w:rsidRDefault="00CB7FDC" w:rsidP="00CB7FDC">
            <w:pPr>
              <w:rPr>
                <w:rFonts w:asciiTheme="minorHAnsi" w:hAnsiTheme="minorHAnsi" w:cs="Arial"/>
                <w:szCs w:val="22"/>
              </w:rPr>
            </w:pPr>
          </w:p>
        </w:tc>
      </w:tr>
    </w:tbl>
    <w:p w14:paraId="3A800CDE" w14:textId="77777777" w:rsidR="00CB7FDC" w:rsidRPr="00CB7FDC" w:rsidRDefault="00CB7FDC" w:rsidP="00CB7FDC">
      <w:pPr>
        <w:ind w:left="284"/>
        <w:jc w:val="both"/>
        <w:rPr>
          <w:rFonts w:asciiTheme="minorHAnsi" w:hAnsiTheme="minorHAnsi" w:cs="Arial"/>
          <w:b/>
          <w:szCs w:val="22"/>
        </w:rPr>
      </w:pPr>
    </w:p>
    <w:p w14:paraId="5D7A7B03" w14:textId="77777777" w:rsidR="00CB7FDC" w:rsidRPr="00CB7FDC" w:rsidRDefault="00CB7FDC" w:rsidP="00CB7FDC">
      <w:pPr>
        <w:jc w:val="both"/>
        <w:rPr>
          <w:rFonts w:asciiTheme="minorHAnsi" w:hAnsiTheme="minorHAnsi"/>
          <w:sz w:val="24"/>
          <w:szCs w:val="24"/>
        </w:rPr>
      </w:pPr>
      <w:r w:rsidRPr="00CB7FDC">
        <w:rPr>
          <w:rFonts w:asciiTheme="minorHAnsi" w:hAnsiTheme="minorHAnsi"/>
          <w:sz w:val="24"/>
          <w:szCs w:val="24"/>
        </w:rPr>
        <w:t xml:space="preserve">Contractors should note that if they fail to achieve a score of higher than 3 (“weak standard”) for any </w:t>
      </w:r>
      <w:proofErr w:type="gramStart"/>
      <w:r w:rsidRPr="00CB7FDC">
        <w:rPr>
          <w:rFonts w:asciiTheme="minorHAnsi" w:hAnsiTheme="minorHAnsi"/>
          <w:sz w:val="24"/>
          <w:szCs w:val="24"/>
        </w:rPr>
        <w:t>particular individual</w:t>
      </w:r>
      <w:proofErr w:type="gramEnd"/>
      <w:r w:rsidRPr="00CB7FDC">
        <w:rPr>
          <w:rFonts w:asciiTheme="minorHAnsi" w:hAnsiTheme="minorHAnsi"/>
          <w:sz w:val="24"/>
          <w:szCs w:val="24"/>
        </w:rPr>
        <w:t xml:space="preserve"> quality question, then the Employer may, at its discretion, disqualify that tenderer.</w:t>
      </w:r>
    </w:p>
    <w:p w14:paraId="5F5FFEF4" w14:textId="77777777" w:rsidR="00D85D98" w:rsidRDefault="00D85D98" w:rsidP="00327E34">
      <w:pPr>
        <w:rPr>
          <w:rFonts w:ascii="Arial" w:hAnsi="Arial" w:cs="Arial"/>
          <w:sz w:val="24"/>
          <w:szCs w:val="24"/>
        </w:rPr>
      </w:pPr>
    </w:p>
    <w:p w14:paraId="7DEFB8A6" w14:textId="30007B70" w:rsidR="00327E34" w:rsidRDefault="00327E34" w:rsidP="00327E34">
      <w:pPr>
        <w:widowControl w:val="0"/>
        <w:rPr>
          <w:rFonts w:ascii="Arial" w:hAnsi="Arial" w:cs="Arial"/>
          <w:b/>
          <w:sz w:val="28"/>
          <w:szCs w:val="28"/>
        </w:rPr>
      </w:pPr>
    </w:p>
    <w:p w14:paraId="1D8C3AC0" w14:textId="27B6A108" w:rsidR="00262C42" w:rsidRDefault="00262C42" w:rsidP="00327E34">
      <w:pPr>
        <w:widowControl w:val="0"/>
        <w:rPr>
          <w:rFonts w:ascii="Arial" w:hAnsi="Arial" w:cs="Arial"/>
          <w:b/>
          <w:sz w:val="28"/>
          <w:szCs w:val="28"/>
        </w:rPr>
      </w:pPr>
    </w:p>
    <w:p w14:paraId="39785603" w14:textId="77777777" w:rsidR="006758D4" w:rsidRDefault="006758D4" w:rsidP="00C576BE">
      <w:pPr>
        <w:widowControl w:val="0"/>
        <w:rPr>
          <w:rFonts w:ascii="Arial" w:hAnsi="Arial" w:cs="Arial"/>
          <w:b/>
          <w:sz w:val="28"/>
          <w:szCs w:val="28"/>
        </w:rPr>
      </w:pPr>
    </w:p>
    <w:p w14:paraId="5BA4DAC6" w14:textId="0CD3EEAF" w:rsidR="00C576BE" w:rsidRPr="00327E34" w:rsidRDefault="00C576BE" w:rsidP="00C576BE">
      <w:pPr>
        <w:widowControl w:val="0"/>
        <w:rPr>
          <w:rFonts w:ascii="Arial" w:hAnsi="Arial" w:cs="Arial"/>
          <w:b/>
          <w:sz w:val="28"/>
          <w:szCs w:val="28"/>
          <w:u w:val="single"/>
        </w:rPr>
      </w:pPr>
      <w:r w:rsidRPr="00327E34">
        <w:rPr>
          <w:rFonts w:ascii="Arial" w:hAnsi="Arial" w:cs="Arial"/>
          <w:b/>
          <w:sz w:val="28"/>
          <w:szCs w:val="28"/>
          <w:u w:val="single"/>
        </w:rPr>
        <w:t xml:space="preserve">Section </w:t>
      </w:r>
      <w:r>
        <w:rPr>
          <w:rFonts w:ascii="Arial" w:hAnsi="Arial" w:cs="Arial"/>
          <w:b/>
          <w:sz w:val="28"/>
          <w:szCs w:val="28"/>
          <w:u w:val="single"/>
        </w:rPr>
        <w:t>3</w:t>
      </w:r>
    </w:p>
    <w:p w14:paraId="2BC69790" w14:textId="77777777" w:rsidR="00327E34" w:rsidRDefault="00327E34"/>
    <w:p w14:paraId="7CB13D29" w14:textId="77777777" w:rsidR="00327E34" w:rsidRDefault="00327E34"/>
    <w:p w14:paraId="36844388" w14:textId="77777777" w:rsidR="00327E34" w:rsidRDefault="00327E34"/>
    <w:p w14:paraId="0B1F9924" w14:textId="77777777" w:rsidR="00327E34" w:rsidRDefault="00327E34">
      <w:r w:rsidRPr="00327E34">
        <w:rPr>
          <w:noProof/>
        </w:rPr>
        <w:drawing>
          <wp:inline distT="0" distB="0" distL="0" distR="0" wp14:anchorId="579AA69A" wp14:editId="62F635B7">
            <wp:extent cx="5731510" cy="27958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79586"/>
                    </a:xfrm>
                    <a:prstGeom prst="rect">
                      <a:avLst/>
                    </a:prstGeom>
                    <a:noFill/>
                    <a:ln>
                      <a:noFill/>
                    </a:ln>
                  </pic:spPr>
                </pic:pic>
              </a:graphicData>
            </a:graphic>
          </wp:inline>
        </w:drawing>
      </w:r>
    </w:p>
    <w:sectPr w:rsidR="00327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3A1E"/>
    <w:multiLevelType w:val="hybridMultilevel"/>
    <w:tmpl w:val="ED742502"/>
    <w:lvl w:ilvl="0" w:tplc="4822CD00">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834E10"/>
    <w:multiLevelType w:val="hybridMultilevel"/>
    <w:tmpl w:val="04243F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8D1D15"/>
    <w:multiLevelType w:val="hybridMultilevel"/>
    <w:tmpl w:val="09B259CA"/>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AD1E4F"/>
    <w:multiLevelType w:val="hybridMultilevel"/>
    <w:tmpl w:val="BBB0E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B3188"/>
    <w:multiLevelType w:val="hybridMultilevel"/>
    <w:tmpl w:val="B0EAA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C9487A"/>
    <w:multiLevelType w:val="hybridMultilevel"/>
    <w:tmpl w:val="4F1A0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1"/>
  </w:num>
  <w:num w:numId="5">
    <w:abstractNumId w:val="0"/>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7E34"/>
    <w:rsid w:val="00262C42"/>
    <w:rsid w:val="00327E34"/>
    <w:rsid w:val="006758D4"/>
    <w:rsid w:val="00A33836"/>
    <w:rsid w:val="00B256B5"/>
    <w:rsid w:val="00B63823"/>
    <w:rsid w:val="00BD4177"/>
    <w:rsid w:val="00C576BE"/>
    <w:rsid w:val="00CB7FDC"/>
    <w:rsid w:val="00D85D98"/>
    <w:rsid w:val="00F95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618B"/>
  <w15:chartTrackingRefBased/>
  <w15:docId w15:val="{09F30836-5CF5-4A1B-8860-D5CD387E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E3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E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E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5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814">
      <w:bodyDiv w:val="1"/>
      <w:marLeft w:val="0"/>
      <w:marRight w:val="0"/>
      <w:marTop w:val="0"/>
      <w:marBottom w:val="0"/>
      <w:divBdr>
        <w:top w:val="none" w:sz="0" w:space="0" w:color="auto"/>
        <w:left w:val="none" w:sz="0" w:space="0" w:color="auto"/>
        <w:bottom w:val="none" w:sz="0" w:space="0" w:color="auto"/>
        <w:right w:val="none" w:sz="0" w:space="0" w:color="auto"/>
      </w:divBdr>
    </w:div>
    <w:div w:id="635454922">
      <w:bodyDiv w:val="1"/>
      <w:marLeft w:val="0"/>
      <w:marRight w:val="0"/>
      <w:marTop w:val="0"/>
      <w:marBottom w:val="0"/>
      <w:divBdr>
        <w:top w:val="none" w:sz="0" w:space="0" w:color="auto"/>
        <w:left w:val="none" w:sz="0" w:space="0" w:color="auto"/>
        <w:bottom w:val="none" w:sz="0" w:space="0" w:color="auto"/>
        <w:right w:val="none" w:sz="0" w:space="0" w:color="auto"/>
      </w:divBdr>
    </w:div>
    <w:div w:id="731655760">
      <w:bodyDiv w:val="1"/>
      <w:marLeft w:val="0"/>
      <w:marRight w:val="0"/>
      <w:marTop w:val="0"/>
      <w:marBottom w:val="0"/>
      <w:divBdr>
        <w:top w:val="none" w:sz="0" w:space="0" w:color="auto"/>
        <w:left w:val="none" w:sz="0" w:space="0" w:color="auto"/>
        <w:bottom w:val="none" w:sz="0" w:space="0" w:color="auto"/>
        <w:right w:val="none" w:sz="0" w:space="0" w:color="auto"/>
      </w:divBdr>
    </w:div>
    <w:div w:id="852963345">
      <w:bodyDiv w:val="1"/>
      <w:marLeft w:val="0"/>
      <w:marRight w:val="0"/>
      <w:marTop w:val="0"/>
      <w:marBottom w:val="0"/>
      <w:divBdr>
        <w:top w:val="none" w:sz="0" w:space="0" w:color="auto"/>
        <w:left w:val="none" w:sz="0" w:space="0" w:color="auto"/>
        <w:bottom w:val="none" w:sz="0" w:space="0" w:color="auto"/>
        <w:right w:val="none" w:sz="0" w:space="0" w:color="auto"/>
      </w:divBdr>
    </w:div>
    <w:div w:id="1418209735">
      <w:bodyDiv w:val="1"/>
      <w:marLeft w:val="0"/>
      <w:marRight w:val="0"/>
      <w:marTop w:val="0"/>
      <w:marBottom w:val="0"/>
      <w:divBdr>
        <w:top w:val="none" w:sz="0" w:space="0" w:color="auto"/>
        <w:left w:val="none" w:sz="0" w:space="0" w:color="auto"/>
        <w:bottom w:val="none" w:sz="0" w:space="0" w:color="auto"/>
        <w:right w:val="none" w:sz="0" w:space="0" w:color="auto"/>
      </w:divBdr>
    </w:div>
    <w:div w:id="1418749637">
      <w:bodyDiv w:val="1"/>
      <w:marLeft w:val="0"/>
      <w:marRight w:val="0"/>
      <w:marTop w:val="0"/>
      <w:marBottom w:val="0"/>
      <w:divBdr>
        <w:top w:val="none" w:sz="0" w:space="0" w:color="auto"/>
        <w:left w:val="none" w:sz="0" w:space="0" w:color="auto"/>
        <w:bottom w:val="none" w:sz="0" w:space="0" w:color="auto"/>
        <w:right w:val="none" w:sz="0" w:space="0" w:color="auto"/>
      </w:divBdr>
    </w:div>
    <w:div w:id="18312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E7D4E648</Template>
  <TotalTime>1</TotalTime>
  <Pages>6</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James - ST SC</dc:creator>
  <cp:keywords/>
  <dc:description/>
  <cp:lastModifiedBy>Walker, James - ST SC</cp:lastModifiedBy>
  <cp:revision>2</cp:revision>
  <dcterms:created xsi:type="dcterms:W3CDTF">2018-03-16T07:18:00Z</dcterms:created>
  <dcterms:modified xsi:type="dcterms:W3CDTF">2018-03-16T07:18:00Z</dcterms:modified>
</cp:coreProperties>
</file>