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DCC" w:rsidRDefault="000A7DCC" w:rsidP="000A7DCC">
      <w:pPr>
        <w:jc w:val="both"/>
        <w:rPr>
          <w:rFonts w:cs="Arial"/>
          <w:color w:val="FF0000"/>
          <w:sz w:val="32"/>
          <w:szCs w:val="32"/>
        </w:rPr>
      </w:pPr>
    </w:p>
    <w:p w:rsidR="000A7DCC" w:rsidRDefault="000A7DCC" w:rsidP="000A7DCC">
      <w:pPr>
        <w:jc w:val="both"/>
        <w:rPr>
          <w:rFonts w:cs="Arial"/>
          <w:color w:val="FF0000"/>
          <w:sz w:val="32"/>
          <w:szCs w:val="32"/>
        </w:rPr>
      </w:pPr>
    </w:p>
    <w:p w:rsidR="000A7DCC" w:rsidRDefault="000A7DCC" w:rsidP="000A7DCC">
      <w:pPr>
        <w:jc w:val="both"/>
        <w:rPr>
          <w:rFonts w:cs="Arial"/>
          <w:color w:val="FF0000"/>
          <w:sz w:val="32"/>
          <w:szCs w:val="32"/>
        </w:rPr>
      </w:pPr>
    </w:p>
    <w:p w:rsidR="000A7DCC" w:rsidRDefault="000A7DCC" w:rsidP="000A7DCC">
      <w:pPr>
        <w:jc w:val="both"/>
        <w:rPr>
          <w:rFonts w:cs="Arial"/>
          <w:color w:val="FF0000"/>
          <w:sz w:val="32"/>
          <w:szCs w:val="32"/>
        </w:rPr>
      </w:pPr>
    </w:p>
    <w:p w:rsidR="00FC5D15" w:rsidRDefault="00FC5D15" w:rsidP="000A7DCC">
      <w:pPr>
        <w:jc w:val="both"/>
        <w:rPr>
          <w:rFonts w:cs="Arial"/>
          <w:color w:val="FF0000"/>
          <w:sz w:val="32"/>
          <w:szCs w:val="32"/>
        </w:rPr>
      </w:pPr>
    </w:p>
    <w:p w:rsidR="00FC5D15" w:rsidRDefault="00FC5D15" w:rsidP="000A7DCC">
      <w:pPr>
        <w:jc w:val="both"/>
        <w:rPr>
          <w:rFonts w:cs="Arial"/>
          <w:color w:val="FF0000"/>
          <w:sz w:val="32"/>
          <w:szCs w:val="32"/>
        </w:rPr>
      </w:pPr>
    </w:p>
    <w:p w:rsidR="00FC5D15" w:rsidRDefault="00FC5D15" w:rsidP="000A7DCC">
      <w:pPr>
        <w:jc w:val="both"/>
        <w:rPr>
          <w:rFonts w:cs="Arial"/>
          <w:color w:val="FF0000"/>
          <w:sz w:val="32"/>
          <w:szCs w:val="32"/>
        </w:rPr>
      </w:pPr>
    </w:p>
    <w:p w:rsidR="00FC5D15" w:rsidRDefault="00FC5D15" w:rsidP="000A7DCC">
      <w:pPr>
        <w:jc w:val="both"/>
        <w:rPr>
          <w:rFonts w:cs="Arial"/>
          <w:color w:val="FF0000"/>
          <w:sz w:val="32"/>
          <w:szCs w:val="32"/>
        </w:rPr>
      </w:pPr>
    </w:p>
    <w:p w:rsidR="00FC5D15" w:rsidRPr="00406CDD" w:rsidRDefault="00FC5D15" w:rsidP="000A7DCC">
      <w:pPr>
        <w:jc w:val="both"/>
        <w:rPr>
          <w:rFonts w:cs="Arial"/>
          <w:color w:val="FF0000"/>
          <w:sz w:val="32"/>
          <w:szCs w:val="32"/>
        </w:rPr>
      </w:pPr>
    </w:p>
    <w:p w:rsidR="000A7DCC" w:rsidRPr="00406CDD" w:rsidRDefault="000A7DCC" w:rsidP="000A7DCC">
      <w:pPr>
        <w:jc w:val="both"/>
        <w:rPr>
          <w:rFonts w:cs="Arial"/>
          <w:color w:val="FF0000"/>
          <w:sz w:val="32"/>
          <w:szCs w:val="32"/>
        </w:rPr>
      </w:pPr>
    </w:p>
    <w:p w:rsidR="000A7DCC" w:rsidRPr="00930BE9" w:rsidRDefault="007A419C" w:rsidP="000A7DCC">
      <w:pPr>
        <w:pBdr>
          <w:top w:val="thinThickSmallGap" w:sz="24" w:space="1" w:color="auto"/>
          <w:bottom w:val="thickThinSmallGap" w:sz="24" w:space="1" w:color="auto"/>
        </w:pBdr>
        <w:jc w:val="both"/>
        <w:rPr>
          <w:rFonts w:cs="Arial"/>
          <w:b/>
          <w:sz w:val="36"/>
          <w:szCs w:val="36"/>
        </w:rPr>
      </w:pPr>
      <w:r w:rsidRPr="007A419C">
        <w:rPr>
          <w:rFonts w:cs="Arial"/>
          <w:b/>
          <w:sz w:val="36"/>
          <w:szCs w:val="36"/>
        </w:rPr>
        <w:t>Schedule 2 – Performance Monitoring and Contract Management</w:t>
      </w:r>
      <w:r w:rsidR="000A7DCC" w:rsidRPr="00930BE9">
        <w:rPr>
          <w:rFonts w:cs="Arial"/>
          <w:b/>
          <w:sz w:val="36"/>
          <w:szCs w:val="36"/>
        </w:rPr>
        <w:t xml:space="preserve"> </w:t>
      </w:r>
    </w:p>
    <w:p w:rsidR="000A7DCC" w:rsidRPr="00406CDD" w:rsidRDefault="000A7DCC" w:rsidP="000A7DCC">
      <w:pPr>
        <w:pBdr>
          <w:top w:val="thinThickSmallGap" w:sz="24" w:space="1" w:color="auto"/>
          <w:bottom w:val="thickThinSmallGap" w:sz="24" w:space="1" w:color="auto"/>
        </w:pBdr>
        <w:jc w:val="both"/>
        <w:rPr>
          <w:rFonts w:cs="Arial"/>
          <w:b/>
          <w:color w:val="FF0000"/>
          <w:sz w:val="32"/>
          <w:szCs w:val="32"/>
        </w:rPr>
      </w:pPr>
      <w:r w:rsidRPr="00406CDD">
        <w:rPr>
          <w:rFonts w:cs="Arial"/>
          <w:b/>
          <w:color w:val="FF0000"/>
          <w:sz w:val="32"/>
          <w:szCs w:val="32"/>
        </w:rPr>
        <w:t xml:space="preserve"> </w:t>
      </w:r>
    </w:p>
    <w:p w:rsidR="000A7DCC" w:rsidRPr="00406CDD" w:rsidRDefault="000A7DCC" w:rsidP="000A7DCC">
      <w:pPr>
        <w:pBdr>
          <w:top w:val="thinThickSmallGap" w:sz="24" w:space="1" w:color="auto"/>
          <w:bottom w:val="thickThinSmallGap" w:sz="24" w:space="1" w:color="auto"/>
        </w:pBdr>
        <w:jc w:val="both"/>
        <w:rPr>
          <w:rFonts w:cs="Arial"/>
          <w:b/>
          <w:color w:val="FF0000"/>
          <w:sz w:val="32"/>
          <w:szCs w:val="32"/>
        </w:rPr>
      </w:pPr>
    </w:p>
    <w:p w:rsidR="000A7DCC" w:rsidRPr="00406CDD" w:rsidRDefault="000A7DCC" w:rsidP="000A7DCC">
      <w:pPr>
        <w:pBdr>
          <w:top w:val="thinThickSmallGap" w:sz="24" w:space="1" w:color="auto"/>
          <w:bottom w:val="thickThinSmallGap" w:sz="24" w:space="1" w:color="auto"/>
        </w:pBdr>
        <w:jc w:val="both"/>
        <w:rPr>
          <w:rFonts w:cs="Arial"/>
          <w:b/>
          <w:color w:val="FF0000"/>
          <w:sz w:val="32"/>
          <w:szCs w:val="32"/>
        </w:rPr>
      </w:pPr>
    </w:p>
    <w:p w:rsidR="00826ADF" w:rsidRPr="00826ADF" w:rsidRDefault="00826ADF" w:rsidP="00826ADF">
      <w:pPr>
        <w:pBdr>
          <w:top w:val="thinThickSmallGap" w:sz="24" w:space="1" w:color="auto"/>
          <w:bottom w:val="thickThinSmallGap" w:sz="24" w:space="1" w:color="auto"/>
        </w:pBdr>
        <w:jc w:val="both"/>
        <w:rPr>
          <w:rFonts w:cs="Arial"/>
          <w:b/>
          <w:bCs/>
          <w:sz w:val="40"/>
          <w:szCs w:val="40"/>
        </w:rPr>
      </w:pPr>
      <w:r w:rsidRPr="00826ADF">
        <w:rPr>
          <w:rFonts w:cs="Arial"/>
          <w:b/>
          <w:bCs/>
          <w:sz w:val="40"/>
          <w:szCs w:val="40"/>
        </w:rPr>
        <w:t>Provision of Linen Hire Services in Derbyshire Adult Care Residential Establishments</w:t>
      </w:r>
    </w:p>
    <w:p w:rsidR="000A7DCC" w:rsidRPr="00826ADF" w:rsidRDefault="00FA47CB" w:rsidP="000A7DCC">
      <w:pPr>
        <w:pBdr>
          <w:top w:val="thinThickSmallGap" w:sz="24" w:space="1" w:color="auto"/>
          <w:bottom w:val="thickThinSmallGap" w:sz="24" w:space="1" w:color="auto"/>
        </w:pBdr>
        <w:jc w:val="both"/>
        <w:rPr>
          <w:rFonts w:cs="Arial"/>
          <w:b/>
          <w:sz w:val="40"/>
          <w:szCs w:val="40"/>
        </w:rPr>
      </w:pPr>
      <w:r w:rsidRPr="00826ADF">
        <w:rPr>
          <w:rFonts w:cs="Arial"/>
          <w:b/>
          <w:sz w:val="40"/>
          <w:szCs w:val="40"/>
        </w:rPr>
        <w:t>Contract Title</w:t>
      </w:r>
    </w:p>
    <w:p w:rsidR="000A7DCC" w:rsidRPr="00826ADF" w:rsidRDefault="000A7DCC" w:rsidP="000A7DCC">
      <w:pPr>
        <w:pBdr>
          <w:top w:val="thinThickSmallGap" w:sz="24" w:space="1" w:color="auto"/>
          <w:bottom w:val="thickThinSmallGap" w:sz="24" w:space="1" w:color="auto"/>
        </w:pBdr>
        <w:jc w:val="both"/>
        <w:rPr>
          <w:rFonts w:cs="Arial"/>
          <w:b/>
          <w:color w:val="FF0000"/>
          <w:sz w:val="32"/>
          <w:szCs w:val="32"/>
        </w:rPr>
      </w:pPr>
    </w:p>
    <w:p w:rsidR="000A7DCC" w:rsidRPr="00826ADF" w:rsidRDefault="000A7DCC" w:rsidP="000A7DCC">
      <w:pPr>
        <w:pStyle w:val="Heading4"/>
        <w:pBdr>
          <w:top w:val="thinThickSmallGap" w:sz="24" w:space="1" w:color="auto"/>
          <w:bottom w:val="thickThinSmallGap" w:sz="24" w:space="1" w:color="auto"/>
        </w:pBdr>
        <w:jc w:val="both"/>
        <w:rPr>
          <w:rFonts w:ascii="Arial" w:hAnsi="Arial" w:cs="Arial"/>
          <w:color w:val="FF0000"/>
          <w:sz w:val="32"/>
          <w:szCs w:val="32"/>
        </w:rPr>
      </w:pPr>
    </w:p>
    <w:p w:rsidR="00826ADF" w:rsidRPr="00826ADF" w:rsidRDefault="00826ADF" w:rsidP="00826ADF">
      <w:pPr>
        <w:pBdr>
          <w:top w:val="thinThickSmallGap" w:sz="24" w:space="1" w:color="auto"/>
          <w:bottom w:val="thickThinSmallGap" w:sz="24" w:space="1" w:color="auto"/>
        </w:pBdr>
        <w:jc w:val="both"/>
        <w:rPr>
          <w:rFonts w:cs="Arial"/>
          <w:b/>
          <w:bCs/>
          <w:sz w:val="40"/>
          <w:szCs w:val="40"/>
        </w:rPr>
      </w:pPr>
      <w:r w:rsidRPr="00826ADF">
        <w:rPr>
          <w:rFonts w:cs="Arial"/>
          <w:b/>
          <w:bCs/>
          <w:sz w:val="40"/>
          <w:szCs w:val="40"/>
        </w:rPr>
        <w:t xml:space="preserve">Reference SSD 17 02 </w:t>
      </w:r>
    </w:p>
    <w:p w:rsidR="000A7DCC" w:rsidRPr="00406CDD" w:rsidRDefault="000A7DCC" w:rsidP="000A7DCC">
      <w:pPr>
        <w:jc w:val="both"/>
        <w:rPr>
          <w:rFonts w:cs="Arial"/>
          <w:color w:val="FF0000"/>
          <w:sz w:val="32"/>
          <w:szCs w:val="32"/>
        </w:rPr>
      </w:pPr>
    </w:p>
    <w:p w:rsidR="000A7DCC" w:rsidRPr="00406CDD" w:rsidRDefault="000A7DCC" w:rsidP="000A7DCC">
      <w:pPr>
        <w:jc w:val="both"/>
        <w:rPr>
          <w:rFonts w:cs="Arial"/>
          <w:color w:val="FF0000"/>
          <w:sz w:val="24"/>
          <w:szCs w:val="24"/>
        </w:rPr>
      </w:pPr>
    </w:p>
    <w:p w:rsidR="000A7DCC" w:rsidRDefault="000A7DCC" w:rsidP="000A7DCC">
      <w:pPr>
        <w:jc w:val="both"/>
        <w:rPr>
          <w:rFonts w:cs="Arial"/>
          <w:color w:val="FF0000"/>
          <w:sz w:val="24"/>
          <w:szCs w:val="24"/>
        </w:rPr>
      </w:pPr>
    </w:p>
    <w:p w:rsidR="000A7DCC" w:rsidRDefault="000A7DCC" w:rsidP="000A7DCC">
      <w:pPr>
        <w:jc w:val="both"/>
        <w:rPr>
          <w:rFonts w:cs="Arial"/>
          <w:color w:val="FF0000"/>
          <w:sz w:val="24"/>
          <w:szCs w:val="24"/>
        </w:rPr>
      </w:pPr>
    </w:p>
    <w:p w:rsidR="000A7DCC" w:rsidRDefault="000A7DCC" w:rsidP="000A7DCC">
      <w:pPr>
        <w:jc w:val="both"/>
        <w:rPr>
          <w:rFonts w:cs="Arial"/>
          <w:color w:val="FF0000"/>
          <w:sz w:val="24"/>
          <w:szCs w:val="24"/>
        </w:rPr>
      </w:pPr>
    </w:p>
    <w:p w:rsidR="000A7DCC" w:rsidRDefault="000A7DCC" w:rsidP="000A7DCC">
      <w:pPr>
        <w:jc w:val="both"/>
        <w:rPr>
          <w:rFonts w:cs="Arial"/>
          <w:color w:val="FF0000"/>
          <w:sz w:val="24"/>
          <w:szCs w:val="24"/>
        </w:rPr>
      </w:pPr>
    </w:p>
    <w:p w:rsidR="000A7DCC" w:rsidRPr="00406CDD" w:rsidRDefault="000A7DCC" w:rsidP="000A7DCC">
      <w:pPr>
        <w:jc w:val="both"/>
        <w:rPr>
          <w:rFonts w:cs="Arial"/>
          <w:color w:val="FF0000"/>
          <w:sz w:val="24"/>
          <w:szCs w:val="24"/>
        </w:rPr>
      </w:pPr>
    </w:p>
    <w:p w:rsidR="00A870B7" w:rsidRDefault="00A870B7"/>
    <w:p w:rsidR="00FC5D15" w:rsidRDefault="00FC5D15"/>
    <w:p w:rsidR="00FC5D15" w:rsidRDefault="00FC5D15"/>
    <w:p w:rsidR="00FC5D15" w:rsidRDefault="00FC5D15"/>
    <w:p w:rsidR="00FC5D15" w:rsidRDefault="00FC5D15"/>
    <w:p w:rsidR="00FC5D15" w:rsidRDefault="00FC5D15"/>
    <w:p w:rsidR="00FC5D15" w:rsidRDefault="00FC5D15"/>
    <w:p w:rsidR="00FC5D15" w:rsidRDefault="00FC5D15">
      <w:r>
        <w:rPr>
          <w:rFonts w:cs="Arial"/>
          <w:noProof/>
        </w:rPr>
        <w:drawing>
          <wp:anchor distT="0" distB="0" distL="114300" distR="114300" simplePos="0" relativeHeight="251659264" behindDoc="0" locked="0" layoutInCell="1" allowOverlap="1" wp14:anchorId="1ABF7822" wp14:editId="3E706733">
            <wp:simplePos x="0" y="0"/>
            <wp:positionH relativeFrom="margin">
              <wp:posOffset>132080</wp:posOffset>
            </wp:positionH>
            <wp:positionV relativeFrom="margin">
              <wp:posOffset>7239000</wp:posOffset>
            </wp:positionV>
            <wp:extent cx="2028825" cy="581025"/>
            <wp:effectExtent l="0" t="0" r="9525" b="9525"/>
            <wp:wrapSquare wrapText="bothSides"/>
            <wp:docPr id="1" name="Picture 1" descr="DCC (no strapline)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 (no strapline) Purp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581025"/>
                    </a:xfrm>
                    <a:prstGeom prst="rect">
                      <a:avLst/>
                    </a:prstGeom>
                    <a:noFill/>
                    <a:ln>
                      <a:noFill/>
                    </a:ln>
                  </pic:spPr>
                </pic:pic>
              </a:graphicData>
            </a:graphic>
          </wp:anchor>
        </w:drawing>
      </w:r>
    </w:p>
    <w:p w:rsidR="00FC5D15" w:rsidRDefault="00FC5D15"/>
    <w:p w:rsidR="00FC5D15" w:rsidRDefault="00FC5D15"/>
    <w:p w:rsidR="00FC5D15" w:rsidRDefault="00FC5D15"/>
    <w:p w:rsidR="00FC5D15" w:rsidRDefault="00FC5D15"/>
    <w:p w:rsidR="00FC5D15" w:rsidRDefault="00FC5D15">
      <w:pPr>
        <w:rPr>
          <w:rFonts w:cs="Arial"/>
          <w:noProof/>
        </w:rPr>
      </w:pPr>
    </w:p>
    <w:p w:rsidR="00FC5D15" w:rsidRDefault="00FC5D15">
      <w:pPr>
        <w:rPr>
          <w:rFonts w:cs="Arial"/>
          <w:noProof/>
        </w:rPr>
      </w:pPr>
    </w:p>
    <w:p w:rsidR="005B07A8" w:rsidRDefault="006465A2" w:rsidP="007D4C84">
      <w:pPr>
        <w:ind w:left="720" w:hanging="720"/>
        <w:rPr>
          <w:b/>
          <w:sz w:val="24"/>
          <w:szCs w:val="24"/>
        </w:rPr>
      </w:pPr>
      <w:r>
        <w:rPr>
          <w:b/>
          <w:sz w:val="24"/>
          <w:szCs w:val="24"/>
        </w:rPr>
        <w:t>1</w:t>
      </w:r>
      <w:r w:rsidR="007D4C84">
        <w:rPr>
          <w:b/>
          <w:sz w:val="24"/>
          <w:szCs w:val="24"/>
        </w:rPr>
        <w:t>.</w:t>
      </w:r>
      <w:r w:rsidR="007D4C84">
        <w:rPr>
          <w:b/>
          <w:sz w:val="24"/>
          <w:szCs w:val="24"/>
        </w:rPr>
        <w:tab/>
      </w:r>
      <w:r w:rsidR="00821B4F">
        <w:rPr>
          <w:b/>
          <w:sz w:val="24"/>
          <w:szCs w:val="24"/>
        </w:rPr>
        <w:t xml:space="preserve">Monitoring </w:t>
      </w:r>
      <w:r w:rsidR="003E4C40">
        <w:rPr>
          <w:b/>
          <w:sz w:val="24"/>
          <w:szCs w:val="24"/>
        </w:rPr>
        <w:t>Report</w:t>
      </w:r>
      <w:r w:rsidR="005B07A8">
        <w:rPr>
          <w:b/>
          <w:sz w:val="24"/>
          <w:szCs w:val="24"/>
        </w:rPr>
        <w:t xml:space="preserve"> Requirements</w:t>
      </w:r>
    </w:p>
    <w:p w:rsidR="005B07A8" w:rsidRDefault="005B07A8" w:rsidP="007D4C84">
      <w:pPr>
        <w:ind w:left="720" w:hanging="720"/>
        <w:rPr>
          <w:b/>
          <w:sz w:val="24"/>
          <w:szCs w:val="24"/>
        </w:rPr>
      </w:pPr>
    </w:p>
    <w:p w:rsidR="00A83676" w:rsidRDefault="006465A2" w:rsidP="00A83676">
      <w:pPr>
        <w:ind w:left="720" w:hanging="720"/>
        <w:rPr>
          <w:sz w:val="24"/>
          <w:szCs w:val="24"/>
        </w:rPr>
      </w:pPr>
      <w:r>
        <w:rPr>
          <w:sz w:val="24"/>
          <w:szCs w:val="24"/>
        </w:rPr>
        <w:t>1</w:t>
      </w:r>
      <w:r w:rsidR="005B07A8">
        <w:rPr>
          <w:sz w:val="24"/>
          <w:szCs w:val="24"/>
        </w:rPr>
        <w:t>.1</w:t>
      </w:r>
      <w:r w:rsidR="005B07A8">
        <w:rPr>
          <w:sz w:val="24"/>
          <w:szCs w:val="24"/>
        </w:rPr>
        <w:tab/>
      </w:r>
      <w:r w:rsidR="00BB1FE5">
        <w:rPr>
          <w:sz w:val="24"/>
          <w:szCs w:val="24"/>
        </w:rPr>
        <w:t xml:space="preserve">The Provider is required to submit a </w:t>
      </w:r>
      <w:r w:rsidR="00921E2F">
        <w:rPr>
          <w:sz w:val="24"/>
          <w:szCs w:val="24"/>
        </w:rPr>
        <w:t>Quarterly Report</w:t>
      </w:r>
      <w:r w:rsidR="00BB1FE5">
        <w:rPr>
          <w:sz w:val="24"/>
          <w:szCs w:val="24"/>
        </w:rPr>
        <w:t xml:space="preserve"> to the Council.  </w:t>
      </w:r>
      <w:r w:rsidR="00821B4F">
        <w:rPr>
          <w:sz w:val="24"/>
          <w:szCs w:val="24"/>
        </w:rPr>
        <w:t>This</w:t>
      </w:r>
      <w:r w:rsidR="00BB1FE5">
        <w:rPr>
          <w:sz w:val="24"/>
          <w:szCs w:val="24"/>
        </w:rPr>
        <w:t xml:space="preserve"> Quarterly Report</w:t>
      </w:r>
      <w:r w:rsidR="00921E2F">
        <w:rPr>
          <w:sz w:val="24"/>
          <w:szCs w:val="24"/>
        </w:rPr>
        <w:t xml:space="preserve"> </w:t>
      </w:r>
      <w:r w:rsidR="00BB1FE5">
        <w:rPr>
          <w:sz w:val="24"/>
          <w:szCs w:val="24"/>
        </w:rPr>
        <w:t>will include the following information:</w:t>
      </w:r>
    </w:p>
    <w:p w:rsidR="00BB1FE5" w:rsidRDefault="00BB1FE5" w:rsidP="00A83676">
      <w:pPr>
        <w:ind w:left="720" w:hanging="720"/>
        <w:rPr>
          <w:sz w:val="24"/>
          <w:szCs w:val="24"/>
        </w:rPr>
      </w:pPr>
    </w:p>
    <w:p w:rsidR="00BB1FE5" w:rsidRDefault="006465A2" w:rsidP="00BB1FE5">
      <w:pPr>
        <w:ind w:left="1440" w:hanging="720"/>
        <w:rPr>
          <w:sz w:val="24"/>
          <w:szCs w:val="24"/>
        </w:rPr>
      </w:pPr>
      <w:r>
        <w:rPr>
          <w:sz w:val="24"/>
          <w:szCs w:val="24"/>
        </w:rPr>
        <w:t>1</w:t>
      </w:r>
      <w:r w:rsidR="00BB1FE5">
        <w:rPr>
          <w:sz w:val="24"/>
          <w:szCs w:val="24"/>
        </w:rPr>
        <w:t>.</w:t>
      </w:r>
      <w:r w:rsidR="00821B4F">
        <w:rPr>
          <w:sz w:val="24"/>
          <w:szCs w:val="24"/>
        </w:rPr>
        <w:t>1</w:t>
      </w:r>
      <w:r w:rsidR="00BB1FE5">
        <w:rPr>
          <w:sz w:val="24"/>
          <w:szCs w:val="24"/>
        </w:rPr>
        <w:t>.1</w:t>
      </w:r>
      <w:r w:rsidR="00BB1FE5">
        <w:rPr>
          <w:sz w:val="24"/>
          <w:szCs w:val="24"/>
        </w:rPr>
        <w:tab/>
        <w:t xml:space="preserve">Performance against </w:t>
      </w:r>
      <w:r w:rsidR="00BB1FE5" w:rsidRPr="006465A2">
        <w:rPr>
          <w:sz w:val="24"/>
          <w:szCs w:val="24"/>
        </w:rPr>
        <w:t>the Outcomes</w:t>
      </w:r>
      <w:r w:rsidRPr="006465A2">
        <w:rPr>
          <w:sz w:val="24"/>
          <w:szCs w:val="24"/>
        </w:rPr>
        <w:t xml:space="preserve">, </w:t>
      </w:r>
      <w:r w:rsidR="00BB1FE5" w:rsidRPr="006465A2">
        <w:rPr>
          <w:sz w:val="24"/>
          <w:szCs w:val="24"/>
        </w:rPr>
        <w:t xml:space="preserve">Performance Targets and Output Measures detailed in Section </w:t>
      </w:r>
      <w:r>
        <w:rPr>
          <w:sz w:val="24"/>
          <w:szCs w:val="24"/>
        </w:rPr>
        <w:t>17 of Schedule 1 – Service Specification</w:t>
      </w:r>
      <w:r w:rsidR="00BB1FE5">
        <w:rPr>
          <w:sz w:val="24"/>
          <w:szCs w:val="24"/>
        </w:rPr>
        <w:t>.</w:t>
      </w:r>
    </w:p>
    <w:p w:rsidR="00BB1FE5" w:rsidRDefault="00BB1FE5" w:rsidP="00A83676">
      <w:pPr>
        <w:ind w:left="720" w:hanging="720"/>
        <w:rPr>
          <w:sz w:val="24"/>
          <w:szCs w:val="24"/>
        </w:rPr>
      </w:pPr>
    </w:p>
    <w:p w:rsidR="003A0BDE" w:rsidRDefault="006465A2" w:rsidP="005B07A8">
      <w:pPr>
        <w:ind w:left="1440" w:hanging="720"/>
        <w:rPr>
          <w:sz w:val="24"/>
          <w:szCs w:val="24"/>
        </w:rPr>
      </w:pPr>
      <w:r>
        <w:rPr>
          <w:sz w:val="24"/>
          <w:szCs w:val="24"/>
        </w:rPr>
        <w:t>1</w:t>
      </w:r>
      <w:r w:rsidR="00BB1FE5">
        <w:rPr>
          <w:sz w:val="24"/>
          <w:szCs w:val="24"/>
        </w:rPr>
        <w:t>.</w:t>
      </w:r>
      <w:r w:rsidR="00821B4F">
        <w:rPr>
          <w:sz w:val="24"/>
          <w:szCs w:val="24"/>
        </w:rPr>
        <w:t>1</w:t>
      </w:r>
      <w:r w:rsidR="00BB1FE5">
        <w:rPr>
          <w:sz w:val="24"/>
          <w:szCs w:val="24"/>
        </w:rPr>
        <w:t>.2</w:t>
      </w:r>
      <w:r w:rsidR="00BB1FE5">
        <w:rPr>
          <w:sz w:val="24"/>
          <w:szCs w:val="24"/>
        </w:rPr>
        <w:tab/>
      </w:r>
      <w:r w:rsidR="007761E5">
        <w:rPr>
          <w:sz w:val="24"/>
          <w:szCs w:val="24"/>
        </w:rPr>
        <w:t xml:space="preserve">Performance against the </w:t>
      </w:r>
      <w:r w:rsidR="003A0BDE" w:rsidRPr="007761E5">
        <w:rPr>
          <w:sz w:val="24"/>
          <w:szCs w:val="24"/>
        </w:rPr>
        <w:t>Social Value</w:t>
      </w:r>
      <w:r w:rsidR="007761E5" w:rsidRPr="007761E5">
        <w:rPr>
          <w:sz w:val="24"/>
          <w:szCs w:val="24"/>
        </w:rPr>
        <w:t xml:space="preserve"> priorities identified</w:t>
      </w:r>
      <w:r w:rsidR="007F4412">
        <w:rPr>
          <w:sz w:val="24"/>
          <w:szCs w:val="24"/>
        </w:rPr>
        <w:t xml:space="preserve"> in the Social Value proposal</w:t>
      </w:r>
      <w:r w:rsidR="00047749">
        <w:rPr>
          <w:sz w:val="24"/>
          <w:szCs w:val="24"/>
        </w:rPr>
        <w:t>.</w:t>
      </w:r>
      <w:r w:rsidR="007761E5" w:rsidRPr="007761E5">
        <w:rPr>
          <w:sz w:val="24"/>
          <w:szCs w:val="24"/>
        </w:rPr>
        <w:t xml:space="preserve"> </w:t>
      </w:r>
    </w:p>
    <w:p w:rsidR="007F4412" w:rsidRDefault="007F4412" w:rsidP="005B07A8">
      <w:pPr>
        <w:ind w:left="1440" w:hanging="720"/>
        <w:rPr>
          <w:sz w:val="24"/>
          <w:szCs w:val="24"/>
        </w:rPr>
      </w:pPr>
    </w:p>
    <w:p w:rsidR="00A83676" w:rsidRDefault="006465A2" w:rsidP="005B07A8">
      <w:pPr>
        <w:ind w:left="1440" w:hanging="720"/>
        <w:rPr>
          <w:sz w:val="24"/>
          <w:szCs w:val="24"/>
        </w:rPr>
      </w:pPr>
      <w:r>
        <w:rPr>
          <w:sz w:val="24"/>
          <w:szCs w:val="24"/>
        </w:rPr>
        <w:t>1</w:t>
      </w:r>
      <w:r w:rsidR="003A0BDE">
        <w:rPr>
          <w:sz w:val="24"/>
          <w:szCs w:val="24"/>
        </w:rPr>
        <w:t>.1.3</w:t>
      </w:r>
      <w:r w:rsidR="003A0BDE">
        <w:rPr>
          <w:sz w:val="24"/>
          <w:szCs w:val="24"/>
        </w:rPr>
        <w:tab/>
      </w:r>
      <w:r w:rsidR="007F4412">
        <w:rPr>
          <w:sz w:val="24"/>
          <w:szCs w:val="24"/>
        </w:rPr>
        <w:t>Individual establishment volumes.</w:t>
      </w:r>
    </w:p>
    <w:p w:rsidR="005B07A8" w:rsidRPr="005B07A8" w:rsidRDefault="00A83676" w:rsidP="00A83676">
      <w:pPr>
        <w:ind w:left="720" w:hanging="720"/>
        <w:rPr>
          <w:sz w:val="24"/>
          <w:szCs w:val="24"/>
        </w:rPr>
      </w:pPr>
      <w:r>
        <w:rPr>
          <w:sz w:val="24"/>
          <w:szCs w:val="24"/>
        </w:rPr>
        <w:t xml:space="preserve"> </w:t>
      </w:r>
      <w:r w:rsidR="005B07A8">
        <w:rPr>
          <w:sz w:val="24"/>
          <w:szCs w:val="24"/>
        </w:rPr>
        <w:t xml:space="preserve"> </w:t>
      </w:r>
    </w:p>
    <w:p w:rsidR="005B07A8" w:rsidRDefault="006465A2" w:rsidP="007D4C84">
      <w:pPr>
        <w:ind w:left="720" w:hanging="720"/>
        <w:rPr>
          <w:sz w:val="24"/>
          <w:szCs w:val="24"/>
        </w:rPr>
      </w:pPr>
      <w:r>
        <w:rPr>
          <w:sz w:val="24"/>
          <w:szCs w:val="24"/>
        </w:rPr>
        <w:t>1</w:t>
      </w:r>
      <w:r w:rsidR="00BB1FE5">
        <w:rPr>
          <w:sz w:val="24"/>
          <w:szCs w:val="24"/>
        </w:rPr>
        <w:t>.</w:t>
      </w:r>
      <w:r w:rsidR="00821B4F">
        <w:rPr>
          <w:sz w:val="24"/>
          <w:szCs w:val="24"/>
        </w:rPr>
        <w:t>2</w:t>
      </w:r>
      <w:r w:rsidR="00BB1FE5">
        <w:rPr>
          <w:sz w:val="24"/>
          <w:szCs w:val="24"/>
        </w:rPr>
        <w:tab/>
      </w:r>
      <w:r w:rsidR="00921E2F">
        <w:rPr>
          <w:sz w:val="24"/>
          <w:szCs w:val="24"/>
        </w:rPr>
        <w:t xml:space="preserve">The Provider is required to submit a </w:t>
      </w:r>
      <w:r w:rsidR="00821B4F">
        <w:rPr>
          <w:sz w:val="24"/>
          <w:szCs w:val="24"/>
        </w:rPr>
        <w:t>Financial R</w:t>
      </w:r>
      <w:r w:rsidR="00921E2F">
        <w:rPr>
          <w:sz w:val="24"/>
          <w:szCs w:val="24"/>
        </w:rPr>
        <w:t xml:space="preserve">eport </w:t>
      </w:r>
      <w:r w:rsidR="00821B4F">
        <w:rPr>
          <w:sz w:val="24"/>
          <w:szCs w:val="24"/>
        </w:rPr>
        <w:t>to the Council on a quarterly basis.  This will detail actual spend against the budget</w:t>
      </w:r>
      <w:r w:rsidR="00ED1745">
        <w:rPr>
          <w:sz w:val="24"/>
          <w:szCs w:val="24"/>
        </w:rPr>
        <w:t xml:space="preserve"> detailed in </w:t>
      </w:r>
      <w:r w:rsidR="00ED1745" w:rsidRPr="007F4412">
        <w:rPr>
          <w:sz w:val="24"/>
          <w:szCs w:val="24"/>
        </w:rPr>
        <w:t xml:space="preserve">Schedule </w:t>
      </w:r>
      <w:r w:rsidR="00047749" w:rsidRPr="007F4412">
        <w:rPr>
          <w:sz w:val="24"/>
          <w:szCs w:val="24"/>
        </w:rPr>
        <w:t>3</w:t>
      </w:r>
      <w:r w:rsidR="00821B4F">
        <w:rPr>
          <w:sz w:val="24"/>
          <w:szCs w:val="24"/>
        </w:rPr>
        <w:t>.</w:t>
      </w:r>
    </w:p>
    <w:p w:rsidR="00821B4F" w:rsidRDefault="00821B4F" w:rsidP="007D4C84">
      <w:pPr>
        <w:ind w:left="720" w:hanging="720"/>
        <w:rPr>
          <w:sz w:val="24"/>
          <w:szCs w:val="24"/>
        </w:rPr>
      </w:pPr>
    </w:p>
    <w:p w:rsidR="00821B4F" w:rsidRDefault="006465A2" w:rsidP="00821B4F">
      <w:pPr>
        <w:ind w:left="720" w:hanging="720"/>
        <w:rPr>
          <w:sz w:val="24"/>
          <w:szCs w:val="24"/>
        </w:rPr>
      </w:pPr>
      <w:r>
        <w:rPr>
          <w:sz w:val="24"/>
          <w:szCs w:val="24"/>
        </w:rPr>
        <w:t>1</w:t>
      </w:r>
      <w:r w:rsidR="00821B4F">
        <w:rPr>
          <w:sz w:val="24"/>
          <w:szCs w:val="24"/>
        </w:rPr>
        <w:t>.3</w:t>
      </w:r>
      <w:r w:rsidR="00821B4F">
        <w:rPr>
          <w:sz w:val="24"/>
          <w:szCs w:val="24"/>
        </w:rPr>
        <w:tab/>
        <w:t>The Council will notify the Provider of the deadlines for submission of all required reports.</w:t>
      </w:r>
    </w:p>
    <w:p w:rsidR="00821B4F" w:rsidRDefault="00821B4F" w:rsidP="00821B4F">
      <w:pPr>
        <w:ind w:left="720" w:hanging="720"/>
        <w:rPr>
          <w:sz w:val="24"/>
          <w:szCs w:val="24"/>
        </w:rPr>
      </w:pPr>
    </w:p>
    <w:p w:rsidR="00821B4F" w:rsidRDefault="006465A2" w:rsidP="00821B4F">
      <w:pPr>
        <w:ind w:left="720" w:hanging="720"/>
        <w:rPr>
          <w:sz w:val="24"/>
          <w:szCs w:val="24"/>
        </w:rPr>
      </w:pPr>
      <w:r>
        <w:rPr>
          <w:sz w:val="24"/>
          <w:szCs w:val="24"/>
        </w:rPr>
        <w:t>1</w:t>
      </w:r>
      <w:r w:rsidR="00821B4F">
        <w:rPr>
          <w:sz w:val="24"/>
          <w:szCs w:val="24"/>
        </w:rPr>
        <w:t>.4</w:t>
      </w:r>
      <w:r w:rsidR="00821B4F">
        <w:rPr>
          <w:sz w:val="24"/>
          <w:szCs w:val="24"/>
        </w:rPr>
        <w:tab/>
        <w:t>The format of all reports will be agreed with the Council.</w:t>
      </w:r>
    </w:p>
    <w:p w:rsidR="003A0BDE" w:rsidRDefault="003A0BDE" w:rsidP="00821B4F">
      <w:pPr>
        <w:ind w:left="720" w:hanging="720"/>
        <w:rPr>
          <w:sz w:val="24"/>
          <w:szCs w:val="24"/>
        </w:rPr>
      </w:pPr>
    </w:p>
    <w:p w:rsidR="00821B4F" w:rsidRDefault="006465A2" w:rsidP="00821B4F">
      <w:pPr>
        <w:ind w:left="720" w:hanging="720"/>
        <w:rPr>
          <w:sz w:val="24"/>
          <w:szCs w:val="24"/>
        </w:rPr>
      </w:pPr>
      <w:r>
        <w:rPr>
          <w:sz w:val="24"/>
          <w:szCs w:val="24"/>
        </w:rPr>
        <w:t>1</w:t>
      </w:r>
      <w:r w:rsidR="00821B4F">
        <w:rPr>
          <w:sz w:val="24"/>
          <w:szCs w:val="24"/>
        </w:rPr>
        <w:t>.5</w:t>
      </w:r>
      <w:r w:rsidR="00821B4F">
        <w:rPr>
          <w:sz w:val="24"/>
          <w:szCs w:val="24"/>
        </w:rPr>
        <w:tab/>
        <w:t>It is the Provider’s responsibility to ensure that the information contained within all reports submitted to the Council is accurate and the Council reserves the right to audit the integrity of information submitted by the Provider.</w:t>
      </w:r>
    </w:p>
    <w:p w:rsidR="00821B4F" w:rsidRDefault="00821B4F" w:rsidP="00821B4F">
      <w:pPr>
        <w:ind w:left="720" w:hanging="720"/>
        <w:rPr>
          <w:sz w:val="24"/>
          <w:szCs w:val="24"/>
        </w:rPr>
      </w:pPr>
    </w:p>
    <w:p w:rsidR="00821B4F" w:rsidRDefault="006465A2" w:rsidP="00821B4F">
      <w:pPr>
        <w:ind w:left="720" w:hanging="720"/>
        <w:rPr>
          <w:sz w:val="24"/>
          <w:szCs w:val="24"/>
        </w:rPr>
      </w:pPr>
      <w:r>
        <w:rPr>
          <w:sz w:val="24"/>
          <w:szCs w:val="24"/>
        </w:rPr>
        <w:t>1</w:t>
      </w:r>
      <w:r w:rsidR="00821B4F">
        <w:rPr>
          <w:sz w:val="24"/>
          <w:szCs w:val="24"/>
        </w:rPr>
        <w:t>.6</w:t>
      </w:r>
      <w:r w:rsidR="00821B4F">
        <w:rPr>
          <w:sz w:val="24"/>
          <w:szCs w:val="24"/>
        </w:rPr>
        <w:tab/>
      </w:r>
      <w:r w:rsidR="00DB0A90">
        <w:rPr>
          <w:sz w:val="24"/>
          <w:szCs w:val="24"/>
        </w:rPr>
        <w:t xml:space="preserve">The Council may request additional </w:t>
      </w:r>
      <w:r w:rsidR="00A64D9A">
        <w:rPr>
          <w:sz w:val="24"/>
          <w:szCs w:val="24"/>
        </w:rPr>
        <w:t>information as part of the on-going monitoring process</w:t>
      </w:r>
      <w:r w:rsidR="00C12876">
        <w:rPr>
          <w:sz w:val="24"/>
          <w:szCs w:val="24"/>
        </w:rPr>
        <w:t>.</w:t>
      </w:r>
      <w:r w:rsidR="00DB0A90">
        <w:rPr>
          <w:sz w:val="24"/>
          <w:szCs w:val="24"/>
        </w:rPr>
        <w:t xml:space="preserve">  The Council will provide sufficient notice to the Provider to collate the required information.</w:t>
      </w:r>
    </w:p>
    <w:p w:rsidR="00A64D9A" w:rsidRDefault="00A64D9A" w:rsidP="00821B4F">
      <w:pPr>
        <w:ind w:left="720" w:hanging="720"/>
        <w:rPr>
          <w:sz w:val="24"/>
          <w:szCs w:val="24"/>
        </w:rPr>
      </w:pPr>
    </w:p>
    <w:p w:rsidR="007D4C84" w:rsidRDefault="006465A2" w:rsidP="007D4C84">
      <w:pPr>
        <w:ind w:left="720" w:hanging="720"/>
        <w:rPr>
          <w:b/>
          <w:sz w:val="24"/>
          <w:szCs w:val="24"/>
        </w:rPr>
      </w:pPr>
      <w:r>
        <w:rPr>
          <w:b/>
          <w:sz w:val="24"/>
          <w:szCs w:val="24"/>
        </w:rPr>
        <w:t>2</w:t>
      </w:r>
      <w:r w:rsidR="00A83676">
        <w:rPr>
          <w:b/>
          <w:sz w:val="24"/>
          <w:szCs w:val="24"/>
        </w:rPr>
        <w:t>.</w:t>
      </w:r>
      <w:r w:rsidR="00A83676">
        <w:rPr>
          <w:b/>
          <w:sz w:val="24"/>
          <w:szCs w:val="24"/>
        </w:rPr>
        <w:tab/>
      </w:r>
      <w:r w:rsidR="005B07A8">
        <w:rPr>
          <w:b/>
          <w:sz w:val="24"/>
          <w:szCs w:val="24"/>
        </w:rPr>
        <w:t xml:space="preserve">Contract Management and </w:t>
      </w:r>
      <w:r>
        <w:rPr>
          <w:b/>
          <w:sz w:val="24"/>
          <w:szCs w:val="24"/>
        </w:rPr>
        <w:t xml:space="preserve">Performance </w:t>
      </w:r>
      <w:r w:rsidR="005B07A8">
        <w:rPr>
          <w:b/>
          <w:sz w:val="24"/>
          <w:szCs w:val="24"/>
        </w:rPr>
        <w:t>Monitoring</w:t>
      </w:r>
    </w:p>
    <w:p w:rsidR="005B07A8" w:rsidRDefault="005B07A8" w:rsidP="007D4C84">
      <w:pPr>
        <w:ind w:left="720" w:hanging="720"/>
        <w:rPr>
          <w:b/>
          <w:sz w:val="24"/>
          <w:szCs w:val="24"/>
        </w:rPr>
      </w:pPr>
    </w:p>
    <w:p w:rsidR="00A83676" w:rsidRDefault="006465A2" w:rsidP="00A83676">
      <w:pPr>
        <w:ind w:left="720" w:hanging="720"/>
        <w:rPr>
          <w:sz w:val="24"/>
          <w:szCs w:val="24"/>
        </w:rPr>
      </w:pPr>
      <w:r>
        <w:rPr>
          <w:sz w:val="24"/>
          <w:szCs w:val="24"/>
        </w:rPr>
        <w:t>2</w:t>
      </w:r>
      <w:r w:rsidR="005B07A8">
        <w:rPr>
          <w:sz w:val="24"/>
          <w:szCs w:val="24"/>
        </w:rPr>
        <w:t>.1</w:t>
      </w:r>
      <w:r w:rsidR="005B07A8">
        <w:rPr>
          <w:sz w:val="24"/>
          <w:szCs w:val="24"/>
        </w:rPr>
        <w:tab/>
      </w:r>
      <w:r w:rsidR="00A83676">
        <w:rPr>
          <w:sz w:val="24"/>
          <w:szCs w:val="24"/>
        </w:rPr>
        <w:t>The Provider will ensure that it will develop and agree with the Council an appropriate system to:</w:t>
      </w:r>
    </w:p>
    <w:p w:rsidR="00A83676" w:rsidRDefault="00A83676" w:rsidP="00A83676">
      <w:pPr>
        <w:ind w:left="720" w:hanging="720"/>
        <w:rPr>
          <w:sz w:val="24"/>
          <w:szCs w:val="24"/>
        </w:rPr>
      </w:pPr>
    </w:p>
    <w:p w:rsidR="00A83676" w:rsidRDefault="006465A2" w:rsidP="00A83676">
      <w:pPr>
        <w:ind w:left="1440" w:hanging="720"/>
        <w:rPr>
          <w:sz w:val="24"/>
          <w:szCs w:val="24"/>
        </w:rPr>
      </w:pPr>
      <w:r>
        <w:rPr>
          <w:sz w:val="24"/>
          <w:szCs w:val="24"/>
        </w:rPr>
        <w:t>2</w:t>
      </w:r>
      <w:r w:rsidR="00A83676">
        <w:rPr>
          <w:sz w:val="24"/>
          <w:szCs w:val="24"/>
        </w:rPr>
        <w:t>.1.1</w:t>
      </w:r>
      <w:r w:rsidR="00A83676">
        <w:rPr>
          <w:sz w:val="24"/>
          <w:szCs w:val="24"/>
        </w:rPr>
        <w:tab/>
        <w:t xml:space="preserve">Assess and monitor achievement against the </w:t>
      </w:r>
      <w:r w:rsidRPr="006465A2">
        <w:rPr>
          <w:sz w:val="24"/>
          <w:szCs w:val="24"/>
        </w:rPr>
        <w:t xml:space="preserve">Outcomes, Performance Targets and Output Measures detailed in Section </w:t>
      </w:r>
      <w:r>
        <w:rPr>
          <w:sz w:val="24"/>
          <w:szCs w:val="24"/>
        </w:rPr>
        <w:t>17 of Schedule 1 – Service Specification</w:t>
      </w:r>
      <w:r w:rsidR="00A83676">
        <w:rPr>
          <w:sz w:val="24"/>
          <w:szCs w:val="24"/>
        </w:rPr>
        <w:t>.</w:t>
      </w:r>
    </w:p>
    <w:p w:rsidR="00A83676" w:rsidRDefault="00A83676" w:rsidP="00A83676">
      <w:pPr>
        <w:ind w:left="1440" w:hanging="720"/>
        <w:rPr>
          <w:sz w:val="24"/>
          <w:szCs w:val="24"/>
        </w:rPr>
      </w:pPr>
    </w:p>
    <w:p w:rsidR="007F4412" w:rsidRPr="007F4412" w:rsidRDefault="006465A2" w:rsidP="007F4412">
      <w:pPr>
        <w:ind w:left="1440" w:hanging="720"/>
        <w:rPr>
          <w:sz w:val="24"/>
          <w:szCs w:val="24"/>
        </w:rPr>
      </w:pPr>
      <w:r>
        <w:rPr>
          <w:sz w:val="24"/>
          <w:szCs w:val="24"/>
        </w:rPr>
        <w:t>2</w:t>
      </w:r>
      <w:r w:rsidR="00A83676">
        <w:rPr>
          <w:sz w:val="24"/>
          <w:szCs w:val="24"/>
        </w:rPr>
        <w:t>.1.2</w:t>
      </w:r>
      <w:r w:rsidR="00A83676">
        <w:rPr>
          <w:sz w:val="24"/>
          <w:szCs w:val="24"/>
        </w:rPr>
        <w:tab/>
      </w:r>
      <w:r w:rsidR="007761E5">
        <w:rPr>
          <w:sz w:val="24"/>
          <w:szCs w:val="24"/>
        </w:rPr>
        <w:t xml:space="preserve">Performance against the </w:t>
      </w:r>
      <w:r w:rsidR="007761E5" w:rsidRPr="007761E5">
        <w:rPr>
          <w:sz w:val="24"/>
          <w:szCs w:val="24"/>
        </w:rPr>
        <w:t xml:space="preserve">Social Value priorities identified in </w:t>
      </w:r>
      <w:r w:rsidR="007F4412" w:rsidRPr="007F4412">
        <w:rPr>
          <w:sz w:val="24"/>
          <w:szCs w:val="24"/>
        </w:rPr>
        <w:t xml:space="preserve">the Social Value proposal. </w:t>
      </w:r>
    </w:p>
    <w:p w:rsidR="003A0BDE" w:rsidRDefault="003A0BDE" w:rsidP="00A83676">
      <w:pPr>
        <w:ind w:left="1440" w:hanging="720"/>
        <w:rPr>
          <w:sz w:val="24"/>
          <w:szCs w:val="24"/>
        </w:rPr>
      </w:pPr>
      <w:bookmarkStart w:id="0" w:name="_GoBack"/>
      <w:bookmarkEnd w:id="0"/>
    </w:p>
    <w:p w:rsidR="00A83676" w:rsidRDefault="006465A2" w:rsidP="00A83676">
      <w:pPr>
        <w:ind w:left="1440" w:hanging="720"/>
        <w:rPr>
          <w:sz w:val="24"/>
          <w:szCs w:val="24"/>
        </w:rPr>
      </w:pPr>
      <w:r>
        <w:rPr>
          <w:sz w:val="24"/>
          <w:szCs w:val="24"/>
        </w:rPr>
        <w:t>2</w:t>
      </w:r>
      <w:r w:rsidR="003A0BDE">
        <w:rPr>
          <w:sz w:val="24"/>
          <w:szCs w:val="24"/>
        </w:rPr>
        <w:t>.1.3</w:t>
      </w:r>
      <w:r w:rsidR="003A0BDE">
        <w:rPr>
          <w:sz w:val="24"/>
          <w:szCs w:val="24"/>
        </w:rPr>
        <w:tab/>
      </w:r>
      <w:r w:rsidR="00A83676">
        <w:rPr>
          <w:sz w:val="24"/>
          <w:szCs w:val="24"/>
        </w:rPr>
        <w:t xml:space="preserve">Gather required information </w:t>
      </w:r>
      <w:r w:rsidR="003E4C40">
        <w:rPr>
          <w:sz w:val="24"/>
          <w:szCs w:val="24"/>
        </w:rPr>
        <w:t xml:space="preserve">for the monitoring reports detailed in </w:t>
      </w:r>
      <w:r w:rsidR="007F4412">
        <w:rPr>
          <w:sz w:val="24"/>
          <w:szCs w:val="24"/>
        </w:rPr>
        <w:t>1.1.3</w:t>
      </w:r>
    </w:p>
    <w:p w:rsidR="00DB0A90" w:rsidRDefault="00DB0A90" w:rsidP="00A83676">
      <w:pPr>
        <w:ind w:left="1440" w:hanging="720"/>
        <w:rPr>
          <w:sz w:val="24"/>
          <w:szCs w:val="24"/>
        </w:rPr>
      </w:pPr>
    </w:p>
    <w:p w:rsidR="00DB0A90" w:rsidRDefault="006465A2" w:rsidP="00DB0A90">
      <w:pPr>
        <w:ind w:left="720" w:hanging="720"/>
        <w:rPr>
          <w:sz w:val="24"/>
          <w:szCs w:val="24"/>
        </w:rPr>
      </w:pPr>
      <w:r>
        <w:rPr>
          <w:sz w:val="24"/>
          <w:szCs w:val="24"/>
        </w:rPr>
        <w:lastRenderedPageBreak/>
        <w:t>2</w:t>
      </w:r>
      <w:r w:rsidR="00DB0A90">
        <w:rPr>
          <w:sz w:val="24"/>
          <w:szCs w:val="24"/>
        </w:rPr>
        <w:t>.2</w:t>
      </w:r>
      <w:r w:rsidR="00DB0A90">
        <w:rPr>
          <w:sz w:val="24"/>
          <w:szCs w:val="24"/>
        </w:rPr>
        <w:tab/>
      </w:r>
      <w:r w:rsidR="00CF0AF7">
        <w:rPr>
          <w:sz w:val="24"/>
          <w:szCs w:val="24"/>
        </w:rPr>
        <w:t xml:space="preserve">Contract Management Meetings will be held between the Provider and the Council on an </w:t>
      </w:r>
      <w:r w:rsidR="007F4412" w:rsidRPr="007F4412">
        <w:rPr>
          <w:sz w:val="24"/>
          <w:szCs w:val="24"/>
        </w:rPr>
        <w:t>annual</w:t>
      </w:r>
      <w:r w:rsidR="00CF0AF7">
        <w:rPr>
          <w:sz w:val="24"/>
          <w:szCs w:val="24"/>
        </w:rPr>
        <w:t xml:space="preserve"> basis</w:t>
      </w:r>
      <w:r w:rsidR="003A0BDE">
        <w:rPr>
          <w:sz w:val="24"/>
          <w:szCs w:val="24"/>
        </w:rPr>
        <w:t>, as a minimum</w:t>
      </w:r>
      <w:r w:rsidR="007F4412">
        <w:rPr>
          <w:sz w:val="24"/>
          <w:szCs w:val="24"/>
        </w:rPr>
        <w:t>, although it is envisaged that these will be more frequent in the first year</w:t>
      </w:r>
      <w:r w:rsidR="00CF0AF7">
        <w:rPr>
          <w:sz w:val="24"/>
          <w:szCs w:val="24"/>
        </w:rPr>
        <w:t>.  The Provider will be notified prior to the Contract Management Meeting and will be issued with an agenda and details of information required for the meeting.</w:t>
      </w:r>
    </w:p>
    <w:p w:rsidR="00CF0AF7" w:rsidRDefault="00CF0AF7" w:rsidP="00DB0A90">
      <w:pPr>
        <w:ind w:left="720" w:hanging="720"/>
        <w:rPr>
          <w:sz w:val="24"/>
          <w:szCs w:val="24"/>
        </w:rPr>
      </w:pPr>
    </w:p>
    <w:p w:rsidR="00C12876" w:rsidRDefault="006465A2" w:rsidP="00DB0A90">
      <w:pPr>
        <w:ind w:left="720" w:hanging="720"/>
        <w:rPr>
          <w:sz w:val="24"/>
          <w:szCs w:val="24"/>
        </w:rPr>
      </w:pPr>
      <w:r>
        <w:rPr>
          <w:sz w:val="24"/>
          <w:szCs w:val="24"/>
        </w:rPr>
        <w:t>2</w:t>
      </w:r>
      <w:r w:rsidR="00CF0AF7">
        <w:rPr>
          <w:sz w:val="24"/>
          <w:szCs w:val="24"/>
        </w:rPr>
        <w:t>.3</w:t>
      </w:r>
      <w:r w:rsidR="00CF0AF7">
        <w:rPr>
          <w:sz w:val="24"/>
          <w:szCs w:val="24"/>
        </w:rPr>
        <w:tab/>
        <w:t>Quality Monitoring Visits will be undertaken by the Council and will be completed on the basis of Provider performance and risk.  At least 1 visit will be undertaken during the lifetime of this contract.  This could include unscheduled or unannounced visits to the service.</w:t>
      </w:r>
      <w:r w:rsidR="00C12876">
        <w:rPr>
          <w:sz w:val="24"/>
          <w:szCs w:val="24"/>
        </w:rPr>
        <w:t xml:space="preserve">  During these visits the Provider will be required to evidence that the service is being delivered in line with the requirements set out in the Terms and Conditions and Service Specification</w:t>
      </w:r>
      <w:r w:rsidR="003A0BDE">
        <w:rPr>
          <w:sz w:val="24"/>
          <w:szCs w:val="24"/>
        </w:rPr>
        <w:t xml:space="preserve"> and all other associated Contract Schedules</w:t>
      </w:r>
      <w:r w:rsidR="00C12876">
        <w:rPr>
          <w:sz w:val="24"/>
          <w:szCs w:val="24"/>
        </w:rPr>
        <w:t>.</w:t>
      </w:r>
    </w:p>
    <w:p w:rsidR="007761E5" w:rsidRDefault="007761E5" w:rsidP="00DB0A90">
      <w:pPr>
        <w:ind w:left="720" w:hanging="720"/>
        <w:rPr>
          <w:sz w:val="24"/>
          <w:szCs w:val="24"/>
        </w:rPr>
      </w:pPr>
    </w:p>
    <w:p w:rsidR="00C12876" w:rsidRDefault="006465A2" w:rsidP="00C12876">
      <w:pPr>
        <w:ind w:left="720" w:hanging="720"/>
        <w:rPr>
          <w:sz w:val="24"/>
          <w:szCs w:val="24"/>
        </w:rPr>
      </w:pPr>
      <w:r>
        <w:rPr>
          <w:sz w:val="24"/>
          <w:szCs w:val="24"/>
        </w:rPr>
        <w:t>2</w:t>
      </w:r>
      <w:r w:rsidR="00C12876">
        <w:rPr>
          <w:sz w:val="24"/>
          <w:szCs w:val="24"/>
        </w:rPr>
        <w:t>.4</w:t>
      </w:r>
      <w:r w:rsidR="00C12876">
        <w:rPr>
          <w:sz w:val="24"/>
          <w:szCs w:val="24"/>
        </w:rPr>
        <w:tab/>
        <w:t xml:space="preserve">The Council will review the </w:t>
      </w:r>
      <w:r w:rsidRPr="006465A2">
        <w:rPr>
          <w:sz w:val="24"/>
          <w:szCs w:val="24"/>
        </w:rPr>
        <w:t xml:space="preserve">Outcomes, Performance Targets and Output Measures detailed in Section </w:t>
      </w:r>
      <w:r>
        <w:rPr>
          <w:sz w:val="24"/>
          <w:szCs w:val="24"/>
        </w:rPr>
        <w:t xml:space="preserve">17 of Schedule 1 – Service Specification </w:t>
      </w:r>
      <w:r w:rsidR="00C12876">
        <w:rPr>
          <w:sz w:val="24"/>
          <w:szCs w:val="24"/>
        </w:rPr>
        <w:t>on an annual basis.</w:t>
      </w:r>
    </w:p>
    <w:p w:rsidR="00CF0AF7" w:rsidRDefault="00CF0AF7" w:rsidP="00DB0A90">
      <w:pPr>
        <w:ind w:left="720" w:hanging="720"/>
        <w:rPr>
          <w:sz w:val="24"/>
          <w:szCs w:val="24"/>
        </w:rPr>
      </w:pPr>
    </w:p>
    <w:p w:rsidR="00CF0AF7" w:rsidRDefault="006465A2" w:rsidP="00DB0A90">
      <w:pPr>
        <w:ind w:left="720" w:hanging="720"/>
        <w:rPr>
          <w:sz w:val="24"/>
          <w:szCs w:val="24"/>
        </w:rPr>
      </w:pPr>
      <w:r>
        <w:rPr>
          <w:sz w:val="24"/>
          <w:szCs w:val="24"/>
        </w:rPr>
        <w:t>2</w:t>
      </w:r>
      <w:r w:rsidR="00C12876">
        <w:rPr>
          <w:sz w:val="24"/>
          <w:szCs w:val="24"/>
        </w:rPr>
        <w:t>.5</w:t>
      </w:r>
      <w:r w:rsidR="00C12876">
        <w:rPr>
          <w:sz w:val="24"/>
          <w:szCs w:val="24"/>
        </w:rPr>
        <w:tab/>
        <w:t xml:space="preserve">Additional meetings can be held at the request of </w:t>
      </w:r>
      <w:r w:rsidR="001456F1">
        <w:rPr>
          <w:sz w:val="24"/>
          <w:szCs w:val="24"/>
        </w:rPr>
        <w:t>e</w:t>
      </w:r>
      <w:r w:rsidR="00C12876">
        <w:rPr>
          <w:sz w:val="24"/>
          <w:szCs w:val="24"/>
        </w:rPr>
        <w:t xml:space="preserve">ither the Council or the </w:t>
      </w:r>
      <w:r w:rsidR="001456F1">
        <w:rPr>
          <w:sz w:val="24"/>
          <w:szCs w:val="24"/>
        </w:rPr>
        <w:t>P</w:t>
      </w:r>
      <w:r w:rsidR="00C12876">
        <w:rPr>
          <w:sz w:val="24"/>
          <w:szCs w:val="24"/>
        </w:rPr>
        <w:t>rovider, should it be considered necessary.</w:t>
      </w:r>
    </w:p>
    <w:p w:rsidR="005B07A8" w:rsidRDefault="005B07A8" w:rsidP="007D4C84">
      <w:pPr>
        <w:ind w:left="720" w:hanging="720"/>
        <w:rPr>
          <w:sz w:val="24"/>
          <w:szCs w:val="24"/>
        </w:rPr>
      </w:pPr>
    </w:p>
    <w:p w:rsidR="00BB1FE5" w:rsidRDefault="006465A2" w:rsidP="007D4C84">
      <w:pPr>
        <w:ind w:left="720" w:hanging="720"/>
        <w:rPr>
          <w:b/>
          <w:sz w:val="24"/>
          <w:szCs w:val="24"/>
        </w:rPr>
      </w:pPr>
      <w:r>
        <w:rPr>
          <w:b/>
          <w:sz w:val="24"/>
          <w:szCs w:val="24"/>
        </w:rPr>
        <w:t>3</w:t>
      </w:r>
      <w:r w:rsidR="004043AD">
        <w:rPr>
          <w:b/>
          <w:sz w:val="24"/>
          <w:szCs w:val="24"/>
        </w:rPr>
        <w:t>.</w:t>
      </w:r>
      <w:r w:rsidR="004043AD">
        <w:rPr>
          <w:b/>
          <w:sz w:val="24"/>
          <w:szCs w:val="24"/>
        </w:rPr>
        <w:tab/>
        <w:t>Quality Assurance</w:t>
      </w:r>
    </w:p>
    <w:p w:rsidR="004043AD" w:rsidRDefault="004043AD" w:rsidP="007D4C84">
      <w:pPr>
        <w:ind w:left="720" w:hanging="720"/>
        <w:rPr>
          <w:b/>
          <w:sz w:val="24"/>
          <w:szCs w:val="24"/>
        </w:rPr>
      </w:pPr>
    </w:p>
    <w:p w:rsidR="004043AD" w:rsidRDefault="006465A2" w:rsidP="007D4C84">
      <w:pPr>
        <w:ind w:left="720" w:hanging="720"/>
        <w:rPr>
          <w:sz w:val="24"/>
          <w:szCs w:val="24"/>
        </w:rPr>
      </w:pPr>
      <w:r>
        <w:rPr>
          <w:sz w:val="24"/>
          <w:szCs w:val="24"/>
        </w:rPr>
        <w:t>3</w:t>
      </w:r>
      <w:r w:rsidR="00C12876">
        <w:rPr>
          <w:sz w:val="24"/>
          <w:szCs w:val="24"/>
        </w:rPr>
        <w:t>.1</w:t>
      </w:r>
      <w:r w:rsidR="00C12876">
        <w:rPr>
          <w:sz w:val="24"/>
          <w:szCs w:val="24"/>
        </w:rPr>
        <w:tab/>
        <w:t xml:space="preserve">The Provider will develop and implement a quality assurance methodology </w:t>
      </w:r>
      <w:r w:rsidR="005842E8">
        <w:rPr>
          <w:sz w:val="24"/>
          <w:szCs w:val="24"/>
        </w:rPr>
        <w:t xml:space="preserve">to measure and improve </w:t>
      </w:r>
      <w:r w:rsidR="007761E5">
        <w:rPr>
          <w:sz w:val="24"/>
          <w:szCs w:val="24"/>
        </w:rPr>
        <w:t xml:space="preserve">the standard of the </w:t>
      </w:r>
      <w:r w:rsidR="005842E8">
        <w:rPr>
          <w:sz w:val="24"/>
          <w:szCs w:val="24"/>
        </w:rPr>
        <w:t xml:space="preserve">service </w:t>
      </w:r>
      <w:r w:rsidR="007761E5">
        <w:rPr>
          <w:sz w:val="24"/>
          <w:szCs w:val="24"/>
        </w:rPr>
        <w:t>being provided</w:t>
      </w:r>
      <w:r w:rsidR="005842E8">
        <w:rPr>
          <w:sz w:val="24"/>
          <w:szCs w:val="24"/>
        </w:rPr>
        <w:t>.</w:t>
      </w:r>
    </w:p>
    <w:p w:rsidR="005842E8" w:rsidRDefault="005842E8" w:rsidP="007D4C84">
      <w:pPr>
        <w:ind w:left="720" w:hanging="720"/>
        <w:rPr>
          <w:sz w:val="24"/>
          <w:szCs w:val="24"/>
        </w:rPr>
      </w:pPr>
    </w:p>
    <w:p w:rsidR="005842E8" w:rsidRPr="00C12876" w:rsidRDefault="006465A2" w:rsidP="007D4C84">
      <w:pPr>
        <w:ind w:left="720" w:hanging="720"/>
        <w:rPr>
          <w:sz w:val="24"/>
          <w:szCs w:val="24"/>
        </w:rPr>
      </w:pPr>
      <w:r>
        <w:rPr>
          <w:sz w:val="24"/>
          <w:szCs w:val="24"/>
        </w:rPr>
        <w:t>3</w:t>
      </w:r>
      <w:r w:rsidR="005842E8">
        <w:rPr>
          <w:sz w:val="24"/>
          <w:szCs w:val="24"/>
        </w:rPr>
        <w:t>.2</w:t>
      </w:r>
      <w:r w:rsidR="005842E8">
        <w:rPr>
          <w:sz w:val="24"/>
          <w:szCs w:val="24"/>
        </w:rPr>
        <w:tab/>
        <w:t xml:space="preserve">The Provider will </w:t>
      </w:r>
      <w:r w:rsidR="007761E5">
        <w:rPr>
          <w:sz w:val="24"/>
          <w:szCs w:val="24"/>
        </w:rPr>
        <w:t xml:space="preserve">complete a Satisfaction Survey with clients </w:t>
      </w:r>
      <w:r w:rsidR="007761E5" w:rsidRPr="007F4412">
        <w:rPr>
          <w:sz w:val="24"/>
          <w:szCs w:val="24"/>
        </w:rPr>
        <w:t>on an annual basis.</w:t>
      </w:r>
    </w:p>
    <w:p w:rsidR="004043AD" w:rsidRPr="004043AD" w:rsidRDefault="004043AD" w:rsidP="007D4C84">
      <w:pPr>
        <w:ind w:left="720" w:hanging="720"/>
        <w:rPr>
          <w:b/>
          <w:sz w:val="24"/>
          <w:szCs w:val="24"/>
        </w:rPr>
      </w:pPr>
    </w:p>
    <w:p w:rsidR="004043AD" w:rsidRDefault="004043AD" w:rsidP="007D4C84">
      <w:pPr>
        <w:ind w:left="720" w:hanging="720"/>
        <w:rPr>
          <w:b/>
          <w:sz w:val="24"/>
          <w:szCs w:val="24"/>
        </w:rPr>
      </w:pPr>
    </w:p>
    <w:p w:rsidR="004043AD" w:rsidRPr="004043AD" w:rsidRDefault="004043AD" w:rsidP="007D4C84">
      <w:pPr>
        <w:ind w:left="720" w:hanging="720"/>
        <w:rPr>
          <w:b/>
          <w:sz w:val="24"/>
          <w:szCs w:val="24"/>
        </w:rPr>
      </w:pPr>
    </w:p>
    <w:sectPr w:rsidR="004043AD" w:rsidRPr="004043AD" w:rsidSect="00FA47CB">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D15" w:rsidRDefault="00FC5D15" w:rsidP="00FC5D15">
      <w:r>
        <w:separator/>
      </w:r>
    </w:p>
  </w:endnote>
  <w:endnote w:type="continuationSeparator" w:id="0">
    <w:p w:rsidR="00FC5D15" w:rsidRDefault="00FC5D15" w:rsidP="00FC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650" w:rsidRPr="002F2650" w:rsidRDefault="002F2650">
    <w:pPr>
      <w:pStyle w:val="Footer"/>
      <w:jc w:val="right"/>
      <w:rPr>
        <w:sz w:val="18"/>
        <w:szCs w:val="18"/>
      </w:rPr>
    </w:pPr>
  </w:p>
  <w:p w:rsidR="002F2650" w:rsidRPr="00AB30C1" w:rsidRDefault="002F2650" w:rsidP="002F2650">
    <w:pPr>
      <w:pStyle w:val="Footer"/>
      <w:rPr>
        <w:rFonts w:ascii="Verdana" w:hAnsi="Verdana" w:cs="Arial"/>
        <w:sz w:val="18"/>
        <w:szCs w:val="18"/>
      </w:rPr>
    </w:pPr>
    <w:r w:rsidRPr="007A419C">
      <w:rPr>
        <w:rFonts w:ascii="Verdana" w:hAnsi="Verdana" w:cs="Arial"/>
        <w:sz w:val="18"/>
        <w:szCs w:val="18"/>
      </w:rPr>
      <w:t xml:space="preserve">Schedule 2 – Performance Monitoring and Contract Management </w:t>
    </w:r>
    <w:r w:rsidR="003119F5">
      <w:rPr>
        <w:rFonts w:ascii="Verdana" w:hAnsi="Verdana" w:cs="Arial"/>
        <w:sz w:val="18"/>
        <w:szCs w:val="18"/>
      </w:rPr>
      <w:t>– September 2017</w:t>
    </w:r>
    <w:r>
      <w:rPr>
        <w:rFonts w:ascii="Verdana" w:hAnsi="Verdana" w:cs="Arial"/>
        <w:sz w:val="18"/>
        <w:szCs w:val="18"/>
      </w:rPr>
      <w:t xml:space="preserve"> </w:t>
    </w:r>
    <w:r w:rsidRPr="00AB30C1">
      <w:rPr>
        <w:rFonts w:ascii="Verdana" w:hAnsi="Verdana" w:cs="Arial"/>
        <w:sz w:val="18"/>
        <w:szCs w:val="18"/>
      </w:rPr>
      <w:tab/>
      <w:t xml:space="preserve">       </w:t>
    </w:r>
    <w:r w:rsidRPr="00AB30C1">
      <w:rPr>
        <w:rStyle w:val="PageNumber"/>
        <w:rFonts w:ascii="Verdana" w:hAnsi="Verdana" w:cs="Arial"/>
        <w:sz w:val="18"/>
        <w:szCs w:val="18"/>
      </w:rPr>
      <w:fldChar w:fldCharType="begin"/>
    </w:r>
    <w:r w:rsidRPr="00AB30C1">
      <w:rPr>
        <w:rStyle w:val="PageNumber"/>
        <w:rFonts w:ascii="Verdana" w:hAnsi="Verdana" w:cs="Arial"/>
        <w:sz w:val="18"/>
        <w:szCs w:val="18"/>
      </w:rPr>
      <w:instrText xml:space="preserve"> PAGE </w:instrText>
    </w:r>
    <w:r w:rsidRPr="00AB30C1">
      <w:rPr>
        <w:rStyle w:val="PageNumber"/>
        <w:rFonts w:ascii="Verdana" w:hAnsi="Verdana" w:cs="Arial"/>
        <w:sz w:val="18"/>
        <w:szCs w:val="18"/>
      </w:rPr>
      <w:fldChar w:fldCharType="separate"/>
    </w:r>
    <w:r w:rsidR="003073DE">
      <w:rPr>
        <w:rStyle w:val="PageNumber"/>
        <w:rFonts w:ascii="Verdana" w:hAnsi="Verdana" w:cs="Arial"/>
        <w:noProof/>
        <w:sz w:val="18"/>
        <w:szCs w:val="18"/>
      </w:rPr>
      <w:t>3</w:t>
    </w:r>
    <w:r w:rsidRPr="00AB30C1">
      <w:rPr>
        <w:rStyle w:val="PageNumber"/>
        <w:rFonts w:ascii="Verdana" w:hAnsi="Verdana" w:cs="Arial"/>
        <w:sz w:val="18"/>
        <w:szCs w:val="18"/>
      </w:rPr>
      <w:fldChar w:fldCharType="end"/>
    </w:r>
  </w:p>
  <w:p w:rsidR="00047749" w:rsidRPr="001F25D3" w:rsidRDefault="00826ADF" w:rsidP="00047749">
    <w:pPr>
      <w:pStyle w:val="Footer"/>
      <w:rPr>
        <w:rFonts w:ascii="Verdana" w:hAnsi="Verdana" w:cs="Arial"/>
        <w:b/>
        <w:bCs/>
        <w:sz w:val="18"/>
        <w:szCs w:val="18"/>
      </w:rPr>
    </w:pPr>
    <w:r w:rsidRPr="001F25D3">
      <w:rPr>
        <w:rFonts w:ascii="Verdana" w:hAnsi="Verdana" w:cs="Arial"/>
        <w:b/>
        <w:bCs/>
        <w:sz w:val="18"/>
        <w:szCs w:val="18"/>
      </w:rPr>
      <w:t xml:space="preserve">Reference SSD 17 02 </w:t>
    </w:r>
  </w:p>
  <w:p w:rsidR="00047749" w:rsidRPr="001F25D3" w:rsidRDefault="00047749" w:rsidP="00047749">
    <w:pPr>
      <w:pStyle w:val="Footer"/>
      <w:rPr>
        <w:rFonts w:ascii="Verdana" w:hAnsi="Verdana" w:cs="Arial"/>
        <w:b/>
        <w:bCs/>
        <w:sz w:val="18"/>
        <w:szCs w:val="18"/>
      </w:rPr>
    </w:pPr>
    <w:r w:rsidRPr="001F25D3">
      <w:rPr>
        <w:rFonts w:ascii="Verdana" w:hAnsi="Verdana" w:cs="Arial"/>
        <w:b/>
        <w:bCs/>
        <w:sz w:val="18"/>
        <w:szCs w:val="18"/>
      </w:rPr>
      <w:t>Provision of Linen Hire Services in Derbyshire Adult Care Residential Establishments</w:t>
    </w:r>
  </w:p>
  <w:p w:rsidR="00826ADF" w:rsidRPr="00826ADF" w:rsidRDefault="00826ADF" w:rsidP="00826ADF">
    <w:pPr>
      <w:pStyle w:val="Footer"/>
      <w:rPr>
        <w:rFonts w:ascii="Verdana" w:hAnsi="Verdana" w:cs="Arial"/>
        <w:b/>
        <w:bCs/>
        <w:sz w:val="18"/>
        <w:szCs w:val="18"/>
        <w:highlight w:val="yello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785374"/>
      <w:docPartObj>
        <w:docPartGallery w:val="Page Numbers (Bottom of Page)"/>
        <w:docPartUnique/>
      </w:docPartObj>
    </w:sdtPr>
    <w:sdtEndPr>
      <w:rPr>
        <w:noProof/>
      </w:rPr>
    </w:sdtEndPr>
    <w:sdtContent>
      <w:p w:rsidR="00FC5D15" w:rsidRDefault="00FC5D1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C5D15" w:rsidRPr="00FC5D15" w:rsidRDefault="00FC5D15">
    <w:pPr>
      <w:pStyle w:val="Footer"/>
      <w:rPr>
        <w:rFonts w:ascii="Verdana" w:hAnsi="Verdana"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D15" w:rsidRDefault="00FC5D15" w:rsidP="00FC5D15">
      <w:r>
        <w:separator/>
      </w:r>
    </w:p>
  </w:footnote>
  <w:footnote w:type="continuationSeparator" w:id="0">
    <w:p w:rsidR="00FC5D15" w:rsidRDefault="00FC5D15" w:rsidP="00FC5D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33733C"/>
    <w:multiLevelType w:val="hybridMultilevel"/>
    <w:tmpl w:val="35963B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9695A5D"/>
    <w:multiLevelType w:val="hybridMultilevel"/>
    <w:tmpl w:val="EB3ACD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CD83BC0"/>
    <w:multiLevelType w:val="hybridMultilevel"/>
    <w:tmpl w:val="FB66F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DCC"/>
    <w:rsid w:val="000231E9"/>
    <w:rsid w:val="000237A9"/>
    <w:rsid w:val="00047749"/>
    <w:rsid w:val="000A7DCC"/>
    <w:rsid w:val="001456F1"/>
    <w:rsid w:val="001765FA"/>
    <w:rsid w:val="001A7EC1"/>
    <w:rsid w:val="001F25D3"/>
    <w:rsid w:val="00235345"/>
    <w:rsid w:val="002F2650"/>
    <w:rsid w:val="003073DE"/>
    <w:rsid w:val="003119F5"/>
    <w:rsid w:val="00361031"/>
    <w:rsid w:val="003A0BDE"/>
    <w:rsid w:val="003D6EAC"/>
    <w:rsid w:val="003E4C40"/>
    <w:rsid w:val="00401F13"/>
    <w:rsid w:val="004043AD"/>
    <w:rsid w:val="004313EC"/>
    <w:rsid w:val="00520F4E"/>
    <w:rsid w:val="00526DEA"/>
    <w:rsid w:val="005842E8"/>
    <w:rsid w:val="005848E9"/>
    <w:rsid w:val="005B07A8"/>
    <w:rsid w:val="005C1200"/>
    <w:rsid w:val="00600F47"/>
    <w:rsid w:val="006465A2"/>
    <w:rsid w:val="006564BE"/>
    <w:rsid w:val="00722AE4"/>
    <w:rsid w:val="00737C9B"/>
    <w:rsid w:val="00775BD9"/>
    <w:rsid w:val="007761E5"/>
    <w:rsid w:val="007A419C"/>
    <w:rsid w:val="007D4C84"/>
    <w:rsid w:val="007F0933"/>
    <w:rsid w:val="007F4412"/>
    <w:rsid w:val="00821B4F"/>
    <w:rsid w:val="00826ADF"/>
    <w:rsid w:val="0084229A"/>
    <w:rsid w:val="00921E2F"/>
    <w:rsid w:val="00944BB0"/>
    <w:rsid w:val="00A27405"/>
    <w:rsid w:val="00A44189"/>
    <w:rsid w:val="00A64D9A"/>
    <w:rsid w:val="00A83676"/>
    <w:rsid w:val="00A870B7"/>
    <w:rsid w:val="00B1101B"/>
    <w:rsid w:val="00B4125C"/>
    <w:rsid w:val="00B557BF"/>
    <w:rsid w:val="00BB1FE5"/>
    <w:rsid w:val="00BF5A2F"/>
    <w:rsid w:val="00C00D12"/>
    <w:rsid w:val="00C12876"/>
    <w:rsid w:val="00CC1CFB"/>
    <w:rsid w:val="00CF0AF7"/>
    <w:rsid w:val="00D6700F"/>
    <w:rsid w:val="00D764AF"/>
    <w:rsid w:val="00D943A5"/>
    <w:rsid w:val="00DA7764"/>
    <w:rsid w:val="00DB0A90"/>
    <w:rsid w:val="00ED1745"/>
    <w:rsid w:val="00FA1AD6"/>
    <w:rsid w:val="00FA47CB"/>
    <w:rsid w:val="00FC5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80EDB41-F145-4463-8453-C94340B6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DCC"/>
    <w:pPr>
      <w:spacing w:after="0"/>
    </w:pPr>
    <w:rPr>
      <w:rFonts w:eastAsia="Times New Roman" w:cs="Times New Roman"/>
      <w:sz w:val="22"/>
      <w:szCs w:val="22"/>
      <w:lang w:eastAsia="en-GB"/>
    </w:rPr>
  </w:style>
  <w:style w:type="paragraph" w:styleId="Heading4">
    <w:name w:val="heading 4"/>
    <w:basedOn w:val="Normal"/>
    <w:next w:val="Normal"/>
    <w:link w:val="Heading4Char"/>
    <w:qFormat/>
    <w:rsid w:val="000A7DCC"/>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A7DCC"/>
    <w:rPr>
      <w:rFonts w:ascii="Times New Roman" w:eastAsia="Times New Roman" w:hAnsi="Times New Roman" w:cs="Times New Roman"/>
      <w:b/>
      <w:bCs/>
      <w:sz w:val="28"/>
      <w:szCs w:val="28"/>
      <w:lang w:eastAsia="en-GB"/>
    </w:rPr>
  </w:style>
  <w:style w:type="paragraph" w:styleId="Header">
    <w:name w:val="header"/>
    <w:basedOn w:val="Normal"/>
    <w:link w:val="HeaderChar"/>
    <w:uiPriority w:val="99"/>
    <w:unhideWhenUsed/>
    <w:rsid w:val="00FC5D15"/>
    <w:pPr>
      <w:tabs>
        <w:tab w:val="center" w:pos="4513"/>
        <w:tab w:val="right" w:pos="9026"/>
      </w:tabs>
    </w:pPr>
  </w:style>
  <w:style w:type="character" w:customStyle="1" w:styleId="HeaderChar">
    <w:name w:val="Header Char"/>
    <w:basedOn w:val="DefaultParagraphFont"/>
    <w:link w:val="Header"/>
    <w:uiPriority w:val="99"/>
    <w:rsid w:val="00FC5D15"/>
    <w:rPr>
      <w:rFonts w:eastAsia="Times New Roman" w:cs="Times New Roman"/>
      <w:sz w:val="22"/>
      <w:szCs w:val="22"/>
      <w:lang w:eastAsia="en-GB"/>
    </w:rPr>
  </w:style>
  <w:style w:type="paragraph" w:styleId="Footer">
    <w:name w:val="footer"/>
    <w:basedOn w:val="Normal"/>
    <w:link w:val="FooterChar"/>
    <w:uiPriority w:val="99"/>
    <w:unhideWhenUsed/>
    <w:rsid w:val="00FC5D15"/>
    <w:pPr>
      <w:tabs>
        <w:tab w:val="center" w:pos="4513"/>
        <w:tab w:val="right" w:pos="9026"/>
      </w:tabs>
    </w:pPr>
  </w:style>
  <w:style w:type="character" w:customStyle="1" w:styleId="FooterChar">
    <w:name w:val="Footer Char"/>
    <w:basedOn w:val="DefaultParagraphFont"/>
    <w:link w:val="Footer"/>
    <w:uiPriority w:val="99"/>
    <w:rsid w:val="00FC5D15"/>
    <w:rPr>
      <w:rFonts w:eastAsia="Times New Roman" w:cs="Times New Roman"/>
      <w:sz w:val="22"/>
      <w:szCs w:val="22"/>
      <w:lang w:eastAsia="en-GB"/>
    </w:rPr>
  </w:style>
  <w:style w:type="character" w:styleId="PageNumber">
    <w:name w:val="page number"/>
    <w:basedOn w:val="DefaultParagraphFont"/>
    <w:rsid w:val="00FC5D15"/>
  </w:style>
  <w:style w:type="paragraph" w:styleId="BalloonText">
    <w:name w:val="Balloon Text"/>
    <w:basedOn w:val="Normal"/>
    <w:link w:val="BalloonTextChar"/>
    <w:uiPriority w:val="99"/>
    <w:semiHidden/>
    <w:unhideWhenUsed/>
    <w:rsid w:val="00FC5D15"/>
    <w:rPr>
      <w:rFonts w:ascii="Tahoma" w:hAnsi="Tahoma" w:cs="Tahoma"/>
      <w:sz w:val="16"/>
      <w:szCs w:val="16"/>
    </w:rPr>
  </w:style>
  <w:style w:type="character" w:customStyle="1" w:styleId="BalloonTextChar">
    <w:name w:val="Balloon Text Char"/>
    <w:basedOn w:val="DefaultParagraphFont"/>
    <w:link w:val="BalloonText"/>
    <w:uiPriority w:val="99"/>
    <w:semiHidden/>
    <w:rsid w:val="00FC5D15"/>
    <w:rPr>
      <w:rFonts w:ascii="Tahoma" w:eastAsia="Times New Roman" w:hAnsi="Tahoma" w:cs="Tahoma"/>
      <w:sz w:val="16"/>
      <w:szCs w:val="16"/>
      <w:lang w:eastAsia="en-GB"/>
    </w:rPr>
  </w:style>
  <w:style w:type="table" w:styleId="TableGrid">
    <w:name w:val="Table Grid"/>
    <w:basedOn w:val="TableNormal"/>
    <w:uiPriority w:val="59"/>
    <w:rsid w:val="00FA47C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3D6EAC"/>
    <w:pPr>
      <w:spacing w:after="160" w:line="240" w:lineRule="exact"/>
    </w:pPr>
    <w:rPr>
      <w:rFonts w:ascii="Verdana" w:hAnsi="Verdana"/>
      <w:sz w:val="20"/>
      <w:szCs w:val="20"/>
      <w:lang w:val="en-US" w:eastAsia="en-US"/>
    </w:rPr>
  </w:style>
  <w:style w:type="paragraph" w:styleId="ListParagraph">
    <w:name w:val="List Paragraph"/>
    <w:basedOn w:val="Normal"/>
    <w:uiPriority w:val="34"/>
    <w:qFormat/>
    <w:rsid w:val="007F0933"/>
    <w:pPr>
      <w:ind w:left="720"/>
      <w:contextualSpacing/>
    </w:pPr>
  </w:style>
  <w:style w:type="character" w:styleId="Hyperlink">
    <w:name w:val="Hyperlink"/>
    <w:basedOn w:val="DefaultParagraphFont"/>
    <w:uiPriority w:val="99"/>
    <w:unhideWhenUsed/>
    <w:rsid w:val="00722AE4"/>
    <w:rPr>
      <w:color w:val="0000FF" w:themeColor="hyperlink"/>
      <w:u w:val="single"/>
    </w:rPr>
  </w:style>
  <w:style w:type="character" w:styleId="Strong">
    <w:name w:val="Strong"/>
    <w:qFormat/>
    <w:rsid w:val="00775B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34F36-099B-43A7-AD10-D258B7D0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Cope</dc:creator>
  <cp:lastModifiedBy>Keith Moakes (Adult Care)</cp:lastModifiedBy>
  <cp:revision>4</cp:revision>
  <dcterms:created xsi:type="dcterms:W3CDTF">2017-08-29T13:15:00Z</dcterms:created>
  <dcterms:modified xsi:type="dcterms:W3CDTF">2017-08-30T09:48:00Z</dcterms:modified>
</cp:coreProperties>
</file>