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E4" w:rsidRPr="00574EE4" w:rsidRDefault="00574EE4" w:rsidP="00574EE4">
      <w:pPr>
        <w:pStyle w:val="Heading1"/>
        <w:numPr>
          <w:ilvl w:val="0"/>
          <w:numId w:val="0"/>
        </w:numPr>
        <w:rPr>
          <w:rFonts w:cs="Arial"/>
          <w:b w:val="0"/>
          <w:szCs w:val="24"/>
        </w:rPr>
      </w:pPr>
      <w:bookmarkStart w:id="0" w:name="_Toc507752071"/>
      <w:bookmarkStart w:id="1" w:name="_Toc509476574"/>
      <w:r w:rsidRPr="00574EE4">
        <w:rPr>
          <w:rFonts w:cs="Arial"/>
          <w:b w:val="0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2EBEA75" wp14:editId="5F8E6CE2">
            <wp:simplePos x="0" y="0"/>
            <wp:positionH relativeFrom="margin">
              <wp:align>center</wp:align>
            </wp:positionH>
            <wp:positionV relativeFrom="paragraph">
              <wp:posOffset>818515</wp:posOffset>
            </wp:positionV>
            <wp:extent cx="3436620" cy="12477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WC-logo-bl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</w:p>
    <w:p w:rsidR="00574EE4" w:rsidRPr="00574EE4" w:rsidRDefault="00574EE4" w:rsidP="00574EE4">
      <w:pPr>
        <w:rPr>
          <w:rFonts w:ascii="Candara" w:hAnsi="Candara"/>
        </w:rPr>
      </w:pPr>
    </w:p>
    <w:p w:rsidR="00574EE4" w:rsidRPr="00574EE4" w:rsidRDefault="00574EE4" w:rsidP="00574EE4">
      <w:pPr>
        <w:rPr>
          <w:rFonts w:ascii="Candara" w:hAnsi="Candara"/>
        </w:rPr>
      </w:pPr>
    </w:p>
    <w:p w:rsidR="00574EE4" w:rsidRPr="00574EE4" w:rsidRDefault="00574EE4" w:rsidP="00574EE4">
      <w:pPr>
        <w:rPr>
          <w:rFonts w:ascii="Candara" w:hAnsi="Candara"/>
        </w:rPr>
      </w:pPr>
    </w:p>
    <w:p w:rsidR="00574EE4" w:rsidRPr="00574EE4" w:rsidRDefault="00574EE4" w:rsidP="00574EE4">
      <w:pPr>
        <w:rPr>
          <w:rFonts w:ascii="Candara" w:hAnsi="Candara"/>
        </w:rPr>
      </w:pPr>
    </w:p>
    <w:p w:rsidR="00574EE4" w:rsidRPr="00574EE4" w:rsidRDefault="00574EE4" w:rsidP="00574EE4">
      <w:pPr>
        <w:pStyle w:val="Header"/>
        <w:jc w:val="center"/>
        <w:rPr>
          <w:rFonts w:ascii="Candara" w:hAnsi="Candara" w:cs="Arial"/>
          <w:b/>
          <w:sz w:val="56"/>
          <w:szCs w:val="56"/>
        </w:rPr>
      </w:pPr>
      <w:r w:rsidRPr="00574EE4">
        <w:rPr>
          <w:rFonts w:ascii="Candara" w:hAnsi="Candara" w:cs="Arial"/>
          <w:b/>
          <w:sz w:val="56"/>
          <w:szCs w:val="56"/>
        </w:rPr>
        <w:t xml:space="preserve">Invitation to Tender </w:t>
      </w:r>
    </w:p>
    <w:p w:rsidR="00574EE4" w:rsidRPr="00574EE4" w:rsidRDefault="00C55B32" w:rsidP="00574EE4">
      <w:pPr>
        <w:pStyle w:val="Header"/>
        <w:jc w:val="center"/>
        <w:rPr>
          <w:rFonts w:ascii="Candara" w:hAnsi="Candara" w:cs="Arial"/>
          <w:b/>
          <w:sz w:val="56"/>
          <w:szCs w:val="56"/>
        </w:rPr>
      </w:pPr>
      <w:r>
        <w:rPr>
          <w:rFonts w:ascii="Candara" w:hAnsi="Candara" w:cs="Arial"/>
          <w:b/>
          <w:sz w:val="56"/>
          <w:szCs w:val="56"/>
        </w:rPr>
        <w:t>for the P</w:t>
      </w:r>
      <w:r w:rsidR="00574EE4" w:rsidRPr="00574EE4">
        <w:rPr>
          <w:rFonts w:ascii="Candara" w:hAnsi="Candara" w:cs="Arial"/>
          <w:b/>
          <w:sz w:val="56"/>
          <w:szCs w:val="56"/>
        </w:rPr>
        <w:t>rovision of a</w:t>
      </w:r>
    </w:p>
    <w:p w:rsidR="00574EE4" w:rsidRPr="00574EE4" w:rsidRDefault="00574EE4" w:rsidP="00574EE4">
      <w:pPr>
        <w:pStyle w:val="Header"/>
        <w:jc w:val="center"/>
        <w:rPr>
          <w:rFonts w:ascii="Candara" w:hAnsi="Candara" w:cs="Arial"/>
          <w:b/>
          <w:sz w:val="56"/>
          <w:szCs w:val="56"/>
        </w:rPr>
      </w:pPr>
      <w:r w:rsidRPr="00574EE4">
        <w:rPr>
          <w:rFonts w:ascii="Candara" w:hAnsi="Candara" w:cs="Arial"/>
          <w:b/>
          <w:sz w:val="56"/>
          <w:szCs w:val="56"/>
        </w:rPr>
        <w:t xml:space="preserve">Student Management Information System  </w:t>
      </w: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pStyle w:val="Header"/>
        <w:jc w:val="center"/>
        <w:rPr>
          <w:rFonts w:ascii="Candara" w:hAnsi="Candara" w:cs="Arial"/>
        </w:rPr>
      </w:pPr>
      <w:r w:rsidRPr="00574EE4">
        <w:rPr>
          <w:rFonts w:ascii="Candara" w:hAnsi="Candara" w:cs="Arial"/>
        </w:rPr>
        <w:t xml:space="preserve">Contract Ref: </w:t>
      </w:r>
    </w:p>
    <w:p w:rsidR="00574EE4" w:rsidRPr="00574EE4" w:rsidRDefault="00574EE4" w:rsidP="00574EE4">
      <w:pPr>
        <w:pStyle w:val="Header"/>
        <w:jc w:val="center"/>
        <w:rPr>
          <w:rFonts w:ascii="Candara" w:hAnsi="Candara" w:cs="Arial"/>
        </w:rPr>
      </w:pPr>
    </w:p>
    <w:p w:rsidR="00574EE4" w:rsidRPr="00574EE4" w:rsidRDefault="00574EE4" w:rsidP="00574EE4">
      <w:pPr>
        <w:pStyle w:val="Header"/>
        <w:jc w:val="center"/>
        <w:rPr>
          <w:rFonts w:ascii="Candara" w:hAnsi="Candara" w:cs="Arial"/>
          <w:color w:val="FF0000"/>
        </w:rPr>
      </w:pPr>
      <w:r w:rsidRPr="00574EE4">
        <w:rPr>
          <w:rFonts w:ascii="Candara" w:hAnsi="Candara" w:cs="Arial"/>
        </w:rPr>
        <w:t xml:space="preserve">Dated: </w:t>
      </w:r>
      <w:r w:rsidR="00DE744A">
        <w:rPr>
          <w:rFonts w:ascii="Candara" w:hAnsi="Candara" w:cs="Arial"/>
        </w:rPr>
        <w:t>22</w:t>
      </w:r>
      <w:r w:rsidR="00DE744A" w:rsidRPr="00DE744A">
        <w:rPr>
          <w:rFonts w:ascii="Candara" w:hAnsi="Candara" w:cs="Arial"/>
          <w:vertAlign w:val="superscript"/>
        </w:rPr>
        <w:t>nd</w:t>
      </w:r>
      <w:r w:rsidR="00DE744A">
        <w:rPr>
          <w:rFonts w:ascii="Candara" w:hAnsi="Candara" w:cs="Arial"/>
        </w:rPr>
        <w:t xml:space="preserve"> </w:t>
      </w:r>
      <w:r w:rsidR="00C51B43">
        <w:rPr>
          <w:rFonts w:ascii="Candara" w:hAnsi="Candara" w:cs="Arial"/>
        </w:rPr>
        <w:t>March</w:t>
      </w:r>
      <w:r w:rsidRPr="00574EE4">
        <w:rPr>
          <w:rFonts w:ascii="Candara" w:hAnsi="Candara" w:cs="Arial"/>
        </w:rPr>
        <w:t xml:space="preserve"> 2018</w:t>
      </w:r>
    </w:p>
    <w:p w:rsidR="00574EE4" w:rsidRPr="00574EE4" w:rsidRDefault="00574EE4" w:rsidP="00574EE4">
      <w:pPr>
        <w:jc w:val="center"/>
        <w:rPr>
          <w:rFonts w:ascii="Candara" w:hAnsi="Candara"/>
        </w:rPr>
      </w:pPr>
    </w:p>
    <w:p w:rsidR="00574EE4" w:rsidRPr="00574EE4" w:rsidRDefault="00574EE4" w:rsidP="00574EE4">
      <w:pPr>
        <w:rPr>
          <w:rFonts w:ascii="Candara" w:hAnsi="Candara"/>
        </w:rPr>
        <w:sectPr w:rsidR="00574EE4" w:rsidRPr="00574E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4EE4" w:rsidRPr="00B338A4" w:rsidRDefault="00B338A4" w:rsidP="00B338A4">
      <w:pPr>
        <w:jc w:val="center"/>
        <w:rPr>
          <w:rFonts w:ascii="Candara" w:hAnsi="Candara"/>
          <w:b/>
          <w:sz w:val="36"/>
          <w:szCs w:val="36"/>
        </w:rPr>
      </w:pPr>
      <w:r w:rsidRPr="00B338A4">
        <w:rPr>
          <w:rFonts w:ascii="Candara" w:hAnsi="Candara"/>
          <w:b/>
          <w:sz w:val="36"/>
          <w:szCs w:val="36"/>
        </w:rPr>
        <w:lastRenderedPageBreak/>
        <w:t>Contents</w:t>
      </w:r>
    </w:p>
    <w:p w:rsidR="00574EE4" w:rsidRDefault="00574EE4" w:rsidP="00574EE4">
      <w:pPr>
        <w:rPr>
          <w:rFonts w:ascii="Candara" w:hAnsi="Candara"/>
        </w:rPr>
      </w:pPr>
    </w:p>
    <w:p w:rsidR="00170FF3" w:rsidRDefault="00B338A4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r>
        <w:rPr>
          <w:rFonts w:ascii="Candara" w:hAnsi="Candara"/>
        </w:rPr>
        <w:fldChar w:fldCharType="begin"/>
      </w:r>
      <w:r>
        <w:rPr>
          <w:rFonts w:ascii="Candara" w:hAnsi="Candara"/>
        </w:rPr>
        <w:instrText xml:space="preserve"> TOC \t "JuliaHeading,1,JuliaSubheading,2" </w:instrText>
      </w:r>
      <w:r>
        <w:rPr>
          <w:rFonts w:ascii="Candara" w:hAnsi="Candara"/>
        </w:rPr>
        <w:fldChar w:fldCharType="separate"/>
      </w:r>
      <w:r w:rsidR="00170FF3">
        <w:rPr>
          <w:noProof/>
        </w:rPr>
        <w:t>1.</w:t>
      </w:r>
      <w:r w:rsidR="00170FF3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  <w:tab/>
      </w:r>
      <w:r w:rsidR="00170FF3">
        <w:rPr>
          <w:noProof/>
        </w:rPr>
        <w:t>BACKGROUND</w:t>
      </w:r>
      <w:r w:rsidR="00170FF3">
        <w:rPr>
          <w:noProof/>
        </w:rPr>
        <w:tab/>
      </w:r>
      <w:r w:rsidR="00170FF3">
        <w:rPr>
          <w:noProof/>
        </w:rPr>
        <w:fldChar w:fldCharType="begin"/>
      </w:r>
      <w:r w:rsidR="00170FF3">
        <w:rPr>
          <w:noProof/>
        </w:rPr>
        <w:instrText xml:space="preserve"> PAGEREF _Toc509561058 \h </w:instrText>
      </w:r>
      <w:r w:rsidR="00170FF3">
        <w:rPr>
          <w:noProof/>
        </w:rPr>
      </w:r>
      <w:r w:rsidR="00170FF3">
        <w:rPr>
          <w:noProof/>
        </w:rPr>
        <w:fldChar w:fldCharType="separate"/>
      </w:r>
      <w:r w:rsidR="00170FF3">
        <w:rPr>
          <w:noProof/>
        </w:rPr>
        <w:t>1</w:t>
      </w:r>
      <w:r w:rsidR="00170FF3">
        <w:rPr>
          <w:noProof/>
        </w:rPr>
        <w:fldChar w:fldCharType="end"/>
      </w:r>
    </w:p>
    <w:p w:rsidR="00170FF3" w:rsidRDefault="00170FF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PROJECT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170FF3" w:rsidRDefault="00170FF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Scope or 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70FF3" w:rsidRDefault="00170FF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RESPONDING TO TENDER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70FF3" w:rsidRDefault="00170FF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SPECIFICATION of ESSENTIAL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70FF3" w:rsidRDefault="00170FF3">
      <w:pPr>
        <w:pStyle w:val="TOC2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</w:pPr>
      <w:r>
        <w:rPr>
          <w:noProof/>
        </w:rPr>
        <w:t>5.1.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  <w:tab/>
      </w:r>
      <w:r>
        <w:rPr>
          <w:noProof/>
        </w:rPr>
        <w:t>System Users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70FF3" w:rsidRDefault="00170FF3">
      <w:pPr>
        <w:pStyle w:val="TOC2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</w:pPr>
      <w:r>
        <w:rPr>
          <w:noProof/>
        </w:rPr>
        <w:t>5.2.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  <w:tab/>
      </w:r>
      <w:r>
        <w:rPr>
          <w:noProof/>
        </w:rPr>
        <w:t>Core system functionality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70FF3" w:rsidRDefault="00170FF3">
      <w:pPr>
        <w:pStyle w:val="TOC2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</w:pPr>
      <w:r>
        <w:rPr>
          <w:noProof/>
        </w:rPr>
        <w:t>5.3.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  <w:tab/>
      </w:r>
      <w:r>
        <w:rPr>
          <w:noProof/>
        </w:rPr>
        <w:t>Reporting and data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70FF3" w:rsidRDefault="00170FF3">
      <w:pPr>
        <w:pStyle w:val="TOC2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</w:pPr>
      <w:r>
        <w:rPr>
          <w:noProof/>
        </w:rPr>
        <w:t>5.4.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  <w:tab/>
      </w:r>
      <w:r>
        <w:rPr>
          <w:noProof/>
        </w:rPr>
        <w:t>Human 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70FF3" w:rsidRDefault="00170FF3">
      <w:pPr>
        <w:pStyle w:val="TOC2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</w:pPr>
      <w:r>
        <w:rPr>
          <w:noProof/>
        </w:rPr>
        <w:t>5.5.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  <w:tab/>
      </w:r>
      <w:r>
        <w:rPr>
          <w:noProof/>
        </w:rPr>
        <w:t>Integrate or communicate with other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70FF3" w:rsidRDefault="00170FF3">
      <w:pPr>
        <w:pStyle w:val="TOC2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</w:pPr>
      <w:r>
        <w:rPr>
          <w:noProof/>
        </w:rPr>
        <w:t>5.6.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  <w:tab/>
      </w:r>
      <w:r>
        <w:rPr>
          <w:noProof/>
        </w:rPr>
        <w:t>Support and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70FF3" w:rsidRDefault="00170FF3">
      <w:pPr>
        <w:pStyle w:val="TOC2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</w:pPr>
      <w:r>
        <w:rPr>
          <w:noProof/>
        </w:rPr>
        <w:t>5.7.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  <w:tab/>
      </w:r>
      <w:r>
        <w:rPr>
          <w:noProof/>
        </w:rPr>
        <w:t>Data protection and confidentiality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70FF3" w:rsidRDefault="00170FF3">
      <w:pPr>
        <w:pStyle w:val="TOC2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</w:pPr>
      <w:r>
        <w:rPr>
          <w:noProof/>
        </w:rPr>
        <w:t>5.8.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en-GB"/>
        </w:rPr>
        <w:tab/>
      </w:r>
      <w:r>
        <w:rPr>
          <w:noProof/>
        </w:rPr>
        <w:t>Additional non-essential functionality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70FF3" w:rsidRDefault="00170FF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SYSTEM MOBILISATION AND ONBOARDING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70FF3" w:rsidRDefault="00170FF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RISK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70FF3" w:rsidRDefault="00170FF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EVALUATION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_Toc509561073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338A4" w:rsidRDefault="00B338A4" w:rsidP="00574EE4">
      <w:pPr>
        <w:rPr>
          <w:rFonts w:ascii="Candara" w:hAnsi="Candara"/>
        </w:rPr>
      </w:pPr>
      <w:r>
        <w:rPr>
          <w:rFonts w:ascii="Candara" w:hAnsi="Candara"/>
        </w:rPr>
        <w:fldChar w:fldCharType="end"/>
      </w:r>
    </w:p>
    <w:p w:rsidR="00B338A4" w:rsidRDefault="00B338A4" w:rsidP="00B338A4">
      <w:pPr>
        <w:rPr>
          <w:rFonts w:ascii="Candara" w:hAnsi="Candara"/>
        </w:rPr>
      </w:pPr>
    </w:p>
    <w:p w:rsidR="00774018" w:rsidRPr="00B338A4" w:rsidRDefault="00774018" w:rsidP="00B338A4">
      <w:pPr>
        <w:rPr>
          <w:rFonts w:ascii="Candara" w:hAnsi="Candara"/>
        </w:rPr>
        <w:sectPr w:rsidR="00774018" w:rsidRPr="00B338A4" w:rsidSect="007B1E52">
          <w:footerReference w:type="default" r:id="rId16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574EE4" w:rsidRPr="00574EE4" w:rsidRDefault="00574EE4" w:rsidP="00574EE4">
      <w:pPr>
        <w:pStyle w:val="Header"/>
        <w:jc w:val="center"/>
        <w:rPr>
          <w:rFonts w:ascii="Candara" w:hAnsi="Candara" w:cs="Arial"/>
          <w:bCs/>
          <w:sz w:val="28"/>
          <w:u w:val="single"/>
        </w:rPr>
      </w:pPr>
      <w:r>
        <w:rPr>
          <w:rFonts w:ascii="Candara" w:hAnsi="Candara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C407744" wp14:editId="002C695D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1596390" cy="942975"/>
            <wp:effectExtent l="0" t="0" r="381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W_smal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4EE4">
        <w:rPr>
          <w:rFonts w:ascii="Candara" w:hAnsi="Candara" w:cs="Arial"/>
          <w:bCs/>
          <w:sz w:val="28"/>
          <w:u w:val="single"/>
        </w:rPr>
        <w:t>Introduction</w:t>
      </w:r>
    </w:p>
    <w:p w:rsidR="001057B8" w:rsidRPr="001057B8" w:rsidRDefault="00D75591" w:rsidP="00B338A4">
      <w:pPr>
        <w:pStyle w:val="JuliaHeading"/>
      </w:pPr>
      <w:bookmarkStart w:id="2" w:name="_Toc509561058"/>
      <w:r w:rsidRPr="001057B8">
        <w:t>B</w:t>
      </w:r>
      <w:r w:rsidR="00E809DC" w:rsidRPr="001057B8">
        <w:t>ACKGROUND</w:t>
      </w:r>
      <w:bookmarkEnd w:id="2"/>
    </w:p>
    <w:p w:rsidR="00E138DC" w:rsidRPr="00732924" w:rsidRDefault="00D75591" w:rsidP="00732924">
      <w:pPr>
        <w:pStyle w:val="JWBody"/>
      </w:pPr>
      <w:r w:rsidRPr="00732924">
        <w:t xml:space="preserve">Adult Education Wolverhampton (AEW) require </w:t>
      </w:r>
      <w:r w:rsidR="00E138DC" w:rsidRPr="00732924">
        <w:t xml:space="preserve">an externally hosted web based </w:t>
      </w:r>
      <w:r w:rsidR="00DE744A">
        <w:t xml:space="preserve">Educational </w:t>
      </w:r>
      <w:r w:rsidR="00E138DC" w:rsidRPr="00732924">
        <w:t>M</w:t>
      </w:r>
      <w:r w:rsidR="00DE744A">
        <w:t xml:space="preserve">anagement </w:t>
      </w:r>
      <w:r w:rsidR="00E138DC" w:rsidRPr="00732924">
        <w:t>I</w:t>
      </w:r>
      <w:r w:rsidR="00DE744A">
        <w:t xml:space="preserve">nformation </w:t>
      </w:r>
      <w:r w:rsidR="00E138DC" w:rsidRPr="00732924">
        <w:t>S</w:t>
      </w:r>
      <w:r w:rsidR="00DE744A">
        <w:t>ystem (MIS)</w:t>
      </w:r>
      <w:r w:rsidR="00E138DC" w:rsidRPr="00732924">
        <w:t xml:space="preserve"> and enrolment system which will hold staff, student, course, enrolment and financial data.  It must be compatible with the Education Skills Funding Agency (ESFA) data return requirements </w:t>
      </w:r>
      <w:r w:rsidRPr="00732924">
        <w:t>which are essent</w:t>
      </w:r>
      <w:r w:rsidR="00E138DC" w:rsidRPr="00732924">
        <w:t>ial for the funding of the AEW S</w:t>
      </w:r>
      <w:r w:rsidRPr="00732924">
        <w:t xml:space="preserve">ervice. </w:t>
      </w:r>
    </w:p>
    <w:p w:rsidR="00E138DC" w:rsidRPr="00732924" w:rsidRDefault="00E138DC" w:rsidP="00732924">
      <w:pPr>
        <w:pStyle w:val="JWBody"/>
      </w:pPr>
    </w:p>
    <w:p w:rsidR="00E138DC" w:rsidRPr="00732924" w:rsidRDefault="00E138DC" w:rsidP="00732924">
      <w:pPr>
        <w:pStyle w:val="JWBody"/>
      </w:pPr>
      <w:r w:rsidRPr="00732924">
        <w:t xml:space="preserve">Adult Education Wolverhampton secures funding from the </w:t>
      </w:r>
      <w:r w:rsidR="00DE744A">
        <w:t>ESFA</w:t>
      </w:r>
      <w:r w:rsidRPr="00732924">
        <w:t xml:space="preserve"> to support adult learning opportunities for the residents of Wolverhampton and the surrounding area.  During 2016/2017 there were approximately </w:t>
      </w:r>
      <w:r w:rsidR="00C51B43" w:rsidRPr="00732924">
        <w:t>3000</w:t>
      </w:r>
      <w:r w:rsidRPr="00732924">
        <w:t xml:space="preserve"> learners and </w:t>
      </w:r>
      <w:r w:rsidR="00E67382">
        <w:t>78</w:t>
      </w:r>
      <w:r w:rsidR="00C51B43" w:rsidRPr="00732924">
        <w:t>00</w:t>
      </w:r>
      <w:r w:rsidRPr="00732924">
        <w:t xml:space="preserve"> enrolments. Courses are currently offered from 3 main locations in the City centre but also in several community locations. </w:t>
      </w:r>
      <w:r w:rsidR="00587B2E" w:rsidRPr="00732924">
        <w:t xml:space="preserve"> Approximately 49</w:t>
      </w:r>
      <w:r w:rsidRPr="00732924">
        <w:t>% of the students were enrolled on regulated and non-regulated Adult Education Budget (AEB) whic</w:t>
      </w:r>
      <w:r w:rsidR="00587B2E" w:rsidRPr="00732924">
        <w:t>h included some Traineeships, 49</w:t>
      </w:r>
      <w:r w:rsidRPr="00732924">
        <w:t xml:space="preserve">% on Community Learning funded courses and </w:t>
      </w:r>
      <w:r w:rsidR="00587B2E" w:rsidRPr="00732924">
        <w:t>1</w:t>
      </w:r>
      <w:r w:rsidRPr="00732924">
        <w:t xml:space="preserve">% on Advanced Learner Loans.  The Service also had a very small cohort on 16-19 provision and some </w:t>
      </w:r>
      <w:r w:rsidR="00587B2E" w:rsidRPr="00732924">
        <w:t>self-funded</w:t>
      </w:r>
      <w:r w:rsidRPr="00732924">
        <w:t xml:space="preserve"> and employer funded provision.</w:t>
      </w:r>
    </w:p>
    <w:p w:rsidR="00AE625E" w:rsidRPr="00732924" w:rsidRDefault="00AE625E" w:rsidP="00732924">
      <w:pPr>
        <w:pStyle w:val="JWBody"/>
      </w:pPr>
    </w:p>
    <w:p w:rsidR="00AE625E" w:rsidRPr="00732924" w:rsidRDefault="00AE625E" w:rsidP="00732924">
      <w:pPr>
        <w:pStyle w:val="JWBody"/>
      </w:pPr>
      <w:r w:rsidRPr="00732924">
        <w:t>The Service</w:t>
      </w:r>
      <w:r w:rsidR="00DE744A">
        <w:t>’</w:t>
      </w:r>
      <w:r w:rsidRPr="00732924">
        <w:t>s current operating hours are Monday to Friday 8:00am to 9.00pm, with occasional requirements for provision</w:t>
      </w:r>
      <w:r w:rsidR="00DE744A">
        <w:t xml:space="preserve"> and enrolment events</w:t>
      </w:r>
      <w:r w:rsidRPr="00732924">
        <w:t xml:space="preserve"> on Saturdays </w:t>
      </w:r>
      <w:r w:rsidR="00DE744A">
        <w:t xml:space="preserve">between </w:t>
      </w:r>
      <w:r w:rsidRPr="00732924">
        <w:t xml:space="preserve">8:00 </w:t>
      </w:r>
      <w:r w:rsidR="00DE744A">
        <w:t>and</w:t>
      </w:r>
      <w:r w:rsidRPr="00732924">
        <w:t xml:space="preserve"> 4.00pm.</w:t>
      </w:r>
    </w:p>
    <w:p w:rsidR="00E138DC" w:rsidRPr="00732924" w:rsidRDefault="00E138DC" w:rsidP="00732924">
      <w:pPr>
        <w:pStyle w:val="JWBody"/>
      </w:pPr>
    </w:p>
    <w:p w:rsidR="00E138DC" w:rsidRPr="00732924" w:rsidRDefault="00E138DC" w:rsidP="00732924">
      <w:pPr>
        <w:pStyle w:val="JWBody"/>
      </w:pPr>
      <w:r w:rsidRPr="00732924">
        <w:t>The</w:t>
      </w:r>
      <w:r w:rsidR="00E67382">
        <w:t>re are currently approximately 5</w:t>
      </w:r>
      <w:r w:rsidRPr="00732924">
        <w:t xml:space="preserve">0 users of the MIS system with differing levels of access and permissions including </w:t>
      </w:r>
      <w:r w:rsidR="00DE744A">
        <w:t>MIS system Mangers</w:t>
      </w:r>
      <w:r w:rsidRPr="00732924">
        <w:t xml:space="preserve">, MIS Administration staff, </w:t>
      </w:r>
      <w:r w:rsidR="009D16EF" w:rsidRPr="00732924">
        <w:t>Managers and teaching staff logons.</w:t>
      </w:r>
      <w:r w:rsidRPr="00732924">
        <w:t xml:space="preserve"> </w:t>
      </w:r>
    </w:p>
    <w:p w:rsidR="00E138DC" w:rsidRPr="00732924" w:rsidRDefault="00E138DC" w:rsidP="00732924">
      <w:pPr>
        <w:pStyle w:val="JWBody"/>
      </w:pPr>
    </w:p>
    <w:p w:rsidR="00D75591" w:rsidRDefault="00D75591" w:rsidP="00732924">
      <w:pPr>
        <w:pStyle w:val="JWBody"/>
      </w:pPr>
      <w:r w:rsidRPr="00732924">
        <w:t xml:space="preserve">The system </w:t>
      </w:r>
      <w:r w:rsidR="009D16EF" w:rsidRPr="00732924">
        <w:t xml:space="preserve">required </w:t>
      </w:r>
      <w:r w:rsidRPr="00732924">
        <w:t xml:space="preserve">needs to </w:t>
      </w:r>
      <w:r w:rsidR="00574EE4" w:rsidRPr="00732924">
        <w:t xml:space="preserve">provide an ongoing performance management tool by producing the appropriate management reports with regard to the retention, and achievement of students on both accredited and non-accredited learning aims, progress and forecast of the achievement of funding allocations and must </w:t>
      </w:r>
      <w:r w:rsidRPr="00732924">
        <w:t>produce the necessary</w:t>
      </w:r>
      <w:r w:rsidR="00574EE4" w:rsidRPr="00732924">
        <w:t xml:space="preserve"> </w:t>
      </w:r>
      <w:r w:rsidRPr="00732924">
        <w:t>management reports to fully satisfy the expectations of Ofsted.</w:t>
      </w:r>
      <w:r w:rsidR="00574EE4" w:rsidRPr="00732924">
        <w:t xml:space="preserve"> </w:t>
      </w:r>
      <w:r w:rsidRPr="00732924">
        <w:t xml:space="preserve"> AEW are looking for a system which is </w:t>
      </w:r>
      <w:r w:rsidR="00574EE4" w:rsidRPr="00732924">
        <w:t>accurate</w:t>
      </w:r>
      <w:r w:rsidRPr="00732924">
        <w:t>, responsive</w:t>
      </w:r>
      <w:r w:rsidR="00574EE4" w:rsidRPr="00732924">
        <w:t>, fully supported</w:t>
      </w:r>
      <w:r w:rsidRPr="00732924">
        <w:t xml:space="preserve"> and can </w:t>
      </w:r>
      <w:r w:rsidR="00574EE4" w:rsidRPr="00732924">
        <w:t xml:space="preserve">provide the appropriate functionality for a variety of user roles. </w:t>
      </w:r>
      <w:r w:rsidRPr="00732924">
        <w:t xml:space="preserve"> </w:t>
      </w:r>
      <w:r w:rsidR="00574EE4" w:rsidRPr="00732924">
        <w:t xml:space="preserve">The interface should be user friendly and intuitive </w:t>
      </w:r>
      <w:r w:rsidRPr="00732924">
        <w:t>with minimal user training</w:t>
      </w:r>
      <w:r w:rsidR="00574EE4" w:rsidRPr="00732924">
        <w:t xml:space="preserve"> required</w:t>
      </w:r>
      <w:r w:rsidRPr="00732924">
        <w:t>.</w:t>
      </w:r>
    </w:p>
    <w:p w:rsidR="001057B8" w:rsidRDefault="001057B8" w:rsidP="001057B8">
      <w:pPr>
        <w:rPr>
          <w:rFonts w:ascii="Candara" w:hAnsi="Candara"/>
          <w:sz w:val="24"/>
        </w:rPr>
      </w:pPr>
    </w:p>
    <w:p w:rsidR="00332DA1" w:rsidRPr="001057B8" w:rsidRDefault="001057B8" w:rsidP="00B338A4">
      <w:pPr>
        <w:pStyle w:val="JuliaHeading"/>
      </w:pPr>
      <w:bookmarkStart w:id="3" w:name="_Toc509561059"/>
      <w:r w:rsidRPr="001057B8">
        <w:t>PROJECT OBJECTIVES</w:t>
      </w:r>
      <w:bookmarkEnd w:id="3"/>
    </w:p>
    <w:p w:rsidR="00332DA1" w:rsidRDefault="00332DA1" w:rsidP="00732924">
      <w:pPr>
        <w:pStyle w:val="JWBullets"/>
      </w:pPr>
      <w:r>
        <w:t>To procure an MIS system for the Adult Education Wolverhampton with staged implementation</w:t>
      </w:r>
      <w:r w:rsidR="00EE2A13">
        <w:t xml:space="preserve"> within the budget identified</w:t>
      </w:r>
    </w:p>
    <w:p w:rsidR="00332DA1" w:rsidRDefault="00332DA1" w:rsidP="00732924">
      <w:pPr>
        <w:pStyle w:val="JWBullets"/>
      </w:pPr>
      <w:r w:rsidRPr="00332DA1">
        <w:t xml:space="preserve">To provide a system which maintains the current quality of data accuracy, error checking and reporting </w:t>
      </w:r>
    </w:p>
    <w:p w:rsidR="00332DA1" w:rsidRDefault="00332DA1" w:rsidP="00732924">
      <w:pPr>
        <w:pStyle w:val="JWBullets"/>
      </w:pPr>
      <w:r>
        <w:lastRenderedPageBreak/>
        <w:t xml:space="preserve">To enable the </w:t>
      </w:r>
      <w:r w:rsidR="00EE2A13">
        <w:t xml:space="preserve">effective and efficient </w:t>
      </w:r>
      <w:r>
        <w:t xml:space="preserve">recording </w:t>
      </w:r>
      <w:r w:rsidR="00EE2A13">
        <w:t xml:space="preserve">of </w:t>
      </w:r>
      <w:r>
        <w:t>accura</w:t>
      </w:r>
      <w:r w:rsidR="00EE2A13">
        <w:t>te</w:t>
      </w:r>
      <w:r>
        <w:t xml:space="preserve"> student, course and achievement data for performance management and funding claim purposes</w:t>
      </w:r>
    </w:p>
    <w:p w:rsidR="00D75591" w:rsidRDefault="00332DA1" w:rsidP="00732924">
      <w:pPr>
        <w:pStyle w:val="JWBullets"/>
      </w:pPr>
      <w:r w:rsidRPr="00332DA1">
        <w:t xml:space="preserve">To safeguard and manage </w:t>
      </w:r>
      <w:r>
        <w:t xml:space="preserve">Service </w:t>
      </w:r>
      <w:r w:rsidRPr="00332DA1">
        <w:t xml:space="preserve">data to meet </w:t>
      </w:r>
      <w:r>
        <w:t xml:space="preserve">the requirements </w:t>
      </w:r>
      <w:r w:rsidR="00872405">
        <w:t>and compliance with the General Data Protection Regulations</w:t>
      </w:r>
      <w:r>
        <w:t xml:space="preserve"> </w:t>
      </w:r>
    </w:p>
    <w:p w:rsidR="00DE744A" w:rsidRDefault="00DE744A" w:rsidP="00DE744A">
      <w:pPr>
        <w:pStyle w:val="JWBullets"/>
        <w:numPr>
          <w:ilvl w:val="0"/>
          <w:numId w:val="0"/>
        </w:numPr>
        <w:ind w:left="720"/>
      </w:pPr>
    </w:p>
    <w:p w:rsidR="00F00169" w:rsidRPr="001057B8" w:rsidRDefault="00E04AFA" w:rsidP="00B338A4">
      <w:pPr>
        <w:pStyle w:val="JuliaHeading"/>
      </w:pPr>
      <w:bookmarkStart w:id="4" w:name="_Toc509561060"/>
      <w:r w:rsidRPr="001057B8">
        <w:t>Scope or work</w:t>
      </w:r>
      <w:bookmarkEnd w:id="4"/>
    </w:p>
    <w:p w:rsidR="00BC1508" w:rsidRDefault="00BC1508" w:rsidP="00732924">
      <w:pPr>
        <w:pStyle w:val="JWBullets"/>
      </w:pPr>
      <w:r>
        <w:t>To provide a system which fulfils the essential specification</w:t>
      </w:r>
      <w:r w:rsidR="00621671">
        <w:t xml:space="preserve"> requirements as listed in the s</w:t>
      </w:r>
      <w:r>
        <w:t>pecification section along with any other additional modules agreed to provide an effec</w:t>
      </w:r>
      <w:r w:rsidR="00570D6F">
        <w:t xml:space="preserve">tive management tool for </w:t>
      </w:r>
      <w:r w:rsidR="00DE744A">
        <w:t>AEW</w:t>
      </w:r>
    </w:p>
    <w:p w:rsidR="00621671" w:rsidRDefault="00621671" w:rsidP="00732924">
      <w:pPr>
        <w:pStyle w:val="JWBullets"/>
      </w:pPr>
      <w:r>
        <w:t xml:space="preserve">To provide an appropriate project timeline for installation and switch to the new system within the parameters of the academic </w:t>
      </w:r>
      <w:r w:rsidR="004F1339">
        <w:t xml:space="preserve">year requirements </w:t>
      </w:r>
      <w:r>
        <w:t xml:space="preserve">and funding </w:t>
      </w:r>
      <w:r w:rsidR="004F1339">
        <w:t>returns</w:t>
      </w:r>
    </w:p>
    <w:p w:rsidR="00BC1508" w:rsidRDefault="00BC1508" w:rsidP="00732924">
      <w:pPr>
        <w:pStyle w:val="JWBullets"/>
      </w:pPr>
      <w:r>
        <w:t xml:space="preserve">To work with all levels of </w:t>
      </w:r>
      <w:r w:rsidR="00621671">
        <w:t xml:space="preserve">AEW </w:t>
      </w:r>
      <w:r>
        <w:t>users during</w:t>
      </w:r>
      <w:r w:rsidR="00621671">
        <w:t xml:space="preserve"> </w:t>
      </w:r>
      <w:r>
        <w:t>the installation and configuration of the system</w:t>
      </w:r>
    </w:p>
    <w:p w:rsidR="00BC1508" w:rsidRDefault="00BC1508" w:rsidP="00732924">
      <w:pPr>
        <w:pStyle w:val="JWBullets"/>
      </w:pPr>
      <w:r>
        <w:t xml:space="preserve">To </w:t>
      </w:r>
      <w:r w:rsidR="00621671">
        <w:t xml:space="preserve">work with the existing system provider to </w:t>
      </w:r>
      <w:r>
        <w:t xml:space="preserve">migrate </w:t>
      </w:r>
      <w:r w:rsidR="00621671">
        <w:t xml:space="preserve">and maintain the integrity of </w:t>
      </w:r>
      <w:r>
        <w:t xml:space="preserve">existing </w:t>
      </w:r>
      <w:r w:rsidR="00621671">
        <w:t>staff, student, course, enrolment and financial</w:t>
      </w:r>
      <w:r>
        <w:t xml:space="preserve"> </w:t>
      </w:r>
      <w:r w:rsidR="00621671">
        <w:t>data into the new system</w:t>
      </w:r>
    </w:p>
    <w:p w:rsidR="00BC1508" w:rsidRDefault="00621671" w:rsidP="00732924">
      <w:pPr>
        <w:pStyle w:val="JWBullets"/>
      </w:pPr>
      <w:r>
        <w:t>To provide a training plan for staff dependant on their user role</w:t>
      </w:r>
    </w:p>
    <w:p w:rsidR="00621671" w:rsidRPr="00BC1508" w:rsidRDefault="00621671" w:rsidP="00732924">
      <w:pPr>
        <w:pStyle w:val="JWBullets"/>
      </w:pPr>
      <w:r>
        <w:t xml:space="preserve">To provide </w:t>
      </w:r>
      <w:r w:rsidR="004F1339">
        <w:t xml:space="preserve">a live system by July </w:t>
      </w:r>
      <w:r w:rsidR="0096456F">
        <w:t>31</w:t>
      </w:r>
      <w:r w:rsidR="0096456F" w:rsidRPr="0096456F">
        <w:rPr>
          <w:vertAlign w:val="superscript"/>
        </w:rPr>
        <w:t>st</w:t>
      </w:r>
      <w:r w:rsidR="0096456F">
        <w:t xml:space="preserve"> 2018</w:t>
      </w:r>
    </w:p>
    <w:p w:rsidR="00BC1508" w:rsidRDefault="00BC1508" w:rsidP="00D75591">
      <w:pPr>
        <w:pStyle w:val="NoSpacing"/>
        <w:rPr>
          <w:rFonts w:ascii="Candara" w:hAnsi="Candara" w:cs="Arial"/>
          <w:b/>
          <w:sz w:val="24"/>
          <w:szCs w:val="24"/>
        </w:rPr>
      </w:pPr>
    </w:p>
    <w:p w:rsidR="00F00169" w:rsidRPr="001057B8" w:rsidRDefault="00E04AFA" w:rsidP="00B338A4">
      <w:pPr>
        <w:pStyle w:val="JuliaHeading"/>
      </w:pPr>
      <w:bookmarkStart w:id="5" w:name="_Toc509561061"/>
      <w:r w:rsidRPr="001057B8">
        <w:t>RESPONDING TO TENDER</w:t>
      </w:r>
      <w:bookmarkEnd w:id="5"/>
    </w:p>
    <w:p w:rsidR="00FB1E2E" w:rsidRPr="00732924" w:rsidRDefault="00FB1E2E" w:rsidP="00732924">
      <w:pPr>
        <w:pStyle w:val="JWBody"/>
      </w:pPr>
      <w:r w:rsidRPr="00732924">
        <w:t>This Invitation to Tender (ITT) for the provision of a totally managed and hosted Student MIS is issued by Wolverhampton City Council (The Authority) acting on behalf of Adult Education Wolverhampton.</w:t>
      </w:r>
    </w:p>
    <w:p w:rsidR="00FB1E2E" w:rsidRPr="00732924" w:rsidRDefault="00FB1E2E" w:rsidP="00732924">
      <w:pPr>
        <w:pStyle w:val="JWBody"/>
      </w:pPr>
    </w:p>
    <w:p w:rsidR="00FB1E2E" w:rsidRPr="00732924" w:rsidRDefault="00C3737F" w:rsidP="00732924">
      <w:pPr>
        <w:pStyle w:val="JWBody"/>
      </w:pPr>
      <w:r w:rsidRPr="00732924">
        <w:t>Th</w:t>
      </w:r>
      <w:r w:rsidR="00FB1E2E" w:rsidRPr="00732924">
        <w:t>e requirements have been rated according to priority levels and a</w:t>
      </w:r>
      <w:r w:rsidRPr="00732924">
        <w:t xml:space="preserve">re listed as either </w:t>
      </w:r>
      <w:r w:rsidRPr="00732924">
        <w:rPr>
          <w:b/>
        </w:rPr>
        <w:t>essential</w:t>
      </w:r>
      <w:r w:rsidRPr="00732924">
        <w:t xml:space="preserve"> or</w:t>
      </w:r>
      <w:r w:rsidR="00FB1E2E" w:rsidRPr="00732924">
        <w:t xml:space="preserve"> </w:t>
      </w:r>
      <w:r w:rsidR="00FB1E2E" w:rsidRPr="00732924">
        <w:rPr>
          <w:b/>
        </w:rPr>
        <w:t>additional</w:t>
      </w:r>
      <w:r w:rsidR="00FB1E2E" w:rsidRPr="00732924">
        <w:t xml:space="preserve"> requirements.</w:t>
      </w:r>
    </w:p>
    <w:p w:rsidR="00FB1E2E" w:rsidRPr="00732924" w:rsidRDefault="00FB1E2E" w:rsidP="00732924">
      <w:pPr>
        <w:pStyle w:val="JWBody"/>
      </w:pPr>
    </w:p>
    <w:p w:rsidR="00FB1E2E" w:rsidRDefault="00FB1E2E" w:rsidP="00732924">
      <w:pPr>
        <w:pStyle w:val="JWBody"/>
      </w:pPr>
      <w:r w:rsidRPr="00732924">
        <w:t>All responses must contain sufficient information to enable a full evaluation to be carried out, suppliers are therefore asked to respond with full descriptions and not Yes/No responses.  Any response omitted from the tender will be deemed as a failure to meet this requirement.</w:t>
      </w:r>
    </w:p>
    <w:p w:rsidR="00363E0E" w:rsidRDefault="00363E0E" w:rsidP="00FB1E2E">
      <w:pPr>
        <w:pStyle w:val="JWBody"/>
      </w:pPr>
    </w:p>
    <w:p w:rsidR="00EB07B3" w:rsidRDefault="0096456F" w:rsidP="00B338A4">
      <w:pPr>
        <w:pStyle w:val="JuliaHeading"/>
      </w:pPr>
      <w:bookmarkStart w:id="6" w:name="_Toc509561062"/>
      <w:r w:rsidRPr="001057B8">
        <w:t>S</w:t>
      </w:r>
      <w:r w:rsidR="00E809DC" w:rsidRPr="001057B8">
        <w:t>PECIFICATION</w:t>
      </w:r>
      <w:r w:rsidR="00FB1E2E" w:rsidRPr="001057B8">
        <w:t xml:space="preserve"> of </w:t>
      </w:r>
      <w:r w:rsidR="00283F9D" w:rsidRPr="001057B8">
        <w:t>ESSENTIAL</w:t>
      </w:r>
      <w:r w:rsidR="001057B8" w:rsidRPr="001057B8">
        <w:t xml:space="preserve"> REQUIREMENTS</w:t>
      </w:r>
      <w:bookmarkEnd w:id="6"/>
    </w:p>
    <w:p w:rsidR="00DE744A" w:rsidRDefault="00DE744A" w:rsidP="00DE744A">
      <w:pPr>
        <w:pStyle w:val="JWBody"/>
      </w:pPr>
      <w:r>
        <w:t xml:space="preserve">The Software-as-a-Service (Saas) MIS software solution is required to have the following </w:t>
      </w:r>
      <w:r>
        <w:rPr>
          <w:b/>
        </w:rPr>
        <w:t>essential</w:t>
      </w:r>
      <w:r>
        <w:t xml:space="preserve"> functionality:</w:t>
      </w:r>
    </w:p>
    <w:p w:rsidR="00DE744A" w:rsidRDefault="00DE744A" w:rsidP="00DE744A">
      <w:pPr>
        <w:pStyle w:val="JuliaHeading"/>
        <w:numPr>
          <w:ilvl w:val="0"/>
          <w:numId w:val="0"/>
        </w:numPr>
        <w:ind w:left="357"/>
      </w:pPr>
    </w:p>
    <w:p w:rsidR="001057B8" w:rsidRPr="00EB07B3" w:rsidRDefault="00EB07B3" w:rsidP="00B338A4">
      <w:pPr>
        <w:pStyle w:val="JuliaSubheading"/>
      </w:pPr>
      <w:bookmarkStart w:id="7" w:name="_Toc509561063"/>
      <w:r>
        <w:t>System Users</w:t>
      </w:r>
      <w:bookmarkEnd w:id="7"/>
    </w:p>
    <w:p w:rsidR="0096456F" w:rsidRDefault="0096456F" w:rsidP="00732924">
      <w:pPr>
        <w:pStyle w:val="JWBullets"/>
      </w:pPr>
      <w:r w:rsidRPr="00574EE4">
        <w:t xml:space="preserve">Defined access levels </w:t>
      </w:r>
      <w:r>
        <w:t xml:space="preserve">and amendment permissions </w:t>
      </w:r>
      <w:r w:rsidRPr="00574EE4">
        <w:t>fo</w:t>
      </w:r>
      <w:r>
        <w:t>r different staff roles set by Adult E</w:t>
      </w:r>
      <w:r w:rsidRPr="00574EE4">
        <w:t>ducation</w:t>
      </w:r>
      <w:r w:rsidR="000223E2">
        <w:t xml:space="preserve"> including </w:t>
      </w:r>
      <w:r w:rsidR="00DE744A">
        <w:t>MIS System Manager</w:t>
      </w:r>
      <w:r w:rsidR="006362FA">
        <w:t xml:space="preserve"> l</w:t>
      </w:r>
      <w:r w:rsidR="006362FA" w:rsidRPr="00E809DC">
        <w:t>evel</w:t>
      </w:r>
      <w:r w:rsidR="0093642F">
        <w:t xml:space="preserve">, </w:t>
      </w:r>
      <w:r w:rsidR="00DE744A">
        <w:t xml:space="preserve">MIS </w:t>
      </w:r>
      <w:r w:rsidR="0093642F">
        <w:t>administrat</w:t>
      </w:r>
      <w:r w:rsidR="00DE744A">
        <w:t>or</w:t>
      </w:r>
      <w:r w:rsidR="0093642F">
        <w:t xml:space="preserve"> level, read only all access</w:t>
      </w:r>
      <w:r w:rsidR="00DE744A">
        <w:t xml:space="preserve"> for curriculum management</w:t>
      </w:r>
      <w:r w:rsidR="0093642F">
        <w:t>, Tutor register marking access</w:t>
      </w:r>
    </w:p>
    <w:p w:rsidR="009C0B07" w:rsidRDefault="009C0B07" w:rsidP="007D0061">
      <w:pPr>
        <w:pStyle w:val="JWBullets"/>
      </w:pPr>
      <w:r>
        <w:t xml:space="preserve">Capability for </w:t>
      </w:r>
      <w:r w:rsidR="00E67382">
        <w:t xml:space="preserve">50 logins and </w:t>
      </w:r>
      <w:r w:rsidR="000223E2">
        <w:t>simultaneous access</w:t>
      </w:r>
      <w:r w:rsidR="006362FA" w:rsidRPr="00E809DC">
        <w:t xml:space="preserve"> </w:t>
      </w:r>
      <w:r>
        <w:t xml:space="preserve">for up to 30 staff </w:t>
      </w:r>
    </w:p>
    <w:p w:rsidR="006362FA" w:rsidRPr="009255B0" w:rsidRDefault="006362FA" w:rsidP="000F5762">
      <w:pPr>
        <w:pStyle w:val="JWBullets"/>
      </w:pPr>
      <w:r w:rsidRPr="006362FA">
        <w:t xml:space="preserve">User access and permissions to be set up at </w:t>
      </w:r>
      <w:r w:rsidR="00DE744A">
        <w:t xml:space="preserve">MIS System Manager </w:t>
      </w:r>
      <w:r w:rsidRPr="006362FA">
        <w:t xml:space="preserve">level </w:t>
      </w:r>
    </w:p>
    <w:p w:rsidR="00DE744A" w:rsidRDefault="00DE744A" w:rsidP="006362FA">
      <w:pPr>
        <w:pStyle w:val="NoSpacing"/>
        <w:rPr>
          <w:rFonts w:ascii="Candara" w:hAnsi="Candara" w:cs="Arial"/>
          <w:sz w:val="24"/>
          <w:szCs w:val="24"/>
        </w:rPr>
      </w:pPr>
    </w:p>
    <w:p w:rsidR="00DE744A" w:rsidRDefault="00DE744A" w:rsidP="006362FA">
      <w:pPr>
        <w:pStyle w:val="NoSpacing"/>
        <w:rPr>
          <w:rFonts w:ascii="Candara" w:hAnsi="Candara" w:cs="Arial"/>
          <w:sz w:val="24"/>
          <w:szCs w:val="24"/>
        </w:rPr>
      </w:pPr>
    </w:p>
    <w:p w:rsidR="009255B0" w:rsidRDefault="009255B0" w:rsidP="006362FA">
      <w:pPr>
        <w:pStyle w:val="NoSpacing"/>
        <w:rPr>
          <w:rFonts w:ascii="Candara" w:hAnsi="Candara" w:cs="Arial"/>
          <w:sz w:val="24"/>
          <w:szCs w:val="24"/>
        </w:rPr>
      </w:pPr>
    </w:p>
    <w:p w:rsidR="009B21C6" w:rsidRDefault="009B21C6" w:rsidP="006362FA">
      <w:pPr>
        <w:pStyle w:val="NoSpacing"/>
        <w:rPr>
          <w:rFonts w:ascii="Candara" w:hAnsi="Candara" w:cs="Arial"/>
          <w:sz w:val="24"/>
          <w:szCs w:val="24"/>
        </w:rPr>
      </w:pPr>
    </w:p>
    <w:p w:rsidR="006362FA" w:rsidRPr="001057B8" w:rsidRDefault="006362FA" w:rsidP="00B338A4">
      <w:pPr>
        <w:pStyle w:val="JuliaSubheading"/>
      </w:pPr>
      <w:bookmarkStart w:id="8" w:name="_Toc509561064"/>
      <w:r w:rsidRPr="001057B8">
        <w:lastRenderedPageBreak/>
        <w:t xml:space="preserve">Core system </w:t>
      </w:r>
      <w:r w:rsidR="00142695" w:rsidRPr="001057B8">
        <w:t>functionality</w:t>
      </w:r>
      <w:bookmarkEnd w:id="8"/>
    </w:p>
    <w:p w:rsidR="006362FA" w:rsidRDefault="00D75591" w:rsidP="00732924">
      <w:pPr>
        <w:pStyle w:val="JWBullets"/>
      </w:pPr>
      <w:r w:rsidRPr="00574EE4">
        <w:t xml:space="preserve">Core system will record </w:t>
      </w:r>
      <w:r w:rsidR="00570D6F">
        <w:t>student</w:t>
      </w:r>
      <w:r w:rsidR="00917B37">
        <w:t xml:space="preserve"> details</w:t>
      </w:r>
      <w:r w:rsidRPr="00574EE4">
        <w:t xml:space="preserve">, enrolments, courses, </w:t>
      </w:r>
      <w:r w:rsidR="00917B37">
        <w:t xml:space="preserve">aim </w:t>
      </w:r>
      <w:r w:rsidRPr="00574EE4">
        <w:t xml:space="preserve">results, </w:t>
      </w:r>
      <w:r w:rsidR="00917B37">
        <w:t>staff</w:t>
      </w:r>
      <w:r w:rsidRPr="00574EE4">
        <w:t xml:space="preserve"> informati</w:t>
      </w:r>
      <w:r w:rsidR="00917B37">
        <w:t>on, U</w:t>
      </w:r>
      <w:r w:rsidR="00DE744A">
        <w:t xml:space="preserve">nique </w:t>
      </w:r>
      <w:r w:rsidR="00917B37">
        <w:t>L</w:t>
      </w:r>
      <w:r w:rsidR="00DE744A">
        <w:t xml:space="preserve">earner </w:t>
      </w:r>
      <w:r w:rsidR="00917B37">
        <w:t>N</w:t>
      </w:r>
      <w:r w:rsidR="00DE744A">
        <w:t>umbers (ULNs)</w:t>
      </w:r>
      <w:r w:rsidR="00917B37">
        <w:t>, payments and all appropriate funding and monitoring codes</w:t>
      </w:r>
    </w:p>
    <w:p w:rsidR="00F93472" w:rsidRDefault="00F93472" w:rsidP="00732924">
      <w:pPr>
        <w:pStyle w:val="JWBullets"/>
      </w:pPr>
      <w:r>
        <w:t>Ability to support c</w:t>
      </w:r>
      <w:r w:rsidRPr="00574EE4">
        <w:t xml:space="preserve">urriculum planning including targets and funding projection </w:t>
      </w:r>
    </w:p>
    <w:p w:rsidR="0048089B" w:rsidRPr="00574EE4" w:rsidRDefault="0048089B" w:rsidP="00732924">
      <w:pPr>
        <w:pStyle w:val="JWBullets"/>
      </w:pPr>
      <w:r w:rsidRPr="00574EE4">
        <w:t xml:space="preserve">Dashboards </w:t>
      </w:r>
      <w:r>
        <w:t xml:space="preserve">(user interface) </w:t>
      </w:r>
      <w:r w:rsidR="0033491B">
        <w:t xml:space="preserve">are </w:t>
      </w:r>
      <w:r w:rsidRPr="00574EE4">
        <w:t xml:space="preserve">configurable relating to user role e.g. Tutor logons will only see related courses, MIS </w:t>
      </w:r>
      <w:r w:rsidR="00DE744A">
        <w:t xml:space="preserve">administrative </w:t>
      </w:r>
      <w:r w:rsidRPr="00574EE4">
        <w:t xml:space="preserve">staff will see all data, Manager logons will </w:t>
      </w:r>
      <w:r w:rsidR="00DE744A">
        <w:t>be able to view and interrogate any</w:t>
      </w:r>
      <w:r w:rsidRPr="00574EE4">
        <w:t xml:space="preserve"> performance module</w:t>
      </w:r>
      <w:r w:rsidR="00DE744A">
        <w:t xml:space="preserve"> data</w:t>
      </w:r>
    </w:p>
    <w:p w:rsidR="0048089B" w:rsidRDefault="0048089B" w:rsidP="00732924">
      <w:pPr>
        <w:pStyle w:val="JWBullets"/>
      </w:pPr>
      <w:r>
        <w:t xml:space="preserve">User interface </w:t>
      </w:r>
      <w:r w:rsidR="0033491B">
        <w:t xml:space="preserve">(UI) </w:t>
      </w:r>
      <w:r>
        <w:t>must be easy to navigate for all users with intuitive screens for data entry and teaching staff</w:t>
      </w:r>
    </w:p>
    <w:p w:rsidR="0093642F" w:rsidRPr="0093642F" w:rsidRDefault="00A471B1" w:rsidP="00732924">
      <w:pPr>
        <w:pStyle w:val="JWBullets"/>
      </w:pPr>
      <w:r>
        <w:t>Should work with Windows 10, IE version 11</w:t>
      </w:r>
      <w:r w:rsidR="0093642F" w:rsidRPr="00D213AD">
        <w:t xml:space="preserve"> </w:t>
      </w:r>
      <w:r>
        <w:t>and Google Chrome</w:t>
      </w:r>
      <w:r w:rsidR="0093642F">
        <w:t xml:space="preserve"> and should </w:t>
      </w:r>
      <w:r w:rsidR="0093642F" w:rsidRPr="00D213AD">
        <w:t>not require any additional plug-ins or 3rd party tools or applications to work on mobile device</w:t>
      </w:r>
      <w:r w:rsidR="0093642F">
        <w:t>s</w:t>
      </w:r>
    </w:p>
    <w:p w:rsidR="00570D6F" w:rsidRPr="00574EE4" w:rsidRDefault="00570D6F" w:rsidP="00732924">
      <w:pPr>
        <w:pStyle w:val="JWBullets"/>
      </w:pPr>
      <w:r>
        <w:t>The system must error check against</w:t>
      </w:r>
      <w:r w:rsidR="00917B37" w:rsidRPr="009D16EF">
        <w:t xml:space="preserve"> </w:t>
      </w:r>
      <w:r w:rsidR="00917B37">
        <w:t xml:space="preserve">the </w:t>
      </w:r>
      <w:r w:rsidR="00917B37" w:rsidRPr="009D16EF">
        <w:t>most up to date data validation rules</w:t>
      </w:r>
      <w:r>
        <w:t xml:space="preserve"> </w:t>
      </w:r>
      <w:r w:rsidR="00917B37">
        <w:t xml:space="preserve">including </w:t>
      </w:r>
      <w:r>
        <w:t xml:space="preserve">ESFA funding rules and </w:t>
      </w:r>
      <w:r w:rsidR="00581DBB">
        <w:t>Individualised Learner Record (</w:t>
      </w:r>
      <w:r>
        <w:t>ILR</w:t>
      </w:r>
      <w:r w:rsidR="00581DBB">
        <w:t>)</w:t>
      </w:r>
      <w:r>
        <w:t xml:space="preserve"> guidance</w:t>
      </w:r>
      <w:r w:rsidR="006362FA">
        <w:t xml:space="preserve">, </w:t>
      </w:r>
      <w:r>
        <w:t>giv</w:t>
      </w:r>
      <w:r w:rsidR="006362FA">
        <w:t>ing</w:t>
      </w:r>
      <w:r>
        <w:t xml:space="preserve"> effective user </w:t>
      </w:r>
      <w:r w:rsidR="00917B37">
        <w:t xml:space="preserve">error </w:t>
      </w:r>
      <w:r>
        <w:t xml:space="preserve">messaging </w:t>
      </w:r>
      <w:r w:rsidR="006362FA">
        <w:t xml:space="preserve">and easy access to the </w:t>
      </w:r>
      <w:r w:rsidR="006362FA" w:rsidRPr="00917B37">
        <w:t>affected</w:t>
      </w:r>
      <w:r w:rsidR="006362FA">
        <w:t xml:space="preserve"> record</w:t>
      </w:r>
      <w:r>
        <w:t xml:space="preserve"> </w:t>
      </w:r>
    </w:p>
    <w:p w:rsidR="00D75591" w:rsidRDefault="00D75591" w:rsidP="00732924">
      <w:pPr>
        <w:pStyle w:val="JWBullets"/>
      </w:pPr>
      <w:r w:rsidRPr="00574EE4">
        <w:t xml:space="preserve">Recording of </w:t>
      </w:r>
      <w:r w:rsidR="00570D6F">
        <w:t>student</w:t>
      </w:r>
      <w:r w:rsidRPr="00574EE4">
        <w:t xml:space="preserve"> support activity and Learner Support funding against </w:t>
      </w:r>
      <w:r w:rsidR="00570D6F">
        <w:t>students</w:t>
      </w:r>
    </w:p>
    <w:p w:rsidR="00142695" w:rsidRPr="00142695" w:rsidRDefault="00142695" w:rsidP="00732924">
      <w:pPr>
        <w:pStyle w:val="JWBullets"/>
      </w:pPr>
      <w:r w:rsidRPr="00142695">
        <w:t>Must have signage/timetabling facility to allocate classrooms</w:t>
      </w:r>
    </w:p>
    <w:p w:rsidR="00917B37" w:rsidRDefault="00917B37" w:rsidP="00732924">
      <w:pPr>
        <w:pStyle w:val="JWBullets"/>
      </w:pPr>
      <w:r w:rsidRPr="00142695">
        <w:t xml:space="preserve">The system </w:t>
      </w:r>
      <w:r w:rsidRPr="009408FC">
        <w:t xml:space="preserve">must facilitate compliance with </w:t>
      </w:r>
      <w:r w:rsidR="009408FC">
        <w:t>the general Data P</w:t>
      </w:r>
      <w:r w:rsidR="00E73C54" w:rsidRPr="009408FC">
        <w:t xml:space="preserve">rotection Regulations and also </w:t>
      </w:r>
      <w:r w:rsidR="00A471B1" w:rsidRPr="009408FC">
        <w:rPr>
          <w:color w:val="FF0000"/>
        </w:rPr>
        <w:t xml:space="preserve">ISO 027001 </w:t>
      </w:r>
      <w:r w:rsidR="00A471B1" w:rsidRPr="009408FC">
        <w:t>and UK data storage requirements</w:t>
      </w:r>
    </w:p>
    <w:p w:rsidR="0048089B" w:rsidRDefault="0048089B" w:rsidP="00732924">
      <w:pPr>
        <w:pStyle w:val="JWBullets"/>
      </w:pPr>
      <w:r>
        <w:t>Ability to</w:t>
      </w:r>
      <w:r w:rsidRPr="00574EE4">
        <w:t xml:space="preserve"> include recording against all equalities protected characteristics</w:t>
      </w:r>
    </w:p>
    <w:p w:rsidR="006362FA" w:rsidRDefault="006362FA" w:rsidP="006362FA">
      <w:pPr>
        <w:pStyle w:val="NoSpacing"/>
        <w:rPr>
          <w:rFonts w:ascii="Candara" w:hAnsi="Candara" w:cs="Arial"/>
          <w:sz w:val="24"/>
          <w:szCs w:val="24"/>
        </w:rPr>
      </w:pPr>
    </w:p>
    <w:p w:rsidR="006362FA" w:rsidRPr="001057B8" w:rsidRDefault="006362FA" w:rsidP="00E73C54">
      <w:pPr>
        <w:pStyle w:val="JuliaSubheading"/>
      </w:pPr>
      <w:bookmarkStart w:id="9" w:name="_Toc509561065"/>
      <w:r w:rsidRPr="001057B8">
        <w:t>Reporting and data analysis</w:t>
      </w:r>
      <w:bookmarkEnd w:id="9"/>
    </w:p>
    <w:p w:rsidR="006362FA" w:rsidRDefault="00D75591" w:rsidP="00732924">
      <w:pPr>
        <w:pStyle w:val="JWBullets"/>
      </w:pPr>
      <w:r w:rsidRPr="00574EE4">
        <w:t>Performance management module should include the ability for locally set performance measures wh</w:t>
      </w:r>
      <w:r w:rsidR="00F93472">
        <w:t>ich can be monitored year round</w:t>
      </w:r>
      <w:r w:rsidRPr="00574EE4">
        <w:t xml:space="preserve">  </w:t>
      </w:r>
    </w:p>
    <w:p w:rsidR="006362FA" w:rsidRDefault="006362FA" w:rsidP="00732924">
      <w:pPr>
        <w:pStyle w:val="JWBullets"/>
      </w:pPr>
      <w:r>
        <w:t>The a</w:t>
      </w:r>
      <w:r w:rsidR="00D75591" w:rsidRPr="00574EE4">
        <w:t xml:space="preserve">bility </w:t>
      </w:r>
      <w:r>
        <w:t xml:space="preserve">to support </w:t>
      </w:r>
      <w:r w:rsidR="0033491B">
        <w:t>qualification achievement rates (</w:t>
      </w:r>
      <w:r>
        <w:t>QAR</w:t>
      </w:r>
      <w:r w:rsidR="0033491B">
        <w:t>)</w:t>
      </w:r>
      <w:r>
        <w:t xml:space="preserve"> and </w:t>
      </w:r>
      <w:r w:rsidR="0033491B">
        <w:t>Self Assessment reporting (</w:t>
      </w:r>
      <w:r>
        <w:t>SAR</w:t>
      </w:r>
      <w:r w:rsidR="0033491B">
        <w:t>)</w:t>
      </w:r>
      <w:r>
        <w:t xml:space="preserve"> reporting on screen, p</w:t>
      </w:r>
      <w:r w:rsidR="0048089B">
        <w:t>rinted and also exported to CSV</w:t>
      </w:r>
    </w:p>
    <w:p w:rsidR="00D75591" w:rsidRPr="00574EE4" w:rsidRDefault="0033491B" w:rsidP="00732924">
      <w:pPr>
        <w:pStyle w:val="JWBullets"/>
      </w:pPr>
      <w:r>
        <w:t>S</w:t>
      </w:r>
      <w:r w:rsidR="00D75591" w:rsidRPr="00574EE4">
        <w:t xml:space="preserve">tandard </w:t>
      </w:r>
      <w:r>
        <w:t xml:space="preserve">performance </w:t>
      </w:r>
      <w:r w:rsidR="00D75591" w:rsidRPr="00574EE4">
        <w:t>report</w:t>
      </w:r>
      <w:r w:rsidR="006362FA">
        <w:t>ing</w:t>
      </w:r>
      <w:r w:rsidR="00D75591" w:rsidRPr="00574EE4">
        <w:t xml:space="preserve"> </w:t>
      </w:r>
      <w:r w:rsidR="006362FA">
        <w:t>should include the ability to filter by Sector Subject Area, M</w:t>
      </w:r>
      <w:r w:rsidR="00D75591" w:rsidRPr="00574EE4">
        <w:t>anager or Tutor and should include reports by: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Academic Year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Age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ASL provision type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Awarding Organisation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Budget Code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Course Manager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Course Status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Course Type Category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Courses (Course Title)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Courses (Instance Code)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Delivery Location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Ward Name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LSOA Name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Ethnicity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Funding Model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Progress type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New Customer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lastRenderedPageBreak/>
        <w:t>Latest benefit Status/DP Outcome/Employment Status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LDD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Learning Aim</w:t>
      </w:r>
    </w:p>
    <w:p w:rsidR="00D75591" w:rsidRPr="00574EE4" w:rsidRDefault="00570D6F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Student</w:t>
      </w:r>
      <w:r w:rsidR="00D75591" w:rsidRPr="00574EE4">
        <w:rPr>
          <w:rFonts w:ascii="Candara" w:hAnsi="Candara" w:cs="Arial"/>
          <w:sz w:val="24"/>
          <w:szCs w:val="24"/>
        </w:rPr>
        <w:t xml:space="preserve"> Home SOA Name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Marketing source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Notional NVQ Level</w:t>
      </w:r>
    </w:p>
    <w:p w:rsidR="00D75591" w:rsidRPr="00574EE4" w:rsidRDefault="00142695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Pr</w:t>
      </w:r>
      <w:r w:rsidR="00D75591" w:rsidRPr="00574EE4">
        <w:rPr>
          <w:rFonts w:ascii="Candara" w:hAnsi="Candara" w:cs="Arial"/>
          <w:sz w:val="24"/>
          <w:szCs w:val="24"/>
        </w:rPr>
        <w:t>ior Attainment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Provision Type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Qualification Type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SAR Area1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Sector Subject Area Tier 1 and 2</w:t>
      </w:r>
    </w:p>
    <w:p w:rsidR="00D75591" w:rsidRPr="00574EE4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Gender</w:t>
      </w:r>
    </w:p>
    <w:p w:rsidR="006362FA" w:rsidRDefault="00D75591" w:rsidP="00D75591">
      <w:pPr>
        <w:pStyle w:val="NoSpacing"/>
        <w:numPr>
          <w:ilvl w:val="1"/>
          <w:numId w:val="1"/>
        </w:numPr>
        <w:rPr>
          <w:rFonts w:ascii="Candara" w:hAnsi="Candara" w:cs="Arial"/>
          <w:sz w:val="24"/>
          <w:szCs w:val="24"/>
        </w:rPr>
      </w:pPr>
      <w:r w:rsidRPr="00574EE4">
        <w:rPr>
          <w:rFonts w:ascii="Candara" w:hAnsi="Candara" w:cs="Arial"/>
          <w:sz w:val="24"/>
          <w:szCs w:val="24"/>
        </w:rPr>
        <w:t>Withdrawal Reason</w:t>
      </w:r>
    </w:p>
    <w:p w:rsidR="00F93472" w:rsidRDefault="00F93472" w:rsidP="00732924">
      <w:pPr>
        <w:pStyle w:val="JWBullets"/>
      </w:pPr>
      <w:r>
        <w:t>Ability to report on</w:t>
      </w:r>
      <w:r w:rsidRPr="00574EE4">
        <w:t xml:space="preserve"> funding projection</w:t>
      </w:r>
      <w:r w:rsidR="0033491B">
        <w:t>s</w:t>
      </w:r>
      <w:r w:rsidRPr="00574EE4">
        <w:t xml:space="preserve"> </w:t>
      </w:r>
    </w:p>
    <w:p w:rsidR="00142695" w:rsidRDefault="00142695" w:rsidP="00732924">
      <w:pPr>
        <w:pStyle w:val="JWBullets"/>
      </w:pPr>
      <w:r w:rsidRPr="00574EE4">
        <w:t>Attendance rates calculated on registers and absence reports generated</w:t>
      </w:r>
    </w:p>
    <w:p w:rsidR="0048089B" w:rsidRPr="00574EE4" w:rsidRDefault="0048089B" w:rsidP="00732924">
      <w:pPr>
        <w:pStyle w:val="JWBullets"/>
      </w:pPr>
      <w:r>
        <w:t>Generate reports on register quality issues</w:t>
      </w:r>
    </w:p>
    <w:p w:rsidR="00142695" w:rsidRDefault="00142695" w:rsidP="00732924">
      <w:pPr>
        <w:pStyle w:val="JWBullets"/>
      </w:pPr>
      <w:r w:rsidRPr="00365418">
        <w:t>Financial reporting on income generated by differing funding streams</w:t>
      </w:r>
    </w:p>
    <w:p w:rsidR="00142695" w:rsidRDefault="00142695" w:rsidP="00732924">
      <w:pPr>
        <w:pStyle w:val="JWBullets"/>
      </w:pPr>
      <w:r w:rsidRPr="00365418">
        <w:t>Ability to create bespoke data analysis reports with csv download facility</w:t>
      </w:r>
      <w:r>
        <w:t xml:space="preserve"> for data tables</w:t>
      </w:r>
    </w:p>
    <w:p w:rsidR="00142695" w:rsidRDefault="00142695" w:rsidP="00952E3F">
      <w:pPr>
        <w:pStyle w:val="Heading2"/>
        <w:ind w:left="1134"/>
      </w:pPr>
    </w:p>
    <w:p w:rsidR="00142695" w:rsidRPr="001057B8" w:rsidRDefault="00142695" w:rsidP="00B338A4">
      <w:pPr>
        <w:pStyle w:val="JuliaSubheading"/>
      </w:pPr>
      <w:bookmarkStart w:id="10" w:name="_Toc509561066"/>
      <w:r w:rsidRPr="001057B8">
        <w:t>Human resources</w:t>
      </w:r>
      <w:bookmarkEnd w:id="10"/>
    </w:p>
    <w:p w:rsidR="00142695" w:rsidRPr="00142695" w:rsidRDefault="0028098A" w:rsidP="00732924">
      <w:pPr>
        <w:pStyle w:val="JWBullets"/>
      </w:pPr>
      <w:r>
        <w:t>Re</w:t>
      </w:r>
      <w:r w:rsidR="00142695">
        <w:t>cord</w:t>
      </w:r>
      <w:r w:rsidR="00142695" w:rsidRPr="00142695">
        <w:t xml:space="preserve"> staff details</w:t>
      </w:r>
      <w:r>
        <w:t>, qualifications and contract details</w:t>
      </w:r>
      <w:r w:rsidR="00142695" w:rsidRPr="00142695">
        <w:t xml:space="preserve"> and </w:t>
      </w:r>
      <w:r w:rsidR="00142695">
        <w:t xml:space="preserve">ability to include </w:t>
      </w:r>
      <w:r w:rsidR="00142695" w:rsidRPr="00142695">
        <w:t>pay</w:t>
      </w:r>
      <w:r w:rsidR="00142695">
        <w:t xml:space="preserve"> rates</w:t>
      </w:r>
      <w:r w:rsidR="00142695" w:rsidRPr="00142695">
        <w:t xml:space="preserve"> </w:t>
      </w:r>
      <w:r w:rsidR="0048089B">
        <w:t>and hours teaching</w:t>
      </w:r>
    </w:p>
    <w:p w:rsidR="006362FA" w:rsidRPr="00142695" w:rsidRDefault="00142695" w:rsidP="00732924">
      <w:pPr>
        <w:pStyle w:val="JWBullets"/>
      </w:pPr>
      <w:r w:rsidRPr="00142695">
        <w:t>Reporting and analysis by tutor timetable</w:t>
      </w:r>
    </w:p>
    <w:p w:rsidR="00142695" w:rsidRDefault="00142695" w:rsidP="00142695">
      <w:pPr>
        <w:pStyle w:val="NoSpacing"/>
        <w:rPr>
          <w:rFonts w:ascii="Candara" w:hAnsi="Candara" w:cs="Arial"/>
          <w:sz w:val="24"/>
          <w:szCs w:val="24"/>
        </w:rPr>
      </w:pPr>
    </w:p>
    <w:p w:rsidR="00D75591" w:rsidRPr="001057B8" w:rsidRDefault="006362FA" w:rsidP="00B338A4">
      <w:pPr>
        <w:pStyle w:val="JuliaSubheading"/>
      </w:pPr>
      <w:bookmarkStart w:id="11" w:name="_Toc509561067"/>
      <w:r w:rsidRPr="001057B8">
        <w:t>Integrate or communicate with other systems</w:t>
      </w:r>
      <w:bookmarkEnd w:id="11"/>
      <w:r w:rsidR="00D75591" w:rsidRPr="001057B8">
        <w:t xml:space="preserve"> </w:t>
      </w:r>
    </w:p>
    <w:p w:rsidR="0048089B" w:rsidRPr="00574EE4" w:rsidRDefault="0048089B" w:rsidP="00E31C85">
      <w:pPr>
        <w:pStyle w:val="JWBullets"/>
      </w:pPr>
      <w:r>
        <w:t xml:space="preserve">Produce </w:t>
      </w:r>
      <w:r w:rsidRPr="00574EE4">
        <w:t>ILR submissions to meet ESFA requirements</w:t>
      </w:r>
      <w:r w:rsidRPr="00E31C85">
        <w:t>.</w:t>
      </w:r>
      <w:r w:rsidRPr="00574EE4">
        <w:rPr>
          <w:color w:val="FF0000"/>
        </w:rPr>
        <w:t xml:space="preserve"> </w:t>
      </w:r>
      <w:r w:rsidR="009408FC">
        <w:t>M</w:t>
      </w:r>
      <w:r w:rsidR="009408FC" w:rsidRPr="00574EE4">
        <w:t xml:space="preserve">aintenance </w:t>
      </w:r>
      <w:r w:rsidRPr="00574EE4">
        <w:t xml:space="preserve">should include on-going by the supplier to ensure that any changes to the current rules and ILR specification are reflected in the system </w:t>
      </w:r>
      <w:r w:rsidR="00E31C85">
        <w:t xml:space="preserve">as specified in the versions of the ILR Specification, ILR Provider Support Manual and Funding rates and formulas documentation found at  </w:t>
      </w:r>
      <w:hyperlink r:id="rId18" w:history="1">
        <w:r w:rsidR="00E31C85" w:rsidRPr="002C3D7D">
          <w:rPr>
            <w:rStyle w:val="Hyperlink"/>
          </w:rPr>
          <w:t>https://www.gov.uk/government/publications/ilr-specification-validation-rules-and-appendices-2017-to-2018</w:t>
        </w:r>
      </w:hyperlink>
    </w:p>
    <w:p w:rsidR="00F738F0" w:rsidRPr="00587B2E" w:rsidRDefault="00F738F0" w:rsidP="00732924">
      <w:pPr>
        <w:pStyle w:val="JWBullets"/>
      </w:pPr>
      <w:r>
        <w:t xml:space="preserve">System must have open database connectivity (ODBC) in order to extract student and enrolment information preferably in </w:t>
      </w:r>
      <w:r w:rsidR="00F93472">
        <w:t>csv file format</w:t>
      </w:r>
    </w:p>
    <w:p w:rsidR="00587B2E" w:rsidRDefault="00142695" w:rsidP="00732924">
      <w:pPr>
        <w:pStyle w:val="JWBullets"/>
      </w:pPr>
      <w:r w:rsidRPr="00142695">
        <w:t xml:space="preserve">Must be compatible with and be able to </w:t>
      </w:r>
      <w:r w:rsidR="00587B2E" w:rsidRPr="00142695">
        <w:t>integrate</w:t>
      </w:r>
      <w:r w:rsidRPr="00142695">
        <w:t xml:space="preserve"> with other external databases such as the Learner</w:t>
      </w:r>
      <w:r w:rsidR="00F93472">
        <w:t xml:space="preserve"> Record Service and AEW website</w:t>
      </w:r>
      <w:r w:rsidRPr="00142695">
        <w:t xml:space="preserve"> </w:t>
      </w:r>
    </w:p>
    <w:p w:rsidR="00F738F0" w:rsidRDefault="00F738F0" w:rsidP="00732924">
      <w:pPr>
        <w:pStyle w:val="JWBullets"/>
      </w:pPr>
      <w:r>
        <w:t xml:space="preserve">Provide a web page hosted by the supplier which can be </w:t>
      </w:r>
      <w:r w:rsidR="00A471B1">
        <w:t xml:space="preserve">accessed via an external URL link i.e. from the </w:t>
      </w:r>
      <w:r>
        <w:t xml:space="preserve">AEW website </w:t>
      </w:r>
      <w:r w:rsidR="00A471B1">
        <w:t xml:space="preserve">in order to </w:t>
      </w:r>
      <w:r>
        <w:t>display the current and planned course offer</w:t>
      </w:r>
    </w:p>
    <w:p w:rsidR="00646FA4" w:rsidRDefault="00E809DC" w:rsidP="00732924">
      <w:pPr>
        <w:pStyle w:val="JWBullets"/>
      </w:pPr>
      <w:r w:rsidRPr="00587B2E">
        <w:t xml:space="preserve">Must </w:t>
      </w:r>
      <w:r w:rsidR="00F738F0">
        <w:t xml:space="preserve">be able to </w:t>
      </w:r>
      <w:r w:rsidR="00142695" w:rsidRPr="00587B2E">
        <w:t xml:space="preserve">produce ILR files </w:t>
      </w:r>
      <w:r w:rsidR="00A471B1">
        <w:t xml:space="preserve">in .xml format and </w:t>
      </w:r>
      <w:r w:rsidRPr="00587B2E">
        <w:t xml:space="preserve">compatible with all external funding agency </w:t>
      </w:r>
      <w:r w:rsidR="00A471B1">
        <w:t xml:space="preserve">data </w:t>
      </w:r>
      <w:r w:rsidRPr="00587B2E">
        <w:t>requirements, Funding Information System (FIS)</w:t>
      </w:r>
      <w:r w:rsidR="00142695" w:rsidRPr="00587B2E">
        <w:t xml:space="preserve"> as well as the most up to date </w:t>
      </w:r>
      <w:r w:rsidR="0033491B">
        <w:t>provider data self-assessment tool (</w:t>
      </w:r>
      <w:r w:rsidR="00142695" w:rsidRPr="00587B2E">
        <w:t>PDSAT</w:t>
      </w:r>
      <w:r w:rsidR="0033491B">
        <w:t>)</w:t>
      </w:r>
    </w:p>
    <w:p w:rsidR="009C0CA0" w:rsidRDefault="009C0CA0" w:rsidP="00D213AD">
      <w:pPr>
        <w:widowControl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A74539" w:rsidRDefault="00A74539" w:rsidP="00D213AD">
      <w:pPr>
        <w:widowControl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A74539" w:rsidRDefault="00A74539" w:rsidP="00D213AD">
      <w:pPr>
        <w:widowControl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A74539" w:rsidRDefault="00A74539" w:rsidP="00D213AD">
      <w:pPr>
        <w:widowControl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A74539" w:rsidRDefault="00A74539" w:rsidP="00D213AD">
      <w:pPr>
        <w:widowControl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D213AD" w:rsidRPr="001057B8" w:rsidRDefault="00D213AD" w:rsidP="00B338A4">
      <w:pPr>
        <w:pStyle w:val="JuliaSubheading"/>
      </w:pPr>
      <w:bookmarkStart w:id="12" w:name="_Toc509561068"/>
      <w:r w:rsidRPr="001057B8">
        <w:lastRenderedPageBreak/>
        <w:t>Support</w:t>
      </w:r>
      <w:r w:rsidR="00E809DC" w:rsidRPr="001057B8">
        <w:t xml:space="preserve"> and service</w:t>
      </w:r>
      <w:bookmarkEnd w:id="12"/>
      <w:r w:rsidR="00E809DC" w:rsidRPr="001057B8">
        <w:t xml:space="preserve"> </w:t>
      </w:r>
    </w:p>
    <w:p w:rsidR="00646FA4" w:rsidRPr="00732924" w:rsidRDefault="00646FA4" w:rsidP="00732924">
      <w:pPr>
        <w:pStyle w:val="JWBullets"/>
      </w:pPr>
      <w:r w:rsidRPr="00732924">
        <w:t>A</w:t>
      </w:r>
      <w:r w:rsidR="00A74539">
        <w:t>n</w:t>
      </w:r>
      <w:r w:rsidRPr="00732924">
        <w:t xml:space="preserve"> </w:t>
      </w:r>
      <w:r w:rsidR="00A74539">
        <w:t xml:space="preserve">independent </w:t>
      </w:r>
      <w:r w:rsidR="00A471B1">
        <w:t>demo</w:t>
      </w:r>
      <w:r w:rsidRPr="00732924">
        <w:t xml:space="preserve"> </w:t>
      </w:r>
      <w:r w:rsidR="00A74539">
        <w:t>system</w:t>
      </w:r>
      <w:r w:rsidRPr="00732924">
        <w:t xml:space="preserve"> </w:t>
      </w:r>
      <w:r w:rsidR="00D213AD" w:rsidRPr="00732924">
        <w:t>should be</w:t>
      </w:r>
      <w:r w:rsidRPr="00732924">
        <w:t xml:space="preserve"> available at all times to enable in-house training</w:t>
      </w:r>
      <w:r w:rsidR="00AE625E" w:rsidRPr="00732924">
        <w:t xml:space="preserve"> of system users</w:t>
      </w:r>
    </w:p>
    <w:p w:rsidR="001C71F6" w:rsidRDefault="009B21C6" w:rsidP="005F2A69">
      <w:pPr>
        <w:pStyle w:val="JWBullets"/>
      </w:pPr>
      <w:r>
        <w:t>Onboarding including</w:t>
      </w:r>
      <w:r w:rsidR="008275B8">
        <w:t xml:space="preserve"> training for core staff</w:t>
      </w:r>
      <w:r w:rsidR="00C14CA6" w:rsidRPr="00732924">
        <w:t xml:space="preserve"> staff users in system administration, system usage and report writing </w:t>
      </w:r>
      <w:r w:rsidR="008275B8">
        <w:t>will be agreed at contract commencement</w:t>
      </w:r>
      <w:r w:rsidR="009408FC">
        <w:t xml:space="preserve">. </w:t>
      </w:r>
      <w:r w:rsidR="001C71F6">
        <w:t xml:space="preserve"> Ad-hoc </w:t>
      </w:r>
      <w:r w:rsidR="009408FC">
        <w:t xml:space="preserve">training will be provided </w:t>
      </w:r>
      <w:r w:rsidR="001C71F6">
        <w:t>on roadmap</w:t>
      </w:r>
      <w:r w:rsidR="009408FC">
        <w:t xml:space="preserve"> updates as required</w:t>
      </w:r>
      <w:r w:rsidR="001C71F6">
        <w:t xml:space="preserve"> </w:t>
      </w:r>
    </w:p>
    <w:p w:rsidR="00C14CA6" w:rsidRPr="00732924" w:rsidRDefault="00915465" w:rsidP="005F2A69">
      <w:pPr>
        <w:pStyle w:val="JWBullets"/>
      </w:pPr>
      <w:r>
        <w:t>Identified user roles will</w:t>
      </w:r>
      <w:r w:rsidR="000223E2">
        <w:t xml:space="preserve"> be able to access s</w:t>
      </w:r>
      <w:r w:rsidR="00C14CA6" w:rsidRPr="00732924">
        <w:t xml:space="preserve">upport </w:t>
      </w:r>
      <w:r w:rsidR="001C71F6">
        <w:t>as per the SLA within the contract</w:t>
      </w:r>
    </w:p>
    <w:p w:rsidR="00C14CA6" w:rsidRPr="00732924" w:rsidRDefault="00C14CA6" w:rsidP="00732924">
      <w:pPr>
        <w:pStyle w:val="JWBullets"/>
      </w:pPr>
      <w:r w:rsidRPr="00732924">
        <w:t xml:space="preserve">Comprehensive full system online </w:t>
      </w:r>
      <w:r w:rsidR="001C71F6">
        <w:t>‘</w:t>
      </w:r>
      <w:r w:rsidRPr="00732924">
        <w:t>help</w:t>
      </w:r>
      <w:r w:rsidR="001C71F6">
        <w:t>’</w:t>
      </w:r>
      <w:r w:rsidRPr="00732924">
        <w:t xml:space="preserve"> accessible for all system users</w:t>
      </w:r>
    </w:p>
    <w:p w:rsidR="00C14CA6" w:rsidRPr="00732924" w:rsidRDefault="00AE625E" w:rsidP="00732924">
      <w:pPr>
        <w:pStyle w:val="JWBullets"/>
      </w:pPr>
      <w:r w:rsidRPr="00732924">
        <w:t>Programme of regular</w:t>
      </w:r>
      <w:r w:rsidR="00D213AD" w:rsidRPr="00732924">
        <w:t xml:space="preserve"> user group meetings for AEW staff to attend</w:t>
      </w:r>
      <w:r w:rsidR="00C14CA6" w:rsidRPr="00732924">
        <w:t xml:space="preserve"> and ability to provide details of user group minutes, presentations and necessary information if unable to attend</w:t>
      </w:r>
    </w:p>
    <w:p w:rsidR="00E809DC" w:rsidRPr="00732924" w:rsidRDefault="00E809DC" w:rsidP="00732924">
      <w:pPr>
        <w:pStyle w:val="JWBullets"/>
      </w:pPr>
      <w:r w:rsidRPr="00732924">
        <w:t xml:space="preserve">ESFA updates </w:t>
      </w:r>
      <w:r w:rsidR="00915465">
        <w:t>must be applied to the system within the timeframes identified in the contract.</w:t>
      </w:r>
    </w:p>
    <w:p w:rsidR="00E809DC" w:rsidRDefault="00915465" w:rsidP="00732924">
      <w:pPr>
        <w:pStyle w:val="JWBullets"/>
      </w:pPr>
      <w:r>
        <w:t>S</w:t>
      </w:r>
      <w:r w:rsidR="00E809DC" w:rsidRPr="00732924">
        <w:t xml:space="preserve">tatutory, regulatory and legislative changes </w:t>
      </w:r>
      <w:r>
        <w:t xml:space="preserve">must be applied to the system prior to being enacted into the law.  These changes should have no detrimental impact on the live system and at least 1 months UAT testing should be available prior to going live. </w:t>
      </w:r>
    </w:p>
    <w:p w:rsidR="00934962" w:rsidRPr="00732924" w:rsidRDefault="00934962" w:rsidP="00732924">
      <w:pPr>
        <w:pStyle w:val="JWBullets"/>
      </w:pPr>
      <w:r>
        <w:t>The Provider must provide the facility to export data to csv or xlsx.</w:t>
      </w:r>
    </w:p>
    <w:p w:rsidR="00E809DC" w:rsidRPr="00732924" w:rsidRDefault="00A74539" w:rsidP="00732924">
      <w:pPr>
        <w:pStyle w:val="JWBullets"/>
      </w:pPr>
      <w:r>
        <w:t xml:space="preserve">Ability to opt in to </w:t>
      </w:r>
      <w:r w:rsidR="00D01660">
        <w:t xml:space="preserve">collaborative </w:t>
      </w:r>
      <w:r>
        <w:t>develop</w:t>
      </w:r>
      <w:r w:rsidR="00D01660">
        <w:t xml:space="preserve">ment of future </w:t>
      </w:r>
      <w:r>
        <w:t>modules</w:t>
      </w:r>
      <w:r w:rsidR="00E809DC" w:rsidRPr="00732924">
        <w:t xml:space="preserve"> </w:t>
      </w:r>
      <w:r w:rsidR="00D01660">
        <w:t>and purchase at additional cost in order to meet the changing requirements of</w:t>
      </w:r>
      <w:r w:rsidR="00E809DC" w:rsidRPr="00732924">
        <w:t xml:space="preserve"> </w:t>
      </w:r>
      <w:r w:rsidR="00C14CA6" w:rsidRPr="00732924">
        <w:t>AEW</w:t>
      </w:r>
      <w:r w:rsidR="00E809DC" w:rsidRPr="00732924">
        <w:t xml:space="preserve">’s delivery profile </w:t>
      </w:r>
    </w:p>
    <w:p w:rsidR="00E809DC" w:rsidRPr="00732924" w:rsidRDefault="00E809DC" w:rsidP="00732924">
      <w:pPr>
        <w:pStyle w:val="JWBullets"/>
      </w:pPr>
      <w:r w:rsidRPr="00732924">
        <w:t>Provider to give option to purchase new modules for business efficiency</w:t>
      </w:r>
      <w:r w:rsidR="00C14CA6" w:rsidRPr="00732924">
        <w:t xml:space="preserve"> as and when they are developed</w:t>
      </w:r>
    </w:p>
    <w:p w:rsidR="00E809DC" w:rsidRPr="00732924" w:rsidRDefault="00934962" w:rsidP="00732924">
      <w:pPr>
        <w:pStyle w:val="JWBullets"/>
      </w:pPr>
      <w:r>
        <w:t>As identified in the SLA, at least 5 days’ notice should be</w:t>
      </w:r>
      <w:r w:rsidR="00E809DC" w:rsidRPr="00732924">
        <w:t xml:space="preserve"> </w:t>
      </w:r>
      <w:r>
        <w:t xml:space="preserve">given for the routine maintenance of services </w:t>
      </w:r>
      <w:r w:rsidR="00E809DC" w:rsidRPr="00732924">
        <w:t>and these mus</w:t>
      </w:r>
      <w:r w:rsidR="00C14CA6" w:rsidRPr="00732924">
        <w:t>t not be carried out during AEW’</w:t>
      </w:r>
      <w:r w:rsidR="00E809DC" w:rsidRPr="00732924">
        <w:t>s business hours</w:t>
      </w:r>
      <w:r>
        <w:t xml:space="preserve">.  Non planned </w:t>
      </w:r>
      <w:r w:rsidR="00283F9D">
        <w:t>service outages should be rectified as per the SLA.</w:t>
      </w:r>
    </w:p>
    <w:p w:rsidR="00C14CA6" w:rsidRDefault="00C14CA6" w:rsidP="00952E3F">
      <w:pPr>
        <w:pStyle w:val="Heading2"/>
      </w:pPr>
    </w:p>
    <w:p w:rsidR="00D213AD" w:rsidRDefault="00D213AD" w:rsidP="00D213AD">
      <w:pPr>
        <w:widowControl w:val="0"/>
        <w:tabs>
          <w:tab w:val="left" w:pos="1134"/>
        </w:tabs>
        <w:spacing w:after="0" w:line="240" w:lineRule="auto"/>
        <w:ind w:left="1134" w:hanging="1134"/>
        <w:rPr>
          <w:rFonts w:ascii="Candara" w:hAnsi="Candara" w:cs="Arial"/>
          <w:b/>
          <w:sz w:val="24"/>
          <w:szCs w:val="24"/>
        </w:rPr>
      </w:pPr>
    </w:p>
    <w:p w:rsidR="00646FA4" w:rsidRPr="001057B8" w:rsidRDefault="00646FA4" w:rsidP="00B338A4">
      <w:pPr>
        <w:pStyle w:val="JuliaSubheading"/>
      </w:pPr>
      <w:bookmarkStart w:id="13" w:name="_Toc509561069"/>
      <w:r w:rsidRPr="001057B8">
        <w:t>D</w:t>
      </w:r>
      <w:r w:rsidR="00D213AD" w:rsidRPr="001057B8">
        <w:t>ata protection and confidentiality</w:t>
      </w:r>
      <w:bookmarkEnd w:id="13"/>
      <w:r w:rsidR="00D213AD" w:rsidRPr="001057B8">
        <w:t xml:space="preserve"> </w:t>
      </w:r>
    </w:p>
    <w:p w:rsidR="00646FA4" w:rsidRPr="00B95769" w:rsidRDefault="00646FA4" w:rsidP="00732924">
      <w:pPr>
        <w:pStyle w:val="JWBullets"/>
      </w:pPr>
      <w:r w:rsidRPr="00B95769">
        <w:t xml:space="preserve">Must </w:t>
      </w:r>
      <w:r w:rsidR="00283F9D">
        <w:t>comply with General Data protection regulations enacted on 25 M</w:t>
      </w:r>
      <w:r w:rsidR="001C71F6">
        <w:t>ay 2018</w:t>
      </w:r>
    </w:p>
    <w:p w:rsidR="00646FA4" w:rsidRPr="00B95769" w:rsidRDefault="00646FA4" w:rsidP="00732924">
      <w:pPr>
        <w:pStyle w:val="JWBullets"/>
      </w:pPr>
      <w:r w:rsidRPr="00B95769">
        <w:t xml:space="preserve">Able to secure data, in transit and </w:t>
      </w:r>
      <w:r w:rsidR="00D213AD" w:rsidRPr="00B95769">
        <w:t>in storage</w:t>
      </w:r>
      <w:r w:rsidR="009C0CA0" w:rsidRPr="00B95769">
        <w:t>, using encryption</w:t>
      </w:r>
    </w:p>
    <w:p w:rsidR="00646FA4" w:rsidRPr="00B95769" w:rsidRDefault="00646FA4" w:rsidP="00732924">
      <w:pPr>
        <w:pStyle w:val="JWBullets"/>
      </w:pPr>
      <w:r w:rsidRPr="00B95769">
        <w:t>Able to securely transfer data in bulk (</w:t>
      </w:r>
      <w:r w:rsidR="00D01660">
        <w:t>e.g. during migration processes)</w:t>
      </w:r>
    </w:p>
    <w:p w:rsidR="00646FA4" w:rsidRDefault="00D213AD" w:rsidP="00732924">
      <w:pPr>
        <w:pStyle w:val="JWBullets"/>
      </w:pPr>
      <w:r w:rsidRPr="00B95769">
        <w:t xml:space="preserve">Must have </w:t>
      </w:r>
      <w:r w:rsidR="00D01660">
        <w:t>resilient Data Centre with immediate switch facility</w:t>
      </w:r>
    </w:p>
    <w:p w:rsidR="00826F9D" w:rsidRPr="00B95769" w:rsidRDefault="00826F9D" w:rsidP="00732924">
      <w:pPr>
        <w:pStyle w:val="JWBullets"/>
      </w:pPr>
      <w:r>
        <w:t>Must be able to secure access via IP or alternative secure authentication methods</w:t>
      </w:r>
    </w:p>
    <w:p w:rsidR="00D75591" w:rsidRPr="00B95769" w:rsidRDefault="00D75591" w:rsidP="00D213AD">
      <w:pPr>
        <w:pStyle w:val="NoSpacing"/>
        <w:widowControl w:val="0"/>
        <w:rPr>
          <w:rFonts w:ascii="Candara" w:hAnsi="Candara" w:cs="Arial"/>
          <w:sz w:val="24"/>
          <w:szCs w:val="24"/>
        </w:rPr>
      </w:pPr>
    </w:p>
    <w:p w:rsidR="00D75591" w:rsidRPr="00574EE4" w:rsidRDefault="00D75591" w:rsidP="00D213AD">
      <w:pPr>
        <w:pStyle w:val="NoSpacing"/>
        <w:widowControl w:val="0"/>
        <w:rPr>
          <w:rFonts w:ascii="Candara" w:hAnsi="Candara" w:cs="Arial"/>
          <w:sz w:val="24"/>
          <w:szCs w:val="24"/>
        </w:rPr>
      </w:pPr>
    </w:p>
    <w:p w:rsidR="009C0CA0" w:rsidRPr="001057B8" w:rsidRDefault="009C0CA0" w:rsidP="00B338A4">
      <w:pPr>
        <w:pStyle w:val="JuliaSubheading"/>
      </w:pPr>
      <w:bookmarkStart w:id="14" w:name="_Toc509561070"/>
      <w:r w:rsidRPr="001057B8">
        <w:t xml:space="preserve">Additional </w:t>
      </w:r>
      <w:r w:rsidR="00283F9D" w:rsidRPr="001057B8">
        <w:t>non-essential</w:t>
      </w:r>
      <w:r w:rsidR="004D5F65" w:rsidRPr="001057B8">
        <w:t xml:space="preserve"> </w:t>
      </w:r>
      <w:r w:rsidRPr="001057B8">
        <w:t>functionality</w:t>
      </w:r>
      <w:bookmarkEnd w:id="14"/>
    </w:p>
    <w:p w:rsidR="00D75591" w:rsidRPr="00732924" w:rsidRDefault="00D75591" w:rsidP="00732924">
      <w:pPr>
        <w:pStyle w:val="JWBody"/>
      </w:pPr>
      <w:r w:rsidRPr="00732924">
        <w:t>AEW are also interested in the following as possible additional features and would welcome costings for these element</w:t>
      </w:r>
      <w:r w:rsidR="003F6FFE" w:rsidRPr="00732924">
        <w:t>s</w:t>
      </w:r>
      <w:r w:rsidR="004D5F65" w:rsidRPr="00732924">
        <w:t>/modules</w:t>
      </w:r>
      <w:r w:rsidRPr="00732924">
        <w:t xml:space="preserve"> where they are not already included in the </w:t>
      </w:r>
      <w:r w:rsidR="009C0CA0" w:rsidRPr="00732924">
        <w:t>standard system</w:t>
      </w:r>
      <w:r w:rsidRPr="00732924">
        <w:t xml:space="preserve"> costs:</w:t>
      </w:r>
    </w:p>
    <w:p w:rsidR="00D75591" w:rsidRPr="00574EE4" w:rsidRDefault="00D75591" w:rsidP="00732924">
      <w:pPr>
        <w:pStyle w:val="JWBullets"/>
      </w:pPr>
      <w:r w:rsidRPr="00574EE4">
        <w:t xml:space="preserve">Web-based enrolment with shopping basket facility and compatible with all the major payment systems (ie. Paypal Online Payments, Shopify, WorldPay Online, Stripe, SagePay, Klarna, Payoneer, Amazon Pay, Adyen, 2Checkout, Authorize.net). </w:t>
      </w:r>
      <w:r w:rsidR="00A22717">
        <w:t xml:space="preserve"> The current system used is SagePay.</w:t>
      </w:r>
    </w:p>
    <w:p w:rsidR="00D75591" w:rsidRDefault="00D75591" w:rsidP="00732924">
      <w:pPr>
        <w:pStyle w:val="JWBullets"/>
      </w:pPr>
      <w:r w:rsidRPr="00574EE4">
        <w:lastRenderedPageBreak/>
        <w:t xml:space="preserve">SMS text messaging and emailing </w:t>
      </w:r>
      <w:r w:rsidR="00D01660">
        <w:t>service</w:t>
      </w:r>
      <w:r w:rsidR="000E4677">
        <w:t xml:space="preserve">s </w:t>
      </w:r>
      <w:r w:rsidR="001C71F6">
        <w:t xml:space="preserve">which are able </w:t>
      </w:r>
      <w:r w:rsidR="000E4677">
        <w:t>to integrate with</w:t>
      </w:r>
      <w:r w:rsidR="00D01660">
        <w:t xml:space="preserve"> </w:t>
      </w:r>
      <w:r w:rsidR="000E4677">
        <w:t>https:</w:t>
      </w:r>
      <w:r w:rsidR="004D647E">
        <w:t>//www.notifications.service.gov.uk/</w:t>
      </w:r>
    </w:p>
    <w:p w:rsidR="004D5F65" w:rsidRPr="00574EE4" w:rsidRDefault="004D5F65" w:rsidP="00732924">
      <w:pPr>
        <w:pStyle w:val="JWBullets"/>
      </w:pPr>
      <w:r>
        <w:t>Ability to integrate student survey requirements with text/email messaging capabilities</w:t>
      </w:r>
    </w:p>
    <w:p w:rsidR="00D75591" w:rsidRPr="00574EE4" w:rsidRDefault="00D75591" w:rsidP="00732924">
      <w:pPr>
        <w:pStyle w:val="JWBullets"/>
      </w:pPr>
      <w:r w:rsidRPr="00574EE4">
        <w:t>Exams management</w:t>
      </w:r>
    </w:p>
    <w:p w:rsidR="00D75591" w:rsidRDefault="003F6FFE" w:rsidP="00732924">
      <w:pPr>
        <w:pStyle w:val="JWBullets"/>
      </w:pPr>
      <w:r>
        <w:t>Student</w:t>
      </w:r>
      <w:r w:rsidR="00D75591" w:rsidRPr="003F6FFE">
        <w:t xml:space="preserve"> tracking from initial assessment, ILPs to achievement and progression</w:t>
      </w:r>
    </w:p>
    <w:p w:rsidR="009C0CA0" w:rsidRPr="00574EE4" w:rsidRDefault="004D5F65" w:rsidP="002B080E">
      <w:pPr>
        <w:pStyle w:val="JWBullets"/>
      </w:pPr>
      <w:r>
        <w:t xml:space="preserve">Staff </w:t>
      </w:r>
      <w:r w:rsidR="0033491B">
        <w:t>continuous professional development (</w:t>
      </w:r>
      <w:r w:rsidR="009C0CA0" w:rsidRPr="00574EE4">
        <w:t>CPD</w:t>
      </w:r>
      <w:r w:rsidR="0033491B">
        <w:t>)</w:t>
      </w:r>
      <w:r w:rsidR="009C0CA0" w:rsidRPr="00574EE4">
        <w:t xml:space="preserve"> records including dates and targets met</w:t>
      </w:r>
    </w:p>
    <w:p w:rsidR="009C0CA0" w:rsidRDefault="009C0CA0" w:rsidP="009C0CA0">
      <w:pPr>
        <w:pStyle w:val="NoSpacing"/>
        <w:ind w:left="360"/>
        <w:rPr>
          <w:rFonts w:ascii="Candara" w:hAnsi="Candara" w:cs="Arial"/>
          <w:sz w:val="24"/>
          <w:szCs w:val="24"/>
        </w:rPr>
      </w:pPr>
    </w:p>
    <w:p w:rsidR="005A2CE0" w:rsidRPr="003F6FFE" w:rsidRDefault="005A2CE0" w:rsidP="009C0CA0">
      <w:pPr>
        <w:pStyle w:val="NoSpacing"/>
        <w:ind w:left="360"/>
        <w:rPr>
          <w:rFonts w:ascii="Candara" w:hAnsi="Candara" w:cs="Arial"/>
          <w:sz w:val="24"/>
          <w:szCs w:val="24"/>
        </w:rPr>
      </w:pPr>
    </w:p>
    <w:p w:rsidR="0049364A" w:rsidRPr="001057B8" w:rsidRDefault="001057B8" w:rsidP="00B338A4">
      <w:pPr>
        <w:pStyle w:val="JuliaHeading"/>
      </w:pPr>
      <w:bookmarkStart w:id="15" w:name="_Toc509561071"/>
      <w:r>
        <w:t>SYSTEM MOBILISATION AND</w:t>
      </w:r>
      <w:r w:rsidR="009D16EF" w:rsidRPr="001057B8">
        <w:t xml:space="preserve"> </w:t>
      </w:r>
      <w:r w:rsidR="00283F9D" w:rsidRPr="001057B8">
        <w:t>ONBOARDING</w:t>
      </w:r>
      <w:bookmarkEnd w:id="15"/>
    </w:p>
    <w:p w:rsidR="009C0CA0" w:rsidRPr="00732924" w:rsidRDefault="0049364A" w:rsidP="00732924">
      <w:pPr>
        <w:pStyle w:val="JWBody"/>
      </w:pPr>
      <w:r w:rsidRPr="00732924">
        <w:t>T</w:t>
      </w:r>
      <w:r w:rsidR="00D75591" w:rsidRPr="00732924">
        <w:t xml:space="preserve">he successful </w:t>
      </w:r>
      <w:r w:rsidR="00732924">
        <w:t>supplier</w:t>
      </w:r>
      <w:r w:rsidR="00D75591" w:rsidRPr="00732924">
        <w:t xml:space="preserve"> will need to work with AEW to ensure system configuration </w:t>
      </w:r>
      <w:r w:rsidRPr="00732924">
        <w:t xml:space="preserve">and implementation </w:t>
      </w:r>
      <w:r w:rsidR="00D75591" w:rsidRPr="00732924">
        <w:t>meets</w:t>
      </w:r>
      <w:r w:rsidRPr="00732924">
        <w:t xml:space="preserve"> essential </w:t>
      </w:r>
      <w:r w:rsidR="00D75591" w:rsidRPr="00732924">
        <w:t>requirements</w:t>
      </w:r>
      <w:r w:rsidR="009D16EF" w:rsidRPr="00732924">
        <w:t>.  During the transitional period they will also need to work with the current provider to ensure a smooth and successful migration of existing data t</w:t>
      </w:r>
      <w:r w:rsidR="009C0CA0" w:rsidRPr="00732924">
        <w:t>o the new system by 31/07/2018.</w:t>
      </w:r>
      <w:r w:rsidR="00D75591" w:rsidRPr="00732924">
        <w:t xml:space="preserve"> </w:t>
      </w:r>
    </w:p>
    <w:p w:rsidR="00D75591" w:rsidRPr="00732924" w:rsidRDefault="00D75591" w:rsidP="00732924">
      <w:pPr>
        <w:pStyle w:val="JWBody"/>
      </w:pPr>
      <w:r w:rsidRPr="00732924">
        <w:t>The existing system also will remain in place until the ILR final return date of 18/10/2018 to ensure a smooth submission.</w:t>
      </w:r>
      <w:r w:rsidR="009013AE" w:rsidRPr="00732924">
        <w:t xml:space="preserve">  </w:t>
      </w:r>
    </w:p>
    <w:p w:rsidR="001C71F6" w:rsidRDefault="001C71F6" w:rsidP="00732924">
      <w:pPr>
        <w:pStyle w:val="JWBody"/>
      </w:pPr>
    </w:p>
    <w:p w:rsidR="009C0CA0" w:rsidRPr="00732924" w:rsidRDefault="005F6DF3" w:rsidP="00732924">
      <w:pPr>
        <w:pStyle w:val="JWBody"/>
      </w:pPr>
      <w:r w:rsidRPr="00732924">
        <w:t>The new system must have</w:t>
      </w:r>
      <w:r w:rsidR="009C0CA0" w:rsidRPr="00732924">
        <w:t>:</w:t>
      </w:r>
    </w:p>
    <w:p w:rsidR="00732924" w:rsidRPr="00732924" w:rsidRDefault="00732924" w:rsidP="00732924">
      <w:pPr>
        <w:pStyle w:val="JWBody"/>
      </w:pPr>
    </w:p>
    <w:p w:rsidR="005A2CE0" w:rsidRDefault="005A2CE0" w:rsidP="00732924">
      <w:pPr>
        <w:pStyle w:val="JWBullets"/>
      </w:pPr>
      <w:r>
        <w:t>The ability to migrate staff, student, course, enrolment and finance data from the existing system (current system data exports are csv format)</w:t>
      </w:r>
    </w:p>
    <w:p w:rsidR="00142695" w:rsidRDefault="003521FA" w:rsidP="00732924">
      <w:pPr>
        <w:pStyle w:val="JWBullets"/>
      </w:pPr>
      <w:r>
        <w:t>Off boarding</w:t>
      </w:r>
      <w:r w:rsidR="00283F9D">
        <w:t xml:space="preserve"> to be agreed within 8 weeks of contract commencement</w:t>
      </w:r>
    </w:p>
    <w:p w:rsidR="00142695" w:rsidRDefault="00142695" w:rsidP="00732924">
      <w:pPr>
        <w:pStyle w:val="JWBullets"/>
      </w:pPr>
      <w:r>
        <w:t>To include the support of data migration to a new system if required at the end of contract</w:t>
      </w:r>
    </w:p>
    <w:p w:rsidR="00A74539" w:rsidRDefault="00A74539" w:rsidP="00A74539">
      <w:pPr>
        <w:pStyle w:val="JWBullets"/>
      </w:pPr>
      <w:r>
        <w:t xml:space="preserve">Supplier staff required on site during the user acceptance testing (UAT) phase of implementation </w:t>
      </w:r>
    </w:p>
    <w:p w:rsidR="009D16EF" w:rsidRDefault="009D16EF" w:rsidP="00D75591">
      <w:pPr>
        <w:pStyle w:val="NoSpacing"/>
        <w:rPr>
          <w:rFonts w:ascii="Candara" w:hAnsi="Candara" w:cs="Arial"/>
          <w:sz w:val="24"/>
          <w:szCs w:val="24"/>
        </w:rPr>
      </w:pPr>
    </w:p>
    <w:p w:rsidR="005A2CE0" w:rsidRDefault="005A2CE0" w:rsidP="00D75591">
      <w:pPr>
        <w:pStyle w:val="NoSpacing"/>
        <w:rPr>
          <w:rFonts w:ascii="Candara" w:hAnsi="Candara" w:cs="Arial"/>
          <w:sz w:val="24"/>
          <w:szCs w:val="24"/>
        </w:rPr>
      </w:pPr>
    </w:p>
    <w:p w:rsidR="000007A0" w:rsidRPr="001057B8" w:rsidRDefault="001057B8" w:rsidP="00B338A4">
      <w:pPr>
        <w:pStyle w:val="JuliaHeading"/>
      </w:pPr>
      <w:bookmarkStart w:id="16" w:name="_Toc509561072"/>
      <w:r>
        <w:t>RISK CONSIDERATIONS</w:t>
      </w:r>
      <w:bookmarkEnd w:id="16"/>
    </w:p>
    <w:p w:rsidR="00AE3EBC" w:rsidRDefault="00D75591" w:rsidP="00732924">
      <w:pPr>
        <w:pStyle w:val="JWBody"/>
      </w:pPr>
      <w:r w:rsidRPr="00574EE4">
        <w:t xml:space="preserve">It is essential that </w:t>
      </w:r>
      <w:r w:rsidR="004D5F65">
        <w:t xml:space="preserve">the </w:t>
      </w:r>
      <w:r w:rsidRPr="00574EE4">
        <w:t>system procured meet</w:t>
      </w:r>
      <w:r w:rsidR="00872253">
        <w:t>s</w:t>
      </w:r>
      <w:r w:rsidRPr="00574EE4">
        <w:t xml:space="preserve"> ESFA and Ofsted requirements</w:t>
      </w:r>
      <w:r w:rsidR="000007A0">
        <w:t xml:space="preserve"> along with AEW performance management needs</w:t>
      </w:r>
      <w:r w:rsidR="00872253">
        <w:t xml:space="preserve"> through bespoke reporting</w:t>
      </w:r>
      <w:r w:rsidRPr="00574EE4">
        <w:t xml:space="preserve">. </w:t>
      </w:r>
      <w:r w:rsidR="00DE7835">
        <w:t xml:space="preserve"> Report writer facility is required.</w:t>
      </w:r>
    </w:p>
    <w:p w:rsidR="00AE3EBC" w:rsidRDefault="00AE3EBC" w:rsidP="00732924">
      <w:pPr>
        <w:pStyle w:val="JWBody"/>
      </w:pPr>
    </w:p>
    <w:p w:rsidR="00D75591" w:rsidRDefault="000007A0" w:rsidP="00732924">
      <w:pPr>
        <w:pStyle w:val="JWBody"/>
      </w:pPr>
      <w:r>
        <w:t xml:space="preserve">It is essential that the new provider works closely with AEW so that ongoing </w:t>
      </w:r>
      <w:r w:rsidR="00C3737F">
        <w:t xml:space="preserve">and planned </w:t>
      </w:r>
      <w:r>
        <w:t xml:space="preserve">data processes, recording and reporting </w:t>
      </w:r>
      <w:r w:rsidR="00AE3EBC">
        <w:t xml:space="preserve">in preparation for the 18/19 academic year </w:t>
      </w:r>
      <w:r>
        <w:t xml:space="preserve">can continue with as little disruption as possible during the implementation </w:t>
      </w:r>
      <w:r w:rsidR="00AE3EBC">
        <w:t>phase</w:t>
      </w:r>
      <w:r w:rsidR="00C3737F">
        <w:t>.  This phase</w:t>
      </w:r>
      <w:r w:rsidR="00AE3EBC">
        <w:t xml:space="preserve"> must be timetabled and efficiently managed</w:t>
      </w:r>
      <w:r>
        <w:t>.</w:t>
      </w:r>
      <w:r w:rsidR="00AE3EBC">
        <w:t xml:space="preserve">  </w:t>
      </w:r>
      <w:r w:rsidR="00D75591" w:rsidRPr="000007A0">
        <w:t xml:space="preserve">The </w:t>
      </w:r>
      <w:r w:rsidR="00D75591" w:rsidRPr="00574EE4">
        <w:t>current system will be required to re</w:t>
      </w:r>
      <w:r w:rsidR="00AE3EBC">
        <w:t>main fully operational until 18/10/</w:t>
      </w:r>
      <w:r w:rsidR="00D75591" w:rsidRPr="00574EE4">
        <w:t>2018 to enable a</w:t>
      </w:r>
      <w:r w:rsidR="00AE3EBC">
        <w:t>n accurate</w:t>
      </w:r>
      <w:r w:rsidR="00D75591" w:rsidRPr="00574EE4">
        <w:t xml:space="preserve"> submission of the ILR final return</w:t>
      </w:r>
      <w:r w:rsidR="00AE3EBC">
        <w:t xml:space="preserve"> to ESFA and to ensure that final year performance reporting is completed </w:t>
      </w:r>
      <w:r w:rsidR="00C3737F">
        <w:t xml:space="preserve">to </w:t>
      </w:r>
      <w:bookmarkStart w:id="17" w:name="_GoBack"/>
      <w:bookmarkEnd w:id="17"/>
      <w:r w:rsidR="00C3737F">
        <w:t>enable</w:t>
      </w:r>
      <w:r w:rsidR="00AE3EBC">
        <w:t xml:space="preserve"> </w:t>
      </w:r>
      <w:r w:rsidR="00C3737F">
        <w:t xml:space="preserve">AEW to meet the </w:t>
      </w:r>
      <w:r w:rsidR="00AE3EBC">
        <w:t>requirements of the</w:t>
      </w:r>
      <w:r w:rsidR="00C3737F">
        <w:t>ir</w:t>
      </w:r>
      <w:r w:rsidR="00AE3EBC">
        <w:t xml:space="preserve"> Self Assessment Report.</w:t>
      </w:r>
    </w:p>
    <w:p w:rsidR="00C3737F" w:rsidRDefault="00C3737F" w:rsidP="00732924">
      <w:pPr>
        <w:pStyle w:val="JWBody"/>
      </w:pPr>
    </w:p>
    <w:p w:rsidR="00C3737F" w:rsidRDefault="00C3737F" w:rsidP="00732924">
      <w:pPr>
        <w:pStyle w:val="JWBody"/>
      </w:pPr>
      <w:r>
        <w:t>Non-compliance of the above would risk the loss of ESFA funding and therefore jeopardise the future running of Adult education Wolverhampton.</w:t>
      </w:r>
    </w:p>
    <w:p w:rsidR="008E29AC" w:rsidRDefault="008E29AC" w:rsidP="00732924">
      <w:pPr>
        <w:pStyle w:val="JWBody"/>
      </w:pPr>
    </w:p>
    <w:p w:rsidR="008E29AC" w:rsidRDefault="008E29AC" w:rsidP="00732924">
      <w:pPr>
        <w:pStyle w:val="JWBody"/>
      </w:pPr>
    </w:p>
    <w:p w:rsidR="008E29AC" w:rsidRDefault="008E29AC" w:rsidP="00732924">
      <w:pPr>
        <w:pStyle w:val="JWBody"/>
      </w:pPr>
    </w:p>
    <w:p w:rsidR="00AE3EBC" w:rsidRPr="001057B8" w:rsidRDefault="001057B8" w:rsidP="00B338A4">
      <w:pPr>
        <w:pStyle w:val="JuliaHeading"/>
      </w:pPr>
      <w:bookmarkStart w:id="18" w:name="_Toc509561073"/>
      <w:r>
        <w:lastRenderedPageBreak/>
        <w:t>EVALUATION CRITERIA</w:t>
      </w:r>
      <w:bookmarkEnd w:id="18"/>
    </w:p>
    <w:p w:rsidR="000007A0" w:rsidRPr="00732924" w:rsidRDefault="000007A0" w:rsidP="00732924">
      <w:pPr>
        <w:pStyle w:val="JWBody"/>
      </w:pPr>
      <w:r w:rsidRPr="00732924">
        <w:t xml:space="preserve">The underlying principle of the evaluation methodology is to select the Most Economically Advantageous Tender (MEAT).  Tender submissions will be evaluated against the criteria detailed below: </w:t>
      </w:r>
    </w:p>
    <w:p w:rsidR="000007A0" w:rsidRPr="00AE3EBC" w:rsidRDefault="000007A0" w:rsidP="000007A0">
      <w:pPr>
        <w:pStyle w:val="Subtitle"/>
        <w:rPr>
          <w:rFonts w:ascii="Candara" w:hAnsi="Candara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2717"/>
      </w:tblGrid>
      <w:tr w:rsidR="00570D6F" w:rsidRPr="00AE3EBC" w:rsidTr="001F0FF5">
        <w:trPr>
          <w:trHeight w:val="389"/>
        </w:trPr>
        <w:tc>
          <w:tcPr>
            <w:tcW w:w="6492" w:type="dxa"/>
            <w:shd w:val="clear" w:color="auto" w:fill="D9E2F3" w:themeFill="accent1" w:themeFillTint="33"/>
            <w:vAlign w:val="center"/>
          </w:tcPr>
          <w:p w:rsidR="00570D6F" w:rsidRPr="00732924" w:rsidRDefault="00570D6F" w:rsidP="00732924">
            <w:pPr>
              <w:pStyle w:val="JWBody"/>
              <w:rPr>
                <w:b/>
              </w:rPr>
            </w:pPr>
            <w:r w:rsidRPr="00732924">
              <w:rPr>
                <w:b/>
              </w:rPr>
              <w:t>AWARD CRITERIA</w:t>
            </w:r>
          </w:p>
        </w:tc>
        <w:tc>
          <w:tcPr>
            <w:tcW w:w="2717" w:type="dxa"/>
            <w:shd w:val="clear" w:color="auto" w:fill="D9E2F3" w:themeFill="accent1" w:themeFillTint="33"/>
            <w:vAlign w:val="center"/>
          </w:tcPr>
          <w:p w:rsidR="00570D6F" w:rsidRPr="00732924" w:rsidRDefault="00570D6F" w:rsidP="00732924">
            <w:pPr>
              <w:pStyle w:val="JWBody"/>
              <w:rPr>
                <w:b/>
              </w:rPr>
            </w:pPr>
            <w:r w:rsidRPr="00732924">
              <w:rPr>
                <w:b/>
              </w:rPr>
              <w:t>PERCENTAGE WEIGHTING</w:t>
            </w:r>
          </w:p>
        </w:tc>
      </w:tr>
      <w:tr w:rsidR="00570D6F" w:rsidRPr="00AE3EBC" w:rsidTr="001F0FF5">
        <w:trPr>
          <w:trHeight w:val="327"/>
        </w:trPr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:rsidR="00570D6F" w:rsidRPr="00732924" w:rsidRDefault="00570D6F" w:rsidP="00732924">
            <w:pPr>
              <w:pStyle w:val="JWBody"/>
              <w:rPr>
                <w:b/>
              </w:rPr>
            </w:pPr>
            <w:r w:rsidRPr="00732924">
              <w:rPr>
                <w:b/>
              </w:rPr>
              <w:t>Price/Total cost of ownership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</w:tcPr>
          <w:p w:rsidR="00570D6F" w:rsidRPr="00732924" w:rsidRDefault="008D56A6" w:rsidP="00732924">
            <w:pPr>
              <w:pStyle w:val="JWBody"/>
              <w:rPr>
                <w:b/>
              </w:rPr>
            </w:pPr>
            <w:r w:rsidRPr="00732924">
              <w:rPr>
                <w:b/>
              </w:rPr>
              <w:t>6</w:t>
            </w:r>
            <w:r w:rsidR="00570D6F" w:rsidRPr="00732924">
              <w:rPr>
                <w:b/>
              </w:rPr>
              <w:t>5%</w:t>
            </w:r>
          </w:p>
        </w:tc>
      </w:tr>
      <w:tr w:rsidR="00570D6F" w:rsidRPr="00AE3EBC" w:rsidTr="001F0FF5">
        <w:trPr>
          <w:trHeight w:val="327"/>
        </w:trPr>
        <w:tc>
          <w:tcPr>
            <w:tcW w:w="6492" w:type="dxa"/>
            <w:tcBorders>
              <w:bottom w:val="nil"/>
            </w:tcBorders>
            <w:shd w:val="clear" w:color="auto" w:fill="auto"/>
          </w:tcPr>
          <w:p w:rsidR="00570D6F" w:rsidRPr="00732924" w:rsidRDefault="00570D6F" w:rsidP="00732924">
            <w:pPr>
              <w:pStyle w:val="JWBody"/>
              <w:rPr>
                <w:b/>
              </w:rPr>
            </w:pPr>
            <w:r w:rsidRPr="00732924">
              <w:rPr>
                <w:b/>
              </w:rPr>
              <w:t xml:space="preserve">Quality </w:t>
            </w:r>
          </w:p>
          <w:p w:rsidR="00570D6F" w:rsidRPr="00732924" w:rsidRDefault="00570D6F" w:rsidP="00732924">
            <w:pPr>
              <w:pStyle w:val="JWBody"/>
            </w:pPr>
            <w:r w:rsidRPr="00732924">
              <w:t>Sub-Criteria</w:t>
            </w:r>
          </w:p>
        </w:tc>
        <w:tc>
          <w:tcPr>
            <w:tcW w:w="2717" w:type="dxa"/>
            <w:tcBorders>
              <w:bottom w:val="nil"/>
            </w:tcBorders>
            <w:shd w:val="clear" w:color="auto" w:fill="auto"/>
          </w:tcPr>
          <w:p w:rsidR="00570D6F" w:rsidRPr="00732924" w:rsidRDefault="008D56A6" w:rsidP="00732924">
            <w:pPr>
              <w:pStyle w:val="JWBody"/>
              <w:rPr>
                <w:b/>
              </w:rPr>
            </w:pPr>
            <w:r w:rsidRPr="00732924">
              <w:rPr>
                <w:b/>
              </w:rPr>
              <w:t>3</w:t>
            </w:r>
            <w:r w:rsidR="00570D6F" w:rsidRPr="00732924">
              <w:rPr>
                <w:b/>
              </w:rPr>
              <w:t>5%</w:t>
            </w:r>
          </w:p>
        </w:tc>
      </w:tr>
      <w:tr w:rsidR="00570D6F" w:rsidRPr="00AE3EBC" w:rsidTr="001F0FF5">
        <w:trPr>
          <w:trHeight w:val="327"/>
        </w:trPr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732924" w:rsidRDefault="000223E2" w:rsidP="00732924">
            <w:pPr>
              <w:pStyle w:val="JWBody"/>
            </w:pPr>
            <w:r>
              <w:t xml:space="preserve">     </w:t>
            </w:r>
            <w:r w:rsidR="00570D6F" w:rsidRPr="00732924">
              <w:t>Compliance with functionality specification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732924" w:rsidRDefault="00C3737F" w:rsidP="00732924">
            <w:pPr>
              <w:pStyle w:val="JWBody"/>
            </w:pPr>
            <w:r w:rsidRPr="00732924">
              <w:t>25</w:t>
            </w:r>
            <w:r w:rsidR="00570D6F" w:rsidRPr="00732924">
              <w:t>%</w:t>
            </w:r>
          </w:p>
        </w:tc>
      </w:tr>
      <w:tr w:rsidR="00570D6F" w:rsidRPr="00AE3EBC" w:rsidTr="001F0FF5">
        <w:trPr>
          <w:trHeight w:val="327"/>
        </w:trPr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732924" w:rsidRDefault="000223E2" w:rsidP="00732924">
            <w:pPr>
              <w:pStyle w:val="JWBody"/>
            </w:pPr>
            <w:r>
              <w:t xml:space="preserve">     </w:t>
            </w:r>
            <w:r w:rsidR="00570D6F" w:rsidRPr="00732924">
              <w:t xml:space="preserve">Data migration and implementation project management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732924" w:rsidRDefault="000223E2" w:rsidP="00732924">
            <w:pPr>
              <w:pStyle w:val="JWBody"/>
            </w:pPr>
            <w:r>
              <w:t>6</w:t>
            </w:r>
            <w:r w:rsidR="00570D6F" w:rsidRPr="00732924">
              <w:t>%</w:t>
            </w:r>
          </w:p>
        </w:tc>
      </w:tr>
      <w:tr w:rsidR="00570D6F" w:rsidRPr="00AE3EBC" w:rsidTr="001F0FF5">
        <w:trPr>
          <w:trHeight w:val="327"/>
        </w:trPr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732924" w:rsidRDefault="000223E2" w:rsidP="00732924">
            <w:pPr>
              <w:pStyle w:val="JWBody"/>
            </w:pPr>
            <w:r>
              <w:t xml:space="preserve">     </w:t>
            </w:r>
            <w:r w:rsidR="00570D6F" w:rsidRPr="00732924">
              <w:t>User interface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732924" w:rsidRDefault="000223E2" w:rsidP="00732924">
            <w:pPr>
              <w:pStyle w:val="JWBody"/>
            </w:pPr>
            <w:r>
              <w:t>3</w:t>
            </w:r>
            <w:r w:rsidR="00C3737F" w:rsidRPr="00732924">
              <w:t>%</w:t>
            </w:r>
          </w:p>
        </w:tc>
      </w:tr>
      <w:tr w:rsidR="00570D6F" w:rsidRPr="00AE3EBC" w:rsidTr="001F0FF5">
        <w:trPr>
          <w:trHeight w:val="327"/>
        </w:trPr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732924" w:rsidRDefault="000223E2" w:rsidP="00732924">
            <w:pPr>
              <w:pStyle w:val="JWBody"/>
            </w:pPr>
            <w:r>
              <w:t xml:space="preserve">     </w:t>
            </w:r>
            <w:r w:rsidR="00570D6F" w:rsidRPr="00732924">
              <w:t>Training and support package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732924" w:rsidRDefault="000223E2" w:rsidP="00732924">
            <w:pPr>
              <w:pStyle w:val="JWBody"/>
            </w:pPr>
            <w:r>
              <w:t>1</w:t>
            </w:r>
            <w:r w:rsidR="00570D6F" w:rsidRPr="00732924">
              <w:t>%</w:t>
            </w:r>
          </w:p>
        </w:tc>
      </w:tr>
      <w:tr w:rsidR="00570D6F" w:rsidRPr="00AE3EBC" w:rsidTr="001F0FF5">
        <w:trPr>
          <w:trHeight w:val="327"/>
        </w:trPr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732924" w:rsidRDefault="00570D6F" w:rsidP="00732924">
            <w:pPr>
              <w:pStyle w:val="JWBody"/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732924" w:rsidRDefault="00570D6F" w:rsidP="00732924">
            <w:pPr>
              <w:pStyle w:val="JWBody"/>
            </w:pPr>
          </w:p>
        </w:tc>
      </w:tr>
      <w:tr w:rsidR="00570D6F" w:rsidRPr="00AE3EBC" w:rsidTr="001F0FF5">
        <w:trPr>
          <w:trHeight w:val="327"/>
        </w:trPr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AE3EBC" w:rsidRDefault="00570D6F" w:rsidP="00B75614">
            <w:pPr>
              <w:pStyle w:val="Subtitle"/>
              <w:rPr>
                <w:rFonts w:ascii="Candara" w:hAnsi="Candara"/>
                <w:b w:val="0"/>
                <w:sz w:val="24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D6F" w:rsidRPr="00AE3EBC" w:rsidRDefault="00570D6F" w:rsidP="00B75614">
            <w:pPr>
              <w:pStyle w:val="Subtitle"/>
              <w:rPr>
                <w:rFonts w:ascii="Candara" w:hAnsi="Candara"/>
                <w:b w:val="0"/>
                <w:sz w:val="24"/>
              </w:rPr>
            </w:pPr>
          </w:p>
        </w:tc>
      </w:tr>
      <w:tr w:rsidR="00570D6F" w:rsidRPr="00AE3EBC" w:rsidTr="001F0FF5">
        <w:trPr>
          <w:trHeight w:val="327"/>
        </w:trPr>
        <w:tc>
          <w:tcPr>
            <w:tcW w:w="6492" w:type="dxa"/>
            <w:tcBorders>
              <w:top w:val="nil"/>
            </w:tcBorders>
            <w:shd w:val="clear" w:color="auto" w:fill="auto"/>
          </w:tcPr>
          <w:p w:rsidR="00570D6F" w:rsidRPr="00AE3EBC" w:rsidRDefault="00570D6F" w:rsidP="00B75614">
            <w:pPr>
              <w:pStyle w:val="Subtitle"/>
              <w:rPr>
                <w:rFonts w:ascii="Candara" w:hAnsi="Candara"/>
                <w:b w:val="0"/>
                <w:sz w:val="24"/>
              </w:rPr>
            </w:pPr>
          </w:p>
        </w:tc>
        <w:tc>
          <w:tcPr>
            <w:tcW w:w="2717" w:type="dxa"/>
            <w:tcBorders>
              <w:top w:val="nil"/>
            </w:tcBorders>
            <w:shd w:val="clear" w:color="auto" w:fill="auto"/>
          </w:tcPr>
          <w:p w:rsidR="00570D6F" w:rsidRPr="00AE3EBC" w:rsidRDefault="00570D6F" w:rsidP="00B75614">
            <w:pPr>
              <w:pStyle w:val="Subtitle"/>
              <w:rPr>
                <w:rFonts w:ascii="Candara" w:hAnsi="Candara"/>
                <w:b w:val="0"/>
                <w:sz w:val="24"/>
              </w:rPr>
            </w:pPr>
          </w:p>
        </w:tc>
      </w:tr>
    </w:tbl>
    <w:p w:rsidR="000007A0" w:rsidRPr="00AE3EBC" w:rsidRDefault="000007A0" w:rsidP="000007A0">
      <w:pPr>
        <w:pStyle w:val="Subtitle"/>
        <w:rPr>
          <w:rFonts w:ascii="Candara" w:hAnsi="Candara"/>
          <w:sz w:val="24"/>
        </w:rPr>
      </w:pPr>
    </w:p>
    <w:p w:rsidR="00570D6F" w:rsidRDefault="00570D6F" w:rsidP="000007A0">
      <w:pPr>
        <w:pStyle w:val="Default"/>
        <w:rPr>
          <w:rFonts w:ascii="Candara" w:hAnsi="Candara"/>
          <w:b/>
        </w:rPr>
      </w:pPr>
    </w:p>
    <w:tbl>
      <w:tblPr>
        <w:tblW w:w="129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3637"/>
      </w:tblGrid>
      <w:tr w:rsidR="000007A0" w:rsidRPr="00AE3EBC" w:rsidTr="00B75614">
        <w:trPr>
          <w:trHeight w:val="99"/>
        </w:trPr>
        <w:tc>
          <w:tcPr>
            <w:tcW w:w="9322" w:type="dxa"/>
          </w:tcPr>
          <w:p w:rsidR="000007A0" w:rsidRPr="00AE3EBC" w:rsidRDefault="000007A0" w:rsidP="005A2CE0">
            <w:pPr>
              <w:spacing w:after="160" w:line="259" w:lineRule="auto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</w:tcPr>
          <w:p w:rsidR="000007A0" w:rsidRPr="00AE3EBC" w:rsidRDefault="000007A0" w:rsidP="00B75614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07A0" w:rsidRPr="00AE3EBC" w:rsidTr="00B75614">
        <w:trPr>
          <w:trHeight w:val="99"/>
        </w:trPr>
        <w:tc>
          <w:tcPr>
            <w:tcW w:w="9322" w:type="dxa"/>
          </w:tcPr>
          <w:p w:rsidR="000007A0" w:rsidRPr="00AE3EBC" w:rsidRDefault="000007A0" w:rsidP="00B75614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</w:tcPr>
          <w:p w:rsidR="000007A0" w:rsidRPr="00AE3EBC" w:rsidRDefault="000007A0" w:rsidP="00B75614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07A0" w:rsidRPr="00AE3EBC" w:rsidTr="00B75614">
        <w:trPr>
          <w:trHeight w:val="99"/>
        </w:trPr>
        <w:tc>
          <w:tcPr>
            <w:tcW w:w="9322" w:type="dxa"/>
          </w:tcPr>
          <w:p w:rsidR="000007A0" w:rsidRPr="00AE3EBC" w:rsidRDefault="000007A0" w:rsidP="00B75614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</w:tcPr>
          <w:p w:rsidR="000007A0" w:rsidRPr="00AE3EBC" w:rsidRDefault="000007A0" w:rsidP="00B75614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07A0" w:rsidRPr="00AE3EBC" w:rsidTr="00B75614">
        <w:trPr>
          <w:trHeight w:val="99"/>
        </w:trPr>
        <w:tc>
          <w:tcPr>
            <w:tcW w:w="9322" w:type="dxa"/>
          </w:tcPr>
          <w:p w:rsidR="000007A0" w:rsidRPr="00AE3EBC" w:rsidRDefault="000007A0" w:rsidP="00B75614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</w:tcPr>
          <w:p w:rsidR="000007A0" w:rsidRPr="00AE3EBC" w:rsidRDefault="000007A0" w:rsidP="00B75614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B07B3" w:rsidRPr="00AE3EBC" w:rsidTr="00B75614">
        <w:trPr>
          <w:trHeight w:val="99"/>
        </w:trPr>
        <w:tc>
          <w:tcPr>
            <w:tcW w:w="9322" w:type="dxa"/>
          </w:tcPr>
          <w:p w:rsidR="00EB07B3" w:rsidRPr="00EB07B3" w:rsidRDefault="00EB07B3" w:rsidP="00B338A4">
            <w:pPr>
              <w:pStyle w:val="JuliaHeading"/>
              <w:numPr>
                <w:ilvl w:val="0"/>
                <w:numId w:val="0"/>
              </w:numPr>
              <w:ind w:left="360"/>
            </w:pPr>
          </w:p>
        </w:tc>
        <w:tc>
          <w:tcPr>
            <w:tcW w:w="3637" w:type="dxa"/>
          </w:tcPr>
          <w:p w:rsidR="00EB07B3" w:rsidRPr="00AE3EBC" w:rsidRDefault="00EB07B3" w:rsidP="00B75614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07A0" w:rsidRPr="00AE3EBC" w:rsidTr="00B75614">
        <w:trPr>
          <w:trHeight w:val="99"/>
        </w:trPr>
        <w:tc>
          <w:tcPr>
            <w:tcW w:w="9322" w:type="dxa"/>
          </w:tcPr>
          <w:p w:rsidR="000007A0" w:rsidRPr="00AE3EBC" w:rsidRDefault="000007A0" w:rsidP="00B75614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</w:tcPr>
          <w:p w:rsidR="000007A0" w:rsidRPr="00AE3EBC" w:rsidRDefault="000007A0" w:rsidP="00B75614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007A0" w:rsidRPr="00AE3EBC" w:rsidRDefault="000007A0" w:rsidP="00872253">
      <w:pPr>
        <w:pStyle w:val="Subtitle"/>
        <w:rPr>
          <w:rFonts w:ascii="Candara" w:hAnsi="Candara"/>
          <w:sz w:val="24"/>
        </w:rPr>
      </w:pPr>
    </w:p>
    <w:sectPr w:rsidR="000007A0" w:rsidRPr="00AE3EBC" w:rsidSect="008E29AC">
      <w:footerReference w:type="default" r:id="rId1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A8" w:rsidRDefault="00D63BA8" w:rsidP="00D75591">
      <w:pPr>
        <w:spacing w:after="0" w:line="240" w:lineRule="auto"/>
      </w:pPr>
      <w:r>
        <w:separator/>
      </w:r>
    </w:p>
  </w:endnote>
  <w:endnote w:type="continuationSeparator" w:id="0">
    <w:p w:rsidR="00D63BA8" w:rsidRDefault="00D63BA8" w:rsidP="00D7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2" w:rsidRDefault="00B70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14" w:rsidRDefault="00B75614">
    <w:pPr>
      <w:pStyle w:val="Footer"/>
      <w:jc w:val="center"/>
      <w:rPr>
        <w:caps/>
        <w:noProof/>
        <w:color w:val="4472C4" w:themeColor="accent1"/>
      </w:rPr>
    </w:pPr>
  </w:p>
  <w:p w:rsidR="00B75614" w:rsidRDefault="00B75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2" w:rsidRDefault="00B704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46D" w:rsidRPr="0095046D" w:rsidRDefault="0095046D">
    <w:pPr>
      <w:pStyle w:val="Footer"/>
      <w:jc w:val="center"/>
      <w:rPr>
        <w:sz w:val="20"/>
        <w:szCs w:val="20"/>
      </w:rPr>
    </w:pPr>
  </w:p>
  <w:p w:rsidR="0095046D" w:rsidRDefault="0095046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38693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74018" w:rsidRPr="0095046D" w:rsidRDefault="00774018">
        <w:pPr>
          <w:pStyle w:val="Footer"/>
          <w:jc w:val="center"/>
          <w:rPr>
            <w:sz w:val="20"/>
            <w:szCs w:val="20"/>
          </w:rPr>
        </w:pPr>
        <w:r w:rsidRPr="0095046D">
          <w:rPr>
            <w:sz w:val="20"/>
            <w:szCs w:val="20"/>
          </w:rPr>
          <w:fldChar w:fldCharType="begin"/>
        </w:r>
        <w:r w:rsidRPr="0095046D">
          <w:rPr>
            <w:sz w:val="20"/>
            <w:szCs w:val="20"/>
          </w:rPr>
          <w:instrText xml:space="preserve"> PAGE   \* MERGEFORMAT </w:instrText>
        </w:r>
        <w:r w:rsidRPr="0095046D">
          <w:rPr>
            <w:sz w:val="20"/>
            <w:szCs w:val="20"/>
          </w:rPr>
          <w:fldChar w:fldCharType="separate"/>
        </w:r>
        <w:r w:rsidR="00B704A2">
          <w:rPr>
            <w:noProof/>
            <w:sz w:val="20"/>
            <w:szCs w:val="20"/>
          </w:rPr>
          <w:t>7</w:t>
        </w:r>
        <w:r w:rsidRPr="0095046D">
          <w:rPr>
            <w:noProof/>
            <w:sz w:val="20"/>
            <w:szCs w:val="20"/>
          </w:rPr>
          <w:fldChar w:fldCharType="end"/>
        </w:r>
      </w:p>
    </w:sdtContent>
  </w:sdt>
  <w:p w:rsidR="00774018" w:rsidRDefault="00774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A8" w:rsidRDefault="00D63BA8" w:rsidP="00D75591">
      <w:pPr>
        <w:spacing w:after="0" w:line="240" w:lineRule="auto"/>
      </w:pPr>
      <w:r>
        <w:separator/>
      </w:r>
    </w:p>
  </w:footnote>
  <w:footnote w:type="continuationSeparator" w:id="0">
    <w:p w:rsidR="00D63BA8" w:rsidRDefault="00D63BA8" w:rsidP="00D7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2" w:rsidRDefault="00B70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14" w:rsidRDefault="00B704A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4e7c4ecba341aa95859630a9" descr="{&quot;HashCode&quot;:153349253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704A2" w:rsidRPr="00B704A2" w:rsidRDefault="00B704A2" w:rsidP="00B704A2">
                          <w:pPr>
                            <w:spacing w:after="0"/>
                            <w:rPr>
                              <w:rFonts w:cs="Calibri"/>
                              <w:color w:val="FF8C00"/>
                              <w:sz w:val="28"/>
                            </w:rPr>
                          </w:pPr>
                          <w:r w:rsidRPr="00B704A2">
                            <w:rPr>
                              <w:rFonts w:cs="Calibri"/>
                              <w:color w:val="FF8C00"/>
                              <w:sz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e7c4ecba341aa95859630a9" o:spid="_x0000_s1026" type="#_x0000_t202" alt="{&quot;HashCode&quot;:153349253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" o:allowincell="f" filled="f" stroked="f" strokeweight=".5pt">
              <v:fill o:detectmouseclick="t"/>
              <v:textbox inset="20pt,0,,0">
                <w:txbxContent>
                  <w:p w:rsidR="00B704A2" w:rsidRPr="00B704A2" w:rsidRDefault="00B704A2" w:rsidP="00B704A2">
                    <w:pPr>
                      <w:spacing w:after="0"/>
                      <w:rPr>
                        <w:rFonts w:cs="Calibri"/>
                        <w:color w:val="FF8C00"/>
                        <w:sz w:val="28"/>
                      </w:rPr>
                    </w:pPr>
                    <w:r w:rsidRPr="00B704A2">
                      <w:rPr>
                        <w:rFonts w:cs="Calibri"/>
                        <w:color w:val="FF8C00"/>
                        <w:sz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75614" w:rsidRDefault="00B7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2" w:rsidRDefault="00B70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238"/>
    <w:multiLevelType w:val="hybridMultilevel"/>
    <w:tmpl w:val="DB98DCE8"/>
    <w:lvl w:ilvl="0" w:tplc="D802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7CE"/>
    <w:multiLevelType w:val="hybridMultilevel"/>
    <w:tmpl w:val="B30ED2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799"/>
    <w:multiLevelType w:val="hybridMultilevel"/>
    <w:tmpl w:val="4F166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4121"/>
    <w:multiLevelType w:val="hybridMultilevel"/>
    <w:tmpl w:val="969ECADE"/>
    <w:lvl w:ilvl="0" w:tplc="1804C3A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577D4"/>
    <w:multiLevelType w:val="hybridMultilevel"/>
    <w:tmpl w:val="84927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4002"/>
    <w:multiLevelType w:val="hybridMultilevel"/>
    <w:tmpl w:val="63E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5023A"/>
    <w:multiLevelType w:val="hybridMultilevel"/>
    <w:tmpl w:val="2474C428"/>
    <w:lvl w:ilvl="0" w:tplc="C4C69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69DC"/>
    <w:multiLevelType w:val="hybridMultilevel"/>
    <w:tmpl w:val="EA427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300D"/>
    <w:multiLevelType w:val="hybridMultilevel"/>
    <w:tmpl w:val="38FC7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375AA"/>
    <w:multiLevelType w:val="hybridMultilevel"/>
    <w:tmpl w:val="92CC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34443"/>
    <w:multiLevelType w:val="hybridMultilevel"/>
    <w:tmpl w:val="82A8E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D1332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1D811FAF"/>
    <w:multiLevelType w:val="hybridMultilevel"/>
    <w:tmpl w:val="5A62F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CEB"/>
    <w:multiLevelType w:val="hybridMultilevel"/>
    <w:tmpl w:val="CB88D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44746"/>
    <w:multiLevelType w:val="hybridMultilevel"/>
    <w:tmpl w:val="B600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2EA7"/>
    <w:multiLevelType w:val="hybridMultilevel"/>
    <w:tmpl w:val="F43C5028"/>
    <w:lvl w:ilvl="0" w:tplc="41EEDADE">
      <w:start w:val="1"/>
      <w:numFmt w:val="bullet"/>
      <w:pStyle w:val="JW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4D8D"/>
    <w:multiLevelType w:val="hybridMultilevel"/>
    <w:tmpl w:val="ACE2E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4A4C"/>
    <w:multiLevelType w:val="hybridMultilevel"/>
    <w:tmpl w:val="F024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A6598"/>
    <w:multiLevelType w:val="hybridMultilevel"/>
    <w:tmpl w:val="7E8679C2"/>
    <w:lvl w:ilvl="0" w:tplc="AD7E35A0">
      <w:start w:val="1"/>
      <w:numFmt w:val="decimal"/>
      <w:pStyle w:val="JWSub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07B"/>
    <w:multiLevelType w:val="multilevel"/>
    <w:tmpl w:val="4C76C2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3C27850"/>
    <w:multiLevelType w:val="hybridMultilevel"/>
    <w:tmpl w:val="304EA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12C59"/>
    <w:multiLevelType w:val="hybridMultilevel"/>
    <w:tmpl w:val="01CA0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47010"/>
    <w:multiLevelType w:val="hybridMultilevel"/>
    <w:tmpl w:val="D0F4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C4E07"/>
    <w:multiLevelType w:val="multilevel"/>
    <w:tmpl w:val="086C638E"/>
    <w:lvl w:ilvl="0">
      <w:start w:val="1"/>
      <w:numFmt w:val="decimal"/>
      <w:pStyle w:val="Julia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uliaSubhead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AB7A84"/>
    <w:multiLevelType w:val="hybridMultilevel"/>
    <w:tmpl w:val="8020E02E"/>
    <w:lvl w:ilvl="0" w:tplc="FD04078E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8"/>
        <w:szCs w:val="28"/>
      </w:rPr>
    </w:lvl>
    <w:lvl w:ilvl="1" w:tplc="6F72CC7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156545"/>
    <w:multiLevelType w:val="hybridMultilevel"/>
    <w:tmpl w:val="E85A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40B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EF860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4"/>
  </w:num>
  <w:num w:numId="3">
    <w:abstractNumId w:val="19"/>
  </w:num>
  <w:num w:numId="4">
    <w:abstractNumId w:val="13"/>
  </w:num>
  <w:num w:numId="5">
    <w:abstractNumId w:val="2"/>
  </w:num>
  <w:num w:numId="6">
    <w:abstractNumId w:val="19"/>
  </w:num>
  <w:num w:numId="7">
    <w:abstractNumId w:val="19"/>
  </w:num>
  <w:num w:numId="8">
    <w:abstractNumId w:val="15"/>
  </w:num>
  <w:num w:numId="9">
    <w:abstractNumId w:val="8"/>
  </w:num>
  <w:num w:numId="10">
    <w:abstractNumId w:val="7"/>
  </w:num>
  <w:num w:numId="11">
    <w:abstractNumId w:val="12"/>
  </w:num>
  <w:num w:numId="12">
    <w:abstractNumId w:val="24"/>
  </w:num>
  <w:num w:numId="13">
    <w:abstractNumId w:val="1"/>
  </w:num>
  <w:num w:numId="14">
    <w:abstractNumId w:val="10"/>
  </w:num>
  <w:num w:numId="15">
    <w:abstractNumId w:val="4"/>
  </w:num>
  <w:num w:numId="16">
    <w:abstractNumId w:val="16"/>
  </w:num>
  <w:num w:numId="17">
    <w:abstractNumId w:val="5"/>
  </w:num>
  <w:num w:numId="18">
    <w:abstractNumId w:val="9"/>
  </w:num>
  <w:num w:numId="19">
    <w:abstractNumId w:val="22"/>
  </w:num>
  <w:num w:numId="20">
    <w:abstractNumId w:val="25"/>
  </w:num>
  <w:num w:numId="21">
    <w:abstractNumId w:val="17"/>
  </w:num>
  <w:num w:numId="22">
    <w:abstractNumId w:val="19"/>
  </w:num>
  <w:num w:numId="23">
    <w:abstractNumId w:val="11"/>
  </w:num>
  <w:num w:numId="24">
    <w:abstractNumId w:val="0"/>
  </w:num>
  <w:num w:numId="25">
    <w:abstractNumId w:val="21"/>
  </w:num>
  <w:num w:numId="26">
    <w:abstractNumId w:val="26"/>
  </w:num>
  <w:num w:numId="27">
    <w:abstractNumId w:val="18"/>
  </w:num>
  <w:num w:numId="28">
    <w:abstractNumId w:val="3"/>
  </w:num>
  <w:num w:numId="29">
    <w:abstractNumId w:val="20"/>
  </w:num>
  <w:num w:numId="30">
    <w:abstractNumId w:val="27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91"/>
    <w:rsid w:val="000007A0"/>
    <w:rsid w:val="00021396"/>
    <w:rsid w:val="000223E2"/>
    <w:rsid w:val="000E190D"/>
    <w:rsid w:val="000E4677"/>
    <w:rsid w:val="001057B8"/>
    <w:rsid w:val="00115949"/>
    <w:rsid w:val="001359CF"/>
    <w:rsid w:val="00142695"/>
    <w:rsid w:val="00170FF3"/>
    <w:rsid w:val="00177548"/>
    <w:rsid w:val="001C71F6"/>
    <w:rsid w:val="001D0F5D"/>
    <w:rsid w:val="001F0FF5"/>
    <w:rsid w:val="002303B2"/>
    <w:rsid w:val="00236CA1"/>
    <w:rsid w:val="0028098A"/>
    <w:rsid w:val="00283F9D"/>
    <w:rsid w:val="002F7E72"/>
    <w:rsid w:val="00332DA1"/>
    <w:rsid w:val="0033491B"/>
    <w:rsid w:val="003521FA"/>
    <w:rsid w:val="00353261"/>
    <w:rsid w:val="00362AD7"/>
    <w:rsid w:val="00363E0E"/>
    <w:rsid w:val="003C1A38"/>
    <w:rsid w:val="003F6FFE"/>
    <w:rsid w:val="00433D2C"/>
    <w:rsid w:val="0048089B"/>
    <w:rsid w:val="0049364A"/>
    <w:rsid w:val="004D5F65"/>
    <w:rsid w:val="004D647E"/>
    <w:rsid w:val="004F1339"/>
    <w:rsid w:val="00570D6F"/>
    <w:rsid w:val="00574EE4"/>
    <w:rsid w:val="00581DBB"/>
    <w:rsid w:val="00587B2E"/>
    <w:rsid w:val="005A2CE0"/>
    <w:rsid w:val="005C70EE"/>
    <w:rsid w:val="005F0AF6"/>
    <w:rsid w:val="005F6DF3"/>
    <w:rsid w:val="00610A03"/>
    <w:rsid w:val="00621671"/>
    <w:rsid w:val="006362FA"/>
    <w:rsid w:val="00646FA4"/>
    <w:rsid w:val="00672A32"/>
    <w:rsid w:val="00694927"/>
    <w:rsid w:val="006B479A"/>
    <w:rsid w:val="00732924"/>
    <w:rsid w:val="00751B4F"/>
    <w:rsid w:val="00755EB8"/>
    <w:rsid w:val="00774018"/>
    <w:rsid w:val="007B1E52"/>
    <w:rsid w:val="007B4E1C"/>
    <w:rsid w:val="007D51F4"/>
    <w:rsid w:val="00826F9D"/>
    <w:rsid w:val="008275B8"/>
    <w:rsid w:val="0084682B"/>
    <w:rsid w:val="00850544"/>
    <w:rsid w:val="00861115"/>
    <w:rsid w:val="008715B9"/>
    <w:rsid w:val="00872253"/>
    <w:rsid w:val="00872405"/>
    <w:rsid w:val="008C7A22"/>
    <w:rsid w:val="008D56A6"/>
    <w:rsid w:val="008E29AC"/>
    <w:rsid w:val="009013AE"/>
    <w:rsid w:val="00915465"/>
    <w:rsid w:val="00917B37"/>
    <w:rsid w:val="009255B0"/>
    <w:rsid w:val="00934962"/>
    <w:rsid w:val="0093642F"/>
    <w:rsid w:val="009408FC"/>
    <w:rsid w:val="0095046D"/>
    <w:rsid w:val="00952E3F"/>
    <w:rsid w:val="0096456F"/>
    <w:rsid w:val="009B21C6"/>
    <w:rsid w:val="009C0B07"/>
    <w:rsid w:val="009C0CA0"/>
    <w:rsid w:val="009D16EF"/>
    <w:rsid w:val="009F2CB3"/>
    <w:rsid w:val="00A22717"/>
    <w:rsid w:val="00A471B1"/>
    <w:rsid w:val="00A74539"/>
    <w:rsid w:val="00AC42FF"/>
    <w:rsid w:val="00AE3EBC"/>
    <w:rsid w:val="00AE625E"/>
    <w:rsid w:val="00B338A4"/>
    <w:rsid w:val="00B704A2"/>
    <w:rsid w:val="00B75614"/>
    <w:rsid w:val="00B94A66"/>
    <w:rsid w:val="00B95769"/>
    <w:rsid w:val="00B96118"/>
    <w:rsid w:val="00BC1508"/>
    <w:rsid w:val="00BE5EC6"/>
    <w:rsid w:val="00C14CA6"/>
    <w:rsid w:val="00C21B50"/>
    <w:rsid w:val="00C3737F"/>
    <w:rsid w:val="00C51B43"/>
    <w:rsid w:val="00C55B32"/>
    <w:rsid w:val="00C6449D"/>
    <w:rsid w:val="00C704F1"/>
    <w:rsid w:val="00C96A62"/>
    <w:rsid w:val="00CA5664"/>
    <w:rsid w:val="00D01660"/>
    <w:rsid w:val="00D213AD"/>
    <w:rsid w:val="00D215C1"/>
    <w:rsid w:val="00D63BA8"/>
    <w:rsid w:val="00D75591"/>
    <w:rsid w:val="00DE744A"/>
    <w:rsid w:val="00DE7835"/>
    <w:rsid w:val="00E04AFA"/>
    <w:rsid w:val="00E123CF"/>
    <w:rsid w:val="00E138DC"/>
    <w:rsid w:val="00E155C7"/>
    <w:rsid w:val="00E31C85"/>
    <w:rsid w:val="00E523B0"/>
    <w:rsid w:val="00E67382"/>
    <w:rsid w:val="00E73C54"/>
    <w:rsid w:val="00E76EB2"/>
    <w:rsid w:val="00E809DC"/>
    <w:rsid w:val="00E87F17"/>
    <w:rsid w:val="00EB07B3"/>
    <w:rsid w:val="00EE0959"/>
    <w:rsid w:val="00EE2A13"/>
    <w:rsid w:val="00EE5AD3"/>
    <w:rsid w:val="00F00169"/>
    <w:rsid w:val="00F348A5"/>
    <w:rsid w:val="00F61013"/>
    <w:rsid w:val="00F72388"/>
    <w:rsid w:val="00F738F0"/>
    <w:rsid w:val="00F93472"/>
    <w:rsid w:val="00F96997"/>
    <w:rsid w:val="00FA1972"/>
    <w:rsid w:val="00FB1E2E"/>
    <w:rsid w:val="00FB477F"/>
    <w:rsid w:val="00F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0FAC9F4-1E3A-4A62-B968-1A4673CB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E3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JWHEADING"/>
    <w:next w:val="JWHEADING"/>
    <w:link w:val="Heading1Char"/>
    <w:uiPriority w:val="9"/>
    <w:qFormat/>
    <w:rsid w:val="00F00169"/>
    <w:pPr>
      <w:keepNext/>
      <w:keepLines/>
      <w:numPr>
        <w:numId w:val="28"/>
      </w:numPr>
      <w:spacing w:before="240" w:after="0"/>
      <w:ind w:left="357" w:hanging="357"/>
      <w:outlineLvl w:val="0"/>
    </w:pPr>
  </w:style>
  <w:style w:type="paragraph" w:styleId="Heading2">
    <w:name w:val="heading 2"/>
    <w:basedOn w:val="JWSubHeading1"/>
    <w:next w:val="Normal"/>
    <w:link w:val="Heading2Char"/>
    <w:uiPriority w:val="9"/>
    <w:unhideWhenUsed/>
    <w:qFormat/>
    <w:rsid w:val="00B95769"/>
    <w:pPr>
      <w:keepNext/>
      <w:keepLines/>
      <w:numPr>
        <w:numId w:val="0"/>
      </w:numPr>
      <w:spacing w:before="40" w:after="0"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E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E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E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E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E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E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E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91"/>
  </w:style>
  <w:style w:type="paragraph" w:styleId="Footer">
    <w:name w:val="footer"/>
    <w:basedOn w:val="Normal"/>
    <w:link w:val="FooterChar"/>
    <w:uiPriority w:val="99"/>
    <w:unhideWhenUsed/>
    <w:rsid w:val="00D7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91"/>
  </w:style>
  <w:style w:type="paragraph" w:styleId="NoSpacing">
    <w:name w:val="No Spacing"/>
    <w:uiPriority w:val="1"/>
    <w:qFormat/>
    <w:rsid w:val="00D75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00169"/>
    <w:rPr>
      <w:rFonts w:ascii="Candara" w:eastAsiaTheme="majorEastAsia" w:hAnsi="Candara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5769"/>
    <w:rPr>
      <w:rFonts w:ascii="Candara" w:eastAsiaTheme="majorEastAsia" w:hAnsi="Candar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6E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E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E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E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E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E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E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rsid w:val="00332DA1"/>
    <w:rPr>
      <w:color w:val="0000FF"/>
      <w:u w:val="single"/>
    </w:rPr>
  </w:style>
  <w:style w:type="paragraph" w:styleId="BodyText">
    <w:name w:val="Body Text"/>
    <w:aliases w:val="bt,Body,text"/>
    <w:basedOn w:val="Normal"/>
    <w:link w:val="BodyTextChar"/>
    <w:rsid w:val="0096456F"/>
    <w:pPr>
      <w:widowControl w:val="0"/>
      <w:tabs>
        <w:tab w:val="left" w:pos="-1099"/>
        <w:tab w:val="left" w:pos="-720"/>
        <w:tab w:val="left" w:pos="0"/>
        <w:tab w:val="left" w:pos="720"/>
        <w:tab w:val="left" w:pos="2160"/>
        <w:tab w:val="left" w:pos="3240"/>
        <w:tab w:val="left" w:pos="4380"/>
        <w:tab w:val="left" w:pos="567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aliases w:val="bt Char,Body Char,text Char"/>
    <w:basedOn w:val="DefaultParagraphFont"/>
    <w:link w:val="BodyText"/>
    <w:rsid w:val="0096456F"/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4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007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0007A0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007A0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362FA"/>
    <w:pPr>
      <w:ind w:left="720"/>
      <w:contextualSpacing/>
    </w:pPr>
  </w:style>
  <w:style w:type="paragraph" w:customStyle="1" w:styleId="JWHEADING">
    <w:name w:val="JWHEADING"/>
    <w:qFormat/>
    <w:rsid w:val="00B95769"/>
    <w:pPr>
      <w:spacing w:after="120"/>
    </w:pPr>
    <w:rPr>
      <w:rFonts w:ascii="Candara" w:eastAsiaTheme="majorEastAsia" w:hAnsi="Candara" w:cstheme="majorBidi"/>
      <w:b/>
      <w:caps/>
      <w:sz w:val="24"/>
      <w:szCs w:val="32"/>
    </w:rPr>
  </w:style>
  <w:style w:type="paragraph" w:customStyle="1" w:styleId="JWSubHeading1">
    <w:name w:val="JWSubHeading 1"/>
    <w:basedOn w:val="JWHEADING"/>
    <w:qFormat/>
    <w:rsid w:val="00952E3F"/>
    <w:pPr>
      <w:numPr>
        <w:numId w:val="27"/>
      </w:numPr>
    </w:pPr>
    <w:rPr>
      <w:caps w:val="0"/>
    </w:rPr>
  </w:style>
  <w:style w:type="paragraph" w:customStyle="1" w:styleId="JWBody">
    <w:name w:val="JWBody"/>
    <w:basedOn w:val="Normal"/>
    <w:qFormat/>
    <w:rsid w:val="00FB1E2E"/>
    <w:pPr>
      <w:spacing w:after="0" w:line="240" w:lineRule="auto"/>
    </w:pPr>
    <w:rPr>
      <w:rFonts w:ascii="Candara" w:hAnsi="Candara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B1E52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JuliaHeading"/>
    <w:next w:val="Normal"/>
    <w:autoRedefine/>
    <w:uiPriority w:val="39"/>
    <w:unhideWhenUsed/>
    <w:rsid w:val="007B1E52"/>
    <w:pPr>
      <w:numPr>
        <w:numId w:val="0"/>
      </w:numPr>
      <w:autoSpaceDE/>
      <w:autoSpaceDN/>
      <w:adjustRightInd/>
      <w:spacing w:before="360" w:after="0" w:line="276" w:lineRule="auto"/>
    </w:pPr>
    <w:rPr>
      <w:rFonts w:asciiTheme="majorHAnsi" w:hAnsiTheme="majorHAnsi" w:cstheme="majorHAnsi"/>
      <w:bCs/>
      <w:color w:val="auto"/>
      <w:lang w:eastAsia="en-US"/>
    </w:rPr>
  </w:style>
  <w:style w:type="paragraph" w:styleId="TOC2">
    <w:name w:val="toc 2"/>
    <w:basedOn w:val="JuliaSubheading"/>
    <w:next w:val="Normal"/>
    <w:autoRedefine/>
    <w:uiPriority w:val="39"/>
    <w:unhideWhenUsed/>
    <w:rsid w:val="007B1E52"/>
    <w:pPr>
      <w:numPr>
        <w:ilvl w:val="0"/>
        <w:numId w:val="0"/>
      </w:numPr>
      <w:autoSpaceDE/>
      <w:autoSpaceDN/>
      <w:adjustRightInd/>
      <w:spacing w:before="240" w:after="0"/>
    </w:pPr>
    <w:rPr>
      <w:rFonts w:asciiTheme="minorHAnsi" w:hAnsiTheme="minorHAnsi" w:cstheme="minorHAnsi"/>
      <w:bCs/>
      <w:color w:val="auto"/>
      <w:sz w:val="20"/>
      <w:szCs w:val="20"/>
      <w:lang w:eastAsia="en-US"/>
    </w:rPr>
  </w:style>
  <w:style w:type="paragraph" w:customStyle="1" w:styleId="JWBullets">
    <w:name w:val="JWBullets"/>
    <w:basedOn w:val="JWBody"/>
    <w:qFormat/>
    <w:rsid w:val="00732924"/>
    <w:pPr>
      <w:numPr>
        <w:numId w:val="8"/>
      </w:numPr>
    </w:pPr>
    <w:rPr>
      <w:rFonts w:cs="Arial"/>
      <w:szCs w:val="24"/>
    </w:rPr>
  </w:style>
  <w:style w:type="paragraph" w:customStyle="1" w:styleId="JuliaHeading">
    <w:name w:val="JuliaHeading"/>
    <w:basedOn w:val="ListParagraph"/>
    <w:qFormat/>
    <w:rsid w:val="00B338A4"/>
    <w:pPr>
      <w:numPr>
        <w:numId w:val="32"/>
      </w:numPr>
      <w:autoSpaceDE w:val="0"/>
      <w:autoSpaceDN w:val="0"/>
      <w:adjustRightInd w:val="0"/>
      <w:spacing w:after="120" w:line="240" w:lineRule="auto"/>
      <w:ind w:left="357" w:hanging="357"/>
      <w:contextualSpacing w:val="0"/>
    </w:pPr>
    <w:rPr>
      <w:rFonts w:ascii="Candara" w:hAnsi="Candara" w:cs="Calibri"/>
      <w:b/>
      <w:caps/>
      <w:color w:val="000000"/>
      <w:sz w:val="24"/>
      <w:szCs w:val="24"/>
      <w:lang w:eastAsia="en-GB"/>
    </w:rPr>
  </w:style>
  <w:style w:type="paragraph" w:customStyle="1" w:styleId="JuliaSubheading">
    <w:name w:val="JuliaSubheading"/>
    <w:basedOn w:val="ListParagraph"/>
    <w:qFormat/>
    <w:rsid w:val="00B338A4"/>
    <w:pPr>
      <w:numPr>
        <w:ilvl w:val="1"/>
        <w:numId w:val="32"/>
      </w:numPr>
      <w:autoSpaceDE w:val="0"/>
      <w:autoSpaceDN w:val="0"/>
      <w:adjustRightInd w:val="0"/>
      <w:spacing w:after="120"/>
      <w:ind w:left="788" w:hanging="431"/>
      <w:contextualSpacing w:val="0"/>
    </w:pPr>
    <w:rPr>
      <w:rFonts w:ascii="Candara" w:hAnsi="Candara" w:cs="Calibri"/>
      <w:b/>
      <w:color w:val="000000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338A4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338A4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338A4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338A4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338A4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338A4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338A4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gov.uk/government/publications/ilr-specification-validation-rules-and-appendices-2017-to-2018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12FA-4462-4789-96B2-F1367ACDC4D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94B814-88A9-4506-A27B-CAA3D267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2257</Words>
  <Characters>12869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Vitoria</dc:creator>
  <cp:keywords/>
  <dc:description/>
  <cp:lastModifiedBy>Jose Vitoria</cp:lastModifiedBy>
  <cp:revision>2</cp:revision>
  <cp:lastPrinted>2018-03-08T12:01:00Z</cp:lastPrinted>
  <dcterms:created xsi:type="dcterms:W3CDTF">2018-03-28T18:31:00Z</dcterms:created>
  <dcterms:modified xsi:type="dcterms:W3CDTF">2018-03-28T18:31:00Z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762ff545-0d1f-47cb-b1dd-14fc2042114a</vt:lpwstr>
  </property>
  <property fmtid="{D5CDD505-2E9C-101B-9397-08002B2CF9AE}" pid="3" name="bjSaver">
    <vt:lpwstr>6c3nqNQr+kLK8aeNqKd494fcaO/tWqXh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a06a6805-2090-45c5-a0e2-4a6e2e113023_Enabled">
    <vt:lpwstr>True</vt:lpwstr>
  </property>
  <property fmtid="{D5CDD505-2E9C-101B-9397-08002B2CF9AE}" pid="8" name="MSIP_Label_a06a6805-2090-45c5-a0e2-4a6e2e113023_SiteId">
    <vt:lpwstr>07ebc6c3-7074-4387-a625-b9d918ba4a97</vt:lpwstr>
  </property>
  <property fmtid="{D5CDD505-2E9C-101B-9397-08002B2CF9AE}" pid="9" name="MSIP_Label_a06a6805-2090-45c5-a0e2-4a6e2e113023_Ref">
    <vt:lpwstr>https://api.informationprotection.azure.com/api/07ebc6c3-7074-4387-a625-b9d918ba4a97</vt:lpwstr>
  </property>
  <property fmtid="{D5CDD505-2E9C-101B-9397-08002B2CF9AE}" pid="10" name="MSIP_Label_a06a6805-2090-45c5-a0e2-4a6e2e113023_SetBy">
    <vt:lpwstr>Jose.Vitoria@wolverhampton.gov.uk</vt:lpwstr>
  </property>
  <property fmtid="{D5CDD505-2E9C-101B-9397-08002B2CF9AE}" pid="11" name="MSIP_Label_a06a6805-2090-45c5-a0e2-4a6e2e113023_SetDate">
    <vt:lpwstr>2018-03-28T19:30:31.4588511+01:00</vt:lpwstr>
  </property>
  <property fmtid="{D5CDD505-2E9C-101B-9397-08002B2CF9AE}" pid="12" name="MSIP_Label_a06a6805-2090-45c5-a0e2-4a6e2e113023_Name">
    <vt:lpwstr>PROTECT</vt:lpwstr>
  </property>
  <property fmtid="{D5CDD505-2E9C-101B-9397-08002B2CF9AE}" pid="13" name="MSIP_Label_a06a6805-2090-45c5-a0e2-4a6e2e113023_Application">
    <vt:lpwstr>Microsoft Azure Information Protection</vt:lpwstr>
  </property>
  <property fmtid="{D5CDD505-2E9C-101B-9397-08002B2CF9AE}" pid="14" name="MSIP_Label_a06a6805-2090-45c5-a0e2-4a6e2e113023_Extended_MSFT_Method">
    <vt:lpwstr>Automatic</vt:lpwstr>
  </property>
  <property fmtid="{D5CDD505-2E9C-101B-9397-08002B2CF9AE}" pid="15" name="Sensitivity">
    <vt:lpwstr>PROTECT</vt:lpwstr>
  </property>
</Properties>
</file>