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Schedule 22 (Insurance Requirements)</w:t>
      </w:r>
    </w:p>
    <w:p w:rsidR="00000000" w:rsidDel="00000000" w:rsidP="00000000" w:rsidRDefault="00000000" w:rsidRPr="00000000" w14:paraId="00000002">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The insurance you need to have</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take out and maintain, or procure the taking out and maintenance of the insurances as set out in the Annex to this Schedule and any other insurances as may be required by applicable Law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 ensure that each of the Insurances is effective no later than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Start Date in respect of those Insurances set out in the Annex to this Schedule and those required by applicable Law; and </w:t>
      </w:r>
    </w:p>
    <w:p w:rsidR="00000000" w:rsidDel="00000000" w:rsidP="00000000" w:rsidRDefault="00000000" w:rsidRPr="00000000" w14:paraId="00000005">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Insurances shall be: </w:t>
      </w:r>
    </w:p>
    <w:p w:rsidR="00000000" w:rsidDel="00000000" w:rsidP="00000000" w:rsidRDefault="00000000" w:rsidRPr="00000000" w14:paraId="0000000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in accordance with Good Industry Practice; </w:t>
      </w:r>
    </w:p>
    <w:p w:rsidR="00000000" w:rsidDel="00000000" w:rsidP="00000000" w:rsidRDefault="00000000" w:rsidRPr="00000000" w14:paraId="0000000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taken out and maintained with insurers of good financial standing and good repute in the international insurance market; and</w:t>
      </w:r>
    </w:p>
    <w:p w:rsidR="00000000" w:rsidDel="00000000" w:rsidP="00000000" w:rsidRDefault="00000000" w:rsidRPr="00000000" w14:paraId="0000000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for at least six (6) years after the End Date.</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public and products liability policy contain an indemnity to principals clause under which the Buyer shall be indemnified in respect of claims made against the Buyer in respect of death or bodily injury or third party property damage arising out of or in connection with the Deliverables and for which the Supplier is legally liable.</w:t>
      </w:r>
    </w:p>
    <w:p w:rsidR="00000000" w:rsidDel="00000000" w:rsidP="00000000" w:rsidRDefault="00000000" w:rsidRPr="00000000" w14:paraId="0000000B">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to manage the insurance</w:t>
      </w:r>
      <w:r w:rsidDel="00000000" w:rsidR="00000000" w:rsidRPr="00000000">
        <w:rPr>
          <w:rtl w:val="0"/>
        </w:rPr>
      </w:r>
    </w:p>
    <w:p w:rsidR="00000000" w:rsidDel="00000000" w:rsidP="00000000" w:rsidRDefault="00000000" w:rsidRPr="00000000" w14:paraId="0000000C">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limiting the other provisions of this Contract, the Supplier shall:</w:t>
      </w:r>
    </w:p>
    <w:p w:rsidR="00000000" w:rsidDel="00000000" w:rsidP="00000000" w:rsidRDefault="00000000" w:rsidRPr="00000000" w14:paraId="0000000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000000" w:rsidDel="00000000" w:rsidP="00000000" w:rsidRDefault="00000000" w:rsidRPr="00000000" w14:paraId="0000000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0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all policies in respect of the Insurances and cause any insurance broker effecting the Insurances to hold any insurance slips and other evidence of placing cover representing any of the Insurances to which it is a party.</w:t>
      </w:r>
    </w:p>
    <w:p w:rsidR="00000000" w:rsidDel="00000000" w:rsidP="00000000" w:rsidRDefault="00000000" w:rsidRPr="00000000" w14:paraId="00000010">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aren’t insured</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failed to purchase or maintain any of the Insurances in full force and effect, the Buyer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3">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Evidence of insurance you must provide</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upon the Start Date and within 15 Working Days after the renewal of each of the Insurances, provide evidence, in a form satisfactory to the Buyer,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5">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Making sure you are insured to the required amount</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Buyer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7">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Cancelled Insurance</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Buyer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A">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Insurance claims</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notify to insurers any matter arising from, or in relation to, the Deliverables, or the Contract for which it may be entitled to claim under any of the Insurances.  In the event that the Buyer receives a claim relating to or arising out of the Contract or the Deliverables, the Supplier shall co-operate with the Buyer and assist it in dealing with such claims including without limitation providing information and documentation in a timely manner.</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the Buyer is the claimant party, the Supplier shall give the Buyer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Buyer) full details of the incident giving rise to the claim.</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requires payment of a premium, the Supplier shall be liable for and shall promptly pay such premium.</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20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is subject to an excess or deductible below which the indemnity from insurers is excluded, the Supplier shall be liable for such excess or deductible. The Supplier shall not be entitled to recover from the Buyer any sum paid by way of excess or deductible under the Insurances whether under the terms of this Contract or otherwise.</w:t>
      </w: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REQUIRED INSURANCES</w:t>
      </w:r>
    </w:p>
    <w:p w:rsidR="00000000" w:rsidDel="00000000" w:rsidP="00000000" w:rsidRDefault="00000000" w:rsidRPr="00000000" w14:paraId="00000020">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0"/>
          <w:i w:val="0"/>
          <w:smallCaps w:val="1"/>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the following insurance cover from the Start Date in accordance with this Schedule:</w:t>
      </w:r>
      <w:r w:rsidDel="00000000" w:rsidR="00000000" w:rsidRPr="00000000">
        <w:rPr>
          <w:rtl w:val="0"/>
        </w:rPr>
      </w:r>
    </w:p>
    <w:bookmarkStart w:colFirst="0" w:colLast="0" w:name="bookmark=id.3znysh7" w:id="3"/>
    <w:bookmarkEnd w:id="3"/>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professional indemnity insurance [with cover (for a single event or a series of related events and in the aggregate) of not less than] ten million pounds (£10,000,000);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public liability insurance [with cover (for a single event or a series of related events and in the aggregate)] of not less than ten million pounds (£10,000,000); and</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employers’ liability insurance [with cover (for a single event or a series of related events and in the aggregate) of not less than] ten million pounds (£10,000,000).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rFonts w:ascii="Calibri" w:cs="Calibri" w:eastAsia="Calibri" w:hAnsi="Calibri"/>
          <w:b w:val="1"/>
          <w:i w:val="0"/>
          <w:smallCaps w:val="1"/>
          <w:strike w:val="0"/>
          <w:color w:val="000000"/>
          <w:sz w:val="22"/>
          <w:szCs w:val="22"/>
          <w:u w:val="none"/>
          <w:shd w:fill="auto" w:val="clear"/>
          <w:vertAlign w:val="baseline"/>
        </w:rPr>
        <w:sectPr>
          <w:headerReference r:id="rId7" w:type="default"/>
          <w:headerReference r:id="rId8" w:type="first"/>
          <w:footerReference r:id="rId9" w:type="default"/>
          <w:footerReference r:id="rId10" w:type="first"/>
          <w:pgSz w:h="16838" w:w="11906"/>
          <w:pgMar w:bottom="1440" w:top="1440" w:left="1440" w:right="1440" w:header="709" w:footer="709"/>
          <w:pgNumType w:start="1"/>
          <w:cols w:equalWidth="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Guidance: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adjust the above as required for your procurement and add any other insurance required for the particular project.]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type w:val="nextPage"/>
      <w:pgSz w:h="16838" w:w="11906"/>
      <w:pgMar w:bottom="1440" w:top="1440" w:left="1440" w:right="1440"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2C">
    <w:pPr>
      <w:tabs>
        <w:tab w:val="center" w:pos="4513"/>
        <w:tab w:val="right"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spacing w:after="0" w:lineRule="auto"/>
      <w:jc w:val="left"/>
      <w:rPr>
        <w:color w:val="bfbfbf"/>
      </w:rPr>
    </w:pPr>
    <w:r w:rsidDel="00000000" w:rsidR="00000000" w:rsidRPr="00000000">
      <w:rPr>
        <w:rFonts w:ascii="Arial" w:cs="Arial" w:eastAsia="Arial" w:hAnsi="Arial"/>
        <w:color w:val="bfbfbf"/>
        <w:sz w:val="20"/>
        <w:szCs w:val="20"/>
        <w:rtl w:val="0"/>
      </w:rPr>
      <w:t xml:space="preserve">Model Version : v3.0</w:t>
      <w:tab/>
      <w:tab/>
      <w:tab/>
      <w:tab/>
      <w:tab/>
      <w:tab/>
      <w:tab/>
      <w:tab/>
      <w:tab/>
    </w:r>
    <w:r w:rsidDel="00000000" w:rsidR="00000000" w:rsidRPr="00000000">
      <w:rPr>
        <w:color w:val="bfbfbf"/>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                                           </w:t>
    </w:r>
  </w:p>
  <w:p w:rsidR="00000000" w:rsidDel="00000000" w:rsidP="00000000" w:rsidRDefault="00000000" w:rsidRPr="00000000" w14:paraId="00000030">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Mid-Tier Contract</w:t>
      <w:tab/>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Model Version: v1.0</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sz w:val="20"/>
        <w:szCs w:val="20"/>
        <w:rtl w:val="0"/>
      </w:rPr>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Joint Schedule 3 (Insurance Requirements)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22 (Insurance Requirements)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2019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clear" w:pos="142"/>
      </w:tabs>
      <w:ind w:left="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11table" w:customStyle="1">
    <w:name w:val="1.1 table"/>
    <w:basedOn w:val="Normal"/>
    <w:qFormat w:val="1"/>
    <w:pPr>
      <w:numPr>
        <w:numId w:val="28"/>
      </w:numPr>
      <w:overflowPunct w:val="1"/>
      <w:autoSpaceDE w:val="1"/>
      <w:adjustRightInd w:val="1"/>
      <w:spacing w:after="0"/>
      <w:jc w:val="left"/>
      <w:textAlignment w:val="auto"/>
    </w:pPr>
    <w:rPr>
      <w:rFonts w:cs="Times New Roman" w:eastAsia="STZhongsong"/>
      <w:b w:val="1"/>
      <w:lang w:eastAsia="zh-CN"/>
    </w:rPr>
  </w:style>
  <w:style w:type="numbering" w:styleId="LFO9" w:customStyle="1">
    <w:name w:val="LFO9"/>
    <w:basedOn w:val="NoList"/>
    <w:pPr>
      <w:numPr>
        <w:numId w:val="28"/>
      </w:numPr>
    </w:p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4mdDOq2ib/3F0UcOOGl5yHd4Q==">AMUW2mWtG5uc30z1nOLOyP5RPHQep7ctzd7NdNLtcatRXusKjLUJTllwv0bMSmiBpIv7fZoify9f0CIYRkkQZwFPDkEJbwrX9y0h9uL5wWQoBucHsn4Klc+YyCzE8k8zUhiS/wAeJpjfsm3cTnHHx/KKJQpJad9eDyr641yoeEBiZXBR2PE3+PQ=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To do - procurement</Statu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B3BBACE-8946-456D-A209-C1BBB677A64B}"/>
</file>

<file path=customXML/itemProps3.xml><?xml version="1.0" encoding="utf-8"?>
<ds:datastoreItem xmlns:ds="http://schemas.openxmlformats.org/officeDocument/2006/customXml" ds:itemID="{4F99B33C-BE15-40D0-8229-CEF6995808A7}"/>
</file>

<file path=customXML/itemProps4.xml><?xml version="1.0" encoding="utf-8"?>
<ds:datastoreItem xmlns:ds="http://schemas.openxmlformats.org/officeDocument/2006/customXml" ds:itemID="{868EC0E0-8365-4B90-881F-736DC72585C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2019-05-01T17:03:00Z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