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2B7992" w14:textId="77777777" w:rsidR="00413035" w:rsidRPr="002E1FEE" w:rsidRDefault="00413035" w:rsidP="00413035">
      <w:pPr>
        <w:jc w:val="center"/>
        <w:rPr>
          <w:rFonts w:cs="Arial"/>
          <w:b/>
          <w:sz w:val="28"/>
          <w:szCs w:val="28"/>
        </w:rPr>
      </w:pPr>
      <w:bookmarkStart w:id="0" w:name="_GoBack"/>
      <w:bookmarkEnd w:id="0"/>
      <w:r>
        <w:rPr>
          <w:rFonts w:cs="Arial"/>
          <w:b/>
          <w:sz w:val="28"/>
          <w:szCs w:val="28"/>
        </w:rPr>
        <w:t>SECTION A</w:t>
      </w:r>
    </w:p>
    <w:p w14:paraId="3D2B7993" w14:textId="77777777" w:rsidR="00413035" w:rsidRDefault="00413035" w:rsidP="00413035">
      <w:pPr>
        <w:rPr>
          <w:rFonts w:cs="Arial"/>
          <w:sz w:val="22"/>
          <w:szCs w:val="22"/>
        </w:rPr>
      </w:pPr>
    </w:p>
    <w:p w14:paraId="3D2B7994" w14:textId="77777777" w:rsidR="00413035" w:rsidRDefault="00413035" w:rsidP="00413035">
      <w:pPr>
        <w:jc w:val="center"/>
        <w:rPr>
          <w:rFonts w:cs="Arial"/>
          <w:b/>
          <w:sz w:val="22"/>
          <w:szCs w:val="22"/>
        </w:rPr>
      </w:pPr>
      <w:r w:rsidRPr="006B3E50">
        <w:rPr>
          <w:rFonts w:cs="Arial"/>
          <w:b/>
          <w:sz w:val="22"/>
          <w:szCs w:val="22"/>
        </w:rPr>
        <w:t>INTRODUCTION</w:t>
      </w:r>
    </w:p>
    <w:p w14:paraId="3D2B7995" w14:textId="77777777" w:rsidR="00D4392B" w:rsidRPr="006B3E50" w:rsidRDefault="00D4392B" w:rsidP="00413035">
      <w:pPr>
        <w:jc w:val="center"/>
        <w:rPr>
          <w:rFonts w:cs="Arial"/>
          <w:b/>
          <w:sz w:val="22"/>
          <w:szCs w:val="22"/>
        </w:rPr>
      </w:pPr>
    </w:p>
    <w:p w14:paraId="3D2B7996" w14:textId="77777777" w:rsidR="00CD41A0" w:rsidRPr="00D4392B" w:rsidRDefault="00D4392B" w:rsidP="00D4392B">
      <w:pPr>
        <w:jc w:val="center"/>
        <w:rPr>
          <w:b/>
        </w:rPr>
      </w:pPr>
      <w:r w:rsidRPr="00D4392B">
        <w:rPr>
          <w:b/>
        </w:rPr>
        <w:t>A1.  OVERVIEW AND OBJECTIVES</w:t>
      </w:r>
    </w:p>
    <w:p w14:paraId="3D2B7997" w14:textId="77777777" w:rsidR="00D4392B" w:rsidRPr="00547CB8" w:rsidRDefault="00D4392B" w:rsidP="00547CB8"/>
    <w:p w14:paraId="3D2B7998" w14:textId="77777777" w:rsidR="00547CB8" w:rsidRPr="006B3E50" w:rsidRDefault="006712EF" w:rsidP="00171ACB">
      <w:pPr>
        <w:pStyle w:val="ListParagraph"/>
        <w:numPr>
          <w:ilvl w:val="0"/>
          <w:numId w:val="6"/>
        </w:numPr>
        <w:spacing w:after="120"/>
        <w:rPr>
          <w:rFonts w:ascii="Arial" w:hAnsi="Arial" w:cs="Arial"/>
          <w:b/>
          <w:sz w:val="22"/>
          <w:szCs w:val="22"/>
        </w:rPr>
      </w:pPr>
      <w:r w:rsidRPr="006B3E50">
        <w:rPr>
          <w:rFonts w:ascii="Arial" w:hAnsi="Arial" w:cs="Arial"/>
          <w:b/>
          <w:sz w:val="22"/>
          <w:szCs w:val="22"/>
        </w:rPr>
        <w:t>Overview</w:t>
      </w:r>
    </w:p>
    <w:p w14:paraId="3D2B7999" w14:textId="7ECFE6AB" w:rsidR="0094145D" w:rsidRPr="006B3E50" w:rsidRDefault="0080482B" w:rsidP="00171ACB">
      <w:pPr>
        <w:pStyle w:val="ListParagraph"/>
        <w:numPr>
          <w:ilvl w:val="1"/>
          <w:numId w:val="6"/>
        </w:numPr>
        <w:spacing w:after="120"/>
        <w:rPr>
          <w:rFonts w:ascii="Arial" w:hAnsi="Arial" w:cs="Arial"/>
          <w:sz w:val="22"/>
          <w:szCs w:val="22"/>
        </w:rPr>
      </w:pPr>
      <w:r w:rsidRPr="7F2CDCFC">
        <w:rPr>
          <w:rFonts w:ascii="Arial" w:hAnsi="Arial" w:cs="Arial"/>
          <w:sz w:val="22"/>
          <w:szCs w:val="22"/>
        </w:rPr>
        <w:t>As part of the Government</w:t>
      </w:r>
      <w:r w:rsidR="005D26DE">
        <w:rPr>
          <w:rFonts w:ascii="Arial" w:hAnsi="Arial" w:cs="Arial"/>
          <w:sz w:val="22"/>
          <w:szCs w:val="22"/>
        </w:rPr>
        <w:t>’</w:t>
      </w:r>
      <w:r w:rsidRPr="7F2CDCFC">
        <w:rPr>
          <w:rFonts w:ascii="Arial" w:hAnsi="Arial" w:cs="Arial"/>
          <w:sz w:val="22"/>
          <w:szCs w:val="22"/>
        </w:rPr>
        <w:t xml:space="preserve">s </w:t>
      </w:r>
      <w:r w:rsidR="006D3D7D" w:rsidRPr="7F2CDCFC">
        <w:rPr>
          <w:rFonts w:ascii="Arial" w:hAnsi="Arial" w:cs="Arial"/>
          <w:sz w:val="22"/>
          <w:szCs w:val="22"/>
        </w:rPr>
        <w:t xml:space="preserve">Covid-19 </w:t>
      </w:r>
      <w:r w:rsidRPr="7F2CDCFC">
        <w:rPr>
          <w:rFonts w:ascii="Arial" w:hAnsi="Arial" w:cs="Arial"/>
          <w:sz w:val="22"/>
          <w:szCs w:val="22"/>
        </w:rPr>
        <w:t>Green Stimulus</w:t>
      </w:r>
      <w:r w:rsidR="006D3D7D" w:rsidRPr="7F2CDCFC">
        <w:rPr>
          <w:rFonts w:ascii="Arial" w:hAnsi="Arial" w:cs="Arial"/>
          <w:sz w:val="22"/>
          <w:szCs w:val="22"/>
        </w:rPr>
        <w:t xml:space="preserve"> package, </w:t>
      </w:r>
      <w:r w:rsidR="00C715E5" w:rsidRPr="7F2CDCFC">
        <w:rPr>
          <w:rFonts w:ascii="Arial" w:hAnsi="Arial" w:cs="Arial"/>
          <w:sz w:val="22"/>
          <w:szCs w:val="22"/>
        </w:rPr>
        <w:t xml:space="preserve">£300 million has been made available to promote the adoption of energy efficiency and low carbon measures in domestic </w:t>
      </w:r>
      <w:r w:rsidR="003701B6" w:rsidRPr="7F2CDCFC">
        <w:rPr>
          <w:rFonts w:ascii="Arial" w:hAnsi="Arial" w:cs="Arial"/>
          <w:sz w:val="22"/>
          <w:szCs w:val="22"/>
        </w:rPr>
        <w:t>properties</w:t>
      </w:r>
      <w:r w:rsidR="04083BA6" w:rsidRPr="7F2CDCFC">
        <w:rPr>
          <w:rFonts w:ascii="Arial" w:hAnsi="Arial" w:cs="Arial"/>
          <w:sz w:val="22"/>
          <w:szCs w:val="22"/>
        </w:rPr>
        <w:t xml:space="preserve"> via the Green Homes Grant Local Authority Delivery Phase 2 programme</w:t>
      </w:r>
      <w:r w:rsidR="003701B6" w:rsidRPr="7F2CDCFC">
        <w:rPr>
          <w:rFonts w:ascii="Arial" w:hAnsi="Arial" w:cs="Arial"/>
          <w:sz w:val="22"/>
          <w:szCs w:val="22"/>
        </w:rPr>
        <w:t xml:space="preserve">. The </w:t>
      </w:r>
      <w:r w:rsidR="008C7B17" w:rsidRPr="7F2CDCFC">
        <w:rPr>
          <w:rFonts w:ascii="Arial" w:hAnsi="Arial" w:cs="Arial"/>
          <w:sz w:val="22"/>
          <w:szCs w:val="22"/>
        </w:rPr>
        <w:t xml:space="preserve">money has been distributed via the </w:t>
      </w:r>
      <w:r w:rsidR="00160B97">
        <w:rPr>
          <w:rFonts w:ascii="Arial" w:hAnsi="Arial" w:cs="Arial"/>
          <w:sz w:val="22"/>
          <w:szCs w:val="22"/>
        </w:rPr>
        <w:t xml:space="preserve">BEIS funded </w:t>
      </w:r>
      <w:r w:rsidR="008C7B17" w:rsidRPr="7F2CDCFC">
        <w:rPr>
          <w:rFonts w:ascii="Arial" w:hAnsi="Arial" w:cs="Arial"/>
          <w:sz w:val="22"/>
          <w:szCs w:val="22"/>
        </w:rPr>
        <w:t xml:space="preserve">five </w:t>
      </w:r>
      <w:r w:rsidR="000E29C6" w:rsidRPr="7F2CDCFC">
        <w:rPr>
          <w:rFonts w:ascii="Arial" w:hAnsi="Arial" w:cs="Arial"/>
          <w:sz w:val="22"/>
          <w:szCs w:val="22"/>
        </w:rPr>
        <w:t xml:space="preserve">regional </w:t>
      </w:r>
      <w:r w:rsidR="001A6FCC">
        <w:rPr>
          <w:rFonts w:ascii="Arial" w:hAnsi="Arial" w:cs="Arial"/>
          <w:sz w:val="22"/>
          <w:szCs w:val="22"/>
        </w:rPr>
        <w:t>Energy</w:t>
      </w:r>
      <w:r w:rsidR="008C7B17" w:rsidRPr="7F2CDCFC">
        <w:rPr>
          <w:rFonts w:ascii="Arial" w:hAnsi="Arial" w:cs="Arial"/>
          <w:sz w:val="22"/>
          <w:szCs w:val="22"/>
        </w:rPr>
        <w:t xml:space="preserve"> </w:t>
      </w:r>
      <w:r w:rsidR="00160B97">
        <w:rPr>
          <w:rFonts w:ascii="Arial" w:hAnsi="Arial" w:cs="Arial"/>
          <w:sz w:val="22"/>
          <w:szCs w:val="22"/>
        </w:rPr>
        <w:t>H</w:t>
      </w:r>
      <w:r w:rsidR="008C7B17" w:rsidRPr="7F2CDCFC">
        <w:rPr>
          <w:rFonts w:ascii="Arial" w:hAnsi="Arial" w:cs="Arial"/>
          <w:sz w:val="22"/>
          <w:szCs w:val="22"/>
        </w:rPr>
        <w:t>ubs</w:t>
      </w:r>
      <w:r w:rsidR="004B04AB" w:rsidRPr="7F2CDCFC">
        <w:rPr>
          <w:rFonts w:ascii="Arial" w:hAnsi="Arial" w:cs="Arial"/>
          <w:sz w:val="22"/>
          <w:szCs w:val="22"/>
        </w:rPr>
        <w:t>. Under th</w:t>
      </w:r>
      <w:r w:rsidR="005D26DE">
        <w:rPr>
          <w:rFonts w:ascii="Arial" w:hAnsi="Arial" w:cs="Arial"/>
          <w:sz w:val="22"/>
          <w:szCs w:val="22"/>
        </w:rPr>
        <w:t>is agreement</w:t>
      </w:r>
      <w:r w:rsidR="004B04AB" w:rsidRPr="7F2CDCFC">
        <w:rPr>
          <w:rFonts w:ascii="Arial" w:hAnsi="Arial" w:cs="Arial"/>
          <w:sz w:val="22"/>
          <w:szCs w:val="22"/>
        </w:rPr>
        <w:t xml:space="preserve">, the Delivery Organisation will deliver the </w:t>
      </w:r>
      <w:r w:rsidR="00D03BB7" w:rsidRPr="7F2CDCFC">
        <w:rPr>
          <w:rFonts w:ascii="Arial" w:hAnsi="Arial" w:cs="Arial"/>
          <w:sz w:val="22"/>
          <w:szCs w:val="22"/>
        </w:rPr>
        <w:t xml:space="preserve">entire </w:t>
      </w:r>
      <w:r w:rsidR="005D26DE" w:rsidRPr="0084243D">
        <w:rPr>
          <w:rFonts w:ascii="Arial" w:hAnsi="Arial" w:cs="Arial"/>
          <w:sz w:val="22"/>
          <w:szCs w:val="22"/>
        </w:rPr>
        <w:t>Customer Journey</w:t>
      </w:r>
      <w:r w:rsidR="005D26DE" w:rsidRPr="7F2CDCFC">
        <w:rPr>
          <w:rFonts w:ascii="Arial" w:hAnsi="Arial" w:cs="Arial"/>
          <w:sz w:val="22"/>
          <w:szCs w:val="22"/>
        </w:rPr>
        <w:t xml:space="preserve"> </w:t>
      </w:r>
      <w:r w:rsidR="00D03BB7" w:rsidRPr="7F2CDCFC">
        <w:rPr>
          <w:rFonts w:ascii="Arial" w:hAnsi="Arial" w:cs="Arial"/>
          <w:sz w:val="22"/>
          <w:szCs w:val="22"/>
        </w:rPr>
        <w:t>(lead gen</w:t>
      </w:r>
      <w:r w:rsidR="00BD2EAC">
        <w:rPr>
          <w:rFonts w:ascii="Arial" w:hAnsi="Arial" w:cs="Arial"/>
          <w:sz w:val="22"/>
          <w:szCs w:val="22"/>
        </w:rPr>
        <w:t>eration</w:t>
      </w:r>
      <w:r w:rsidR="00D03BB7" w:rsidRPr="7F2CDCFC">
        <w:rPr>
          <w:rFonts w:ascii="Arial" w:hAnsi="Arial" w:cs="Arial"/>
          <w:sz w:val="22"/>
          <w:szCs w:val="22"/>
        </w:rPr>
        <w:t xml:space="preserve"> through to installation completion)</w:t>
      </w:r>
      <w:r w:rsidR="00721D88" w:rsidRPr="7F2CDCFC">
        <w:rPr>
          <w:rFonts w:ascii="Arial" w:hAnsi="Arial" w:cs="Arial"/>
          <w:sz w:val="22"/>
          <w:szCs w:val="22"/>
        </w:rPr>
        <w:t xml:space="preserve">. </w:t>
      </w:r>
    </w:p>
    <w:p w14:paraId="3D2B799A" w14:textId="7DCABA97" w:rsidR="0094145D" w:rsidRPr="006B3E50" w:rsidRDefault="005D26DE" w:rsidP="00171ACB">
      <w:pPr>
        <w:pStyle w:val="ListParagraph"/>
        <w:numPr>
          <w:ilvl w:val="1"/>
          <w:numId w:val="6"/>
        </w:numPr>
        <w:spacing w:after="120"/>
        <w:rPr>
          <w:rFonts w:ascii="Arial" w:hAnsi="Arial" w:cs="Arial"/>
          <w:sz w:val="22"/>
          <w:szCs w:val="22"/>
        </w:rPr>
      </w:pPr>
      <w:r w:rsidRPr="006B3E50">
        <w:rPr>
          <w:rFonts w:ascii="Arial" w:hAnsi="Arial" w:cs="Arial"/>
          <w:sz w:val="22"/>
          <w:szCs w:val="22"/>
        </w:rPr>
        <w:t>Th</w:t>
      </w:r>
      <w:r>
        <w:rPr>
          <w:rFonts w:ascii="Arial" w:hAnsi="Arial" w:cs="Arial"/>
          <w:sz w:val="22"/>
          <w:szCs w:val="22"/>
        </w:rPr>
        <w:t xml:space="preserve">is agreement </w:t>
      </w:r>
      <w:r w:rsidR="0094145D" w:rsidRPr="006B3E50">
        <w:rPr>
          <w:rFonts w:ascii="Arial" w:hAnsi="Arial" w:cs="Arial"/>
          <w:sz w:val="22"/>
          <w:szCs w:val="22"/>
        </w:rPr>
        <w:t>concerns the installation of insulation</w:t>
      </w:r>
      <w:r w:rsidR="006D258F">
        <w:rPr>
          <w:rFonts w:ascii="Arial" w:hAnsi="Arial" w:cs="Arial"/>
          <w:sz w:val="22"/>
          <w:szCs w:val="22"/>
        </w:rPr>
        <w:t xml:space="preserve"> and other energy efficiency measures</w:t>
      </w:r>
      <w:r w:rsidR="0094145D" w:rsidRPr="006B3E50">
        <w:rPr>
          <w:rFonts w:ascii="Arial" w:hAnsi="Arial" w:cs="Arial"/>
          <w:sz w:val="22"/>
          <w:szCs w:val="22"/>
        </w:rPr>
        <w:t xml:space="preserve">, </w:t>
      </w:r>
      <w:r w:rsidR="00E9461E">
        <w:rPr>
          <w:rFonts w:ascii="Arial" w:hAnsi="Arial" w:cs="Arial"/>
          <w:sz w:val="22"/>
          <w:szCs w:val="22"/>
        </w:rPr>
        <w:t xml:space="preserve">non-fossil fuel </w:t>
      </w:r>
      <w:r w:rsidR="0094145D" w:rsidRPr="006B3E50">
        <w:rPr>
          <w:rFonts w:ascii="Arial" w:hAnsi="Arial" w:cs="Arial"/>
          <w:sz w:val="22"/>
          <w:szCs w:val="22"/>
        </w:rPr>
        <w:t>heating and micro-generation measures in the homes of households who are</w:t>
      </w:r>
      <w:r w:rsidR="00774112">
        <w:rPr>
          <w:rFonts w:ascii="Arial" w:hAnsi="Arial" w:cs="Arial"/>
          <w:sz w:val="22"/>
          <w:szCs w:val="22"/>
        </w:rPr>
        <w:t xml:space="preserve"> either on low incomes and are</w:t>
      </w:r>
      <w:r w:rsidR="0094145D" w:rsidRPr="006B3E50">
        <w:rPr>
          <w:rFonts w:ascii="Arial" w:hAnsi="Arial" w:cs="Arial"/>
          <w:sz w:val="22"/>
          <w:szCs w:val="22"/>
        </w:rPr>
        <w:t xml:space="preserve"> identified as suffering from fuel poverty</w:t>
      </w:r>
      <w:r w:rsidR="00AB77D3">
        <w:rPr>
          <w:rStyle w:val="FootnoteReference"/>
          <w:rFonts w:ascii="Arial" w:hAnsi="Arial" w:cs="Arial"/>
          <w:sz w:val="22"/>
          <w:szCs w:val="22"/>
        </w:rPr>
        <w:footnoteReference w:id="2"/>
      </w:r>
      <w:r w:rsidR="0094145D" w:rsidRPr="006B3E50">
        <w:rPr>
          <w:rFonts w:ascii="Arial" w:hAnsi="Arial" w:cs="Arial"/>
          <w:sz w:val="22"/>
          <w:szCs w:val="22"/>
        </w:rPr>
        <w:t xml:space="preserve">.  The </w:t>
      </w:r>
      <w:r w:rsidR="00683CEA">
        <w:rPr>
          <w:rFonts w:ascii="Arial" w:hAnsi="Arial" w:cs="Arial"/>
          <w:sz w:val="22"/>
          <w:szCs w:val="22"/>
        </w:rPr>
        <w:t>Delivery Organisation</w:t>
      </w:r>
      <w:r w:rsidR="0094145D" w:rsidRPr="006B3E50">
        <w:rPr>
          <w:rFonts w:ascii="Arial" w:hAnsi="Arial" w:cs="Arial"/>
          <w:sz w:val="22"/>
          <w:szCs w:val="22"/>
        </w:rPr>
        <w:t xml:space="preserve"> is responsib</w:t>
      </w:r>
      <w:r w:rsidR="003F04A3">
        <w:rPr>
          <w:rFonts w:ascii="Arial" w:hAnsi="Arial" w:cs="Arial"/>
          <w:sz w:val="22"/>
          <w:szCs w:val="22"/>
        </w:rPr>
        <w:t xml:space="preserve">le for managing the end-to-end </w:t>
      </w:r>
      <w:r w:rsidR="00347877">
        <w:rPr>
          <w:rFonts w:ascii="Arial" w:hAnsi="Arial" w:cs="Arial"/>
          <w:sz w:val="22"/>
          <w:szCs w:val="22"/>
        </w:rPr>
        <w:t>Customer</w:t>
      </w:r>
      <w:r w:rsidR="003F04A3">
        <w:rPr>
          <w:rFonts w:ascii="Arial" w:hAnsi="Arial" w:cs="Arial"/>
          <w:sz w:val="22"/>
          <w:szCs w:val="22"/>
        </w:rPr>
        <w:t xml:space="preserve"> J</w:t>
      </w:r>
      <w:r w:rsidR="0094145D" w:rsidRPr="006B3E50">
        <w:rPr>
          <w:rFonts w:ascii="Arial" w:hAnsi="Arial" w:cs="Arial"/>
          <w:sz w:val="22"/>
          <w:szCs w:val="22"/>
        </w:rPr>
        <w:t>ourney, which includes</w:t>
      </w:r>
      <w:r w:rsidR="00726E1E">
        <w:rPr>
          <w:rFonts w:ascii="Arial" w:hAnsi="Arial" w:cs="Arial"/>
          <w:sz w:val="22"/>
          <w:szCs w:val="22"/>
        </w:rPr>
        <w:t xml:space="preserve"> but is not e</w:t>
      </w:r>
      <w:r w:rsidR="00944F10">
        <w:rPr>
          <w:rFonts w:ascii="Arial" w:hAnsi="Arial" w:cs="Arial"/>
          <w:sz w:val="22"/>
          <w:szCs w:val="22"/>
        </w:rPr>
        <w:t>x</w:t>
      </w:r>
      <w:r w:rsidR="00726E1E">
        <w:rPr>
          <w:rFonts w:ascii="Arial" w:hAnsi="Arial" w:cs="Arial"/>
          <w:sz w:val="22"/>
          <w:szCs w:val="22"/>
        </w:rPr>
        <w:t>clusive to</w:t>
      </w:r>
      <w:r w:rsidR="00944F10">
        <w:rPr>
          <w:rFonts w:ascii="Arial" w:hAnsi="Arial" w:cs="Arial"/>
          <w:sz w:val="22"/>
          <w:szCs w:val="22"/>
        </w:rPr>
        <w:t>:</w:t>
      </w:r>
      <w:r w:rsidR="00683CEA">
        <w:rPr>
          <w:rFonts w:ascii="Arial" w:hAnsi="Arial" w:cs="Arial"/>
          <w:sz w:val="22"/>
          <w:szCs w:val="22"/>
        </w:rPr>
        <w:t xml:space="preserve"> marketing and engagement,</w:t>
      </w:r>
      <w:r w:rsidR="0094145D" w:rsidRPr="006B3E50">
        <w:rPr>
          <w:rFonts w:ascii="Arial" w:hAnsi="Arial" w:cs="Arial"/>
          <w:sz w:val="22"/>
          <w:szCs w:val="22"/>
        </w:rPr>
        <w:t xml:space="preserve"> assessing the household’</w:t>
      </w:r>
      <w:r w:rsidR="003F04A3">
        <w:rPr>
          <w:rFonts w:ascii="Arial" w:hAnsi="Arial" w:cs="Arial"/>
          <w:sz w:val="22"/>
          <w:szCs w:val="22"/>
        </w:rPr>
        <w:t xml:space="preserve">s </w:t>
      </w:r>
      <w:r w:rsidR="007726EE">
        <w:rPr>
          <w:rFonts w:ascii="Arial" w:hAnsi="Arial" w:cs="Arial"/>
          <w:sz w:val="22"/>
          <w:szCs w:val="22"/>
        </w:rPr>
        <w:t>e</w:t>
      </w:r>
      <w:r w:rsidR="003F04A3">
        <w:rPr>
          <w:rFonts w:ascii="Arial" w:hAnsi="Arial" w:cs="Arial"/>
          <w:sz w:val="22"/>
          <w:szCs w:val="22"/>
        </w:rPr>
        <w:t xml:space="preserve">ligibility, </w:t>
      </w:r>
      <w:r w:rsidR="00944F10">
        <w:rPr>
          <w:rFonts w:ascii="Arial" w:hAnsi="Arial" w:cs="Arial"/>
          <w:sz w:val="22"/>
          <w:szCs w:val="22"/>
        </w:rPr>
        <w:t xml:space="preserve">conducting a property assessment, </w:t>
      </w:r>
      <w:r w:rsidR="003F04A3">
        <w:rPr>
          <w:rFonts w:ascii="Arial" w:hAnsi="Arial" w:cs="Arial"/>
          <w:sz w:val="22"/>
          <w:szCs w:val="22"/>
        </w:rPr>
        <w:t>identifying the M</w:t>
      </w:r>
      <w:r w:rsidR="0094145D" w:rsidRPr="006B3E50">
        <w:rPr>
          <w:rFonts w:ascii="Arial" w:hAnsi="Arial" w:cs="Arial"/>
          <w:sz w:val="22"/>
          <w:szCs w:val="22"/>
        </w:rPr>
        <w:t>easu</w:t>
      </w:r>
      <w:r w:rsidR="003F04A3">
        <w:rPr>
          <w:rFonts w:ascii="Arial" w:hAnsi="Arial" w:cs="Arial"/>
          <w:sz w:val="22"/>
          <w:szCs w:val="22"/>
        </w:rPr>
        <w:t>res which are suitable for the D</w:t>
      </w:r>
      <w:r w:rsidR="0094145D" w:rsidRPr="006B3E50">
        <w:rPr>
          <w:rFonts w:ascii="Arial" w:hAnsi="Arial" w:cs="Arial"/>
          <w:sz w:val="22"/>
          <w:szCs w:val="22"/>
        </w:rPr>
        <w:t xml:space="preserve">welling, carrying out a technical </w:t>
      </w:r>
      <w:r w:rsidR="00002E71">
        <w:rPr>
          <w:rFonts w:ascii="Arial" w:hAnsi="Arial" w:cs="Arial"/>
          <w:sz w:val="22"/>
          <w:szCs w:val="22"/>
        </w:rPr>
        <w:t>assessment</w:t>
      </w:r>
      <w:r w:rsidR="0094145D" w:rsidRPr="006B3E50">
        <w:rPr>
          <w:rFonts w:ascii="Arial" w:hAnsi="Arial" w:cs="Arial"/>
          <w:sz w:val="22"/>
          <w:szCs w:val="22"/>
        </w:rPr>
        <w:t>, installin</w:t>
      </w:r>
      <w:r w:rsidR="003F04A3">
        <w:rPr>
          <w:rFonts w:ascii="Arial" w:hAnsi="Arial" w:cs="Arial"/>
          <w:sz w:val="22"/>
          <w:szCs w:val="22"/>
        </w:rPr>
        <w:t>g the M</w:t>
      </w:r>
      <w:r w:rsidR="0094145D" w:rsidRPr="006B3E50">
        <w:rPr>
          <w:rFonts w:ascii="Arial" w:hAnsi="Arial" w:cs="Arial"/>
          <w:sz w:val="22"/>
          <w:szCs w:val="22"/>
        </w:rPr>
        <w:t xml:space="preserve">easures, arranging a </w:t>
      </w:r>
      <w:r w:rsidR="00A10399">
        <w:rPr>
          <w:rFonts w:ascii="Arial" w:hAnsi="Arial" w:cs="Arial"/>
          <w:sz w:val="22"/>
          <w:szCs w:val="22"/>
        </w:rPr>
        <w:t xml:space="preserve">mid and </w:t>
      </w:r>
      <w:r w:rsidR="0094145D" w:rsidRPr="006B3E50">
        <w:rPr>
          <w:rFonts w:ascii="Arial" w:hAnsi="Arial" w:cs="Arial"/>
          <w:sz w:val="22"/>
          <w:szCs w:val="22"/>
        </w:rPr>
        <w:t>post-</w:t>
      </w:r>
      <w:r w:rsidR="007E2F24">
        <w:rPr>
          <w:rFonts w:ascii="Arial" w:hAnsi="Arial" w:cs="Arial"/>
          <w:sz w:val="22"/>
          <w:szCs w:val="22"/>
        </w:rPr>
        <w:t>Installation I</w:t>
      </w:r>
      <w:r w:rsidR="0094145D" w:rsidRPr="006B3E50">
        <w:rPr>
          <w:rFonts w:ascii="Arial" w:hAnsi="Arial" w:cs="Arial"/>
          <w:sz w:val="22"/>
          <w:szCs w:val="22"/>
        </w:rPr>
        <w:t>nspection</w:t>
      </w:r>
      <w:r w:rsidR="00A10399">
        <w:rPr>
          <w:rFonts w:ascii="Arial" w:hAnsi="Arial" w:cs="Arial"/>
          <w:sz w:val="22"/>
          <w:szCs w:val="22"/>
        </w:rPr>
        <w:t xml:space="preserve"> (as appropriate)</w:t>
      </w:r>
      <w:r w:rsidR="00267725">
        <w:rPr>
          <w:rFonts w:ascii="Arial" w:hAnsi="Arial" w:cs="Arial"/>
          <w:sz w:val="22"/>
          <w:szCs w:val="22"/>
        </w:rPr>
        <w:t xml:space="preserve">, </w:t>
      </w:r>
      <w:r w:rsidR="0094145D" w:rsidRPr="006B3E50">
        <w:rPr>
          <w:rFonts w:ascii="Arial" w:hAnsi="Arial" w:cs="Arial"/>
          <w:sz w:val="22"/>
          <w:szCs w:val="22"/>
        </w:rPr>
        <w:t xml:space="preserve">arranging billing of the </w:t>
      </w:r>
      <w:r w:rsidR="00E00C73">
        <w:rPr>
          <w:rFonts w:ascii="Arial" w:hAnsi="Arial" w:cs="Arial"/>
          <w:sz w:val="22"/>
          <w:szCs w:val="22"/>
        </w:rPr>
        <w:t xml:space="preserve">as </w:t>
      </w:r>
      <w:r w:rsidR="092E75A9">
        <w:rPr>
          <w:rFonts w:ascii="Arial" w:hAnsi="Arial" w:cs="Arial"/>
          <w:sz w:val="22"/>
          <w:szCs w:val="22"/>
        </w:rPr>
        <w:t>Authority</w:t>
      </w:r>
      <w:r w:rsidR="00E00C73">
        <w:rPr>
          <w:rFonts w:ascii="Arial" w:hAnsi="Arial" w:cs="Arial"/>
          <w:sz w:val="22"/>
          <w:szCs w:val="22"/>
        </w:rPr>
        <w:t xml:space="preserve"> </w:t>
      </w:r>
      <w:r w:rsidR="0094145D" w:rsidRPr="006B3E50">
        <w:rPr>
          <w:rFonts w:ascii="Arial" w:hAnsi="Arial" w:cs="Arial"/>
          <w:sz w:val="22"/>
          <w:szCs w:val="22"/>
        </w:rPr>
        <w:t xml:space="preserve">and the </w:t>
      </w:r>
      <w:r w:rsidR="00347877">
        <w:rPr>
          <w:rFonts w:ascii="Arial" w:hAnsi="Arial" w:cs="Arial"/>
          <w:sz w:val="22"/>
          <w:szCs w:val="22"/>
        </w:rPr>
        <w:t>Customer</w:t>
      </w:r>
      <w:r w:rsidR="0094145D" w:rsidRPr="006B3E50">
        <w:rPr>
          <w:rFonts w:ascii="Arial" w:hAnsi="Arial" w:cs="Arial"/>
          <w:sz w:val="22"/>
          <w:szCs w:val="22"/>
        </w:rPr>
        <w:t>, as appropriate</w:t>
      </w:r>
      <w:r w:rsidR="003F04A3">
        <w:rPr>
          <w:rFonts w:ascii="Arial" w:hAnsi="Arial" w:cs="Arial"/>
          <w:sz w:val="22"/>
          <w:szCs w:val="22"/>
        </w:rPr>
        <w:t>, and following up with</w:t>
      </w:r>
      <w:r w:rsidR="00726E1E">
        <w:rPr>
          <w:rFonts w:ascii="Arial" w:hAnsi="Arial" w:cs="Arial"/>
          <w:sz w:val="22"/>
          <w:szCs w:val="22"/>
        </w:rPr>
        <w:t xml:space="preserve"> monitoring and evaluation as per the relevant PAS2035 pathway.</w:t>
      </w:r>
      <w:r w:rsidR="003F04A3">
        <w:rPr>
          <w:rFonts w:ascii="Arial" w:hAnsi="Arial" w:cs="Arial"/>
          <w:sz w:val="22"/>
          <w:szCs w:val="22"/>
        </w:rPr>
        <w:t xml:space="preserve"> </w:t>
      </w:r>
    </w:p>
    <w:p w14:paraId="3D2B799B" w14:textId="5551692B" w:rsidR="0094145D" w:rsidRPr="006B3E50" w:rsidRDefault="0094145D" w:rsidP="00171ACB">
      <w:pPr>
        <w:pStyle w:val="ListParagraph"/>
        <w:numPr>
          <w:ilvl w:val="1"/>
          <w:numId w:val="6"/>
        </w:numPr>
        <w:spacing w:after="120"/>
        <w:rPr>
          <w:rFonts w:ascii="Arial" w:hAnsi="Arial" w:cs="Arial"/>
          <w:sz w:val="22"/>
          <w:szCs w:val="22"/>
        </w:rPr>
      </w:pPr>
      <w:r w:rsidRPr="006B3E50">
        <w:rPr>
          <w:rFonts w:ascii="Arial" w:hAnsi="Arial" w:cs="Arial"/>
          <w:sz w:val="22"/>
          <w:szCs w:val="22"/>
        </w:rPr>
        <w:t xml:space="preserve">The </w:t>
      </w:r>
      <w:r w:rsidR="00AA0779">
        <w:rPr>
          <w:rFonts w:ascii="Arial" w:hAnsi="Arial" w:cs="Arial"/>
          <w:sz w:val="22"/>
          <w:szCs w:val="22"/>
        </w:rPr>
        <w:t>Delivery Organisation</w:t>
      </w:r>
      <w:r w:rsidR="00EF280C" w:rsidRPr="006B3E50">
        <w:rPr>
          <w:rFonts w:ascii="Arial" w:hAnsi="Arial" w:cs="Arial"/>
          <w:sz w:val="22"/>
          <w:szCs w:val="22"/>
        </w:rPr>
        <w:t xml:space="preserve"> </w:t>
      </w:r>
      <w:r w:rsidRPr="006B3E50">
        <w:rPr>
          <w:rFonts w:ascii="Arial" w:hAnsi="Arial" w:cs="Arial"/>
          <w:sz w:val="22"/>
          <w:szCs w:val="22"/>
        </w:rPr>
        <w:t xml:space="preserve">will be </w:t>
      </w:r>
      <w:r w:rsidR="005E237F">
        <w:rPr>
          <w:rFonts w:ascii="Arial" w:hAnsi="Arial" w:cs="Arial"/>
          <w:sz w:val="22"/>
          <w:szCs w:val="22"/>
        </w:rPr>
        <w:t>required</w:t>
      </w:r>
      <w:r w:rsidRPr="006B3E50">
        <w:rPr>
          <w:rFonts w:ascii="Arial" w:hAnsi="Arial" w:cs="Arial"/>
          <w:sz w:val="22"/>
          <w:szCs w:val="22"/>
        </w:rPr>
        <w:t xml:space="preserve"> </w:t>
      </w:r>
      <w:r w:rsidR="001E5201">
        <w:rPr>
          <w:rFonts w:ascii="Arial" w:hAnsi="Arial" w:cs="Arial"/>
          <w:sz w:val="22"/>
          <w:szCs w:val="22"/>
        </w:rPr>
        <w:t xml:space="preserve">to use their existing supply chain or </w:t>
      </w:r>
      <w:r w:rsidRPr="006B3E50">
        <w:rPr>
          <w:rFonts w:ascii="Arial" w:hAnsi="Arial" w:cs="Arial"/>
          <w:sz w:val="22"/>
          <w:szCs w:val="22"/>
        </w:rPr>
        <w:t xml:space="preserve">to </w:t>
      </w:r>
      <w:r w:rsidR="00EF280C" w:rsidRPr="006B3E50">
        <w:rPr>
          <w:rFonts w:ascii="Arial" w:hAnsi="Arial" w:cs="Arial"/>
          <w:sz w:val="22"/>
          <w:szCs w:val="22"/>
        </w:rPr>
        <w:t>put in place a supply chain</w:t>
      </w:r>
      <w:r w:rsidRPr="006B3E50">
        <w:rPr>
          <w:rFonts w:ascii="Arial" w:hAnsi="Arial" w:cs="Arial"/>
          <w:sz w:val="22"/>
          <w:szCs w:val="22"/>
        </w:rPr>
        <w:t xml:space="preserve"> to deliver the </w:t>
      </w:r>
      <w:r w:rsidR="005E237F">
        <w:rPr>
          <w:rFonts w:ascii="Arial" w:hAnsi="Arial" w:cs="Arial"/>
          <w:sz w:val="22"/>
          <w:szCs w:val="22"/>
        </w:rPr>
        <w:t>S</w:t>
      </w:r>
      <w:r w:rsidRPr="006B3E50">
        <w:rPr>
          <w:rFonts w:ascii="Arial" w:hAnsi="Arial" w:cs="Arial"/>
          <w:sz w:val="22"/>
          <w:szCs w:val="22"/>
        </w:rPr>
        <w:t xml:space="preserve">ervices set out above.  This may </w:t>
      </w:r>
      <w:r w:rsidR="00EF280C" w:rsidRPr="006B3E50">
        <w:rPr>
          <w:rFonts w:ascii="Arial" w:hAnsi="Arial" w:cs="Arial"/>
          <w:sz w:val="22"/>
          <w:szCs w:val="22"/>
        </w:rPr>
        <w:t>involve sub</w:t>
      </w:r>
      <w:r w:rsidR="003F04A3">
        <w:rPr>
          <w:rFonts w:ascii="Arial" w:hAnsi="Arial" w:cs="Arial"/>
          <w:sz w:val="22"/>
          <w:szCs w:val="22"/>
        </w:rPr>
        <w:t>-</w:t>
      </w:r>
      <w:r w:rsidR="00EF280C" w:rsidRPr="006B3E50">
        <w:rPr>
          <w:rFonts w:ascii="Arial" w:hAnsi="Arial" w:cs="Arial"/>
          <w:sz w:val="22"/>
          <w:szCs w:val="22"/>
        </w:rPr>
        <w:t xml:space="preserve">contracting </w:t>
      </w:r>
      <w:r w:rsidR="00EF280C" w:rsidRPr="009B75C2">
        <w:rPr>
          <w:rFonts w:ascii="Arial" w:hAnsi="Arial" w:cs="Arial"/>
          <w:sz w:val="22"/>
          <w:szCs w:val="22"/>
        </w:rPr>
        <w:t>for</w:t>
      </w:r>
      <w:r w:rsidRPr="009B75C2">
        <w:rPr>
          <w:rFonts w:ascii="Arial" w:hAnsi="Arial" w:cs="Arial"/>
          <w:sz w:val="22"/>
          <w:szCs w:val="22"/>
        </w:rPr>
        <w:t xml:space="preserve"> </w:t>
      </w:r>
      <w:r w:rsidR="003F04A3" w:rsidRPr="009B75C2">
        <w:rPr>
          <w:rFonts w:ascii="Arial" w:hAnsi="Arial" w:cs="Arial"/>
          <w:sz w:val="22"/>
          <w:szCs w:val="22"/>
        </w:rPr>
        <w:t>A</w:t>
      </w:r>
      <w:r w:rsidR="00AD4C5C" w:rsidRPr="009B75C2">
        <w:rPr>
          <w:rFonts w:ascii="Arial" w:hAnsi="Arial" w:cs="Arial"/>
          <w:sz w:val="22"/>
          <w:szCs w:val="22"/>
        </w:rPr>
        <w:t>ssessors</w:t>
      </w:r>
      <w:r w:rsidRPr="009B75C2">
        <w:rPr>
          <w:rFonts w:ascii="Arial" w:hAnsi="Arial" w:cs="Arial"/>
          <w:sz w:val="22"/>
          <w:szCs w:val="22"/>
        </w:rPr>
        <w:t xml:space="preserve">, </w:t>
      </w:r>
      <w:r w:rsidR="007E2F24" w:rsidRPr="009B75C2">
        <w:rPr>
          <w:rFonts w:ascii="Arial" w:hAnsi="Arial" w:cs="Arial"/>
          <w:sz w:val="22"/>
          <w:szCs w:val="22"/>
        </w:rPr>
        <w:t xml:space="preserve">Installers, </w:t>
      </w:r>
      <w:r w:rsidR="001E5201" w:rsidRPr="009B75C2">
        <w:rPr>
          <w:rFonts w:ascii="Arial" w:hAnsi="Arial" w:cs="Arial"/>
          <w:sz w:val="22"/>
          <w:szCs w:val="22"/>
        </w:rPr>
        <w:t xml:space="preserve">Retrofit Coordinators/ </w:t>
      </w:r>
      <w:r w:rsidR="007E2F24" w:rsidRPr="009B75C2">
        <w:rPr>
          <w:rFonts w:ascii="Arial" w:hAnsi="Arial" w:cs="Arial"/>
          <w:sz w:val="22"/>
          <w:szCs w:val="22"/>
        </w:rPr>
        <w:t>I</w:t>
      </w:r>
      <w:r w:rsidRPr="009B75C2">
        <w:rPr>
          <w:rFonts w:ascii="Arial" w:hAnsi="Arial" w:cs="Arial"/>
          <w:sz w:val="22"/>
          <w:szCs w:val="22"/>
        </w:rPr>
        <w:t>nspectors and other specialist services</w:t>
      </w:r>
      <w:r w:rsidR="00117D9B" w:rsidRPr="009B75C2">
        <w:rPr>
          <w:rFonts w:ascii="Arial" w:hAnsi="Arial" w:cs="Arial"/>
          <w:sz w:val="22"/>
          <w:szCs w:val="22"/>
        </w:rPr>
        <w:t xml:space="preserve"> (Retrofit Designers, Architects, </w:t>
      </w:r>
      <w:r w:rsidR="00600925" w:rsidRPr="009B75C2">
        <w:rPr>
          <w:rFonts w:ascii="Arial" w:hAnsi="Arial" w:cs="Arial"/>
          <w:sz w:val="22"/>
          <w:szCs w:val="22"/>
        </w:rPr>
        <w:t>Structural Engineers, Asbestos identification and removal)</w:t>
      </w:r>
      <w:r w:rsidRPr="009B75C2">
        <w:rPr>
          <w:rFonts w:ascii="Arial" w:hAnsi="Arial" w:cs="Arial"/>
          <w:sz w:val="22"/>
          <w:szCs w:val="22"/>
        </w:rPr>
        <w:t>.</w:t>
      </w:r>
      <w:r w:rsidR="00057984">
        <w:rPr>
          <w:rFonts w:ascii="Arial" w:hAnsi="Arial" w:cs="Arial"/>
          <w:sz w:val="22"/>
          <w:szCs w:val="22"/>
        </w:rPr>
        <w:t xml:space="preserve"> All will need to be compliant with </w:t>
      </w:r>
      <w:r w:rsidR="00A832DE">
        <w:rPr>
          <w:rFonts w:ascii="Arial" w:hAnsi="Arial" w:cs="Arial"/>
          <w:sz w:val="22"/>
          <w:szCs w:val="22"/>
        </w:rPr>
        <w:t xml:space="preserve">PAS2030:2019 </w:t>
      </w:r>
      <w:r w:rsidR="00057984">
        <w:rPr>
          <w:rFonts w:ascii="Arial" w:hAnsi="Arial" w:cs="Arial"/>
          <w:sz w:val="22"/>
          <w:szCs w:val="22"/>
        </w:rPr>
        <w:t>requirements and registered with the appropriate organisations, MCS, Trustmark etc.</w:t>
      </w:r>
      <w:r w:rsidR="007E71DB" w:rsidRPr="007E71DB">
        <w:rPr>
          <w:rFonts w:ascii="Arial" w:hAnsi="Arial" w:cs="Arial"/>
          <w:sz w:val="22"/>
          <w:szCs w:val="22"/>
        </w:rPr>
        <w:t xml:space="preserve"> </w:t>
      </w:r>
      <w:r w:rsidR="007E71DB">
        <w:rPr>
          <w:rFonts w:ascii="Arial" w:hAnsi="Arial" w:cs="Arial"/>
          <w:sz w:val="22"/>
          <w:szCs w:val="22"/>
        </w:rPr>
        <w:t>and work under the PAS2035 process.</w:t>
      </w:r>
    </w:p>
    <w:p w14:paraId="3D2B799C" w14:textId="77777777" w:rsidR="006B3E50" w:rsidRPr="006B3E50" w:rsidRDefault="006B3E50" w:rsidP="006B3E50">
      <w:pPr>
        <w:pStyle w:val="ListParagraph"/>
        <w:spacing w:after="120"/>
        <w:ind w:left="567"/>
        <w:rPr>
          <w:rFonts w:ascii="Arial" w:hAnsi="Arial" w:cs="Arial"/>
          <w:b/>
          <w:sz w:val="22"/>
          <w:szCs w:val="22"/>
        </w:rPr>
      </w:pPr>
    </w:p>
    <w:p w14:paraId="3D2B799D" w14:textId="77777777" w:rsidR="006B3E50" w:rsidRPr="006B3E50" w:rsidRDefault="006712EF" w:rsidP="00171ACB">
      <w:pPr>
        <w:pStyle w:val="ListParagraph"/>
        <w:numPr>
          <w:ilvl w:val="0"/>
          <w:numId w:val="6"/>
        </w:numPr>
        <w:spacing w:after="120"/>
        <w:rPr>
          <w:rFonts w:ascii="Arial" w:hAnsi="Arial" w:cs="Arial"/>
          <w:b/>
          <w:sz w:val="22"/>
          <w:szCs w:val="22"/>
        </w:rPr>
      </w:pPr>
      <w:r w:rsidRPr="006B3E50">
        <w:rPr>
          <w:rFonts w:ascii="Arial" w:hAnsi="Arial" w:cs="Arial"/>
          <w:b/>
          <w:sz w:val="22"/>
          <w:szCs w:val="22"/>
        </w:rPr>
        <w:t>Objectives</w:t>
      </w:r>
    </w:p>
    <w:p w14:paraId="3D2B799E" w14:textId="445D5558" w:rsidR="006B3E50" w:rsidRPr="006B3E50" w:rsidRDefault="006B3E50" w:rsidP="00171ACB">
      <w:pPr>
        <w:pStyle w:val="ListParagraph"/>
        <w:numPr>
          <w:ilvl w:val="1"/>
          <w:numId w:val="6"/>
        </w:numPr>
        <w:spacing w:after="120"/>
        <w:rPr>
          <w:rFonts w:ascii="Arial" w:hAnsi="Arial" w:cs="Arial"/>
          <w:sz w:val="22"/>
          <w:szCs w:val="22"/>
        </w:rPr>
      </w:pPr>
      <w:r w:rsidRPr="006B3E50">
        <w:rPr>
          <w:rFonts w:ascii="Arial" w:hAnsi="Arial" w:cs="Arial"/>
          <w:sz w:val="22"/>
          <w:szCs w:val="22"/>
        </w:rPr>
        <w:t>Th</w:t>
      </w:r>
      <w:r w:rsidR="005D26DE">
        <w:rPr>
          <w:rFonts w:ascii="Arial" w:hAnsi="Arial" w:cs="Arial"/>
          <w:sz w:val="22"/>
          <w:szCs w:val="22"/>
        </w:rPr>
        <w:t xml:space="preserve">is agreement </w:t>
      </w:r>
      <w:r w:rsidRPr="006B3E50">
        <w:rPr>
          <w:rFonts w:ascii="Arial" w:hAnsi="Arial" w:cs="Arial"/>
          <w:sz w:val="22"/>
          <w:szCs w:val="22"/>
        </w:rPr>
        <w:t xml:space="preserve">has the following objectives which support the Government’s </w:t>
      </w:r>
      <w:r w:rsidR="005E237F">
        <w:rPr>
          <w:rFonts w:ascii="Arial" w:hAnsi="Arial" w:cs="Arial"/>
          <w:sz w:val="22"/>
          <w:szCs w:val="22"/>
        </w:rPr>
        <w:t>p</w:t>
      </w:r>
      <w:r w:rsidRPr="006B3E50">
        <w:rPr>
          <w:rFonts w:ascii="Arial" w:hAnsi="Arial" w:cs="Arial"/>
          <w:sz w:val="22"/>
          <w:szCs w:val="22"/>
        </w:rPr>
        <w:t xml:space="preserve">urpose: </w:t>
      </w:r>
    </w:p>
    <w:p w14:paraId="452CC324" w14:textId="0C1BC463" w:rsidR="005D12E9" w:rsidRDefault="005D12E9" w:rsidP="00171ACB">
      <w:pPr>
        <w:numPr>
          <w:ilvl w:val="0"/>
          <w:numId w:val="7"/>
        </w:numPr>
        <w:tabs>
          <w:tab w:val="clear" w:pos="720"/>
          <w:tab w:val="clear" w:pos="1307"/>
          <w:tab w:val="clear" w:pos="1440"/>
          <w:tab w:val="clear" w:pos="2160"/>
          <w:tab w:val="clear" w:pos="2880"/>
          <w:tab w:val="clear" w:pos="4680"/>
          <w:tab w:val="clear" w:pos="5400"/>
          <w:tab w:val="clear" w:pos="9000"/>
        </w:tabs>
        <w:spacing w:after="120" w:line="240" w:lineRule="auto"/>
        <w:ind w:hanging="147"/>
        <w:rPr>
          <w:rFonts w:cs="Arial"/>
          <w:sz w:val="22"/>
          <w:szCs w:val="22"/>
        </w:rPr>
      </w:pPr>
      <w:r w:rsidRPr="005D12E9">
        <w:rPr>
          <w:rFonts w:cs="Arial"/>
          <w:sz w:val="22"/>
          <w:szCs w:val="22"/>
        </w:rPr>
        <w:t xml:space="preserve">Tackle fuel poverty by reducing energy bills for low-income households by improving the energy efficiency of their home   </w:t>
      </w:r>
    </w:p>
    <w:p w14:paraId="3AD9BD1F" w14:textId="2049B966" w:rsidR="002613E1" w:rsidRDefault="005D12E9" w:rsidP="00171ACB">
      <w:pPr>
        <w:numPr>
          <w:ilvl w:val="0"/>
          <w:numId w:val="7"/>
        </w:numPr>
        <w:tabs>
          <w:tab w:val="clear" w:pos="720"/>
          <w:tab w:val="clear" w:pos="1307"/>
          <w:tab w:val="clear" w:pos="1440"/>
          <w:tab w:val="clear" w:pos="2160"/>
          <w:tab w:val="clear" w:pos="2880"/>
          <w:tab w:val="clear" w:pos="4680"/>
          <w:tab w:val="clear" w:pos="5400"/>
          <w:tab w:val="clear" w:pos="9000"/>
        </w:tabs>
        <w:spacing w:after="120" w:line="240" w:lineRule="auto"/>
        <w:ind w:hanging="147"/>
        <w:rPr>
          <w:rFonts w:cs="Arial"/>
          <w:sz w:val="22"/>
          <w:szCs w:val="22"/>
        </w:rPr>
      </w:pPr>
      <w:r w:rsidRPr="005D12E9">
        <w:rPr>
          <w:rFonts w:cs="Arial"/>
          <w:sz w:val="22"/>
          <w:szCs w:val="22"/>
        </w:rPr>
        <w:t xml:space="preserve">Deliver cost effective carbon savings to carbon budgets and progress towards the UK’s target for net zero by 2050 </w:t>
      </w:r>
    </w:p>
    <w:p w14:paraId="02B2D463" w14:textId="475A30B5" w:rsidR="002613E1" w:rsidRDefault="005D12E9" w:rsidP="00171ACB">
      <w:pPr>
        <w:numPr>
          <w:ilvl w:val="0"/>
          <w:numId w:val="7"/>
        </w:numPr>
        <w:tabs>
          <w:tab w:val="clear" w:pos="720"/>
          <w:tab w:val="clear" w:pos="1307"/>
          <w:tab w:val="clear" w:pos="1440"/>
          <w:tab w:val="clear" w:pos="2160"/>
          <w:tab w:val="clear" w:pos="2880"/>
          <w:tab w:val="clear" w:pos="4680"/>
          <w:tab w:val="clear" w:pos="5400"/>
          <w:tab w:val="clear" w:pos="9000"/>
        </w:tabs>
        <w:spacing w:after="120" w:line="240" w:lineRule="auto"/>
        <w:ind w:hanging="147"/>
        <w:rPr>
          <w:rFonts w:cs="Arial"/>
          <w:sz w:val="22"/>
          <w:szCs w:val="22"/>
        </w:rPr>
      </w:pPr>
      <w:r w:rsidRPr="005D12E9">
        <w:rPr>
          <w:rFonts w:cs="Arial"/>
          <w:sz w:val="22"/>
          <w:szCs w:val="22"/>
        </w:rPr>
        <w:t xml:space="preserve">Support economic resilience and a green recovery in response to the economic impacts of Covid-19, creating thousands of jobs  </w:t>
      </w:r>
    </w:p>
    <w:p w14:paraId="0CDE6CBB" w14:textId="067707DC" w:rsidR="00F05175" w:rsidRDefault="005D12E9" w:rsidP="00171ACB">
      <w:pPr>
        <w:numPr>
          <w:ilvl w:val="0"/>
          <w:numId w:val="7"/>
        </w:numPr>
        <w:tabs>
          <w:tab w:val="clear" w:pos="720"/>
          <w:tab w:val="clear" w:pos="1307"/>
          <w:tab w:val="clear" w:pos="1440"/>
          <w:tab w:val="clear" w:pos="2160"/>
          <w:tab w:val="clear" w:pos="2880"/>
          <w:tab w:val="clear" w:pos="4680"/>
          <w:tab w:val="clear" w:pos="5400"/>
          <w:tab w:val="clear" w:pos="9000"/>
        </w:tabs>
        <w:spacing w:after="120" w:line="240" w:lineRule="auto"/>
        <w:ind w:hanging="147"/>
        <w:rPr>
          <w:rFonts w:cs="Arial"/>
          <w:sz w:val="22"/>
          <w:szCs w:val="22"/>
        </w:rPr>
      </w:pPr>
      <w:r w:rsidRPr="005D12E9">
        <w:rPr>
          <w:rFonts w:cs="Arial"/>
          <w:sz w:val="22"/>
          <w:szCs w:val="22"/>
        </w:rPr>
        <w:t>The phasing out of the installation of high-carbon fossil fuel heating and reducing emissions and improving air quality.</w:t>
      </w:r>
    </w:p>
    <w:p w14:paraId="3D2B79A5" w14:textId="7C11725D" w:rsidR="006B3E50" w:rsidRPr="006B3E50" w:rsidRDefault="006B3E50" w:rsidP="00171ACB">
      <w:pPr>
        <w:pStyle w:val="ListParagraph"/>
        <w:numPr>
          <w:ilvl w:val="1"/>
          <w:numId w:val="6"/>
        </w:numPr>
        <w:spacing w:after="120"/>
        <w:rPr>
          <w:rFonts w:ascii="Arial" w:hAnsi="Arial" w:cs="Arial"/>
          <w:sz w:val="22"/>
          <w:szCs w:val="22"/>
        </w:rPr>
      </w:pPr>
      <w:r w:rsidRPr="006B3E50">
        <w:rPr>
          <w:rFonts w:ascii="Arial" w:hAnsi="Arial" w:cs="Arial"/>
          <w:sz w:val="22"/>
          <w:szCs w:val="22"/>
        </w:rPr>
        <w:lastRenderedPageBreak/>
        <w:t>Th</w:t>
      </w:r>
      <w:r w:rsidR="005D26DE">
        <w:rPr>
          <w:rFonts w:ascii="Arial" w:hAnsi="Arial" w:cs="Arial"/>
          <w:sz w:val="22"/>
          <w:szCs w:val="22"/>
        </w:rPr>
        <w:t xml:space="preserve">is agreement and </w:t>
      </w:r>
      <w:r w:rsidRPr="006B3E50">
        <w:rPr>
          <w:rFonts w:ascii="Arial" w:hAnsi="Arial" w:cs="Arial"/>
          <w:sz w:val="22"/>
          <w:szCs w:val="22"/>
        </w:rPr>
        <w:t xml:space="preserve">procurement </w:t>
      </w:r>
      <w:r>
        <w:rPr>
          <w:rFonts w:ascii="Arial" w:hAnsi="Arial" w:cs="Arial"/>
          <w:sz w:val="22"/>
          <w:szCs w:val="22"/>
        </w:rPr>
        <w:t xml:space="preserve">process </w:t>
      </w:r>
      <w:r w:rsidRPr="006B3E50">
        <w:rPr>
          <w:rFonts w:ascii="Arial" w:hAnsi="Arial" w:cs="Arial"/>
          <w:sz w:val="22"/>
          <w:szCs w:val="22"/>
        </w:rPr>
        <w:t xml:space="preserve">aim to deliver the policy objectives as efficiently </w:t>
      </w:r>
      <w:r w:rsidR="00AB77D3">
        <w:rPr>
          <w:rFonts w:ascii="Arial" w:hAnsi="Arial" w:cs="Arial"/>
          <w:sz w:val="22"/>
          <w:szCs w:val="22"/>
        </w:rPr>
        <w:t xml:space="preserve">as possible </w:t>
      </w:r>
      <w:r w:rsidRPr="006B3E50">
        <w:rPr>
          <w:rFonts w:ascii="Arial" w:hAnsi="Arial" w:cs="Arial"/>
          <w:sz w:val="22"/>
          <w:szCs w:val="22"/>
        </w:rPr>
        <w:t xml:space="preserve">through a process and documentation which: </w:t>
      </w:r>
    </w:p>
    <w:p w14:paraId="3D2B79A6" w14:textId="4C8EEB47" w:rsidR="006B3E50" w:rsidRPr="006B3E50" w:rsidRDefault="006B3E50" w:rsidP="00171ACB">
      <w:pPr>
        <w:numPr>
          <w:ilvl w:val="0"/>
          <w:numId w:val="8"/>
        </w:numPr>
        <w:tabs>
          <w:tab w:val="clear" w:pos="720"/>
          <w:tab w:val="clear" w:pos="1307"/>
          <w:tab w:val="clear" w:pos="1440"/>
          <w:tab w:val="clear" w:pos="2160"/>
          <w:tab w:val="clear" w:pos="2880"/>
          <w:tab w:val="clear" w:pos="4680"/>
          <w:tab w:val="clear" w:pos="5400"/>
          <w:tab w:val="clear" w:pos="9000"/>
        </w:tabs>
        <w:spacing w:after="120" w:line="240" w:lineRule="auto"/>
        <w:ind w:hanging="147"/>
        <w:rPr>
          <w:rFonts w:cs="Arial"/>
          <w:sz w:val="22"/>
          <w:szCs w:val="22"/>
        </w:rPr>
      </w:pPr>
      <w:r w:rsidRPr="006B3E50">
        <w:rPr>
          <w:rFonts w:cs="Arial"/>
          <w:sz w:val="22"/>
          <w:szCs w:val="22"/>
        </w:rPr>
        <w:t xml:space="preserve">is </w:t>
      </w:r>
      <w:r w:rsidR="00AB77D3">
        <w:rPr>
          <w:rFonts w:cs="Arial"/>
          <w:sz w:val="22"/>
          <w:szCs w:val="22"/>
        </w:rPr>
        <w:t>as succinct as possible</w:t>
      </w:r>
      <w:r w:rsidRPr="006B3E50">
        <w:rPr>
          <w:rFonts w:cs="Arial"/>
          <w:sz w:val="22"/>
          <w:szCs w:val="22"/>
        </w:rPr>
        <w:t>, relying on legislation</w:t>
      </w:r>
      <w:r w:rsidR="00045888">
        <w:rPr>
          <w:rFonts w:cs="Arial"/>
          <w:sz w:val="22"/>
          <w:szCs w:val="22"/>
        </w:rPr>
        <w:t>, mandatory</w:t>
      </w:r>
      <w:r w:rsidRPr="006B3E50">
        <w:rPr>
          <w:rFonts w:cs="Arial"/>
          <w:sz w:val="22"/>
          <w:szCs w:val="22"/>
        </w:rPr>
        <w:t xml:space="preserve"> and </w:t>
      </w:r>
      <w:r w:rsidR="00AB77D3">
        <w:rPr>
          <w:rFonts w:cs="Arial"/>
          <w:sz w:val="22"/>
          <w:szCs w:val="22"/>
        </w:rPr>
        <w:t xml:space="preserve">existing </w:t>
      </w:r>
      <w:r w:rsidRPr="006B3E50">
        <w:rPr>
          <w:rFonts w:cs="Arial"/>
          <w:sz w:val="22"/>
          <w:szCs w:val="22"/>
        </w:rPr>
        <w:t xml:space="preserve">industry standards as far as possible; </w:t>
      </w:r>
    </w:p>
    <w:p w14:paraId="3D2B79A7" w14:textId="55F03895" w:rsidR="006B3E50" w:rsidRPr="006B3E50" w:rsidRDefault="006B3E50" w:rsidP="00171ACB">
      <w:pPr>
        <w:numPr>
          <w:ilvl w:val="0"/>
          <w:numId w:val="8"/>
        </w:numPr>
        <w:tabs>
          <w:tab w:val="clear" w:pos="720"/>
          <w:tab w:val="clear" w:pos="1307"/>
          <w:tab w:val="clear" w:pos="1440"/>
          <w:tab w:val="clear" w:pos="2160"/>
          <w:tab w:val="clear" w:pos="2880"/>
          <w:tab w:val="clear" w:pos="4680"/>
          <w:tab w:val="clear" w:pos="5400"/>
          <w:tab w:val="clear" w:pos="9000"/>
        </w:tabs>
        <w:spacing w:after="120" w:line="240" w:lineRule="auto"/>
        <w:ind w:hanging="147"/>
        <w:rPr>
          <w:rFonts w:cs="Arial"/>
          <w:sz w:val="22"/>
          <w:szCs w:val="22"/>
        </w:rPr>
      </w:pPr>
      <w:r w:rsidRPr="006B3E50">
        <w:rPr>
          <w:rFonts w:cs="Arial"/>
          <w:sz w:val="22"/>
          <w:szCs w:val="22"/>
        </w:rPr>
        <w:t xml:space="preserve">is clear and unambiguous, to minimise disputes with the </w:t>
      </w:r>
      <w:r w:rsidR="00AA0779">
        <w:rPr>
          <w:rFonts w:cs="Arial"/>
          <w:sz w:val="22"/>
          <w:szCs w:val="22"/>
        </w:rPr>
        <w:t>Delivery Organisation</w:t>
      </w:r>
      <w:r w:rsidRPr="006B3E50">
        <w:rPr>
          <w:rFonts w:cs="Arial"/>
          <w:sz w:val="22"/>
          <w:szCs w:val="22"/>
        </w:rPr>
        <w:t xml:space="preserve"> and to make it easy to resolve </w:t>
      </w:r>
      <w:r w:rsidR="00347877">
        <w:rPr>
          <w:rFonts w:cs="Arial"/>
          <w:sz w:val="22"/>
          <w:szCs w:val="22"/>
        </w:rPr>
        <w:t>Customer</w:t>
      </w:r>
      <w:r w:rsidRPr="006B3E50">
        <w:rPr>
          <w:rFonts w:cs="Arial"/>
          <w:sz w:val="22"/>
          <w:szCs w:val="22"/>
        </w:rPr>
        <w:t xml:space="preserve"> complaints; </w:t>
      </w:r>
    </w:p>
    <w:p w14:paraId="3D2B79A8" w14:textId="22668A42" w:rsidR="006B3E50" w:rsidRPr="006B3E50" w:rsidRDefault="006B3E50" w:rsidP="00171ACB">
      <w:pPr>
        <w:numPr>
          <w:ilvl w:val="0"/>
          <w:numId w:val="8"/>
        </w:numPr>
        <w:tabs>
          <w:tab w:val="clear" w:pos="720"/>
          <w:tab w:val="clear" w:pos="1307"/>
          <w:tab w:val="clear" w:pos="1440"/>
          <w:tab w:val="clear" w:pos="2160"/>
          <w:tab w:val="clear" w:pos="2880"/>
          <w:tab w:val="clear" w:pos="4680"/>
          <w:tab w:val="clear" w:pos="5400"/>
          <w:tab w:val="clear" w:pos="9000"/>
        </w:tabs>
        <w:spacing w:after="120" w:line="240" w:lineRule="auto"/>
        <w:ind w:hanging="147"/>
        <w:rPr>
          <w:rFonts w:cs="Arial"/>
          <w:sz w:val="22"/>
          <w:szCs w:val="22"/>
        </w:rPr>
      </w:pPr>
      <w:r w:rsidRPr="006B3E50">
        <w:rPr>
          <w:rFonts w:cs="Arial"/>
          <w:sz w:val="22"/>
          <w:szCs w:val="22"/>
        </w:rPr>
        <w:t>ensures good quality products are installed</w:t>
      </w:r>
      <w:r w:rsidR="00204A7E">
        <w:rPr>
          <w:rFonts w:cs="Arial"/>
          <w:sz w:val="22"/>
          <w:szCs w:val="22"/>
        </w:rPr>
        <w:t xml:space="preserve"> appropriately to an agreed high standard</w:t>
      </w:r>
      <w:r w:rsidRPr="006B3E50">
        <w:rPr>
          <w:rFonts w:cs="Arial"/>
          <w:sz w:val="22"/>
          <w:szCs w:val="22"/>
        </w:rPr>
        <w:t xml:space="preserve"> (so that the improved energy efficiency of the </w:t>
      </w:r>
      <w:r w:rsidR="007E2F24">
        <w:rPr>
          <w:rFonts w:cs="Arial"/>
          <w:sz w:val="22"/>
          <w:szCs w:val="22"/>
        </w:rPr>
        <w:t>Dwelling</w:t>
      </w:r>
      <w:r w:rsidRPr="006B3E50">
        <w:rPr>
          <w:rFonts w:cs="Arial"/>
          <w:sz w:val="22"/>
          <w:szCs w:val="22"/>
        </w:rPr>
        <w:t xml:space="preserve"> persists</w:t>
      </w:r>
      <w:r w:rsidR="003F1445">
        <w:rPr>
          <w:rFonts w:cs="Arial"/>
          <w:sz w:val="22"/>
          <w:szCs w:val="22"/>
        </w:rPr>
        <w:t xml:space="preserve"> without unintended consequences that may be detrimental to the health of inhabitants or </w:t>
      </w:r>
      <w:r w:rsidR="00404B1A">
        <w:rPr>
          <w:rFonts w:cs="Arial"/>
          <w:sz w:val="22"/>
          <w:szCs w:val="22"/>
        </w:rPr>
        <w:t>the property in the long-term</w:t>
      </w:r>
      <w:r w:rsidRPr="006B3E50">
        <w:rPr>
          <w:rFonts w:cs="Arial"/>
          <w:sz w:val="22"/>
          <w:szCs w:val="22"/>
        </w:rPr>
        <w:t xml:space="preserve">); </w:t>
      </w:r>
    </w:p>
    <w:p w14:paraId="3D2B79AA" w14:textId="1AB0B366" w:rsidR="006B3E50" w:rsidRPr="006B3E50" w:rsidRDefault="006B3E50" w:rsidP="009B75C2">
      <w:pPr>
        <w:numPr>
          <w:ilvl w:val="0"/>
          <w:numId w:val="8"/>
        </w:numPr>
        <w:tabs>
          <w:tab w:val="clear" w:pos="720"/>
          <w:tab w:val="clear" w:pos="1307"/>
          <w:tab w:val="clear" w:pos="1440"/>
          <w:tab w:val="clear" w:pos="2160"/>
          <w:tab w:val="clear" w:pos="2880"/>
          <w:tab w:val="clear" w:pos="4680"/>
          <w:tab w:val="clear" w:pos="5400"/>
          <w:tab w:val="clear" w:pos="9000"/>
        </w:tabs>
        <w:spacing w:after="120" w:line="240" w:lineRule="auto"/>
        <w:ind w:hanging="147"/>
        <w:rPr>
          <w:rFonts w:cs="Arial"/>
          <w:sz w:val="22"/>
          <w:szCs w:val="22"/>
        </w:rPr>
      </w:pPr>
      <w:r w:rsidRPr="006B3E50">
        <w:rPr>
          <w:rFonts w:cs="Arial"/>
          <w:sz w:val="22"/>
          <w:szCs w:val="22"/>
        </w:rPr>
        <w:t xml:space="preserve">is in line with </w:t>
      </w:r>
      <w:r w:rsidR="00404B1A">
        <w:rPr>
          <w:rFonts w:cs="Arial"/>
          <w:sz w:val="22"/>
          <w:szCs w:val="22"/>
        </w:rPr>
        <w:t>the Government</w:t>
      </w:r>
      <w:r w:rsidR="005D26DE">
        <w:rPr>
          <w:rFonts w:cs="Arial"/>
          <w:sz w:val="22"/>
          <w:szCs w:val="22"/>
        </w:rPr>
        <w:t>’</w:t>
      </w:r>
      <w:r w:rsidR="00404B1A">
        <w:rPr>
          <w:rFonts w:cs="Arial"/>
          <w:sz w:val="22"/>
          <w:szCs w:val="22"/>
        </w:rPr>
        <w:t>s</w:t>
      </w:r>
      <w:r w:rsidRPr="006B3E50">
        <w:rPr>
          <w:rFonts w:cs="Arial"/>
          <w:sz w:val="22"/>
          <w:szCs w:val="22"/>
        </w:rPr>
        <w:t xml:space="preserve"> approved standards and practice</w:t>
      </w:r>
      <w:r w:rsidR="005D26DE">
        <w:rPr>
          <w:rFonts w:cs="Arial"/>
          <w:sz w:val="22"/>
          <w:szCs w:val="22"/>
        </w:rPr>
        <w:t>.</w:t>
      </w:r>
    </w:p>
    <w:p w14:paraId="3D2B79AB" w14:textId="77777777" w:rsidR="00D4392B" w:rsidRDefault="00D4392B" w:rsidP="00D4392B"/>
    <w:p w14:paraId="3D2B79AC" w14:textId="77777777" w:rsidR="006712EF" w:rsidRPr="00D4392B" w:rsidRDefault="006712EF" w:rsidP="00D4392B"/>
    <w:p w14:paraId="3D2B79AD" w14:textId="799BBC33" w:rsidR="00D4392B" w:rsidRDefault="00D4392B" w:rsidP="00D4392B">
      <w:pPr>
        <w:pStyle w:val="ListParagraph"/>
        <w:spacing w:after="120"/>
        <w:ind w:left="0"/>
        <w:jc w:val="center"/>
        <w:rPr>
          <w:rFonts w:ascii="Arial" w:hAnsi="Arial" w:cs="Arial"/>
          <w:b/>
          <w:szCs w:val="24"/>
        </w:rPr>
      </w:pPr>
      <w:r w:rsidRPr="00D4392B">
        <w:rPr>
          <w:rFonts w:ascii="Arial" w:hAnsi="Arial" w:cs="Arial"/>
          <w:b/>
          <w:szCs w:val="24"/>
        </w:rPr>
        <w:t>A2.  EXECUTIVE SUMMARY</w:t>
      </w:r>
    </w:p>
    <w:p w14:paraId="668FE56A" w14:textId="77777777" w:rsidR="00941784" w:rsidRDefault="00941784" w:rsidP="00D4392B">
      <w:pPr>
        <w:pStyle w:val="ListParagraph"/>
        <w:spacing w:after="120"/>
        <w:ind w:left="0"/>
        <w:jc w:val="center"/>
        <w:rPr>
          <w:rFonts w:ascii="Arial" w:hAnsi="Arial" w:cs="Arial"/>
          <w:b/>
          <w:szCs w:val="24"/>
        </w:rPr>
      </w:pPr>
    </w:p>
    <w:p w14:paraId="3D2B79AE" w14:textId="77777777" w:rsidR="006B3E50" w:rsidRPr="00D4392B" w:rsidRDefault="006B3E50" w:rsidP="00171ACB">
      <w:pPr>
        <w:pStyle w:val="ListParagraph"/>
        <w:numPr>
          <w:ilvl w:val="0"/>
          <w:numId w:val="6"/>
        </w:numPr>
        <w:spacing w:after="120"/>
        <w:rPr>
          <w:rFonts w:ascii="Arial" w:hAnsi="Arial" w:cs="Arial"/>
          <w:b/>
          <w:sz w:val="22"/>
          <w:szCs w:val="22"/>
        </w:rPr>
      </w:pPr>
      <w:r w:rsidRPr="00D4392B">
        <w:rPr>
          <w:rFonts w:ascii="Arial" w:hAnsi="Arial" w:cs="Arial"/>
          <w:b/>
          <w:sz w:val="22"/>
          <w:szCs w:val="22"/>
        </w:rPr>
        <w:t xml:space="preserve">Brief description of Contract </w:t>
      </w:r>
      <w:r w:rsidR="0052223D">
        <w:rPr>
          <w:rFonts w:ascii="Arial" w:hAnsi="Arial" w:cs="Arial"/>
          <w:b/>
          <w:sz w:val="22"/>
          <w:szCs w:val="22"/>
        </w:rPr>
        <w:t>S</w:t>
      </w:r>
      <w:r w:rsidRPr="00D4392B">
        <w:rPr>
          <w:rFonts w:ascii="Arial" w:hAnsi="Arial" w:cs="Arial"/>
          <w:b/>
          <w:sz w:val="22"/>
          <w:szCs w:val="22"/>
        </w:rPr>
        <w:t>ervices</w:t>
      </w:r>
    </w:p>
    <w:p w14:paraId="2BF19C15" w14:textId="3B73D9A5" w:rsidR="006B3E50" w:rsidRPr="00A4234D" w:rsidRDefault="5E0B6717" w:rsidP="7F2CDCFC">
      <w:pPr>
        <w:pStyle w:val="ListParagraph"/>
        <w:numPr>
          <w:ilvl w:val="1"/>
          <w:numId w:val="6"/>
        </w:numPr>
        <w:spacing w:after="120"/>
        <w:rPr>
          <w:rFonts w:ascii="Arial" w:eastAsia="Arial" w:hAnsi="Arial" w:cs="Arial"/>
          <w:sz w:val="22"/>
          <w:szCs w:val="22"/>
        </w:rPr>
      </w:pPr>
      <w:r w:rsidRPr="7CD1F747">
        <w:rPr>
          <w:rFonts w:ascii="Arial" w:hAnsi="Arial" w:cs="Arial"/>
          <w:sz w:val="22"/>
          <w:szCs w:val="22"/>
        </w:rPr>
        <w:t>The South West Energy Hub, along with its host organisation the West of England Combined Authority</w:t>
      </w:r>
      <w:r w:rsidR="33F74555" w:rsidRPr="7CD1F747">
        <w:rPr>
          <w:rFonts w:ascii="Arial" w:hAnsi="Arial" w:cs="Arial"/>
          <w:sz w:val="22"/>
          <w:szCs w:val="22"/>
        </w:rPr>
        <w:t xml:space="preserve"> (</w:t>
      </w:r>
      <w:r w:rsidR="005D26DE">
        <w:rPr>
          <w:rFonts w:ascii="Arial" w:hAnsi="Arial" w:cs="Arial"/>
          <w:sz w:val="22"/>
          <w:szCs w:val="22"/>
        </w:rPr>
        <w:t>the Authority</w:t>
      </w:r>
      <w:r w:rsidR="33F74555" w:rsidRPr="7CD1F747">
        <w:rPr>
          <w:rFonts w:ascii="Arial" w:hAnsi="Arial" w:cs="Arial"/>
          <w:sz w:val="22"/>
          <w:szCs w:val="22"/>
        </w:rPr>
        <w:t>)</w:t>
      </w:r>
      <w:r w:rsidR="62F0CC7E" w:rsidRPr="7CD1F747">
        <w:rPr>
          <w:rFonts w:ascii="Arial" w:hAnsi="Arial" w:cs="Arial"/>
          <w:sz w:val="22"/>
          <w:szCs w:val="22"/>
        </w:rPr>
        <w:t>,</w:t>
      </w:r>
      <w:r w:rsidR="61B8FBE3" w:rsidRPr="7CD1F747">
        <w:rPr>
          <w:rFonts w:ascii="Arial" w:hAnsi="Arial" w:cs="Arial"/>
          <w:sz w:val="22"/>
          <w:szCs w:val="22"/>
        </w:rPr>
        <w:t xml:space="preserve"> </w:t>
      </w:r>
      <w:r w:rsidR="005D26DE">
        <w:rPr>
          <w:rFonts w:ascii="Arial" w:hAnsi="Arial" w:cs="Arial"/>
          <w:sz w:val="22"/>
          <w:szCs w:val="22"/>
        </w:rPr>
        <w:t xml:space="preserve">will </w:t>
      </w:r>
      <w:r w:rsidR="61B8FBE3" w:rsidRPr="7CD1F747">
        <w:rPr>
          <w:rFonts w:ascii="Arial" w:hAnsi="Arial" w:cs="Arial"/>
          <w:sz w:val="22"/>
          <w:szCs w:val="22"/>
        </w:rPr>
        <w:t xml:space="preserve">procure </w:t>
      </w:r>
      <w:r w:rsidR="3518D5FF" w:rsidRPr="7CD1F747">
        <w:rPr>
          <w:rFonts w:ascii="Arial" w:hAnsi="Arial" w:cs="Arial"/>
          <w:sz w:val="22"/>
          <w:szCs w:val="22"/>
        </w:rPr>
        <w:t xml:space="preserve">several Delivery Organisations </w:t>
      </w:r>
      <w:r w:rsidR="61B8FBE3" w:rsidRPr="7CD1F747">
        <w:rPr>
          <w:rFonts w:ascii="Arial" w:hAnsi="Arial" w:cs="Arial"/>
          <w:sz w:val="22"/>
          <w:szCs w:val="22"/>
        </w:rPr>
        <w:t xml:space="preserve">for the delivery of </w:t>
      </w:r>
      <w:r w:rsidR="47DEF278" w:rsidRPr="7CD1F747">
        <w:rPr>
          <w:rFonts w:ascii="Arial" w:hAnsi="Arial" w:cs="Arial"/>
          <w:sz w:val="22"/>
          <w:szCs w:val="22"/>
        </w:rPr>
        <w:t xml:space="preserve">the Green Homes Grant Local Authority Delivery Phase 2 programme. </w:t>
      </w:r>
      <w:r w:rsidR="005D26DE">
        <w:rPr>
          <w:rFonts w:ascii="Arial" w:hAnsi="Arial" w:cs="Arial"/>
          <w:sz w:val="22"/>
          <w:szCs w:val="22"/>
        </w:rPr>
        <w:t xml:space="preserve">Each </w:t>
      </w:r>
      <w:r w:rsidR="47DEF278" w:rsidRPr="7CD1F747">
        <w:rPr>
          <w:rFonts w:ascii="Arial" w:hAnsi="Arial" w:cs="Arial"/>
          <w:sz w:val="22"/>
          <w:szCs w:val="22"/>
        </w:rPr>
        <w:t xml:space="preserve">Delivery Organisations </w:t>
      </w:r>
      <w:r w:rsidR="15376FAB" w:rsidRPr="00045888">
        <w:rPr>
          <w:rFonts w:ascii="Arial" w:hAnsi="Arial" w:cs="Arial"/>
          <w:sz w:val="22"/>
          <w:szCs w:val="22"/>
        </w:rPr>
        <w:t>will be</w:t>
      </w:r>
      <w:r w:rsidR="61B8FBE3" w:rsidRPr="00045888">
        <w:rPr>
          <w:rFonts w:ascii="Arial" w:hAnsi="Arial" w:cs="Arial"/>
          <w:sz w:val="22"/>
          <w:szCs w:val="22"/>
        </w:rPr>
        <w:t xml:space="preserve"> responsible for </w:t>
      </w:r>
      <w:r w:rsidR="61B8FBE3" w:rsidRPr="7CD1F747">
        <w:rPr>
          <w:rFonts w:ascii="Arial" w:hAnsi="Arial" w:cs="Arial"/>
          <w:sz w:val="22"/>
          <w:szCs w:val="22"/>
        </w:rPr>
        <w:t xml:space="preserve">managing </w:t>
      </w:r>
      <w:r w:rsidR="78646EA3" w:rsidRPr="7CD1F747">
        <w:rPr>
          <w:rFonts w:ascii="Arial" w:hAnsi="Arial" w:cs="Arial"/>
          <w:sz w:val="22"/>
          <w:szCs w:val="22"/>
        </w:rPr>
        <w:t xml:space="preserve">all aspects </w:t>
      </w:r>
      <w:r w:rsidR="61B8FBE3" w:rsidRPr="7CD1F747">
        <w:rPr>
          <w:rFonts w:ascii="Arial" w:hAnsi="Arial" w:cs="Arial"/>
          <w:sz w:val="22"/>
          <w:szCs w:val="22"/>
        </w:rPr>
        <w:t xml:space="preserve">the </w:t>
      </w:r>
      <w:r w:rsidR="7AE6E4E6" w:rsidRPr="7CD1F747">
        <w:rPr>
          <w:rFonts w:ascii="Arial" w:hAnsi="Arial" w:cs="Arial"/>
          <w:sz w:val="22"/>
          <w:szCs w:val="22"/>
        </w:rPr>
        <w:t>Customer</w:t>
      </w:r>
      <w:r w:rsidR="61B8FBE3" w:rsidRPr="7CD1F747">
        <w:rPr>
          <w:rFonts w:ascii="Arial" w:hAnsi="Arial" w:cs="Arial"/>
          <w:sz w:val="22"/>
          <w:szCs w:val="22"/>
        </w:rPr>
        <w:t xml:space="preserve"> </w:t>
      </w:r>
      <w:r w:rsidR="005D26DE" w:rsidRPr="7CD1F747">
        <w:rPr>
          <w:rFonts w:ascii="Arial" w:hAnsi="Arial" w:cs="Arial"/>
          <w:sz w:val="22"/>
          <w:szCs w:val="22"/>
        </w:rPr>
        <w:t>Journey</w:t>
      </w:r>
      <w:r w:rsidR="0A5C18D1" w:rsidRPr="7CD1F747">
        <w:rPr>
          <w:rFonts w:ascii="Arial" w:hAnsi="Arial" w:cs="Arial"/>
          <w:sz w:val="22"/>
          <w:szCs w:val="22"/>
        </w:rPr>
        <w:t>,</w:t>
      </w:r>
      <w:r w:rsidR="61B8FBE3" w:rsidRPr="7CD1F747">
        <w:rPr>
          <w:rFonts w:ascii="Arial" w:hAnsi="Arial" w:cs="Arial"/>
          <w:sz w:val="22"/>
          <w:szCs w:val="22"/>
        </w:rPr>
        <w:t xml:space="preserve"> which include</w:t>
      </w:r>
      <w:r w:rsidR="3F320311" w:rsidRPr="7CD1F747">
        <w:rPr>
          <w:rFonts w:ascii="Arial" w:hAnsi="Arial" w:cs="Arial"/>
          <w:sz w:val="22"/>
          <w:szCs w:val="22"/>
        </w:rPr>
        <w:t>:</w:t>
      </w:r>
    </w:p>
    <w:p w14:paraId="74FF40FE" w14:textId="236EFB86" w:rsidR="006B3E50" w:rsidRPr="00A4234D" w:rsidRDefault="6E987780" w:rsidP="7CD1F747">
      <w:pPr>
        <w:pStyle w:val="ListParagraph"/>
        <w:numPr>
          <w:ilvl w:val="1"/>
          <w:numId w:val="44"/>
        </w:numPr>
        <w:spacing w:after="120"/>
        <w:rPr>
          <w:rFonts w:ascii="Arial" w:eastAsia="Arial" w:hAnsi="Arial" w:cs="Arial"/>
          <w:i/>
          <w:iCs/>
          <w:sz w:val="22"/>
          <w:szCs w:val="22"/>
        </w:rPr>
      </w:pPr>
      <w:r w:rsidRPr="7CD1F747">
        <w:rPr>
          <w:rFonts w:ascii="Arial" w:hAnsi="Arial" w:cs="Arial"/>
          <w:sz w:val="22"/>
          <w:szCs w:val="22"/>
        </w:rPr>
        <w:t xml:space="preserve">Marketing the </w:t>
      </w:r>
      <w:r w:rsidR="06E44CD2" w:rsidRPr="7CD1F747">
        <w:rPr>
          <w:rFonts w:ascii="Arial" w:hAnsi="Arial" w:cs="Arial"/>
          <w:sz w:val="22"/>
          <w:szCs w:val="22"/>
        </w:rPr>
        <w:t>programme</w:t>
      </w:r>
      <w:r w:rsidR="002F6504">
        <w:rPr>
          <w:rFonts w:ascii="Arial" w:hAnsi="Arial" w:cs="Arial"/>
          <w:sz w:val="22"/>
          <w:szCs w:val="22"/>
        </w:rPr>
        <w:t xml:space="preserve">, signing up </w:t>
      </w:r>
      <w:r w:rsidR="001176D7">
        <w:rPr>
          <w:rFonts w:ascii="Arial" w:hAnsi="Arial" w:cs="Arial"/>
          <w:sz w:val="22"/>
          <w:szCs w:val="22"/>
        </w:rPr>
        <w:t xml:space="preserve">Customers </w:t>
      </w:r>
      <w:r w:rsidR="002F6504">
        <w:rPr>
          <w:rFonts w:ascii="Arial" w:hAnsi="Arial" w:cs="Arial"/>
          <w:sz w:val="22"/>
          <w:szCs w:val="22"/>
        </w:rPr>
        <w:t>and/or</w:t>
      </w:r>
      <w:r w:rsidRPr="7CD1F747">
        <w:rPr>
          <w:rFonts w:ascii="Arial" w:hAnsi="Arial" w:cs="Arial"/>
          <w:sz w:val="22"/>
          <w:szCs w:val="22"/>
        </w:rPr>
        <w:t xml:space="preserve"> obtaining referrals</w:t>
      </w:r>
    </w:p>
    <w:p w14:paraId="79511DD7" w14:textId="77777777" w:rsidR="001176D7" w:rsidRPr="001176D7" w:rsidRDefault="002F6504" w:rsidP="7CD1F747">
      <w:pPr>
        <w:pStyle w:val="ListParagraph"/>
        <w:numPr>
          <w:ilvl w:val="1"/>
          <w:numId w:val="44"/>
        </w:numPr>
        <w:spacing w:after="120"/>
        <w:rPr>
          <w:i/>
          <w:iCs/>
          <w:sz w:val="22"/>
          <w:szCs w:val="22"/>
        </w:rPr>
      </w:pPr>
      <w:r>
        <w:rPr>
          <w:rFonts w:ascii="Arial" w:hAnsi="Arial" w:cs="Arial"/>
          <w:sz w:val="22"/>
          <w:szCs w:val="22"/>
        </w:rPr>
        <w:t xml:space="preserve">Carrying out </w:t>
      </w:r>
      <w:r w:rsidR="001176D7">
        <w:rPr>
          <w:rFonts w:ascii="Arial" w:hAnsi="Arial" w:cs="Arial"/>
          <w:sz w:val="22"/>
          <w:szCs w:val="22"/>
        </w:rPr>
        <w:t>eligibility checks to ensure Customers qualify for the scheme</w:t>
      </w:r>
    </w:p>
    <w:p w14:paraId="1ED3F224" w14:textId="2357C5EF" w:rsidR="006B3E50" w:rsidRPr="00A4234D" w:rsidRDefault="414BDD23" w:rsidP="7CD1F747">
      <w:pPr>
        <w:pStyle w:val="ListParagraph"/>
        <w:numPr>
          <w:ilvl w:val="1"/>
          <w:numId w:val="44"/>
        </w:numPr>
        <w:spacing w:after="120"/>
        <w:rPr>
          <w:i/>
          <w:iCs/>
          <w:sz w:val="22"/>
          <w:szCs w:val="22"/>
        </w:rPr>
      </w:pPr>
      <w:r w:rsidRPr="7CD1F747">
        <w:rPr>
          <w:rFonts w:ascii="Arial" w:hAnsi="Arial" w:cs="Arial"/>
          <w:sz w:val="22"/>
          <w:szCs w:val="22"/>
        </w:rPr>
        <w:t>I</w:t>
      </w:r>
      <w:r w:rsidR="61B8FBE3" w:rsidRPr="7CD1F747">
        <w:rPr>
          <w:rFonts w:ascii="Arial" w:hAnsi="Arial" w:cs="Arial"/>
          <w:sz w:val="22"/>
          <w:szCs w:val="22"/>
        </w:rPr>
        <w:t xml:space="preserve">dentifying the measures which are suitable for the dwelling </w:t>
      </w:r>
    </w:p>
    <w:p w14:paraId="1376D558" w14:textId="20E98148" w:rsidR="006B3E50" w:rsidRPr="00A4234D" w:rsidRDefault="78C83CE4" w:rsidP="7CD1F747">
      <w:pPr>
        <w:pStyle w:val="ListParagraph"/>
        <w:numPr>
          <w:ilvl w:val="1"/>
          <w:numId w:val="44"/>
        </w:numPr>
        <w:spacing w:after="120"/>
        <w:rPr>
          <w:i/>
          <w:iCs/>
          <w:sz w:val="22"/>
          <w:szCs w:val="22"/>
        </w:rPr>
      </w:pPr>
      <w:r w:rsidRPr="7CD1F747">
        <w:rPr>
          <w:rFonts w:ascii="Arial" w:hAnsi="Arial" w:cs="Arial"/>
          <w:sz w:val="22"/>
          <w:szCs w:val="22"/>
        </w:rPr>
        <w:t>C</w:t>
      </w:r>
      <w:r w:rsidR="61B8FBE3" w:rsidRPr="7CD1F747">
        <w:rPr>
          <w:rFonts w:ascii="Arial" w:hAnsi="Arial" w:cs="Arial"/>
          <w:sz w:val="22"/>
          <w:szCs w:val="22"/>
        </w:rPr>
        <w:t xml:space="preserve">arrying </w:t>
      </w:r>
      <w:r w:rsidR="61B8FBE3" w:rsidRPr="00045888">
        <w:rPr>
          <w:rFonts w:ascii="Arial" w:hAnsi="Arial" w:cs="Arial"/>
          <w:sz w:val="22"/>
          <w:szCs w:val="22"/>
        </w:rPr>
        <w:t>out a tech</w:t>
      </w:r>
      <w:r w:rsidR="61B8FBE3" w:rsidRPr="7CD1F747">
        <w:rPr>
          <w:rFonts w:ascii="Arial" w:hAnsi="Arial" w:cs="Arial"/>
          <w:sz w:val="22"/>
          <w:szCs w:val="22"/>
        </w:rPr>
        <w:t xml:space="preserve">nical survey </w:t>
      </w:r>
    </w:p>
    <w:p w14:paraId="266493D5" w14:textId="280272A7" w:rsidR="006B3E50" w:rsidRPr="00A4234D" w:rsidRDefault="190CE99E" w:rsidP="7CD1F747">
      <w:pPr>
        <w:pStyle w:val="ListParagraph"/>
        <w:numPr>
          <w:ilvl w:val="1"/>
          <w:numId w:val="44"/>
        </w:numPr>
        <w:spacing w:after="120"/>
        <w:rPr>
          <w:i/>
          <w:iCs/>
          <w:sz w:val="22"/>
          <w:szCs w:val="22"/>
        </w:rPr>
      </w:pPr>
      <w:r w:rsidRPr="7CD1F747">
        <w:rPr>
          <w:rFonts w:ascii="Arial" w:hAnsi="Arial" w:cs="Arial"/>
          <w:sz w:val="22"/>
          <w:szCs w:val="22"/>
        </w:rPr>
        <w:t>I</w:t>
      </w:r>
      <w:r w:rsidR="61B8FBE3" w:rsidRPr="7CD1F747">
        <w:rPr>
          <w:rFonts w:ascii="Arial" w:hAnsi="Arial" w:cs="Arial"/>
          <w:sz w:val="22"/>
          <w:szCs w:val="22"/>
        </w:rPr>
        <w:t>nstalling the measures</w:t>
      </w:r>
    </w:p>
    <w:p w14:paraId="3D470EE6" w14:textId="3AF65681" w:rsidR="006B3E50" w:rsidRPr="00822DD7" w:rsidRDefault="282F7430" w:rsidP="7CD1F747">
      <w:pPr>
        <w:pStyle w:val="ListParagraph"/>
        <w:numPr>
          <w:ilvl w:val="1"/>
          <w:numId w:val="44"/>
        </w:numPr>
        <w:spacing w:after="120"/>
        <w:rPr>
          <w:i/>
          <w:iCs/>
          <w:sz w:val="22"/>
          <w:szCs w:val="22"/>
        </w:rPr>
      </w:pPr>
      <w:r w:rsidRPr="7CD1F747">
        <w:rPr>
          <w:rFonts w:ascii="Arial" w:hAnsi="Arial" w:cs="Arial"/>
          <w:sz w:val="22"/>
          <w:szCs w:val="22"/>
        </w:rPr>
        <w:t>A</w:t>
      </w:r>
      <w:r w:rsidR="61B8FBE3" w:rsidRPr="7CD1F747">
        <w:rPr>
          <w:rFonts w:ascii="Arial" w:hAnsi="Arial" w:cs="Arial"/>
          <w:sz w:val="22"/>
          <w:szCs w:val="22"/>
        </w:rPr>
        <w:t>rranging inspection</w:t>
      </w:r>
      <w:r w:rsidR="001176D7">
        <w:rPr>
          <w:rFonts w:ascii="Arial" w:hAnsi="Arial" w:cs="Arial"/>
          <w:sz w:val="22"/>
          <w:szCs w:val="22"/>
        </w:rPr>
        <w:t>s</w:t>
      </w:r>
      <w:r w:rsidR="00925BE2">
        <w:rPr>
          <w:rFonts w:ascii="Arial" w:hAnsi="Arial" w:cs="Arial"/>
          <w:sz w:val="22"/>
          <w:szCs w:val="22"/>
        </w:rPr>
        <w:t xml:space="preserve"> as appropriate for the measure</w:t>
      </w:r>
    </w:p>
    <w:p w14:paraId="20206A55" w14:textId="5110F6D1" w:rsidR="00822DD7" w:rsidRPr="00A4234D" w:rsidRDefault="00822DD7" w:rsidP="7CD1F747">
      <w:pPr>
        <w:pStyle w:val="ListParagraph"/>
        <w:numPr>
          <w:ilvl w:val="1"/>
          <w:numId w:val="44"/>
        </w:numPr>
        <w:spacing w:after="120"/>
        <w:rPr>
          <w:i/>
          <w:iCs/>
          <w:sz w:val="22"/>
          <w:szCs w:val="22"/>
        </w:rPr>
      </w:pPr>
      <w:r>
        <w:rPr>
          <w:rFonts w:ascii="Arial" w:hAnsi="Arial" w:cs="Arial"/>
          <w:sz w:val="22"/>
          <w:szCs w:val="22"/>
        </w:rPr>
        <w:t>Sign-off of installations with Customer and Retrofit Coordinator</w:t>
      </w:r>
    </w:p>
    <w:p w14:paraId="3D2B79B0" w14:textId="34F1F777" w:rsidR="006B3E50" w:rsidRPr="00A4234D" w:rsidRDefault="1EFCF0C2" w:rsidP="7CD1F747">
      <w:pPr>
        <w:pStyle w:val="ListParagraph"/>
        <w:numPr>
          <w:ilvl w:val="1"/>
          <w:numId w:val="44"/>
        </w:numPr>
        <w:spacing w:after="120"/>
        <w:rPr>
          <w:i/>
          <w:iCs/>
          <w:sz w:val="22"/>
          <w:szCs w:val="22"/>
        </w:rPr>
      </w:pPr>
      <w:r w:rsidRPr="7CD1F747">
        <w:rPr>
          <w:rFonts w:ascii="Arial" w:hAnsi="Arial" w:cs="Arial"/>
          <w:sz w:val="22"/>
          <w:szCs w:val="22"/>
        </w:rPr>
        <w:t>Invoicing WECA for installations completed</w:t>
      </w:r>
    </w:p>
    <w:p w14:paraId="72D2DA6E" w14:textId="4C96D3AA" w:rsidR="1EFCF0C2" w:rsidRDefault="1EFCF0C2" w:rsidP="7CD1F747">
      <w:pPr>
        <w:pStyle w:val="ListParagraph"/>
        <w:numPr>
          <w:ilvl w:val="1"/>
          <w:numId w:val="44"/>
        </w:numPr>
        <w:spacing w:after="120"/>
        <w:rPr>
          <w:i/>
          <w:iCs/>
          <w:sz w:val="22"/>
          <w:szCs w:val="22"/>
        </w:rPr>
      </w:pPr>
      <w:r w:rsidRPr="7CD1F747">
        <w:rPr>
          <w:rFonts w:ascii="Arial" w:hAnsi="Arial" w:cs="Arial"/>
          <w:sz w:val="22"/>
          <w:szCs w:val="22"/>
        </w:rPr>
        <w:t xml:space="preserve">Providing Management Information and Key Performance Indicator dashboards. </w:t>
      </w:r>
    </w:p>
    <w:p w14:paraId="65C4B4E6" w14:textId="003FA594" w:rsidR="006B3E50" w:rsidRPr="009B75C2" w:rsidRDefault="22F90984" w:rsidP="46B5BCA3">
      <w:pPr>
        <w:pStyle w:val="ListParagraph"/>
        <w:numPr>
          <w:ilvl w:val="1"/>
          <w:numId w:val="6"/>
        </w:numPr>
        <w:spacing w:after="120"/>
        <w:rPr>
          <w:rFonts w:ascii="Arial" w:eastAsia="Arial" w:hAnsi="Arial" w:cs="Arial"/>
          <w:sz w:val="20"/>
          <w:szCs w:val="22"/>
        </w:rPr>
      </w:pPr>
      <w:r w:rsidRPr="6A774973">
        <w:rPr>
          <w:rFonts w:ascii="Arial" w:eastAsia="Arial" w:hAnsi="Arial" w:cs="Arial"/>
          <w:sz w:val="22"/>
          <w:szCs w:val="22"/>
        </w:rPr>
        <w:t>The total value of the</w:t>
      </w:r>
      <w:r w:rsidR="37E6DB42" w:rsidRPr="6A774973">
        <w:rPr>
          <w:rFonts w:ascii="Arial" w:eastAsia="Arial" w:hAnsi="Arial" w:cs="Arial"/>
          <w:sz w:val="22"/>
          <w:szCs w:val="22"/>
        </w:rPr>
        <w:t xml:space="preserve"> </w:t>
      </w:r>
      <w:r w:rsidR="005D26DE">
        <w:rPr>
          <w:rFonts w:ascii="Arial" w:eastAsia="Arial" w:hAnsi="Arial" w:cs="Arial"/>
          <w:sz w:val="22"/>
          <w:szCs w:val="22"/>
        </w:rPr>
        <w:t xml:space="preserve">Authority’s </w:t>
      </w:r>
      <w:r w:rsidR="6C7B8230" w:rsidRPr="6A774973">
        <w:rPr>
          <w:rFonts w:ascii="Arial" w:eastAsia="Arial" w:hAnsi="Arial" w:cs="Arial"/>
          <w:sz w:val="22"/>
          <w:szCs w:val="22"/>
        </w:rPr>
        <w:t xml:space="preserve">allocation to be spent on </w:t>
      </w:r>
      <w:r w:rsidR="0BC5DA2C" w:rsidRPr="6A774973">
        <w:rPr>
          <w:rFonts w:ascii="Arial" w:eastAsia="Arial" w:hAnsi="Arial" w:cs="Arial"/>
          <w:sz w:val="22"/>
          <w:szCs w:val="22"/>
        </w:rPr>
        <w:t>installation measures, including management costs</w:t>
      </w:r>
      <w:r w:rsidR="02F7887D" w:rsidRPr="6A774973">
        <w:rPr>
          <w:rFonts w:ascii="Arial" w:eastAsia="Arial" w:hAnsi="Arial" w:cs="Arial"/>
          <w:sz w:val="22"/>
          <w:szCs w:val="22"/>
        </w:rPr>
        <w:t>,</w:t>
      </w:r>
      <w:r w:rsidR="0BC5DA2C" w:rsidRPr="6A774973">
        <w:rPr>
          <w:rFonts w:ascii="Arial" w:eastAsia="Arial" w:hAnsi="Arial" w:cs="Arial"/>
          <w:sz w:val="22"/>
          <w:szCs w:val="22"/>
        </w:rPr>
        <w:t xml:space="preserve"> is</w:t>
      </w:r>
      <w:r w:rsidR="37E6DB42" w:rsidRPr="6A774973">
        <w:rPr>
          <w:rFonts w:ascii="Arial" w:eastAsia="Arial" w:hAnsi="Arial" w:cs="Arial"/>
          <w:sz w:val="22"/>
          <w:szCs w:val="22"/>
        </w:rPr>
        <w:t xml:space="preserve"> </w:t>
      </w:r>
      <w:r w:rsidR="501052E7" w:rsidRPr="6A774973">
        <w:rPr>
          <w:rFonts w:ascii="Arial" w:eastAsia="Arial" w:hAnsi="Arial" w:cs="Arial"/>
          <w:sz w:val="22"/>
          <w:szCs w:val="22"/>
        </w:rPr>
        <w:t>£51,170,750</w:t>
      </w:r>
      <w:r w:rsidR="7B5CD731" w:rsidRPr="6A774973">
        <w:rPr>
          <w:rFonts w:ascii="Arial" w:eastAsia="Arial" w:hAnsi="Arial" w:cs="Arial"/>
          <w:sz w:val="22"/>
          <w:szCs w:val="22"/>
        </w:rPr>
        <w:t xml:space="preserve"> divided into Lots</w:t>
      </w:r>
      <w:r w:rsidR="5452FCBD" w:rsidRPr="6A774973">
        <w:rPr>
          <w:rFonts w:ascii="Arial" w:eastAsia="Arial" w:hAnsi="Arial" w:cs="Arial"/>
          <w:sz w:val="22"/>
          <w:szCs w:val="22"/>
        </w:rPr>
        <w:t>,</w:t>
      </w:r>
      <w:r w:rsidR="7B5CD731" w:rsidRPr="6A774973">
        <w:rPr>
          <w:rFonts w:ascii="Arial" w:eastAsia="Arial" w:hAnsi="Arial" w:cs="Arial"/>
          <w:sz w:val="22"/>
          <w:szCs w:val="22"/>
        </w:rPr>
        <w:t xml:space="preserve"> as detailed below.</w:t>
      </w:r>
      <w:r w:rsidRPr="6A774973">
        <w:rPr>
          <w:rFonts w:ascii="Arial" w:eastAsia="Arial" w:hAnsi="Arial" w:cs="Arial"/>
        </w:rPr>
        <w:t xml:space="preserve"> </w:t>
      </w:r>
    </w:p>
    <w:p w14:paraId="0D7BD34A" w14:textId="6AE12D98" w:rsidR="7CD1F747" w:rsidRDefault="7CD1F747" w:rsidP="7CD1F747">
      <w:pPr>
        <w:spacing w:after="120"/>
        <w:ind w:left="207"/>
        <w:rPr>
          <w:rFonts w:eastAsia="Arial" w:cs="Arial"/>
          <w:szCs w:val="24"/>
        </w:rPr>
      </w:pPr>
    </w:p>
    <w:p w14:paraId="3D2B79B5" w14:textId="78C01FB8" w:rsidR="006B3E50" w:rsidRPr="00D4392B" w:rsidRDefault="00AA0779" w:rsidP="00171ACB">
      <w:pPr>
        <w:pStyle w:val="ListParagraph"/>
        <w:numPr>
          <w:ilvl w:val="0"/>
          <w:numId w:val="6"/>
        </w:numPr>
        <w:spacing w:after="120"/>
        <w:rPr>
          <w:rFonts w:ascii="Arial" w:hAnsi="Arial" w:cs="Arial"/>
          <w:b/>
          <w:sz w:val="22"/>
          <w:szCs w:val="22"/>
        </w:rPr>
      </w:pPr>
      <w:r>
        <w:rPr>
          <w:rFonts w:ascii="Arial" w:hAnsi="Arial" w:cs="Arial"/>
          <w:b/>
          <w:sz w:val="22"/>
          <w:szCs w:val="22"/>
        </w:rPr>
        <w:t>Delivery Organisation</w:t>
      </w:r>
      <w:r w:rsidR="006B3E50" w:rsidRPr="00D4392B">
        <w:rPr>
          <w:rFonts w:ascii="Arial" w:hAnsi="Arial" w:cs="Arial"/>
          <w:b/>
          <w:sz w:val="22"/>
          <w:szCs w:val="22"/>
        </w:rPr>
        <w:t xml:space="preserve"> and supply chain</w:t>
      </w:r>
    </w:p>
    <w:p w14:paraId="3D2B79B6" w14:textId="56432B15" w:rsidR="006B3E50" w:rsidRDefault="61B8FBE3" w:rsidP="00171ACB">
      <w:pPr>
        <w:pStyle w:val="ListParagraph"/>
        <w:numPr>
          <w:ilvl w:val="1"/>
          <w:numId w:val="6"/>
        </w:numPr>
        <w:spacing w:after="120"/>
        <w:rPr>
          <w:rFonts w:ascii="Arial" w:hAnsi="Arial" w:cs="Arial"/>
          <w:sz w:val="22"/>
          <w:szCs w:val="22"/>
        </w:rPr>
      </w:pPr>
      <w:r w:rsidRPr="674DC236">
        <w:rPr>
          <w:rFonts w:ascii="Arial" w:hAnsi="Arial" w:cs="Arial"/>
          <w:sz w:val="22"/>
          <w:szCs w:val="22"/>
        </w:rPr>
        <w:t>Th</w:t>
      </w:r>
      <w:r w:rsidR="005D26DE">
        <w:rPr>
          <w:rFonts w:ascii="Arial" w:hAnsi="Arial" w:cs="Arial"/>
          <w:sz w:val="22"/>
          <w:szCs w:val="22"/>
        </w:rPr>
        <w:t xml:space="preserve">is agreement </w:t>
      </w:r>
      <w:r w:rsidRPr="674DC236">
        <w:rPr>
          <w:rFonts w:ascii="Arial" w:hAnsi="Arial" w:cs="Arial"/>
          <w:sz w:val="22"/>
          <w:szCs w:val="22"/>
        </w:rPr>
        <w:t xml:space="preserve">will be operated by </w:t>
      </w:r>
      <w:r w:rsidR="005D26DE">
        <w:rPr>
          <w:rFonts w:ascii="Arial" w:hAnsi="Arial" w:cs="Arial"/>
          <w:sz w:val="22"/>
          <w:szCs w:val="22"/>
        </w:rPr>
        <w:t xml:space="preserve">one </w:t>
      </w:r>
      <w:r w:rsidR="4C6E1980" w:rsidRPr="674DC236">
        <w:rPr>
          <w:rFonts w:ascii="Arial" w:hAnsi="Arial" w:cs="Arial"/>
          <w:sz w:val="22"/>
          <w:szCs w:val="22"/>
        </w:rPr>
        <w:t>Delivery Organisation</w:t>
      </w:r>
      <w:r w:rsidR="6B44065F" w:rsidRPr="674DC236">
        <w:rPr>
          <w:rFonts w:ascii="Arial" w:hAnsi="Arial" w:cs="Arial"/>
          <w:sz w:val="22"/>
          <w:szCs w:val="22"/>
        </w:rPr>
        <w:t>s</w:t>
      </w:r>
      <w:r w:rsidR="005D26DE">
        <w:rPr>
          <w:rFonts w:ascii="Arial" w:hAnsi="Arial" w:cs="Arial"/>
          <w:sz w:val="22"/>
          <w:szCs w:val="22"/>
        </w:rPr>
        <w:t xml:space="preserve"> in each Lot Area</w:t>
      </w:r>
      <w:r w:rsidRPr="674DC236">
        <w:rPr>
          <w:rFonts w:ascii="Arial" w:hAnsi="Arial" w:cs="Arial"/>
          <w:sz w:val="22"/>
          <w:szCs w:val="22"/>
        </w:rPr>
        <w:t>.</w:t>
      </w:r>
      <w:r w:rsidR="25821292" w:rsidRPr="674DC236">
        <w:rPr>
          <w:rFonts w:ascii="Arial" w:hAnsi="Arial" w:cs="Arial"/>
          <w:sz w:val="22"/>
          <w:szCs w:val="22"/>
        </w:rPr>
        <w:t xml:space="preserve">  The </w:t>
      </w:r>
      <w:r w:rsidR="092E75A9" w:rsidRPr="674DC236">
        <w:rPr>
          <w:rFonts w:ascii="Arial" w:hAnsi="Arial" w:cs="Arial"/>
          <w:sz w:val="22"/>
          <w:szCs w:val="22"/>
        </w:rPr>
        <w:t>Authority</w:t>
      </w:r>
      <w:r w:rsidR="25821292" w:rsidRPr="674DC236">
        <w:rPr>
          <w:rFonts w:ascii="Arial" w:hAnsi="Arial" w:cs="Arial"/>
          <w:sz w:val="22"/>
          <w:szCs w:val="22"/>
        </w:rPr>
        <w:t xml:space="preserve"> </w:t>
      </w:r>
      <w:r w:rsidR="00ED1C38" w:rsidRPr="674DC236">
        <w:rPr>
          <w:rFonts w:ascii="Arial" w:hAnsi="Arial" w:cs="Arial"/>
          <w:sz w:val="22"/>
          <w:szCs w:val="22"/>
        </w:rPr>
        <w:t>encourages</w:t>
      </w:r>
      <w:r w:rsidRPr="674DC236">
        <w:rPr>
          <w:rFonts w:ascii="Arial" w:hAnsi="Arial" w:cs="Arial"/>
          <w:sz w:val="22"/>
          <w:szCs w:val="22"/>
        </w:rPr>
        <w:t xml:space="preserve"> SME participation, although it will be for the </w:t>
      </w:r>
      <w:r w:rsidR="4C6E1980" w:rsidRPr="674DC236">
        <w:rPr>
          <w:rFonts w:ascii="Arial" w:hAnsi="Arial" w:cs="Arial"/>
          <w:sz w:val="22"/>
          <w:szCs w:val="22"/>
        </w:rPr>
        <w:t>Delivery Organisation</w:t>
      </w:r>
      <w:r w:rsidRPr="674DC236">
        <w:rPr>
          <w:rFonts w:ascii="Arial" w:hAnsi="Arial" w:cs="Arial"/>
          <w:sz w:val="22"/>
          <w:szCs w:val="22"/>
        </w:rPr>
        <w:t xml:space="preserve"> to appo</w:t>
      </w:r>
      <w:r w:rsidR="5878845C" w:rsidRPr="674DC236">
        <w:rPr>
          <w:rFonts w:ascii="Arial" w:hAnsi="Arial" w:cs="Arial"/>
          <w:sz w:val="22"/>
          <w:szCs w:val="22"/>
        </w:rPr>
        <w:t xml:space="preserve">int and manage </w:t>
      </w:r>
      <w:r w:rsidR="703A757B" w:rsidRPr="674DC236">
        <w:rPr>
          <w:rFonts w:ascii="Arial" w:hAnsi="Arial" w:cs="Arial"/>
          <w:sz w:val="22"/>
          <w:szCs w:val="22"/>
        </w:rPr>
        <w:t xml:space="preserve">a suitable </w:t>
      </w:r>
      <w:r w:rsidR="1A9EFE5D" w:rsidRPr="674DC236">
        <w:rPr>
          <w:rFonts w:ascii="Arial" w:hAnsi="Arial" w:cs="Arial"/>
          <w:sz w:val="22"/>
          <w:szCs w:val="22"/>
        </w:rPr>
        <w:t>supply chain</w:t>
      </w:r>
      <w:r w:rsidR="00ED1C38" w:rsidRPr="674DC236">
        <w:rPr>
          <w:rFonts w:ascii="Arial" w:hAnsi="Arial" w:cs="Arial"/>
          <w:sz w:val="22"/>
          <w:szCs w:val="22"/>
        </w:rPr>
        <w:t xml:space="preserve"> to ensure the contract can be delivered within other constraints</w:t>
      </w:r>
      <w:r w:rsidR="5878845C" w:rsidRPr="674DC236">
        <w:rPr>
          <w:rFonts w:ascii="Arial" w:hAnsi="Arial" w:cs="Arial"/>
          <w:sz w:val="22"/>
          <w:szCs w:val="22"/>
        </w:rPr>
        <w:t>.</w:t>
      </w:r>
    </w:p>
    <w:p w14:paraId="755C8B0C" w14:textId="748239D0" w:rsidR="00B41CC7" w:rsidRDefault="5B8189CA" w:rsidP="00171ACB">
      <w:pPr>
        <w:pStyle w:val="ListParagraph"/>
        <w:numPr>
          <w:ilvl w:val="1"/>
          <w:numId w:val="6"/>
        </w:numPr>
        <w:spacing w:after="120"/>
        <w:rPr>
          <w:rFonts w:ascii="Arial" w:hAnsi="Arial" w:cs="Arial"/>
          <w:sz w:val="22"/>
          <w:szCs w:val="22"/>
        </w:rPr>
      </w:pPr>
      <w:r w:rsidRPr="7CD1F747">
        <w:rPr>
          <w:rFonts w:ascii="Arial" w:hAnsi="Arial" w:cs="Arial"/>
          <w:sz w:val="22"/>
          <w:szCs w:val="22"/>
        </w:rPr>
        <w:t xml:space="preserve">The Lots are representative of the </w:t>
      </w:r>
      <w:r w:rsidR="4868905F" w:rsidRPr="7CD1F747">
        <w:rPr>
          <w:rFonts w:ascii="Arial" w:hAnsi="Arial" w:cs="Arial"/>
          <w:sz w:val="22"/>
          <w:szCs w:val="22"/>
        </w:rPr>
        <w:t xml:space="preserve">seven LEP areas in the South West </w:t>
      </w:r>
      <w:r w:rsidR="5365F1AF" w:rsidRPr="7CD1F747">
        <w:rPr>
          <w:rFonts w:ascii="Arial" w:hAnsi="Arial" w:cs="Arial"/>
          <w:sz w:val="22"/>
          <w:szCs w:val="22"/>
        </w:rPr>
        <w:t xml:space="preserve">and are </w:t>
      </w:r>
      <w:r w:rsidR="7F624E92" w:rsidRPr="7CD1F747">
        <w:rPr>
          <w:rFonts w:ascii="Arial" w:hAnsi="Arial" w:cs="Arial"/>
          <w:sz w:val="22"/>
          <w:szCs w:val="22"/>
        </w:rPr>
        <w:t>as follows</w:t>
      </w:r>
      <w:r w:rsidR="0FBAD40C" w:rsidRPr="7CD1F747">
        <w:rPr>
          <w:rFonts w:ascii="Arial" w:hAnsi="Arial" w:cs="Arial"/>
          <w:sz w:val="22"/>
          <w:szCs w:val="22"/>
        </w:rPr>
        <w:t xml:space="preserve"> (with values)</w:t>
      </w:r>
      <w:r w:rsidR="7F624E92" w:rsidRPr="7CD1F747">
        <w:rPr>
          <w:rFonts w:ascii="Arial" w:hAnsi="Arial" w:cs="Arial"/>
          <w:sz w:val="22"/>
          <w:szCs w:val="22"/>
        </w:rPr>
        <w:t>:</w:t>
      </w:r>
    </w:p>
    <w:p w14:paraId="641A9E3A" w14:textId="7DD85EDF" w:rsidR="00B41CC7" w:rsidRPr="00D10163" w:rsidRDefault="7F624E92" w:rsidP="674DC236">
      <w:pPr>
        <w:pStyle w:val="ListParagraph"/>
        <w:numPr>
          <w:ilvl w:val="2"/>
          <w:numId w:val="6"/>
        </w:numPr>
        <w:spacing w:after="120"/>
        <w:ind w:firstLine="113"/>
        <w:rPr>
          <w:rFonts w:ascii="Arial" w:hAnsi="Arial" w:cs="Arial"/>
          <w:sz w:val="22"/>
          <w:szCs w:val="22"/>
        </w:rPr>
      </w:pPr>
      <w:r w:rsidRPr="674DC236">
        <w:rPr>
          <w:rFonts w:ascii="Arial" w:hAnsi="Arial" w:cs="Arial"/>
          <w:sz w:val="22"/>
          <w:szCs w:val="22"/>
        </w:rPr>
        <w:t>Lot 1:</w:t>
      </w:r>
      <w:r w:rsidR="6E62C39B" w:rsidRPr="674DC236">
        <w:rPr>
          <w:rFonts w:ascii="Arial" w:hAnsi="Arial" w:cs="Arial"/>
          <w:sz w:val="22"/>
          <w:szCs w:val="22"/>
        </w:rPr>
        <w:t xml:space="preserve"> Gloucestershire</w:t>
      </w:r>
      <w:r w:rsidR="0E054873" w:rsidRPr="674DC236">
        <w:rPr>
          <w:rFonts w:ascii="Arial" w:hAnsi="Arial" w:cs="Arial"/>
          <w:sz w:val="22"/>
          <w:szCs w:val="22"/>
        </w:rPr>
        <w:t xml:space="preserve"> - £</w:t>
      </w:r>
      <w:r w:rsidR="00E76713" w:rsidRPr="674DC236">
        <w:rPr>
          <w:rFonts w:ascii="Arial" w:hAnsi="Arial" w:cs="Arial"/>
          <w:color w:val="000000" w:themeColor="text1"/>
          <w:sz w:val="22"/>
          <w:szCs w:val="22"/>
        </w:rPr>
        <w:t>4,531,968</w:t>
      </w:r>
    </w:p>
    <w:p w14:paraId="52492445" w14:textId="48DB9644" w:rsidR="00B41CC7" w:rsidRPr="00D10163" w:rsidRDefault="7F624E92" w:rsidP="674DC236">
      <w:pPr>
        <w:pStyle w:val="ListParagraph"/>
        <w:numPr>
          <w:ilvl w:val="2"/>
          <w:numId w:val="6"/>
        </w:numPr>
        <w:spacing w:after="120"/>
        <w:ind w:firstLine="113"/>
        <w:rPr>
          <w:rFonts w:ascii="Arial" w:hAnsi="Arial" w:cs="Arial"/>
          <w:sz w:val="22"/>
          <w:szCs w:val="22"/>
        </w:rPr>
      </w:pPr>
      <w:r w:rsidRPr="674DC236">
        <w:rPr>
          <w:rFonts w:ascii="Arial" w:hAnsi="Arial" w:cs="Arial"/>
          <w:sz w:val="22"/>
          <w:szCs w:val="22"/>
        </w:rPr>
        <w:lastRenderedPageBreak/>
        <w:t>Lot 2:</w:t>
      </w:r>
      <w:r w:rsidR="4868905F" w:rsidRPr="674DC236">
        <w:rPr>
          <w:rFonts w:ascii="Arial" w:hAnsi="Arial" w:cs="Arial"/>
          <w:sz w:val="22"/>
          <w:szCs w:val="22"/>
        </w:rPr>
        <w:t xml:space="preserve"> West of England</w:t>
      </w:r>
      <w:r w:rsidR="5A08072D" w:rsidRPr="674DC236">
        <w:rPr>
          <w:rFonts w:ascii="Arial" w:hAnsi="Arial" w:cs="Arial"/>
          <w:sz w:val="22"/>
          <w:szCs w:val="22"/>
        </w:rPr>
        <w:t xml:space="preserve"> - £</w:t>
      </w:r>
      <w:r w:rsidR="00F47B01" w:rsidRPr="674DC236">
        <w:rPr>
          <w:rFonts w:ascii="Arial" w:hAnsi="Arial" w:cs="Arial"/>
          <w:color w:val="000000" w:themeColor="text1"/>
          <w:sz w:val="22"/>
          <w:szCs w:val="22"/>
        </w:rPr>
        <w:t>7,497,365</w:t>
      </w:r>
    </w:p>
    <w:p w14:paraId="29D22BD1" w14:textId="28D7721A" w:rsidR="00E47A74" w:rsidRPr="00D10163" w:rsidRDefault="4868905F" w:rsidP="674DC236">
      <w:pPr>
        <w:pStyle w:val="ListParagraph"/>
        <w:numPr>
          <w:ilvl w:val="2"/>
          <w:numId w:val="6"/>
        </w:numPr>
        <w:spacing w:after="120"/>
        <w:ind w:firstLine="113"/>
        <w:rPr>
          <w:rFonts w:ascii="Arial" w:hAnsi="Arial" w:cs="Arial"/>
          <w:sz w:val="22"/>
          <w:szCs w:val="22"/>
        </w:rPr>
      </w:pPr>
      <w:r w:rsidRPr="674DC236">
        <w:rPr>
          <w:rFonts w:ascii="Arial" w:hAnsi="Arial" w:cs="Arial"/>
          <w:sz w:val="22"/>
          <w:szCs w:val="22"/>
        </w:rPr>
        <w:t>Lot 3: Heart of the South West</w:t>
      </w:r>
      <w:r w:rsidR="6BBFB939" w:rsidRPr="674DC236">
        <w:rPr>
          <w:rFonts w:ascii="Arial" w:hAnsi="Arial" w:cs="Arial"/>
          <w:sz w:val="22"/>
          <w:szCs w:val="22"/>
        </w:rPr>
        <w:t xml:space="preserve"> - £</w:t>
      </w:r>
      <w:r w:rsidR="002E52B2" w:rsidRPr="674DC236">
        <w:rPr>
          <w:rFonts w:ascii="Arial" w:hAnsi="Arial" w:cs="Arial"/>
          <w:color w:val="000000" w:themeColor="text1"/>
          <w:sz w:val="22"/>
          <w:szCs w:val="22"/>
        </w:rPr>
        <w:t>14,790,594</w:t>
      </w:r>
    </w:p>
    <w:p w14:paraId="10272EB8" w14:textId="7D874A3C" w:rsidR="00E47A74" w:rsidRPr="00D10163" w:rsidRDefault="4868905F" w:rsidP="674DC236">
      <w:pPr>
        <w:pStyle w:val="ListParagraph"/>
        <w:numPr>
          <w:ilvl w:val="2"/>
          <w:numId w:val="6"/>
        </w:numPr>
        <w:spacing w:after="120"/>
        <w:ind w:firstLine="113"/>
        <w:rPr>
          <w:rFonts w:ascii="Arial" w:hAnsi="Arial" w:cs="Arial"/>
          <w:sz w:val="22"/>
          <w:szCs w:val="22"/>
        </w:rPr>
      </w:pPr>
      <w:r w:rsidRPr="674DC236">
        <w:rPr>
          <w:rFonts w:ascii="Arial" w:hAnsi="Arial" w:cs="Arial"/>
          <w:sz w:val="22"/>
          <w:szCs w:val="22"/>
        </w:rPr>
        <w:t>Lot 4: Swindon and Wiltshire</w:t>
      </w:r>
      <w:r w:rsidR="483AAD2A" w:rsidRPr="674DC236">
        <w:rPr>
          <w:rFonts w:ascii="Arial" w:hAnsi="Arial" w:cs="Arial"/>
          <w:sz w:val="22"/>
          <w:szCs w:val="22"/>
        </w:rPr>
        <w:t xml:space="preserve"> - £</w:t>
      </w:r>
      <w:r w:rsidR="00FE5697" w:rsidRPr="674DC236">
        <w:rPr>
          <w:rFonts w:ascii="Arial" w:hAnsi="Arial" w:cs="Arial"/>
          <w:color w:val="000000" w:themeColor="text1"/>
          <w:sz w:val="22"/>
          <w:szCs w:val="22"/>
        </w:rPr>
        <w:t>4,366,59</w:t>
      </w:r>
      <w:r w:rsidR="72AD9D48" w:rsidRPr="674DC236">
        <w:rPr>
          <w:rFonts w:ascii="Arial" w:hAnsi="Arial" w:cs="Arial"/>
          <w:color w:val="000000" w:themeColor="text1"/>
          <w:sz w:val="22"/>
          <w:szCs w:val="22"/>
        </w:rPr>
        <w:t>4</w:t>
      </w:r>
    </w:p>
    <w:p w14:paraId="68699800" w14:textId="323CE833" w:rsidR="00E47A74" w:rsidRPr="00D10163" w:rsidRDefault="4868905F" w:rsidP="674DC236">
      <w:pPr>
        <w:pStyle w:val="ListParagraph"/>
        <w:numPr>
          <w:ilvl w:val="2"/>
          <w:numId w:val="6"/>
        </w:numPr>
        <w:spacing w:after="120"/>
        <w:ind w:firstLine="113"/>
        <w:rPr>
          <w:rFonts w:ascii="Arial" w:hAnsi="Arial" w:cs="Arial"/>
          <w:sz w:val="22"/>
          <w:szCs w:val="22"/>
        </w:rPr>
      </w:pPr>
      <w:r w:rsidRPr="674DC236">
        <w:rPr>
          <w:rFonts w:ascii="Arial" w:hAnsi="Arial" w:cs="Arial"/>
          <w:sz w:val="22"/>
          <w:szCs w:val="22"/>
        </w:rPr>
        <w:t>Lot 5: Dorset</w:t>
      </w:r>
      <w:r w:rsidR="713A5269" w:rsidRPr="674DC236">
        <w:rPr>
          <w:rFonts w:ascii="Arial" w:hAnsi="Arial" w:cs="Arial"/>
          <w:sz w:val="22"/>
          <w:szCs w:val="22"/>
        </w:rPr>
        <w:t xml:space="preserve"> - £</w:t>
      </w:r>
      <w:r w:rsidR="00D10163" w:rsidRPr="674DC236">
        <w:rPr>
          <w:rFonts w:ascii="Arial" w:hAnsi="Arial" w:cs="Arial"/>
          <w:color w:val="000000" w:themeColor="text1"/>
          <w:sz w:val="22"/>
          <w:szCs w:val="22"/>
        </w:rPr>
        <w:t>5,286,901</w:t>
      </w:r>
    </w:p>
    <w:p w14:paraId="5DE0BC7C" w14:textId="4E41D750" w:rsidR="00E47A74" w:rsidRPr="00D10163" w:rsidRDefault="60D05216" w:rsidP="674DC236">
      <w:pPr>
        <w:pStyle w:val="ListParagraph"/>
        <w:numPr>
          <w:ilvl w:val="2"/>
          <w:numId w:val="6"/>
        </w:numPr>
        <w:spacing w:after="120"/>
        <w:ind w:firstLine="113"/>
        <w:rPr>
          <w:rFonts w:ascii="Arial" w:hAnsi="Arial" w:cs="Arial"/>
          <w:sz w:val="22"/>
          <w:szCs w:val="22"/>
        </w:rPr>
      </w:pPr>
      <w:r w:rsidRPr="674DC236">
        <w:rPr>
          <w:rFonts w:ascii="Arial" w:hAnsi="Arial" w:cs="Arial"/>
          <w:sz w:val="22"/>
          <w:szCs w:val="22"/>
        </w:rPr>
        <w:t>Lot 6: Cornwall</w:t>
      </w:r>
      <w:r w:rsidR="708223ED" w:rsidRPr="674DC236">
        <w:rPr>
          <w:rFonts w:ascii="Arial" w:hAnsi="Arial" w:cs="Arial"/>
          <w:sz w:val="22"/>
          <w:szCs w:val="22"/>
        </w:rPr>
        <w:t xml:space="preserve"> and Isles of </w:t>
      </w:r>
      <w:r w:rsidR="15F40EA5" w:rsidRPr="674DC236">
        <w:rPr>
          <w:rFonts w:ascii="Arial" w:hAnsi="Arial" w:cs="Arial"/>
          <w:sz w:val="22"/>
          <w:szCs w:val="22"/>
        </w:rPr>
        <w:t>Scilly</w:t>
      </w:r>
      <w:r w:rsidR="3633B1A7" w:rsidRPr="674DC236">
        <w:rPr>
          <w:rFonts w:ascii="Arial" w:hAnsi="Arial" w:cs="Arial"/>
          <w:sz w:val="22"/>
          <w:szCs w:val="22"/>
        </w:rPr>
        <w:t xml:space="preserve"> - £</w:t>
      </w:r>
      <w:r w:rsidR="00954DB7" w:rsidRPr="674DC236">
        <w:rPr>
          <w:rFonts w:ascii="Arial" w:hAnsi="Arial" w:cs="Arial"/>
          <w:color w:val="000000" w:themeColor="text1"/>
          <w:sz w:val="22"/>
          <w:szCs w:val="22"/>
        </w:rPr>
        <w:t>6,082,1</w:t>
      </w:r>
      <w:r w:rsidR="685BCF46" w:rsidRPr="674DC236">
        <w:rPr>
          <w:rFonts w:ascii="Arial" w:hAnsi="Arial" w:cs="Arial"/>
          <w:color w:val="000000" w:themeColor="text1"/>
          <w:sz w:val="22"/>
          <w:szCs w:val="22"/>
        </w:rPr>
        <w:t>20</w:t>
      </w:r>
    </w:p>
    <w:p w14:paraId="3D2B79B7" w14:textId="2020B047" w:rsidR="00EB3B59" w:rsidRPr="009B75C2" w:rsidRDefault="4868905F" w:rsidP="674DC236">
      <w:pPr>
        <w:pStyle w:val="ListParagraph"/>
        <w:numPr>
          <w:ilvl w:val="2"/>
          <w:numId w:val="6"/>
        </w:numPr>
        <w:spacing w:after="120"/>
        <w:ind w:firstLine="113"/>
        <w:rPr>
          <w:rFonts w:cs="Arial"/>
          <w:sz w:val="22"/>
          <w:szCs w:val="22"/>
        </w:rPr>
      </w:pPr>
      <w:r w:rsidRPr="674DC236">
        <w:rPr>
          <w:rFonts w:ascii="Arial" w:hAnsi="Arial" w:cs="Arial"/>
          <w:sz w:val="22"/>
          <w:szCs w:val="22"/>
        </w:rPr>
        <w:t xml:space="preserve">Lot 7: </w:t>
      </w:r>
      <w:r w:rsidR="1EF4D3C0" w:rsidRPr="674DC236">
        <w:rPr>
          <w:rFonts w:ascii="Arial" w:hAnsi="Arial" w:cs="Arial"/>
          <w:sz w:val="22"/>
          <w:szCs w:val="22"/>
        </w:rPr>
        <w:t>Solent</w:t>
      </w:r>
      <w:r w:rsidR="1C09F1E2" w:rsidRPr="674DC236">
        <w:rPr>
          <w:rFonts w:ascii="Arial" w:hAnsi="Arial" w:cs="Arial"/>
          <w:sz w:val="22"/>
          <w:szCs w:val="22"/>
        </w:rPr>
        <w:t xml:space="preserve"> - £</w:t>
      </w:r>
      <w:r w:rsidR="00E8727B" w:rsidRPr="674DC236">
        <w:rPr>
          <w:rFonts w:ascii="Arial" w:hAnsi="Arial" w:cs="Arial"/>
          <w:color w:val="000000" w:themeColor="text1"/>
          <w:sz w:val="22"/>
          <w:szCs w:val="22"/>
        </w:rPr>
        <w:t>8,615,20</w:t>
      </w:r>
      <w:r w:rsidR="7F29B434" w:rsidRPr="674DC236">
        <w:rPr>
          <w:rFonts w:ascii="Arial" w:hAnsi="Arial" w:cs="Arial"/>
          <w:color w:val="000000" w:themeColor="text1"/>
          <w:sz w:val="22"/>
          <w:szCs w:val="22"/>
        </w:rPr>
        <w:t>8</w:t>
      </w:r>
    </w:p>
    <w:p w14:paraId="211748C5" w14:textId="77777777" w:rsidR="005D26DE" w:rsidRPr="00125E6E" w:rsidRDefault="005D26DE" w:rsidP="009B75C2">
      <w:pPr>
        <w:pStyle w:val="ListParagraph"/>
        <w:spacing w:after="120"/>
        <w:ind w:left="1134"/>
        <w:rPr>
          <w:rFonts w:cs="Arial"/>
          <w:sz w:val="22"/>
          <w:szCs w:val="22"/>
        </w:rPr>
      </w:pPr>
    </w:p>
    <w:p w14:paraId="0E8893D3" w14:textId="68326D17" w:rsidR="00D24F66" w:rsidRPr="000804D0" w:rsidRDefault="00D24F66" w:rsidP="009B75C2">
      <w:pPr>
        <w:pStyle w:val="ListParagraph"/>
        <w:numPr>
          <w:ilvl w:val="1"/>
          <w:numId w:val="6"/>
        </w:numPr>
        <w:spacing w:after="120"/>
        <w:rPr>
          <w:rFonts w:ascii="Arial" w:hAnsi="Arial" w:cs="Arial"/>
          <w:sz w:val="22"/>
          <w:szCs w:val="22"/>
        </w:rPr>
      </w:pPr>
      <w:r w:rsidRPr="000804D0">
        <w:rPr>
          <w:rFonts w:ascii="Arial" w:hAnsi="Arial" w:cs="Arial"/>
          <w:color w:val="000000" w:themeColor="text1"/>
          <w:sz w:val="22"/>
          <w:szCs w:val="22"/>
        </w:rPr>
        <w:t xml:space="preserve">There is an expectation that installations will be made in each of the local authority areas that make up the </w:t>
      </w:r>
      <w:r w:rsidR="005D26DE">
        <w:rPr>
          <w:rFonts w:ascii="Arial" w:hAnsi="Arial" w:cs="Arial"/>
          <w:color w:val="000000" w:themeColor="text1"/>
          <w:sz w:val="22"/>
          <w:szCs w:val="22"/>
        </w:rPr>
        <w:t xml:space="preserve">Lot Area. </w:t>
      </w:r>
      <w:r w:rsidR="000804D0" w:rsidRPr="000804D0">
        <w:rPr>
          <w:rFonts w:ascii="Arial" w:hAnsi="Arial" w:cs="Arial"/>
          <w:color w:val="000000" w:themeColor="text1"/>
          <w:sz w:val="22"/>
          <w:szCs w:val="22"/>
        </w:rPr>
        <w:t xml:space="preserve"> </w:t>
      </w:r>
    </w:p>
    <w:p w14:paraId="3D2B79BA" w14:textId="77777777" w:rsidR="00EB3B59" w:rsidRPr="004C4CB4" w:rsidRDefault="00EB3B59" w:rsidP="00EB3B59">
      <w:pPr>
        <w:pStyle w:val="ListParagraph"/>
        <w:spacing w:after="120"/>
        <w:ind w:left="1134"/>
        <w:rPr>
          <w:rFonts w:ascii="Arial" w:hAnsi="Arial" w:cs="Arial"/>
          <w:sz w:val="22"/>
          <w:szCs w:val="22"/>
        </w:rPr>
      </w:pPr>
    </w:p>
    <w:p w14:paraId="3D2B79BB" w14:textId="365D3741" w:rsidR="006B3E50" w:rsidRPr="004C4CB4" w:rsidRDefault="006B3E50" w:rsidP="7F53D888">
      <w:pPr>
        <w:pStyle w:val="ListParagraph"/>
        <w:numPr>
          <w:ilvl w:val="0"/>
          <w:numId w:val="6"/>
        </w:numPr>
        <w:spacing w:after="120"/>
        <w:rPr>
          <w:rFonts w:ascii="Arial" w:hAnsi="Arial" w:cs="Arial"/>
          <w:b/>
          <w:bCs/>
          <w:sz w:val="22"/>
          <w:szCs w:val="22"/>
        </w:rPr>
      </w:pPr>
      <w:r w:rsidRPr="7F53D888">
        <w:rPr>
          <w:rFonts w:ascii="Arial" w:hAnsi="Arial" w:cs="Arial"/>
          <w:b/>
          <w:bCs/>
          <w:sz w:val="22"/>
          <w:szCs w:val="22"/>
        </w:rPr>
        <w:t xml:space="preserve">Contract </w:t>
      </w:r>
      <w:r w:rsidR="0093710D" w:rsidRPr="7F53D888">
        <w:rPr>
          <w:rFonts w:ascii="Arial" w:hAnsi="Arial" w:cs="Arial"/>
          <w:b/>
          <w:bCs/>
          <w:sz w:val="22"/>
          <w:szCs w:val="22"/>
        </w:rPr>
        <w:t>period</w:t>
      </w:r>
      <w:r w:rsidRPr="7F53D888">
        <w:rPr>
          <w:rFonts w:ascii="Arial" w:hAnsi="Arial" w:cs="Arial"/>
          <w:b/>
          <w:bCs/>
          <w:sz w:val="22"/>
          <w:szCs w:val="22"/>
        </w:rPr>
        <w:t xml:space="preserve"> – </w:t>
      </w:r>
      <w:r w:rsidR="003F1177" w:rsidRPr="7F53D888">
        <w:rPr>
          <w:rFonts w:ascii="Arial" w:hAnsi="Arial" w:cs="Arial"/>
          <w:b/>
          <w:bCs/>
          <w:sz w:val="22"/>
          <w:szCs w:val="22"/>
        </w:rPr>
        <w:t xml:space="preserve">1 </w:t>
      </w:r>
      <w:r w:rsidRPr="7F53D888">
        <w:rPr>
          <w:rFonts w:ascii="Arial" w:hAnsi="Arial" w:cs="Arial"/>
          <w:b/>
          <w:bCs/>
          <w:sz w:val="22"/>
          <w:szCs w:val="22"/>
        </w:rPr>
        <w:t>year (</w:t>
      </w:r>
      <w:r w:rsidR="740B10D6" w:rsidRPr="7F53D888">
        <w:rPr>
          <w:rFonts w:ascii="Arial" w:hAnsi="Arial" w:cs="Arial"/>
          <w:b/>
          <w:bCs/>
          <w:sz w:val="22"/>
          <w:szCs w:val="22"/>
        </w:rPr>
        <w:t>with three, one-year optional extensions</w:t>
      </w:r>
      <w:r w:rsidRPr="7F53D888">
        <w:rPr>
          <w:rFonts w:ascii="Arial" w:hAnsi="Arial" w:cs="Arial"/>
          <w:b/>
          <w:bCs/>
          <w:sz w:val="22"/>
          <w:szCs w:val="22"/>
        </w:rPr>
        <w:t>)</w:t>
      </w:r>
    </w:p>
    <w:p w14:paraId="3D2B79BC" w14:textId="7D2F3C80" w:rsidR="00267725" w:rsidRDefault="00D035F2" w:rsidP="00267725">
      <w:pPr>
        <w:pStyle w:val="ListParagraph"/>
        <w:numPr>
          <w:ilvl w:val="1"/>
          <w:numId w:val="6"/>
        </w:numPr>
        <w:spacing w:after="120"/>
        <w:rPr>
          <w:rFonts w:ascii="Arial" w:hAnsi="Arial" w:cs="Arial"/>
          <w:sz w:val="22"/>
          <w:szCs w:val="22"/>
        </w:rPr>
      </w:pPr>
      <w:r w:rsidRPr="674DC236">
        <w:rPr>
          <w:rFonts w:ascii="Arial" w:hAnsi="Arial" w:cs="Arial"/>
          <w:sz w:val="22"/>
          <w:szCs w:val="22"/>
        </w:rPr>
        <w:t>The init</w:t>
      </w:r>
      <w:r w:rsidR="0093710D" w:rsidRPr="674DC236">
        <w:rPr>
          <w:rFonts w:ascii="Arial" w:hAnsi="Arial" w:cs="Arial"/>
          <w:sz w:val="22"/>
          <w:szCs w:val="22"/>
        </w:rPr>
        <w:t xml:space="preserve">ial </w:t>
      </w:r>
      <w:r w:rsidR="005D26DE">
        <w:rPr>
          <w:rFonts w:ascii="Arial" w:hAnsi="Arial" w:cs="Arial"/>
          <w:sz w:val="22"/>
          <w:szCs w:val="22"/>
        </w:rPr>
        <w:t>c</w:t>
      </w:r>
      <w:r w:rsidR="005D26DE" w:rsidRPr="674DC236">
        <w:rPr>
          <w:rFonts w:ascii="Arial" w:hAnsi="Arial" w:cs="Arial"/>
          <w:sz w:val="22"/>
          <w:szCs w:val="22"/>
        </w:rPr>
        <w:t xml:space="preserve">ontract </w:t>
      </w:r>
      <w:r w:rsidR="0093710D" w:rsidRPr="674DC236">
        <w:rPr>
          <w:rFonts w:ascii="Arial" w:hAnsi="Arial" w:cs="Arial"/>
          <w:sz w:val="22"/>
          <w:szCs w:val="22"/>
        </w:rPr>
        <w:t>period</w:t>
      </w:r>
      <w:r w:rsidR="00F61081" w:rsidRPr="674DC236">
        <w:rPr>
          <w:rFonts w:ascii="Arial" w:hAnsi="Arial" w:cs="Arial"/>
          <w:sz w:val="22"/>
          <w:szCs w:val="22"/>
        </w:rPr>
        <w:t xml:space="preserve"> is </w:t>
      </w:r>
      <w:r w:rsidR="003F1177" w:rsidRPr="674DC236">
        <w:rPr>
          <w:rFonts w:ascii="Arial" w:hAnsi="Arial" w:cs="Arial"/>
          <w:sz w:val="22"/>
          <w:szCs w:val="22"/>
        </w:rPr>
        <w:t>f</w:t>
      </w:r>
      <w:r w:rsidR="10BF223E" w:rsidRPr="674DC236">
        <w:rPr>
          <w:rFonts w:ascii="Arial" w:hAnsi="Arial" w:cs="Arial"/>
          <w:sz w:val="22"/>
          <w:szCs w:val="22"/>
        </w:rPr>
        <w:t xml:space="preserve">rom the date of award </w:t>
      </w:r>
      <w:r w:rsidR="03717C7C" w:rsidRPr="674DC236">
        <w:rPr>
          <w:rFonts w:ascii="Arial" w:hAnsi="Arial" w:cs="Arial"/>
          <w:sz w:val="22"/>
          <w:szCs w:val="22"/>
        </w:rPr>
        <w:t>for 12 months,</w:t>
      </w:r>
      <w:r w:rsidR="5639667D" w:rsidRPr="674DC236">
        <w:rPr>
          <w:rFonts w:ascii="Arial" w:hAnsi="Arial" w:cs="Arial"/>
          <w:sz w:val="22"/>
          <w:szCs w:val="22"/>
        </w:rPr>
        <w:t xml:space="preserve"> by which point i</w:t>
      </w:r>
      <w:r w:rsidR="2D5E02FA" w:rsidRPr="674DC236">
        <w:rPr>
          <w:rFonts w:ascii="Arial" w:hAnsi="Arial" w:cs="Arial"/>
          <w:sz w:val="22"/>
          <w:szCs w:val="22"/>
        </w:rPr>
        <w:t>nstallation measures will be complete</w:t>
      </w:r>
      <w:r w:rsidR="52F57925" w:rsidRPr="674DC236">
        <w:rPr>
          <w:rFonts w:ascii="Arial" w:hAnsi="Arial" w:cs="Arial"/>
          <w:sz w:val="22"/>
          <w:szCs w:val="22"/>
        </w:rPr>
        <w:t xml:space="preserve">. Should further funding become </w:t>
      </w:r>
      <w:r w:rsidR="38CD7133" w:rsidRPr="674DC236">
        <w:rPr>
          <w:rFonts w:ascii="Arial" w:hAnsi="Arial" w:cs="Arial"/>
          <w:sz w:val="22"/>
          <w:szCs w:val="22"/>
        </w:rPr>
        <w:t>available</w:t>
      </w:r>
      <w:r w:rsidR="52F57925" w:rsidRPr="674DC236">
        <w:rPr>
          <w:rFonts w:ascii="Arial" w:hAnsi="Arial" w:cs="Arial"/>
          <w:sz w:val="22"/>
          <w:szCs w:val="22"/>
        </w:rPr>
        <w:t xml:space="preserve"> </w:t>
      </w:r>
      <w:r w:rsidR="46CB6D90" w:rsidRPr="674DC236">
        <w:rPr>
          <w:rFonts w:ascii="Arial" w:hAnsi="Arial" w:cs="Arial"/>
          <w:sz w:val="22"/>
          <w:szCs w:val="22"/>
        </w:rPr>
        <w:t>t</w:t>
      </w:r>
      <w:r w:rsidR="0093710D" w:rsidRPr="674DC236">
        <w:rPr>
          <w:rFonts w:ascii="Arial" w:hAnsi="Arial" w:cs="Arial"/>
          <w:sz w:val="22"/>
          <w:szCs w:val="22"/>
        </w:rPr>
        <w:t xml:space="preserve">he </w:t>
      </w:r>
      <w:r w:rsidR="0052184B">
        <w:rPr>
          <w:rFonts w:ascii="Arial" w:hAnsi="Arial" w:cs="Arial"/>
          <w:sz w:val="22"/>
          <w:szCs w:val="22"/>
        </w:rPr>
        <w:t xml:space="preserve">agreement </w:t>
      </w:r>
      <w:r w:rsidRPr="674DC236">
        <w:rPr>
          <w:rFonts w:ascii="Arial" w:hAnsi="Arial" w:cs="Arial"/>
          <w:sz w:val="22"/>
          <w:szCs w:val="22"/>
        </w:rPr>
        <w:t xml:space="preserve">may be extended by a further </w:t>
      </w:r>
      <w:r w:rsidR="000723E3" w:rsidRPr="674DC236">
        <w:rPr>
          <w:rFonts w:ascii="Arial" w:hAnsi="Arial" w:cs="Arial"/>
          <w:sz w:val="22"/>
          <w:szCs w:val="22"/>
        </w:rPr>
        <w:t>year at a time</w:t>
      </w:r>
      <w:r w:rsidRPr="674DC236">
        <w:rPr>
          <w:rFonts w:ascii="Arial" w:hAnsi="Arial" w:cs="Arial"/>
          <w:sz w:val="22"/>
          <w:szCs w:val="22"/>
        </w:rPr>
        <w:t xml:space="preserve"> at the sole discretion of the </w:t>
      </w:r>
      <w:r w:rsidR="092E75A9" w:rsidRPr="674DC236">
        <w:rPr>
          <w:rFonts w:ascii="Arial" w:hAnsi="Arial" w:cs="Arial"/>
          <w:sz w:val="22"/>
          <w:szCs w:val="22"/>
        </w:rPr>
        <w:t>Authority</w:t>
      </w:r>
      <w:r w:rsidR="261DE029" w:rsidRPr="674DC236">
        <w:rPr>
          <w:rFonts w:ascii="Arial" w:hAnsi="Arial" w:cs="Arial"/>
          <w:sz w:val="22"/>
          <w:szCs w:val="22"/>
        </w:rPr>
        <w:t xml:space="preserve">, </w:t>
      </w:r>
      <w:r w:rsidR="777F3F39" w:rsidRPr="00E94C77">
        <w:rPr>
          <w:rFonts w:ascii="Arial" w:hAnsi="Arial" w:cs="Arial"/>
          <w:sz w:val="22"/>
          <w:szCs w:val="22"/>
        </w:rPr>
        <w:t xml:space="preserve">and </w:t>
      </w:r>
      <w:r w:rsidR="261DE029" w:rsidRPr="00E94C77">
        <w:rPr>
          <w:rFonts w:ascii="Arial" w:hAnsi="Arial" w:cs="Arial"/>
          <w:sz w:val="22"/>
          <w:szCs w:val="22"/>
        </w:rPr>
        <w:t>with mutual agreement with the Delivery Organisation,</w:t>
      </w:r>
      <w:r w:rsidRPr="00E94C77">
        <w:rPr>
          <w:rFonts w:ascii="Arial" w:hAnsi="Arial" w:cs="Arial"/>
          <w:sz w:val="22"/>
          <w:szCs w:val="22"/>
        </w:rPr>
        <w:t xml:space="preserve"> </w:t>
      </w:r>
      <w:r w:rsidR="00F61081" w:rsidRPr="00E94C77">
        <w:rPr>
          <w:rFonts w:ascii="Arial" w:hAnsi="Arial" w:cs="Arial"/>
          <w:sz w:val="22"/>
          <w:szCs w:val="22"/>
        </w:rPr>
        <w:t>in the form of a single</w:t>
      </w:r>
      <w:r w:rsidRPr="00E94C77">
        <w:rPr>
          <w:rFonts w:ascii="Arial" w:hAnsi="Arial" w:cs="Arial"/>
          <w:sz w:val="22"/>
          <w:szCs w:val="22"/>
        </w:rPr>
        <w:t xml:space="preserve"> or multiple number </w:t>
      </w:r>
      <w:r w:rsidR="007800C6" w:rsidRPr="00E94C77">
        <w:rPr>
          <w:rFonts w:ascii="Arial" w:hAnsi="Arial" w:cs="Arial"/>
          <w:sz w:val="22"/>
          <w:szCs w:val="22"/>
        </w:rPr>
        <w:t xml:space="preserve">of </w:t>
      </w:r>
      <w:r w:rsidR="0052184B" w:rsidRPr="00C078CC">
        <w:rPr>
          <w:rFonts w:ascii="Arial" w:hAnsi="Arial" w:cs="Arial"/>
          <w:sz w:val="22"/>
          <w:szCs w:val="22"/>
        </w:rPr>
        <w:t>c</w:t>
      </w:r>
      <w:r w:rsidRPr="00C078CC">
        <w:rPr>
          <w:rFonts w:ascii="Arial" w:hAnsi="Arial" w:cs="Arial"/>
          <w:sz w:val="22"/>
          <w:szCs w:val="22"/>
        </w:rPr>
        <w:t>ontract extensions.</w:t>
      </w:r>
      <w:r w:rsidRPr="674DC236">
        <w:rPr>
          <w:rFonts w:ascii="Arial" w:hAnsi="Arial" w:cs="Arial"/>
          <w:sz w:val="22"/>
          <w:szCs w:val="22"/>
        </w:rPr>
        <w:t xml:space="preserve"> </w:t>
      </w:r>
      <w:r w:rsidR="00267725" w:rsidRPr="674DC236">
        <w:rPr>
          <w:rFonts w:ascii="Arial" w:hAnsi="Arial" w:cs="Arial"/>
          <w:sz w:val="22"/>
          <w:szCs w:val="22"/>
        </w:rPr>
        <w:t xml:space="preserve"> </w:t>
      </w:r>
      <w:r w:rsidR="0093710D" w:rsidRPr="674DC236">
        <w:rPr>
          <w:rFonts w:ascii="Arial" w:hAnsi="Arial" w:cs="Arial"/>
          <w:sz w:val="22"/>
          <w:szCs w:val="22"/>
        </w:rPr>
        <w:t xml:space="preserve">In total, the </w:t>
      </w:r>
      <w:r w:rsidR="0052184B">
        <w:rPr>
          <w:rFonts w:ascii="Arial" w:hAnsi="Arial" w:cs="Arial"/>
          <w:sz w:val="22"/>
          <w:szCs w:val="22"/>
        </w:rPr>
        <w:t>c</w:t>
      </w:r>
      <w:r w:rsidRPr="674DC236">
        <w:rPr>
          <w:rFonts w:ascii="Arial" w:hAnsi="Arial" w:cs="Arial"/>
          <w:sz w:val="22"/>
          <w:szCs w:val="22"/>
        </w:rPr>
        <w:t xml:space="preserve">ontract </w:t>
      </w:r>
      <w:r w:rsidR="0093710D" w:rsidRPr="674DC236">
        <w:rPr>
          <w:rFonts w:ascii="Arial" w:hAnsi="Arial" w:cs="Arial"/>
          <w:sz w:val="22"/>
          <w:szCs w:val="22"/>
        </w:rPr>
        <w:t>period</w:t>
      </w:r>
      <w:r w:rsidRPr="674DC236">
        <w:rPr>
          <w:rFonts w:ascii="Arial" w:hAnsi="Arial" w:cs="Arial"/>
          <w:sz w:val="22"/>
          <w:szCs w:val="22"/>
        </w:rPr>
        <w:t xml:space="preserve"> shall be no more than </w:t>
      </w:r>
      <w:r w:rsidR="00216F2D" w:rsidRPr="674DC236">
        <w:rPr>
          <w:rFonts w:ascii="Arial" w:hAnsi="Arial" w:cs="Arial"/>
          <w:sz w:val="22"/>
          <w:szCs w:val="22"/>
        </w:rPr>
        <w:t xml:space="preserve">four </w:t>
      </w:r>
      <w:r w:rsidRPr="674DC236">
        <w:rPr>
          <w:rFonts w:ascii="Arial" w:hAnsi="Arial" w:cs="Arial"/>
          <w:sz w:val="22"/>
          <w:szCs w:val="22"/>
        </w:rPr>
        <w:t>years.</w:t>
      </w:r>
    </w:p>
    <w:p w14:paraId="5E5B720C" w14:textId="1BECC9B6" w:rsidR="002F7128" w:rsidRDefault="00C7192C" w:rsidP="00267725">
      <w:pPr>
        <w:pStyle w:val="ListParagraph"/>
        <w:numPr>
          <w:ilvl w:val="1"/>
          <w:numId w:val="6"/>
        </w:numPr>
        <w:spacing w:after="120"/>
        <w:rPr>
          <w:rFonts w:ascii="Arial" w:hAnsi="Arial" w:cs="Arial"/>
          <w:sz w:val="22"/>
          <w:szCs w:val="22"/>
        </w:rPr>
      </w:pPr>
      <w:r>
        <w:rPr>
          <w:rFonts w:ascii="Arial" w:hAnsi="Arial" w:cs="Arial"/>
          <w:sz w:val="22"/>
          <w:szCs w:val="22"/>
        </w:rPr>
        <w:t xml:space="preserve">Installations must be </w:t>
      </w:r>
      <w:r w:rsidR="008800BB">
        <w:rPr>
          <w:rFonts w:ascii="Arial" w:hAnsi="Arial" w:cs="Arial"/>
          <w:sz w:val="22"/>
          <w:szCs w:val="22"/>
        </w:rPr>
        <w:t>completed by 31</w:t>
      </w:r>
      <w:r w:rsidR="008800BB" w:rsidRPr="008800BB">
        <w:rPr>
          <w:rFonts w:ascii="Arial" w:hAnsi="Arial" w:cs="Arial"/>
          <w:sz w:val="22"/>
          <w:szCs w:val="22"/>
          <w:vertAlign w:val="superscript"/>
        </w:rPr>
        <w:t>st</w:t>
      </w:r>
      <w:r w:rsidR="008800BB">
        <w:rPr>
          <w:rFonts w:ascii="Arial" w:hAnsi="Arial" w:cs="Arial"/>
          <w:sz w:val="22"/>
          <w:szCs w:val="22"/>
        </w:rPr>
        <w:t xml:space="preserve"> December 2021</w:t>
      </w:r>
      <w:r w:rsidR="004A4081">
        <w:rPr>
          <w:rFonts w:ascii="Arial" w:hAnsi="Arial" w:cs="Arial"/>
          <w:sz w:val="22"/>
          <w:szCs w:val="22"/>
        </w:rPr>
        <w:t>.</w:t>
      </w:r>
    </w:p>
    <w:p w14:paraId="3D2B79BD" w14:textId="77777777" w:rsidR="00FC01DC" w:rsidRPr="00FC01DC" w:rsidRDefault="00FC01DC" w:rsidP="00FC01DC">
      <w:pPr>
        <w:pStyle w:val="ListParagraph"/>
        <w:spacing w:after="120"/>
        <w:ind w:left="1134"/>
        <w:rPr>
          <w:rFonts w:ascii="Arial" w:hAnsi="Arial" w:cs="Arial"/>
          <w:sz w:val="22"/>
          <w:szCs w:val="22"/>
        </w:rPr>
      </w:pPr>
    </w:p>
    <w:p w14:paraId="3D2B79BE" w14:textId="55B850FF" w:rsidR="006B3E50" w:rsidRPr="004A4583" w:rsidRDefault="00EE5C23" w:rsidP="007F7A04">
      <w:pPr>
        <w:pStyle w:val="ListParagraph"/>
        <w:numPr>
          <w:ilvl w:val="0"/>
          <w:numId w:val="6"/>
        </w:numPr>
        <w:spacing w:after="120"/>
        <w:rPr>
          <w:rFonts w:ascii="Arial" w:eastAsia="Arial" w:hAnsi="Arial" w:cs="Arial"/>
          <w:b/>
          <w:bCs/>
          <w:sz w:val="22"/>
          <w:szCs w:val="22"/>
        </w:rPr>
      </w:pPr>
      <w:r w:rsidRPr="004A4583">
        <w:rPr>
          <w:rFonts w:ascii="Arial" w:hAnsi="Arial" w:cs="Arial"/>
          <w:b/>
          <w:bCs/>
          <w:sz w:val="22"/>
          <w:szCs w:val="22"/>
        </w:rPr>
        <w:t>Total c</w:t>
      </w:r>
      <w:r w:rsidR="006B3E50" w:rsidRPr="004A4583">
        <w:rPr>
          <w:rFonts w:ascii="Arial" w:hAnsi="Arial" w:cs="Arial"/>
          <w:b/>
          <w:bCs/>
          <w:sz w:val="22"/>
          <w:szCs w:val="22"/>
        </w:rPr>
        <w:t>ontract value –</w:t>
      </w:r>
      <w:r w:rsidR="00F52E04" w:rsidRPr="004A4583">
        <w:rPr>
          <w:rFonts w:ascii="Arial" w:hAnsi="Arial" w:cs="Arial"/>
          <w:b/>
          <w:bCs/>
          <w:sz w:val="22"/>
          <w:szCs w:val="22"/>
        </w:rPr>
        <w:t xml:space="preserve"> </w:t>
      </w:r>
      <w:r w:rsidR="450D92FF" w:rsidRPr="004A4583">
        <w:rPr>
          <w:rFonts w:ascii="Arial" w:eastAsia="Arial" w:hAnsi="Arial" w:cs="Arial"/>
          <w:sz w:val="22"/>
          <w:szCs w:val="22"/>
        </w:rPr>
        <w:t>£</w:t>
      </w:r>
      <w:r w:rsidR="450D92FF" w:rsidRPr="004A4583">
        <w:rPr>
          <w:rFonts w:ascii="Arial" w:eastAsia="Arial" w:hAnsi="Arial" w:cs="Arial"/>
          <w:b/>
          <w:bCs/>
          <w:sz w:val="22"/>
          <w:szCs w:val="22"/>
        </w:rPr>
        <w:t>51,170,750</w:t>
      </w:r>
      <w:r w:rsidR="00941784" w:rsidRPr="004A4583">
        <w:rPr>
          <w:rFonts w:ascii="Arial" w:hAnsi="Arial" w:cs="Arial"/>
          <w:b/>
          <w:bCs/>
          <w:sz w:val="22"/>
          <w:szCs w:val="22"/>
        </w:rPr>
        <w:t xml:space="preserve"> </w:t>
      </w:r>
      <w:r w:rsidR="006B3E50" w:rsidRPr="004A4583">
        <w:rPr>
          <w:rFonts w:ascii="Arial" w:hAnsi="Arial" w:cs="Arial"/>
          <w:b/>
          <w:bCs/>
          <w:sz w:val="22"/>
          <w:szCs w:val="22"/>
        </w:rPr>
        <w:t>million</w:t>
      </w:r>
      <w:r w:rsidR="0052184B" w:rsidRPr="004A4583">
        <w:rPr>
          <w:rFonts w:ascii="Arial" w:hAnsi="Arial" w:cs="Arial"/>
          <w:b/>
          <w:bCs/>
          <w:sz w:val="22"/>
          <w:szCs w:val="22"/>
        </w:rPr>
        <w:t xml:space="preserve"> </w:t>
      </w:r>
    </w:p>
    <w:p w14:paraId="39E4D64A" w14:textId="77777777" w:rsidR="000E4D57" w:rsidRPr="000E4D57" w:rsidRDefault="004A4583" w:rsidP="00A8381D">
      <w:pPr>
        <w:pStyle w:val="ListParagraph"/>
        <w:numPr>
          <w:ilvl w:val="1"/>
          <w:numId w:val="6"/>
        </w:numPr>
        <w:spacing w:after="120"/>
        <w:rPr>
          <w:rFonts w:ascii="Arial" w:eastAsia="Arial" w:hAnsi="Arial" w:cs="Arial"/>
          <w:sz w:val="22"/>
          <w:szCs w:val="22"/>
        </w:rPr>
      </w:pPr>
      <w:r>
        <w:rPr>
          <w:rFonts w:ascii="Arial" w:hAnsi="Arial" w:cs="Arial"/>
          <w:sz w:val="22"/>
          <w:szCs w:val="22"/>
        </w:rPr>
        <w:t xml:space="preserve">There are seven individual Contracts, the total value of which is </w:t>
      </w:r>
      <w:r w:rsidR="000E4D57">
        <w:rPr>
          <w:rFonts w:ascii="Arial" w:hAnsi="Arial" w:cs="Arial"/>
          <w:sz w:val="22"/>
          <w:szCs w:val="22"/>
        </w:rPr>
        <w:t>£51,170,750.00.</w:t>
      </w:r>
    </w:p>
    <w:p w14:paraId="56BBE779" w14:textId="4289C203" w:rsidR="009A35BC" w:rsidRPr="00941784" w:rsidRDefault="008C1EC7" w:rsidP="00A8381D">
      <w:pPr>
        <w:pStyle w:val="ListParagraph"/>
        <w:numPr>
          <w:ilvl w:val="1"/>
          <w:numId w:val="6"/>
        </w:numPr>
        <w:spacing w:after="120"/>
        <w:rPr>
          <w:rFonts w:ascii="Arial" w:eastAsia="Arial" w:hAnsi="Arial" w:cs="Arial"/>
          <w:sz w:val="22"/>
          <w:szCs w:val="22"/>
        </w:rPr>
      </w:pPr>
      <w:r w:rsidRPr="46B5BCA3">
        <w:rPr>
          <w:rFonts w:ascii="Arial" w:hAnsi="Arial" w:cs="Arial"/>
          <w:sz w:val="22"/>
          <w:szCs w:val="22"/>
        </w:rPr>
        <w:t xml:space="preserve">The </w:t>
      </w:r>
      <w:r w:rsidR="61D88190" w:rsidRPr="46B5BCA3">
        <w:rPr>
          <w:rFonts w:ascii="Arial" w:hAnsi="Arial" w:cs="Arial"/>
          <w:sz w:val="22"/>
          <w:szCs w:val="22"/>
        </w:rPr>
        <w:t xml:space="preserve">total </w:t>
      </w:r>
      <w:r w:rsidRPr="46B5BCA3">
        <w:rPr>
          <w:rFonts w:ascii="Arial" w:hAnsi="Arial" w:cs="Arial"/>
          <w:sz w:val="22"/>
          <w:szCs w:val="22"/>
        </w:rPr>
        <w:t xml:space="preserve">Contract value is based on the </w:t>
      </w:r>
      <w:r w:rsidR="00CE6576" w:rsidRPr="46B5BCA3">
        <w:rPr>
          <w:rFonts w:ascii="Arial" w:hAnsi="Arial" w:cs="Arial"/>
          <w:sz w:val="22"/>
          <w:szCs w:val="22"/>
        </w:rPr>
        <w:t xml:space="preserve">funding </w:t>
      </w:r>
      <w:r w:rsidR="000A66CA" w:rsidRPr="46B5BCA3">
        <w:rPr>
          <w:rFonts w:ascii="Arial" w:hAnsi="Arial" w:cs="Arial"/>
          <w:sz w:val="22"/>
          <w:szCs w:val="22"/>
        </w:rPr>
        <w:t>provided to the South West Energy Hub</w:t>
      </w:r>
      <w:r w:rsidR="0052184B">
        <w:rPr>
          <w:rFonts w:ascii="Arial" w:hAnsi="Arial" w:cs="Arial"/>
          <w:sz w:val="22"/>
          <w:szCs w:val="22"/>
        </w:rPr>
        <w:t xml:space="preserve">/the Authority </w:t>
      </w:r>
      <w:r w:rsidR="000A66CA" w:rsidRPr="46B5BCA3">
        <w:rPr>
          <w:rFonts w:ascii="Arial" w:hAnsi="Arial" w:cs="Arial"/>
          <w:sz w:val="22"/>
          <w:szCs w:val="22"/>
        </w:rPr>
        <w:t xml:space="preserve">by the Department of </w:t>
      </w:r>
      <w:r w:rsidR="001047E4" w:rsidRPr="46B5BCA3">
        <w:rPr>
          <w:rFonts w:ascii="Arial" w:hAnsi="Arial" w:cs="Arial"/>
          <w:sz w:val="22"/>
          <w:szCs w:val="22"/>
        </w:rPr>
        <w:t xml:space="preserve">Business </w:t>
      </w:r>
      <w:r w:rsidR="000A66CA" w:rsidRPr="46B5BCA3">
        <w:rPr>
          <w:rFonts w:ascii="Arial" w:hAnsi="Arial" w:cs="Arial"/>
          <w:sz w:val="22"/>
          <w:szCs w:val="22"/>
        </w:rPr>
        <w:t xml:space="preserve">Energy and Industrial Strategy (BEIS). </w:t>
      </w:r>
      <w:r w:rsidR="00ED0111" w:rsidRPr="46B5BCA3">
        <w:rPr>
          <w:rFonts w:ascii="Arial" w:hAnsi="Arial" w:cs="Arial"/>
          <w:sz w:val="22"/>
          <w:szCs w:val="22"/>
        </w:rPr>
        <w:t xml:space="preserve">The value </w:t>
      </w:r>
      <w:r w:rsidR="00C769F0" w:rsidRPr="46B5BCA3">
        <w:rPr>
          <w:rFonts w:ascii="Arial" w:hAnsi="Arial" w:cs="Arial"/>
          <w:sz w:val="22"/>
          <w:szCs w:val="22"/>
        </w:rPr>
        <w:t xml:space="preserve">allocated to each Lot is </w:t>
      </w:r>
      <w:r w:rsidR="00E4351C" w:rsidRPr="46B5BCA3">
        <w:rPr>
          <w:rFonts w:ascii="Arial" w:hAnsi="Arial" w:cs="Arial"/>
          <w:sz w:val="22"/>
          <w:szCs w:val="22"/>
        </w:rPr>
        <w:t xml:space="preserve">detailed under each Lot number/area and can be found in </w:t>
      </w:r>
      <w:r w:rsidR="00F831C0" w:rsidRPr="46B5BCA3">
        <w:rPr>
          <w:rFonts w:ascii="Arial" w:hAnsi="Arial" w:cs="Arial"/>
          <w:sz w:val="22"/>
          <w:szCs w:val="22"/>
        </w:rPr>
        <w:t xml:space="preserve">Document 4 </w:t>
      </w:r>
      <w:r w:rsidR="00E4351C" w:rsidRPr="46B5BCA3">
        <w:rPr>
          <w:rFonts w:ascii="Arial" w:hAnsi="Arial" w:cs="Arial"/>
          <w:sz w:val="22"/>
          <w:szCs w:val="22"/>
        </w:rPr>
        <w:t xml:space="preserve">Appendix </w:t>
      </w:r>
      <w:r w:rsidR="00F831C0" w:rsidRPr="46B5BCA3">
        <w:rPr>
          <w:rFonts w:ascii="Arial" w:hAnsi="Arial" w:cs="Arial"/>
          <w:sz w:val="22"/>
          <w:szCs w:val="22"/>
        </w:rPr>
        <w:t xml:space="preserve">1 Lot </w:t>
      </w:r>
      <w:r w:rsidR="004553BF" w:rsidRPr="46B5BCA3">
        <w:rPr>
          <w:rFonts w:ascii="Arial" w:hAnsi="Arial" w:cs="Arial"/>
          <w:sz w:val="22"/>
          <w:szCs w:val="22"/>
        </w:rPr>
        <w:t>Details</w:t>
      </w:r>
      <w:r w:rsidR="005B7CA7" w:rsidRPr="46B5BCA3">
        <w:rPr>
          <w:rFonts w:ascii="Arial" w:hAnsi="Arial" w:cs="Arial"/>
          <w:sz w:val="22"/>
          <w:szCs w:val="22"/>
        </w:rPr>
        <w:t xml:space="preserve">. The value of the Lot is </w:t>
      </w:r>
      <w:r w:rsidR="00C769F0" w:rsidRPr="46B5BCA3">
        <w:rPr>
          <w:rFonts w:ascii="Arial" w:hAnsi="Arial" w:cs="Arial"/>
          <w:sz w:val="22"/>
          <w:szCs w:val="22"/>
        </w:rPr>
        <w:t xml:space="preserve">representative of the </w:t>
      </w:r>
      <w:r w:rsidR="0058416C" w:rsidRPr="46B5BCA3">
        <w:rPr>
          <w:rFonts w:ascii="Arial" w:hAnsi="Arial" w:cs="Arial"/>
          <w:sz w:val="22"/>
          <w:szCs w:val="22"/>
        </w:rPr>
        <w:t>housing stock</w:t>
      </w:r>
      <w:r w:rsidR="002077F6" w:rsidRPr="46B5BCA3">
        <w:rPr>
          <w:rFonts w:ascii="Arial" w:hAnsi="Arial" w:cs="Arial"/>
          <w:sz w:val="22"/>
          <w:szCs w:val="22"/>
        </w:rPr>
        <w:t xml:space="preserve">, </w:t>
      </w:r>
      <w:r w:rsidR="008E70F9">
        <w:rPr>
          <w:rFonts w:ascii="Arial" w:hAnsi="Arial" w:cs="Arial"/>
          <w:sz w:val="22"/>
          <w:szCs w:val="22"/>
        </w:rPr>
        <w:t>quantity</w:t>
      </w:r>
      <w:r w:rsidR="00074EC5">
        <w:rPr>
          <w:rFonts w:ascii="Arial" w:hAnsi="Arial" w:cs="Arial"/>
          <w:sz w:val="22"/>
          <w:szCs w:val="22"/>
        </w:rPr>
        <w:t xml:space="preserve"> of housing</w:t>
      </w:r>
      <w:r w:rsidR="002077F6" w:rsidRPr="46B5BCA3">
        <w:rPr>
          <w:rFonts w:ascii="Arial" w:hAnsi="Arial" w:cs="Arial"/>
          <w:sz w:val="22"/>
          <w:szCs w:val="22"/>
        </w:rPr>
        <w:t xml:space="preserve">, </w:t>
      </w:r>
      <w:r w:rsidR="00A32DCA" w:rsidRPr="46B5BCA3">
        <w:rPr>
          <w:rFonts w:ascii="Arial" w:hAnsi="Arial" w:cs="Arial"/>
          <w:sz w:val="22"/>
          <w:szCs w:val="22"/>
        </w:rPr>
        <w:t xml:space="preserve">EPC rating and </w:t>
      </w:r>
      <w:r w:rsidR="00E6049D" w:rsidRPr="46B5BCA3">
        <w:rPr>
          <w:rFonts w:ascii="Arial" w:hAnsi="Arial" w:cs="Arial"/>
          <w:sz w:val="22"/>
          <w:szCs w:val="22"/>
        </w:rPr>
        <w:t xml:space="preserve">householders likely to qualify under the low-income/fuel poverty </w:t>
      </w:r>
      <w:r w:rsidR="002C583B" w:rsidRPr="46B5BCA3">
        <w:rPr>
          <w:rFonts w:ascii="Arial" w:hAnsi="Arial" w:cs="Arial"/>
          <w:sz w:val="22"/>
          <w:szCs w:val="22"/>
        </w:rPr>
        <w:t xml:space="preserve">criteria. </w:t>
      </w:r>
    </w:p>
    <w:p w14:paraId="561C05CF" w14:textId="031E79B5" w:rsidR="0068765E" w:rsidRDefault="0068765E" w:rsidP="7F53D888">
      <w:pPr>
        <w:pStyle w:val="ListParagraph"/>
        <w:numPr>
          <w:ilvl w:val="1"/>
          <w:numId w:val="6"/>
        </w:numPr>
        <w:spacing w:after="120"/>
        <w:rPr>
          <w:rFonts w:ascii="Arial" w:eastAsia="Arial" w:hAnsi="Arial" w:cs="Arial"/>
          <w:sz w:val="22"/>
          <w:szCs w:val="22"/>
        </w:rPr>
      </w:pPr>
      <w:r w:rsidRPr="46B5BCA3">
        <w:rPr>
          <w:rFonts w:ascii="Arial" w:hAnsi="Arial" w:cs="Arial"/>
          <w:sz w:val="22"/>
          <w:szCs w:val="22"/>
        </w:rPr>
        <w:t xml:space="preserve">Lot value is a combination of Capital Expenditure and Capitalised Revenue. There is a maximum allocation of 10.5% allocated to the </w:t>
      </w:r>
      <w:r w:rsidR="00941784" w:rsidRPr="46B5BCA3">
        <w:rPr>
          <w:rFonts w:ascii="Arial" w:hAnsi="Arial" w:cs="Arial"/>
          <w:sz w:val="22"/>
          <w:szCs w:val="22"/>
        </w:rPr>
        <w:t xml:space="preserve">capitalised revenue element. </w:t>
      </w:r>
    </w:p>
    <w:p w14:paraId="3EEAA2AD" w14:textId="586543F4" w:rsidR="008D7BA7" w:rsidRDefault="002C583B" w:rsidP="00171ACB">
      <w:pPr>
        <w:pStyle w:val="ListParagraph"/>
        <w:numPr>
          <w:ilvl w:val="1"/>
          <w:numId w:val="6"/>
        </w:numPr>
        <w:spacing w:after="120"/>
        <w:rPr>
          <w:rFonts w:ascii="Arial" w:hAnsi="Arial" w:cs="Arial"/>
          <w:sz w:val="22"/>
          <w:szCs w:val="22"/>
        </w:rPr>
      </w:pPr>
      <w:r w:rsidRPr="674DC236">
        <w:rPr>
          <w:rFonts w:ascii="Arial" w:hAnsi="Arial" w:cs="Arial"/>
          <w:sz w:val="22"/>
          <w:szCs w:val="22"/>
        </w:rPr>
        <w:t xml:space="preserve">Delivery </w:t>
      </w:r>
      <w:r w:rsidR="008C1EC7" w:rsidRPr="674DC236">
        <w:rPr>
          <w:rFonts w:ascii="Arial" w:hAnsi="Arial" w:cs="Arial"/>
          <w:sz w:val="22"/>
          <w:szCs w:val="22"/>
        </w:rPr>
        <w:t xml:space="preserve">timescales </w:t>
      </w:r>
      <w:r w:rsidR="00CD25EF" w:rsidRPr="674DC236">
        <w:rPr>
          <w:rFonts w:ascii="Arial" w:hAnsi="Arial" w:cs="Arial"/>
          <w:sz w:val="22"/>
          <w:szCs w:val="22"/>
        </w:rPr>
        <w:t>have been put in place by</w:t>
      </w:r>
      <w:r w:rsidR="006C1EC0" w:rsidRPr="674DC236">
        <w:rPr>
          <w:rFonts w:ascii="Arial" w:hAnsi="Arial" w:cs="Arial"/>
          <w:sz w:val="22"/>
          <w:szCs w:val="22"/>
        </w:rPr>
        <w:t xml:space="preserve"> BEIS.</w:t>
      </w:r>
      <w:r w:rsidR="008C1EC7" w:rsidRPr="674DC236">
        <w:rPr>
          <w:rFonts w:ascii="Arial" w:hAnsi="Arial" w:cs="Arial"/>
          <w:sz w:val="22"/>
          <w:szCs w:val="22"/>
        </w:rPr>
        <w:t xml:space="preserve"> </w:t>
      </w:r>
      <w:r w:rsidR="006C1EC0" w:rsidRPr="674DC236">
        <w:rPr>
          <w:rFonts w:ascii="Arial" w:hAnsi="Arial" w:cs="Arial"/>
          <w:sz w:val="22"/>
          <w:szCs w:val="22"/>
        </w:rPr>
        <w:t xml:space="preserve">The </w:t>
      </w:r>
      <w:r w:rsidR="092E75A9" w:rsidRPr="674DC236">
        <w:rPr>
          <w:rFonts w:ascii="Arial" w:hAnsi="Arial" w:cs="Arial"/>
          <w:sz w:val="22"/>
          <w:szCs w:val="22"/>
        </w:rPr>
        <w:t>Authority</w:t>
      </w:r>
      <w:r w:rsidR="001D36BC" w:rsidRPr="674DC236">
        <w:rPr>
          <w:rFonts w:ascii="Arial" w:hAnsi="Arial" w:cs="Arial"/>
          <w:sz w:val="22"/>
          <w:szCs w:val="22"/>
        </w:rPr>
        <w:t xml:space="preserve"> </w:t>
      </w:r>
      <w:r w:rsidR="008D7BA7" w:rsidRPr="674DC236">
        <w:rPr>
          <w:rFonts w:ascii="Arial" w:hAnsi="Arial" w:cs="Arial"/>
          <w:sz w:val="22"/>
          <w:szCs w:val="22"/>
        </w:rPr>
        <w:t>is only able to extend the contract length or contract value if allowed to do so by BEIS.</w:t>
      </w:r>
    </w:p>
    <w:p w14:paraId="3DC2D7AF" w14:textId="04ECD98C" w:rsidR="00525F70" w:rsidRDefault="00AC0A88" w:rsidP="00171ACB">
      <w:pPr>
        <w:pStyle w:val="ListParagraph"/>
        <w:numPr>
          <w:ilvl w:val="1"/>
          <w:numId w:val="6"/>
        </w:numPr>
        <w:spacing w:after="120"/>
        <w:rPr>
          <w:rFonts w:ascii="Arial" w:hAnsi="Arial" w:cs="Arial"/>
          <w:sz w:val="22"/>
          <w:szCs w:val="22"/>
        </w:rPr>
      </w:pPr>
      <w:r w:rsidRPr="46B5BCA3">
        <w:rPr>
          <w:rFonts w:ascii="Arial" w:hAnsi="Arial" w:cs="Arial"/>
          <w:sz w:val="22"/>
          <w:szCs w:val="22"/>
        </w:rPr>
        <w:t>I</w:t>
      </w:r>
      <w:r w:rsidR="00EC60AB" w:rsidRPr="46B5BCA3">
        <w:rPr>
          <w:rFonts w:ascii="Arial" w:hAnsi="Arial" w:cs="Arial"/>
          <w:sz w:val="22"/>
          <w:szCs w:val="22"/>
        </w:rPr>
        <w:t xml:space="preserve">f a Lot/LEP area is unable to meet their </w:t>
      </w:r>
      <w:r w:rsidR="00D00E41" w:rsidRPr="46B5BCA3">
        <w:rPr>
          <w:rFonts w:ascii="Arial" w:hAnsi="Arial" w:cs="Arial"/>
          <w:sz w:val="22"/>
          <w:szCs w:val="22"/>
        </w:rPr>
        <w:t xml:space="preserve">target installation/spend, the </w:t>
      </w:r>
      <w:r w:rsidR="0052184B">
        <w:rPr>
          <w:rFonts w:ascii="Arial" w:hAnsi="Arial" w:cs="Arial"/>
          <w:sz w:val="22"/>
          <w:szCs w:val="22"/>
        </w:rPr>
        <w:t xml:space="preserve">Authority may </w:t>
      </w:r>
      <w:r w:rsidR="00047C3F" w:rsidRPr="46B5BCA3">
        <w:rPr>
          <w:rFonts w:ascii="Arial" w:hAnsi="Arial" w:cs="Arial"/>
          <w:sz w:val="22"/>
          <w:szCs w:val="22"/>
        </w:rPr>
        <w:t xml:space="preserve">redistribute funds to other Lots/LEP areas where </w:t>
      </w:r>
      <w:r w:rsidR="00FA7FE5" w:rsidRPr="46B5BCA3">
        <w:rPr>
          <w:rFonts w:ascii="Arial" w:hAnsi="Arial" w:cs="Arial"/>
          <w:sz w:val="22"/>
          <w:szCs w:val="22"/>
        </w:rPr>
        <w:t>lead</w:t>
      </w:r>
      <w:r w:rsidR="00C72F12" w:rsidRPr="46B5BCA3">
        <w:rPr>
          <w:rFonts w:ascii="Arial" w:hAnsi="Arial" w:cs="Arial"/>
          <w:sz w:val="22"/>
          <w:szCs w:val="22"/>
        </w:rPr>
        <w:t xml:space="preserve"> generation and installations are achieving against target. </w:t>
      </w:r>
    </w:p>
    <w:p w14:paraId="0F25F9E5" w14:textId="37B1DEF3" w:rsidR="00525F70" w:rsidRDefault="00525F70" w:rsidP="00171ACB">
      <w:pPr>
        <w:pStyle w:val="ListParagraph"/>
        <w:numPr>
          <w:ilvl w:val="1"/>
          <w:numId w:val="6"/>
        </w:numPr>
        <w:spacing w:after="120"/>
        <w:rPr>
          <w:rFonts w:ascii="Arial" w:hAnsi="Arial" w:cs="Arial"/>
          <w:sz w:val="22"/>
          <w:szCs w:val="22"/>
        </w:rPr>
      </w:pPr>
      <w:r w:rsidRPr="46B5BCA3">
        <w:rPr>
          <w:rFonts w:ascii="Arial" w:hAnsi="Arial" w:cs="Arial"/>
          <w:sz w:val="22"/>
          <w:szCs w:val="22"/>
        </w:rPr>
        <w:t>The basis for reallocation is not on installation numbers alone, achievement against all KPIs will be evaluated prior to any reallocation.</w:t>
      </w:r>
    </w:p>
    <w:p w14:paraId="1D0E9AF1" w14:textId="19B6A6B4" w:rsidR="00AC2913" w:rsidRDefault="00C72F12" w:rsidP="00171ACB">
      <w:pPr>
        <w:pStyle w:val="ListParagraph"/>
        <w:numPr>
          <w:ilvl w:val="1"/>
          <w:numId w:val="6"/>
        </w:numPr>
        <w:spacing w:after="120"/>
        <w:rPr>
          <w:rFonts w:ascii="Arial" w:hAnsi="Arial" w:cs="Arial"/>
          <w:sz w:val="22"/>
          <w:szCs w:val="22"/>
        </w:rPr>
      </w:pPr>
      <w:r w:rsidRPr="46B5BCA3">
        <w:rPr>
          <w:rFonts w:ascii="Arial" w:hAnsi="Arial" w:cs="Arial"/>
          <w:sz w:val="22"/>
          <w:szCs w:val="22"/>
        </w:rPr>
        <w:t xml:space="preserve">No reallocation of funds will be undertaken without </w:t>
      </w:r>
      <w:r w:rsidR="006B2D77" w:rsidRPr="46B5BCA3">
        <w:rPr>
          <w:rFonts w:ascii="Arial" w:hAnsi="Arial" w:cs="Arial"/>
          <w:sz w:val="22"/>
          <w:szCs w:val="22"/>
        </w:rPr>
        <w:t xml:space="preserve">exploring all opportunities </w:t>
      </w:r>
      <w:r w:rsidR="00606234" w:rsidRPr="46B5BCA3">
        <w:rPr>
          <w:rFonts w:ascii="Arial" w:hAnsi="Arial" w:cs="Arial"/>
          <w:sz w:val="22"/>
          <w:szCs w:val="22"/>
        </w:rPr>
        <w:t>to improve the performance of</w:t>
      </w:r>
      <w:r w:rsidR="000816AF" w:rsidRPr="46B5BCA3">
        <w:rPr>
          <w:rFonts w:ascii="Arial" w:hAnsi="Arial" w:cs="Arial"/>
          <w:sz w:val="22"/>
          <w:szCs w:val="22"/>
        </w:rPr>
        <w:t xml:space="preserve"> the Lot/LEP failing to achieve delivery against targets.</w:t>
      </w:r>
    </w:p>
    <w:p w14:paraId="3D2B79C0" w14:textId="77777777" w:rsidR="006B3E50" w:rsidRPr="00D4392B" w:rsidRDefault="006B3E50" w:rsidP="004C4CB4">
      <w:pPr>
        <w:pStyle w:val="ListParagraph"/>
        <w:spacing w:after="120"/>
        <w:ind w:left="1134"/>
        <w:rPr>
          <w:rFonts w:ascii="Arial" w:hAnsi="Arial" w:cs="Arial"/>
          <w:sz w:val="22"/>
          <w:szCs w:val="22"/>
        </w:rPr>
      </w:pPr>
    </w:p>
    <w:p w14:paraId="3D2B79C1" w14:textId="77777777" w:rsidR="006B3E50" w:rsidRPr="004C4CB4" w:rsidRDefault="00D035F2" w:rsidP="46B5BCA3">
      <w:pPr>
        <w:pStyle w:val="ListParagraph"/>
        <w:numPr>
          <w:ilvl w:val="0"/>
          <w:numId w:val="6"/>
        </w:numPr>
        <w:spacing w:after="120"/>
        <w:rPr>
          <w:rFonts w:ascii="Arial" w:hAnsi="Arial" w:cs="Arial"/>
          <w:b/>
          <w:bCs/>
          <w:sz w:val="22"/>
          <w:szCs w:val="22"/>
        </w:rPr>
      </w:pPr>
      <w:r w:rsidRPr="46B5BCA3">
        <w:rPr>
          <w:rFonts w:ascii="Arial" w:hAnsi="Arial" w:cs="Arial"/>
          <w:b/>
          <w:bCs/>
          <w:sz w:val="22"/>
          <w:szCs w:val="22"/>
        </w:rPr>
        <w:t>Leveraging additional funding</w:t>
      </w:r>
    </w:p>
    <w:p w14:paraId="6F051106" w14:textId="77777777" w:rsidR="00D82D88" w:rsidRDefault="00D82D88" w:rsidP="00171ACB">
      <w:pPr>
        <w:pStyle w:val="ListParagraph"/>
        <w:numPr>
          <w:ilvl w:val="1"/>
          <w:numId w:val="6"/>
        </w:numPr>
        <w:spacing w:after="120"/>
        <w:rPr>
          <w:rFonts w:ascii="Arial" w:hAnsi="Arial" w:cs="Arial"/>
          <w:sz w:val="22"/>
          <w:szCs w:val="22"/>
        </w:rPr>
      </w:pPr>
      <w:r w:rsidRPr="46B5BCA3">
        <w:rPr>
          <w:rFonts w:ascii="Arial" w:hAnsi="Arial" w:cs="Arial"/>
          <w:sz w:val="22"/>
          <w:szCs w:val="22"/>
        </w:rPr>
        <w:lastRenderedPageBreak/>
        <w:t xml:space="preserve">The Delivery Organisation may use other funding sources to support different measure upgrades at the same property. </w:t>
      </w:r>
    </w:p>
    <w:p w14:paraId="77C82262" w14:textId="6297F31F" w:rsidR="003D004A" w:rsidRDefault="008B3A2E" w:rsidP="008D1CD2">
      <w:pPr>
        <w:tabs>
          <w:tab w:val="clear" w:pos="720"/>
        </w:tabs>
        <w:spacing w:after="120"/>
        <w:ind w:left="1701" w:hanging="567"/>
        <w:rPr>
          <w:rFonts w:cs="Arial"/>
          <w:sz w:val="22"/>
          <w:szCs w:val="22"/>
        </w:rPr>
      </w:pPr>
      <w:r>
        <w:rPr>
          <w:rFonts w:cs="Arial"/>
          <w:sz w:val="22"/>
          <w:szCs w:val="22"/>
        </w:rPr>
        <w:t>7.1.</w:t>
      </w:r>
      <w:r w:rsidR="00BC3327">
        <w:rPr>
          <w:rFonts w:cs="Arial"/>
          <w:sz w:val="22"/>
          <w:szCs w:val="22"/>
        </w:rPr>
        <w:t>1</w:t>
      </w:r>
      <w:r>
        <w:rPr>
          <w:rFonts w:cs="Arial"/>
          <w:sz w:val="22"/>
          <w:szCs w:val="22"/>
        </w:rPr>
        <w:tab/>
      </w:r>
      <w:r w:rsidR="00BC3327">
        <w:rPr>
          <w:rFonts w:cs="Arial"/>
          <w:sz w:val="22"/>
          <w:szCs w:val="22"/>
        </w:rPr>
        <w:t>LAD funding from rounds 1a or 1b ca</w:t>
      </w:r>
      <w:r w:rsidR="005F4E87">
        <w:rPr>
          <w:rFonts w:cs="Arial"/>
          <w:sz w:val="22"/>
          <w:szCs w:val="22"/>
        </w:rPr>
        <w:t>nnot be used on the same measures. However, where a measure has been installed under one of these programmes and it hasn’t reached the £10,000 or £5,000 funding limit, funding from LAD</w:t>
      </w:r>
      <w:r w:rsidR="00727E5E">
        <w:rPr>
          <w:rFonts w:cs="Arial"/>
          <w:sz w:val="22"/>
          <w:szCs w:val="22"/>
        </w:rPr>
        <w:t xml:space="preserve">s2 can be used to install measures </w:t>
      </w:r>
      <w:proofErr w:type="gramStart"/>
      <w:r w:rsidR="00727E5E">
        <w:rPr>
          <w:rFonts w:cs="Arial"/>
          <w:sz w:val="22"/>
          <w:szCs w:val="22"/>
        </w:rPr>
        <w:t>as long as</w:t>
      </w:r>
      <w:proofErr w:type="gramEnd"/>
      <w:r w:rsidR="00727E5E">
        <w:rPr>
          <w:rFonts w:cs="Arial"/>
          <w:sz w:val="22"/>
          <w:szCs w:val="22"/>
        </w:rPr>
        <w:t xml:space="preserve"> it does not exceed the maximum average funding amount. </w:t>
      </w:r>
      <w:r>
        <w:rPr>
          <w:rFonts w:cs="Arial"/>
          <w:sz w:val="22"/>
          <w:szCs w:val="22"/>
        </w:rPr>
        <w:t xml:space="preserve"> </w:t>
      </w:r>
    </w:p>
    <w:p w14:paraId="376A776F" w14:textId="253ABFD9" w:rsidR="00014BD3" w:rsidRDefault="003D004A" w:rsidP="008D1CD2">
      <w:pPr>
        <w:tabs>
          <w:tab w:val="clear" w:pos="720"/>
        </w:tabs>
        <w:spacing w:after="120"/>
        <w:ind w:left="1701" w:hanging="567"/>
        <w:rPr>
          <w:rFonts w:cs="Arial"/>
          <w:sz w:val="22"/>
          <w:szCs w:val="22"/>
        </w:rPr>
      </w:pPr>
      <w:r>
        <w:rPr>
          <w:rFonts w:cs="Arial"/>
          <w:sz w:val="22"/>
          <w:szCs w:val="22"/>
        </w:rPr>
        <w:t>7.1.</w:t>
      </w:r>
      <w:r w:rsidR="00BC3327">
        <w:rPr>
          <w:rFonts w:cs="Arial"/>
          <w:sz w:val="22"/>
          <w:szCs w:val="22"/>
        </w:rPr>
        <w:t>2</w:t>
      </w:r>
      <w:r>
        <w:rPr>
          <w:rFonts w:cs="Arial"/>
          <w:sz w:val="22"/>
          <w:szCs w:val="22"/>
        </w:rPr>
        <w:tab/>
      </w:r>
      <w:r w:rsidR="00014BD3">
        <w:rPr>
          <w:rFonts w:cs="Arial"/>
          <w:sz w:val="22"/>
          <w:szCs w:val="22"/>
        </w:rPr>
        <w:t>Funding cannot be combined with GHG voucher scheme</w:t>
      </w:r>
      <w:r>
        <w:rPr>
          <w:rFonts w:cs="Arial"/>
          <w:sz w:val="22"/>
          <w:szCs w:val="22"/>
        </w:rPr>
        <w:t>.</w:t>
      </w:r>
    </w:p>
    <w:p w14:paraId="4F8564D5" w14:textId="4CD128B0" w:rsidR="00CD4528" w:rsidRPr="002A74C7" w:rsidRDefault="003D004A" w:rsidP="00CD4528">
      <w:pPr>
        <w:tabs>
          <w:tab w:val="clear" w:pos="720"/>
        </w:tabs>
        <w:spacing w:after="120"/>
        <w:ind w:left="1701" w:hanging="567"/>
        <w:rPr>
          <w:sz w:val="22"/>
          <w:szCs w:val="22"/>
        </w:rPr>
      </w:pPr>
      <w:r>
        <w:rPr>
          <w:rFonts w:cs="Arial"/>
          <w:sz w:val="22"/>
          <w:szCs w:val="22"/>
        </w:rPr>
        <w:t>7.1.</w:t>
      </w:r>
      <w:r w:rsidR="00BC3327">
        <w:rPr>
          <w:rFonts w:cs="Arial"/>
          <w:sz w:val="22"/>
          <w:szCs w:val="22"/>
        </w:rPr>
        <w:t>3</w:t>
      </w:r>
      <w:r w:rsidRPr="002A74C7">
        <w:rPr>
          <w:rFonts w:cs="Arial"/>
          <w:sz w:val="22"/>
          <w:szCs w:val="22"/>
        </w:rPr>
        <w:tab/>
      </w:r>
      <w:r w:rsidR="00BC3327" w:rsidRPr="002A74C7">
        <w:rPr>
          <w:sz w:val="22"/>
          <w:szCs w:val="22"/>
        </w:rPr>
        <w:t>LAD</w:t>
      </w:r>
      <w:r w:rsidR="00727E5E" w:rsidRPr="002A74C7">
        <w:rPr>
          <w:sz w:val="22"/>
          <w:szCs w:val="22"/>
        </w:rPr>
        <w:t>s2 funding</w:t>
      </w:r>
      <w:r w:rsidR="00BC3327" w:rsidRPr="002A74C7">
        <w:rPr>
          <w:sz w:val="22"/>
          <w:szCs w:val="22"/>
        </w:rPr>
        <w:t xml:space="preserve"> cannot be blended with other government schemes such as ECO or the Social Housing Decarbonisation Fund Demonstrator (SHDF Demonstrator) for the same individual measure (except for Renewable Heat Incentive, for which see below), although it is possible for installations to be undertaken for the same property where the installation measures are not the same.</w:t>
      </w:r>
    </w:p>
    <w:p w14:paraId="3D2B79C3" w14:textId="3B26AF0C" w:rsidR="006B3E50" w:rsidRDefault="00CD4528" w:rsidP="004B5E38">
      <w:pPr>
        <w:tabs>
          <w:tab w:val="clear" w:pos="720"/>
        </w:tabs>
        <w:spacing w:after="120"/>
        <w:ind w:left="1701" w:hanging="567"/>
        <w:rPr>
          <w:sz w:val="22"/>
          <w:szCs w:val="22"/>
        </w:rPr>
      </w:pPr>
      <w:r w:rsidRPr="002A74C7">
        <w:rPr>
          <w:sz w:val="22"/>
          <w:szCs w:val="22"/>
        </w:rPr>
        <w:tab/>
      </w:r>
      <w:r w:rsidRPr="002A74C7">
        <w:rPr>
          <w:sz w:val="22"/>
          <w:szCs w:val="22"/>
        </w:rPr>
        <w:tab/>
      </w:r>
      <w:r w:rsidR="004B5E38" w:rsidRPr="004B5E38">
        <w:rPr>
          <w:sz w:val="22"/>
          <w:szCs w:val="22"/>
        </w:rPr>
        <w:t>For the purposes of the Renewable Heat Incentive (RHI), LAD funding is a grant from public funds and as a result LAD Phase 2 funding would be deducted from RHI payments as per the RHI rules on grant funding.</w:t>
      </w:r>
    </w:p>
    <w:p w14:paraId="56163DFE" w14:textId="77777777" w:rsidR="004B5E38" w:rsidRPr="004B5E38" w:rsidRDefault="004B5E38" w:rsidP="004B5E38">
      <w:pPr>
        <w:tabs>
          <w:tab w:val="clear" w:pos="720"/>
        </w:tabs>
        <w:spacing w:after="120"/>
        <w:ind w:left="1701" w:hanging="567"/>
        <w:rPr>
          <w:rFonts w:cs="Arial"/>
          <w:sz w:val="22"/>
          <w:szCs w:val="22"/>
        </w:rPr>
      </w:pPr>
    </w:p>
    <w:p w14:paraId="3D2B79C4" w14:textId="472DB54A" w:rsidR="006B3E50" w:rsidRPr="00553957" w:rsidRDefault="007C57CF" w:rsidP="46B5BCA3">
      <w:pPr>
        <w:pStyle w:val="ListParagraph"/>
        <w:numPr>
          <w:ilvl w:val="0"/>
          <w:numId w:val="6"/>
        </w:numPr>
        <w:spacing w:after="120"/>
        <w:rPr>
          <w:rFonts w:ascii="Arial" w:hAnsi="Arial" w:cs="Arial"/>
          <w:b/>
          <w:bCs/>
          <w:sz w:val="22"/>
          <w:szCs w:val="22"/>
        </w:rPr>
      </w:pPr>
      <w:r w:rsidRPr="46B5BCA3">
        <w:rPr>
          <w:rFonts w:ascii="Arial" w:hAnsi="Arial" w:cs="Arial"/>
          <w:b/>
          <w:bCs/>
          <w:sz w:val="22"/>
          <w:szCs w:val="22"/>
        </w:rPr>
        <w:t xml:space="preserve">Management </w:t>
      </w:r>
      <w:r w:rsidR="005F2FB1" w:rsidRPr="46B5BCA3">
        <w:rPr>
          <w:rFonts w:ascii="Arial" w:hAnsi="Arial" w:cs="Arial"/>
          <w:b/>
          <w:bCs/>
          <w:sz w:val="22"/>
          <w:szCs w:val="22"/>
        </w:rPr>
        <w:t xml:space="preserve">Information </w:t>
      </w:r>
      <w:r w:rsidR="00B21A74" w:rsidRPr="46B5BCA3">
        <w:rPr>
          <w:rFonts w:ascii="Arial" w:hAnsi="Arial" w:cs="Arial"/>
          <w:b/>
          <w:bCs/>
          <w:sz w:val="22"/>
          <w:szCs w:val="22"/>
        </w:rPr>
        <w:t>(MI)</w:t>
      </w:r>
      <w:r w:rsidRPr="46B5BCA3">
        <w:rPr>
          <w:rFonts w:ascii="Arial" w:hAnsi="Arial" w:cs="Arial"/>
          <w:b/>
          <w:bCs/>
          <w:sz w:val="22"/>
          <w:szCs w:val="22"/>
        </w:rPr>
        <w:t xml:space="preserve">, </w:t>
      </w:r>
      <w:r w:rsidR="0093710D" w:rsidRPr="46B5BCA3">
        <w:rPr>
          <w:rFonts w:ascii="Arial" w:hAnsi="Arial" w:cs="Arial"/>
          <w:b/>
          <w:bCs/>
          <w:sz w:val="22"/>
          <w:szCs w:val="22"/>
        </w:rPr>
        <w:t>Key Performance I</w:t>
      </w:r>
      <w:r w:rsidR="006B3E50" w:rsidRPr="46B5BCA3">
        <w:rPr>
          <w:rFonts w:ascii="Arial" w:hAnsi="Arial" w:cs="Arial"/>
          <w:b/>
          <w:bCs/>
          <w:sz w:val="22"/>
          <w:szCs w:val="22"/>
        </w:rPr>
        <w:t>ndicators (KPIs) and performance fees</w:t>
      </w:r>
    </w:p>
    <w:p w14:paraId="343721C1" w14:textId="0D6292C6" w:rsidR="00405A50" w:rsidRDefault="006B3E50" w:rsidP="00171ACB">
      <w:pPr>
        <w:pStyle w:val="ListParagraph"/>
        <w:numPr>
          <w:ilvl w:val="1"/>
          <w:numId w:val="6"/>
        </w:numPr>
        <w:spacing w:after="120"/>
        <w:rPr>
          <w:rFonts w:ascii="Arial" w:hAnsi="Arial" w:cs="Arial"/>
          <w:sz w:val="22"/>
          <w:szCs w:val="22"/>
        </w:rPr>
      </w:pPr>
      <w:r w:rsidRPr="46B5BCA3">
        <w:rPr>
          <w:rFonts w:ascii="Arial" w:hAnsi="Arial" w:cs="Arial"/>
          <w:sz w:val="22"/>
          <w:szCs w:val="22"/>
        </w:rPr>
        <w:t xml:space="preserve">The </w:t>
      </w:r>
      <w:r w:rsidR="0052184B">
        <w:rPr>
          <w:rFonts w:ascii="Arial" w:hAnsi="Arial" w:cs="Arial"/>
          <w:sz w:val="22"/>
          <w:szCs w:val="22"/>
        </w:rPr>
        <w:t xml:space="preserve">agreement </w:t>
      </w:r>
      <w:r w:rsidRPr="46B5BCA3">
        <w:rPr>
          <w:rFonts w:ascii="Arial" w:hAnsi="Arial" w:cs="Arial"/>
          <w:sz w:val="22"/>
          <w:szCs w:val="22"/>
        </w:rPr>
        <w:t xml:space="preserve">will be monitored against </w:t>
      </w:r>
      <w:r w:rsidR="00405A50" w:rsidRPr="46B5BCA3">
        <w:rPr>
          <w:rFonts w:ascii="Arial" w:hAnsi="Arial" w:cs="Arial"/>
          <w:sz w:val="22"/>
          <w:szCs w:val="22"/>
        </w:rPr>
        <w:t xml:space="preserve">the </w:t>
      </w:r>
      <w:r w:rsidR="007C57CF" w:rsidRPr="46B5BCA3">
        <w:rPr>
          <w:rFonts w:ascii="Arial" w:hAnsi="Arial" w:cs="Arial"/>
          <w:sz w:val="22"/>
          <w:szCs w:val="22"/>
        </w:rPr>
        <w:t xml:space="preserve">MI and </w:t>
      </w:r>
      <w:r w:rsidR="00405A50" w:rsidRPr="46B5BCA3">
        <w:rPr>
          <w:rFonts w:ascii="Arial" w:hAnsi="Arial" w:cs="Arial"/>
          <w:sz w:val="22"/>
          <w:szCs w:val="22"/>
        </w:rPr>
        <w:t xml:space="preserve">KPIs. </w:t>
      </w:r>
    </w:p>
    <w:p w14:paraId="20F957BF" w14:textId="77777777" w:rsidR="00405A50" w:rsidRDefault="00405A50" w:rsidP="00171ACB">
      <w:pPr>
        <w:pStyle w:val="ListParagraph"/>
        <w:numPr>
          <w:ilvl w:val="1"/>
          <w:numId w:val="6"/>
        </w:numPr>
        <w:spacing w:after="120"/>
        <w:rPr>
          <w:rFonts w:ascii="Arial" w:hAnsi="Arial" w:cs="Arial"/>
          <w:sz w:val="22"/>
          <w:szCs w:val="22"/>
        </w:rPr>
      </w:pPr>
      <w:r w:rsidRPr="46B5BCA3">
        <w:rPr>
          <w:rFonts w:ascii="Arial" w:hAnsi="Arial" w:cs="Arial"/>
          <w:sz w:val="22"/>
          <w:szCs w:val="22"/>
        </w:rPr>
        <w:t>They form the following general themes:</w:t>
      </w:r>
    </w:p>
    <w:p w14:paraId="3D2B79C5" w14:textId="268E01E6" w:rsidR="006B3E50" w:rsidRPr="00D4392B" w:rsidRDefault="006B3E50" w:rsidP="00F079A7">
      <w:pPr>
        <w:pStyle w:val="ListParagraph"/>
        <w:spacing w:after="120"/>
        <w:ind w:left="1134"/>
        <w:rPr>
          <w:rFonts w:ascii="Arial" w:hAnsi="Arial" w:cs="Arial"/>
          <w:sz w:val="22"/>
          <w:szCs w:val="22"/>
        </w:rPr>
      </w:pPr>
      <w:r w:rsidRPr="00D4392B">
        <w:rPr>
          <w:rFonts w:ascii="Arial" w:hAnsi="Arial" w:cs="Arial"/>
          <w:sz w:val="22"/>
          <w:szCs w:val="22"/>
        </w:rPr>
        <w:t xml:space="preserve">The performance of the Contract will be measured against these </w:t>
      </w:r>
      <w:r w:rsidR="0093710D">
        <w:rPr>
          <w:rFonts w:ascii="Arial" w:hAnsi="Arial" w:cs="Arial"/>
          <w:sz w:val="22"/>
          <w:szCs w:val="22"/>
        </w:rPr>
        <w:t>KPIs</w:t>
      </w:r>
      <w:r w:rsidRPr="00D4392B">
        <w:rPr>
          <w:rFonts w:ascii="Arial" w:hAnsi="Arial" w:cs="Arial"/>
          <w:sz w:val="22"/>
          <w:szCs w:val="22"/>
        </w:rPr>
        <w:t>:</w:t>
      </w:r>
    </w:p>
    <w:p w14:paraId="3D2B79C6" w14:textId="0497A999" w:rsidR="006B3E50" w:rsidRPr="004C4CB4" w:rsidRDefault="006B3E50" w:rsidP="00171ACB">
      <w:pPr>
        <w:pStyle w:val="ListParagraph"/>
        <w:numPr>
          <w:ilvl w:val="0"/>
          <w:numId w:val="15"/>
        </w:numPr>
        <w:spacing w:after="120"/>
        <w:rPr>
          <w:rFonts w:ascii="Arial" w:hAnsi="Arial" w:cs="Arial"/>
          <w:sz w:val="22"/>
          <w:szCs w:val="22"/>
        </w:rPr>
      </w:pPr>
      <w:r w:rsidRPr="5558B7CC">
        <w:rPr>
          <w:rFonts w:ascii="Arial" w:hAnsi="Arial" w:cs="Arial"/>
          <w:b/>
          <w:bCs/>
          <w:sz w:val="22"/>
          <w:szCs w:val="22"/>
        </w:rPr>
        <w:t>Delivery</w:t>
      </w:r>
      <w:r w:rsidRPr="5558B7CC">
        <w:rPr>
          <w:rFonts w:ascii="Arial" w:hAnsi="Arial" w:cs="Arial"/>
          <w:sz w:val="22"/>
          <w:szCs w:val="22"/>
        </w:rPr>
        <w:t xml:space="preserve"> </w:t>
      </w:r>
      <w:r w:rsidR="0093710D" w:rsidRPr="5558B7CC">
        <w:rPr>
          <w:rFonts w:ascii="Arial" w:hAnsi="Arial" w:cs="Arial"/>
          <w:sz w:val="22"/>
          <w:szCs w:val="22"/>
        </w:rPr>
        <w:t>–</w:t>
      </w:r>
      <w:r w:rsidRPr="5558B7CC">
        <w:rPr>
          <w:rFonts w:ascii="Arial" w:hAnsi="Arial" w:cs="Arial"/>
          <w:sz w:val="22"/>
          <w:szCs w:val="22"/>
        </w:rPr>
        <w:t xml:space="preserve"> </w:t>
      </w:r>
      <w:r w:rsidR="58883932" w:rsidRPr="5558B7CC">
        <w:rPr>
          <w:rFonts w:ascii="Arial" w:hAnsi="Arial" w:cs="Arial"/>
          <w:sz w:val="22"/>
          <w:szCs w:val="22"/>
        </w:rPr>
        <w:t>Performance against programme</w:t>
      </w:r>
      <w:r w:rsidR="00A63879" w:rsidRPr="5558B7CC">
        <w:rPr>
          <w:rFonts w:ascii="Arial" w:hAnsi="Arial" w:cs="Arial"/>
          <w:sz w:val="22"/>
          <w:szCs w:val="22"/>
        </w:rPr>
        <w:t>;</w:t>
      </w:r>
    </w:p>
    <w:p w14:paraId="3D2B79C7" w14:textId="2AA87DD9" w:rsidR="006B3E50" w:rsidRPr="004C4CB4" w:rsidRDefault="006B3E50" w:rsidP="00171ACB">
      <w:pPr>
        <w:pStyle w:val="ListParagraph"/>
        <w:numPr>
          <w:ilvl w:val="0"/>
          <w:numId w:val="15"/>
        </w:numPr>
        <w:spacing w:after="120"/>
        <w:rPr>
          <w:rFonts w:ascii="Arial" w:hAnsi="Arial" w:cs="Arial"/>
          <w:sz w:val="22"/>
          <w:szCs w:val="22"/>
        </w:rPr>
      </w:pPr>
      <w:r w:rsidRPr="004C4CB4">
        <w:rPr>
          <w:rFonts w:ascii="Arial" w:hAnsi="Arial" w:cs="Arial"/>
          <w:b/>
          <w:sz w:val="22"/>
          <w:szCs w:val="22"/>
        </w:rPr>
        <w:t>Service</w:t>
      </w:r>
      <w:r w:rsidR="00347877">
        <w:rPr>
          <w:rFonts w:ascii="Arial" w:hAnsi="Arial" w:cs="Arial"/>
          <w:sz w:val="22"/>
          <w:szCs w:val="22"/>
        </w:rPr>
        <w:t xml:space="preserve"> – Customer</w:t>
      </w:r>
      <w:r w:rsidRPr="004C4CB4">
        <w:rPr>
          <w:rFonts w:ascii="Arial" w:hAnsi="Arial" w:cs="Arial"/>
          <w:sz w:val="22"/>
          <w:szCs w:val="22"/>
        </w:rPr>
        <w:t xml:space="preserve"> satisfa</w:t>
      </w:r>
      <w:r w:rsidR="00347877">
        <w:rPr>
          <w:rFonts w:ascii="Arial" w:hAnsi="Arial" w:cs="Arial"/>
          <w:sz w:val="22"/>
          <w:szCs w:val="22"/>
        </w:rPr>
        <w:t>ction and C</w:t>
      </w:r>
      <w:r w:rsidRPr="004C4CB4">
        <w:rPr>
          <w:rFonts w:ascii="Arial" w:hAnsi="Arial" w:cs="Arial"/>
          <w:sz w:val="22"/>
          <w:szCs w:val="22"/>
        </w:rPr>
        <w:t>omplaints;</w:t>
      </w:r>
    </w:p>
    <w:p w14:paraId="3D2B79C8" w14:textId="19C2FD6B" w:rsidR="006B3E50" w:rsidRDefault="006B3E50" w:rsidP="00171ACB">
      <w:pPr>
        <w:pStyle w:val="ListParagraph"/>
        <w:numPr>
          <w:ilvl w:val="0"/>
          <w:numId w:val="15"/>
        </w:numPr>
        <w:spacing w:after="120"/>
        <w:rPr>
          <w:rFonts w:ascii="Arial" w:hAnsi="Arial" w:cs="Arial"/>
          <w:sz w:val="22"/>
          <w:szCs w:val="22"/>
        </w:rPr>
      </w:pPr>
      <w:r w:rsidRPr="004C4CB4">
        <w:rPr>
          <w:rFonts w:ascii="Arial" w:hAnsi="Arial" w:cs="Arial"/>
          <w:b/>
          <w:sz w:val="22"/>
          <w:szCs w:val="22"/>
        </w:rPr>
        <w:t>Quality</w:t>
      </w:r>
      <w:r w:rsidRPr="004C4CB4">
        <w:rPr>
          <w:rFonts w:ascii="Arial" w:hAnsi="Arial" w:cs="Arial"/>
          <w:sz w:val="22"/>
          <w:szCs w:val="22"/>
        </w:rPr>
        <w:t xml:space="preserve"> – right first time and remedial work</w:t>
      </w:r>
      <w:r w:rsidR="00265515">
        <w:rPr>
          <w:rFonts w:ascii="Arial" w:hAnsi="Arial" w:cs="Arial"/>
          <w:sz w:val="22"/>
          <w:szCs w:val="22"/>
        </w:rPr>
        <w:t>;</w:t>
      </w:r>
    </w:p>
    <w:p w14:paraId="0E45CF1D" w14:textId="57A4331A" w:rsidR="007A3F83" w:rsidRPr="00497F4C" w:rsidRDefault="00E86292" w:rsidP="00497F4C">
      <w:pPr>
        <w:pStyle w:val="ListParagraph"/>
        <w:numPr>
          <w:ilvl w:val="0"/>
          <w:numId w:val="15"/>
        </w:numPr>
        <w:spacing w:after="120"/>
        <w:rPr>
          <w:rFonts w:ascii="Arial" w:hAnsi="Arial" w:cs="Arial"/>
          <w:sz w:val="22"/>
          <w:szCs w:val="22"/>
        </w:rPr>
      </w:pPr>
      <w:r>
        <w:rPr>
          <w:rFonts w:ascii="Arial" w:hAnsi="Arial" w:cs="Arial"/>
          <w:b/>
          <w:sz w:val="22"/>
          <w:szCs w:val="22"/>
        </w:rPr>
        <w:t xml:space="preserve">Reporting </w:t>
      </w:r>
      <w:r w:rsidR="00977D0E">
        <w:rPr>
          <w:rFonts w:ascii="Arial" w:hAnsi="Arial" w:cs="Arial"/>
          <w:sz w:val="22"/>
          <w:szCs w:val="22"/>
        </w:rPr>
        <w:t>–</w:t>
      </w:r>
      <w:r>
        <w:rPr>
          <w:rFonts w:ascii="Arial" w:hAnsi="Arial" w:cs="Arial"/>
          <w:sz w:val="22"/>
          <w:szCs w:val="22"/>
        </w:rPr>
        <w:t xml:space="preserve"> </w:t>
      </w:r>
      <w:r w:rsidR="00A71EDA">
        <w:rPr>
          <w:rFonts w:ascii="Arial" w:hAnsi="Arial" w:cs="Arial"/>
          <w:sz w:val="22"/>
          <w:szCs w:val="22"/>
        </w:rPr>
        <w:t>data delivery</w:t>
      </w:r>
      <w:r w:rsidR="00497F4C">
        <w:rPr>
          <w:rFonts w:ascii="Arial" w:hAnsi="Arial" w:cs="Arial"/>
          <w:sz w:val="22"/>
          <w:szCs w:val="22"/>
        </w:rPr>
        <w:t xml:space="preserve"> - </w:t>
      </w:r>
      <w:r w:rsidR="00977D0E" w:rsidRPr="00D41A23">
        <w:rPr>
          <w:rFonts w:ascii="Arial" w:hAnsi="Arial" w:cs="Arial"/>
          <w:sz w:val="22"/>
          <w:szCs w:val="22"/>
        </w:rPr>
        <w:t xml:space="preserve">providing </w:t>
      </w:r>
      <w:r w:rsidR="00497F4C">
        <w:rPr>
          <w:rFonts w:ascii="Arial" w:hAnsi="Arial" w:cs="Arial"/>
          <w:sz w:val="22"/>
          <w:szCs w:val="22"/>
        </w:rPr>
        <w:t>timely invoices and supporting management information.</w:t>
      </w:r>
    </w:p>
    <w:p w14:paraId="2A882F12" w14:textId="06D68D4A" w:rsidR="00102BC7" w:rsidRDefault="00102BC7" w:rsidP="00BE4A98">
      <w:pPr>
        <w:pStyle w:val="ListParagraph"/>
        <w:numPr>
          <w:ilvl w:val="1"/>
          <w:numId w:val="6"/>
        </w:numPr>
        <w:spacing w:after="120"/>
        <w:rPr>
          <w:rFonts w:ascii="Arial" w:hAnsi="Arial" w:cs="Arial"/>
          <w:sz w:val="22"/>
          <w:szCs w:val="22"/>
        </w:rPr>
      </w:pPr>
      <w:r w:rsidRPr="674DC236">
        <w:rPr>
          <w:rFonts w:ascii="Arial" w:hAnsi="Arial" w:cs="Arial"/>
          <w:sz w:val="22"/>
          <w:szCs w:val="22"/>
        </w:rPr>
        <w:t xml:space="preserve">The </w:t>
      </w:r>
      <w:r w:rsidR="092E75A9" w:rsidRPr="674DC236">
        <w:rPr>
          <w:rFonts w:ascii="Arial" w:hAnsi="Arial" w:cs="Arial"/>
          <w:sz w:val="22"/>
          <w:szCs w:val="22"/>
        </w:rPr>
        <w:t>Authority</w:t>
      </w:r>
      <w:r w:rsidRPr="674DC236">
        <w:rPr>
          <w:rFonts w:ascii="Arial" w:hAnsi="Arial" w:cs="Arial"/>
          <w:sz w:val="22"/>
          <w:szCs w:val="22"/>
        </w:rPr>
        <w:t xml:space="preserve"> reserves the right to amend the KPI’s and MI as </w:t>
      </w:r>
      <w:r w:rsidR="004F6821" w:rsidRPr="674DC236">
        <w:rPr>
          <w:rFonts w:ascii="Arial" w:hAnsi="Arial" w:cs="Arial"/>
          <w:sz w:val="22"/>
          <w:szCs w:val="22"/>
        </w:rPr>
        <w:t xml:space="preserve">appropriate after the </w:t>
      </w:r>
      <w:r w:rsidR="0052184B">
        <w:rPr>
          <w:rFonts w:ascii="Arial" w:hAnsi="Arial" w:cs="Arial"/>
          <w:sz w:val="22"/>
          <w:szCs w:val="22"/>
        </w:rPr>
        <w:t>agreement</w:t>
      </w:r>
      <w:r w:rsidR="0052184B" w:rsidRPr="674DC236">
        <w:rPr>
          <w:rFonts w:ascii="Arial" w:hAnsi="Arial" w:cs="Arial"/>
          <w:sz w:val="22"/>
          <w:szCs w:val="22"/>
        </w:rPr>
        <w:t xml:space="preserve"> </w:t>
      </w:r>
      <w:r w:rsidR="004F6821" w:rsidRPr="674DC236">
        <w:rPr>
          <w:rFonts w:ascii="Arial" w:hAnsi="Arial" w:cs="Arial"/>
          <w:sz w:val="22"/>
          <w:szCs w:val="22"/>
        </w:rPr>
        <w:t>has commenced. This will be done in consultation with the Delivery Organisation.</w:t>
      </w:r>
    </w:p>
    <w:p w14:paraId="3D2B79CA" w14:textId="1830CB82" w:rsidR="006B3E50" w:rsidRPr="00BE4A98" w:rsidRDefault="006B3E50" w:rsidP="00BE4A98">
      <w:pPr>
        <w:pStyle w:val="ListParagraph"/>
        <w:numPr>
          <w:ilvl w:val="1"/>
          <w:numId w:val="6"/>
        </w:numPr>
        <w:spacing w:after="120"/>
        <w:rPr>
          <w:rFonts w:ascii="Arial" w:hAnsi="Arial" w:cs="Arial"/>
          <w:sz w:val="22"/>
          <w:szCs w:val="22"/>
        </w:rPr>
      </w:pPr>
      <w:r w:rsidRPr="674DC236">
        <w:rPr>
          <w:rFonts w:ascii="Arial" w:hAnsi="Arial" w:cs="Arial"/>
          <w:sz w:val="22"/>
          <w:szCs w:val="22"/>
        </w:rPr>
        <w:t xml:space="preserve">The </w:t>
      </w:r>
      <w:r w:rsidR="00AA0779" w:rsidRPr="674DC236">
        <w:rPr>
          <w:rFonts w:ascii="Arial" w:hAnsi="Arial" w:cs="Arial"/>
          <w:sz w:val="22"/>
          <w:szCs w:val="22"/>
        </w:rPr>
        <w:t>Delivery Organisation</w:t>
      </w:r>
      <w:r w:rsidRPr="674DC236">
        <w:rPr>
          <w:rFonts w:ascii="Arial" w:hAnsi="Arial" w:cs="Arial"/>
          <w:sz w:val="22"/>
          <w:szCs w:val="22"/>
        </w:rPr>
        <w:t xml:space="preserve"> will be paid </w:t>
      </w:r>
      <w:r w:rsidR="00F56E2F" w:rsidRPr="674DC236">
        <w:rPr>
          <w:rFonts w:ascii="Arial" w:hAnsi="Arial" w:cs="Arial"/>
          <w:sz w:val="22"/>
          <w:szCs w:val="22"/>
        </w:rPr>
        <w:t>P</w:t>
      </w:r>
      <w:r w:rsidRPr="674DC236">
        <w:rPr>
          <w:rFonts w:ascii="Arial" w:hAnsi="Arial" w:cs="Arial"/>
          <w:sz w:val="22"/>
          <w:szCs w:val="22"/>
        </w:rPr>
        <w:t xml:space="preserve">erformance </w:t>
      </w:r>
      <w:r w:rsidR="00F56E2F" w:rsidRPr="674DC236">
        <w:rPr>
          <w:rFonts w:ascii="Arial" w:hAnsi="Arial" w:cs="Arial"/>
          <w:sz w:val="22"/>
          <w:szCs w:val="22"/>
        </w:rPr>
        <w:t>F</w:t>
      </w:r>
      <w:r w:rsidRPr="674DC236">
        <w:rPr>
          <w:rFonts w:ascii="Arial" w:hAnsi="Arial" w:cs="Arial"/>
          <w:sz w:val="22"/>
          <w:szCs w:val="22"/>
        </w:rPr>
        <w:t xml:space="preserve">ees </w:t>
      </w:r>
      <w:r w:rsidR="008367D1" w:rsidRPr="674DC236">
        <w:rPr>
          <w:rFonts w:ascii="Arial" w:hAnsi="Arial" w:cs="Arial"/>
          <w:sz w:val="22"/>
          <w:szCs w:val="22"/>
        </w:rPr>
        <w:t>based on</w:t>
      </w:r>
      <w:r w:rsidRPr="674DC236">
        <w:rPr>
          <w:rFonts w:ascii="Arial" w:hAnsi="Arial" w:cs="Arial"/>
          <w:sz w:val="22"/>
          <w:szCs w:val="22"/>
        </w:rPr>
        <w:t xml:space="preserve"> delivering against these </w:t>
      </w:r>
      <w:r w:rsidR="007950D5" w:rsidRPr="674DC236">
        <w:rPr>
          <w:rFonts w:ascii="Arial" w:hAnsi="Arial" w:cs="Arial"/>
          <w:sz w:val="22"/>
          <w:szCs w:val="22"/>
        </w:rPr>
        <w:t>KPIs</w:t>
      </w:r>
      <w:r w:rsidR="00BE4A98" w:rsidRPr="674DC236">
        <w:rPr>
          <w:rFonts w:ascii="Arial" w:hAnsi="Arial" w:cs="Arial"/>
          <w:sz w:val="22"/>
          <w:szCs w:val="22"/>
        </w:rPr>
        <w:t xml:space="preserve">. </w:t>
      </w:r>
      <w:r w:rsidRPr="674DC236">
        <w:rPr>
          <w:rFonts w:ascii="Arial" w:hAnsi="Arial" w:cs="Arial"/>
          <w:sz w:val="22"/>
          <w:szCs w:val="22"/>
        </w:rPr>
        <w:t xml:space="preserve">The </w:t>
      </w:r>
      <w:r w:rsidR="007950D5" w:rsidRPr="674DC236">
        <w:rPr>
          <w:rFonts w:ascii="Arial" w:hAnsi="Arial" w:cs="Arial"/>
          <w:sz w:val="22"/>
          <w:szCs w:val="22"/>
        </w:rPr>
        <w:t>KPIs</w:t>
      </w:r>
      <w:r w:rsidRPr="674DC236">
        <w:rPr>
          <w:rFonts w:ascii="Arial" w:hAnsi="Arial" w:cs="Arial"/>
          <w:sz w:val="22"/>
          <w:szCs w:val="22"/>
        </w:rPr>
        <w:t xml:space="preserve"> will be supported by more detailed management information </w:t>
      </w:r>
      <w:r w:rsidR="005C60EF" w:rsidRPr="674DC236">
        <w:rPr>
          <w:rFonts w:ascii="Arial" w:hAnsi="Arial" w:cs="Arial"/>
          <w:sz w:val="22"/>
          <w:szCs w:val="22"/>
        </w:rPr>
        <w:t xml:space="preserve">(see table </w:t>
      </w:r>
      <w:r w:rsidR="00F34A48" w:rsidRPr="674DC236">
        <w:rPr>
          <w:rFonts w:ascii="Arial" w:hAnsi="Arial" w:cs="Arial"/>
          <w:sz w:val="22"/>
          <w:szCs w:val="22"/>
        </w:rPr>
        <w:t>4.1</w:t>
      </w:r>
      <w:r w:rsidR="005C60EF" w:rsidRPr="674DC236">
        <w:rPr>
          <w:rFonts w:ascii="Arial" w:hAnsi="Arial" w:cs="Arial"/>
          <w:sz w:val="22"/>
          <w:szCs w:val="22"/>
        </w:rPr>
        <w:t>)</w:t>
      </w:r>
      <w:r w:rsidR="00B86E1D" w:rsidRPr="674DC236">
        <w:rPr>
          <w:rFonts w:ascii="Arial" w:hAnsi="Arial" w:cs="Arial"/>
          <w:sz w:val="22"/>
          <w:szCs w:val="22"/>
        </w:rPr>
        <w:t xml:space="preserve">. How this information is provided to the </w:t>
      </w:r>
      <w:r w:rsidR="092E75A9" w:rsidRPr="674DC236">
        <w:rPr>
          <w:rFonts w:ascii="Arial" w:hAnsi="Arial" w:cs="Arial"/>
          <w:sz w:val="22"/>
          <w:szCs w:val="22"/>
        </w:rPr>
        <w:t>Authority</w:t>
      </w:r>
      <w:r w:rsidR="00B86E1D" w:rsidRPr="674DC236">
        <w:rPr>
          <w:rFonts w:ascii="Arial" w:hAnsi="Arial" w:cs="Arial"/>
          <w:sz w:val="22"/>
          <w:szCs w:val="22"/>
        </w:rPr>
        <w:t xml:space="preserve"> will be </w:t>
      </w:r>
      <w:r w:rsidR="00EF0FD7" w:rsidRPr="674DC236">
        <w:rPr>
          <w:rFonts w:ascii="Arial" w:hAnsi="Arial" w:cs="Arial"/>
          <w:sz w:val="22"/>
          <w:szCs w:val="22"/>
        </w:rPr>
        <w:t>worked out during the mobilisation phase and may be dependent on specific requests from the Funder.</w:t>
      </w:r>
      <w:r w:rsidR="005C60EF" w:rsidRPr="674DC236">
        <w:rPr>
          <w:rFonts w:ascii="Arial" w:hAnsi="Arial" w:cs="Arial"/>
          <w:sz w:val="22"/>
          <w:szCs w:val="22"/>
        </w:rPr>
        <w:t xml:space="preserve"> </w:t>
      </w:r>
    </w:p>
    <w:p w14:paraId="07ABCA55" w14:textId="38CC56BB" w:rsidR="00084456" w:rsidRPr="008C7A8A" w:rsidRDefault="00084456" w:rsidP="00277C5F">
      <w:pPr>
        <w:spacing w:after="120"/>
        <w:rPr>
          <w:rFonts w:cs="Arial"/>
          <w:b/>
          <w:sz w:val="22"/>
          <w:szCs w:val="22"/>
        </w:rPr>
      </w:pPr>
      <w:r w:rsidRPr="008C7A8A">
        <w:rPr>
          <w:rFonts w:cs="Arial"/>
          <w:b/>
          <w:sz w:val="22"/>
          <w:szCs w:val="22"/>
        </w:rPr>
        <w:t xml:space="preserve">Table </w:t>
      </w:r>
      <w:r w:rsidR="00A672D0" w:rsidRPr="00A672D0">
        <w:rPr>
          <w:rFonts w:cs="Arial"/>
          <w:b/>
          <w:sz w:val="22"/>
          <w:szCs w:val="22"/>
        </w:rPr>
        <w:t>4.1</w:t>
      </w:r>
    </w:p>
    <w:tbl>
      <w:tblPr>
        <w:tblStyle w:val="TableGrid"/>
        <w:tblW w:w="9067" w:type="dxa"/>
        <w:tblInd w:w="113" w:type="dxa"/>
        <w:tblLook w:val="04A0" w:firstRow="1" w:lastRow="0" w:firstColumn="1" w:lastColumn="0" w:noHBand="0" w:noVBand="1"/>
      </w:tblPr>
      <w:tblGrid>
        <w:gridCol w:w="767"/>
        <w:gridCol w:w="3607"/>
        <w:gridCol w:w="4693"/>
      </w:tblGrid>
      <w:tr w:rsidR="00EB3377" w:rsidRPr="009A406E" w14:paraId="08FB2425" w14:textId="77777777" w:rsidTr="00290958">
        <w:tc>
          <w:tcPr>
            <w:tcW w:w="767" w:type="dxa"/>
            <w:shd w:val="clear" w:color="auto" w:fill="808080" w:themeFill="background1" w:themeFillShade="80"/>
          </w:tcPr>
          <w:p w14:paraId="14B6B110" w14:textId="77777777" w:rsidR="00EB3377" w:rsidRPr="009A406E" w:rsidRDefault="00EB3377" w:rsidP="005E17CC">
            <w:pPr>
              <w:rPr>
                <w:sz w:val="22"/>
                <w:szCs w:val="22"/>
              </w:rPr>
            </w:pPr>
          </w:p>
        </w:tc>
        <w:tc>
          <w:tcPr>
            <w:tcW w:w="3607" w:type="dxa"/>
            <w:shd w:val="clear" w:color="auto" w:fill="808080" w:themeFill="background1" w:themeFillShade="80"/>
          </w:tcPr>
          <w:p w14:paraId="3FB37B6B" w14:textId="4BC0A97D" w:rsidR="00EB3377" w:rsidRPr="009A406E" w:rsidRDefault="00A879FA" w:rsidP="001F0FB5">
            <w:pPr>
              <w:jc w:val="left"/>
              <w:rPr>
                <w:sz w:val="22"/>
                <w:szCs w:val="22"/>
              </w:rPr>
            </w:pPr>
            <w:r>
              <w:rPr>
                <w:sz w:val="22"/>
                <w:szCs w:val="22"/>
              </w:rPr>
              <w:t>Management Information</w:t>
            </w:r>
          </w:p>
        </w:tc>
        <w:tc>
          <w:tcPr>
            <w:tcW w:w="4693" w:type="dxa"/>
            <w:shd w:val="clear" w:color="auto" w:fill="808080" w:themeFill="background1" w:themeFillShade="80"/>
          </w:tcPr>
          <w:p w14:paraId="63929215" w14:textId="77777777" w:rsidR="00EB3377" w:rsidRPr="009A406E" w:rsidRDefault="00EB3377" w:rsidP="001F0FB5">
            <w:pPr>
              <w:jc w:val="left"/>
              <w:rPr>
                <w:sz w:val="22"/>
                <w:szCs w:val="22"/>
              </w:rPr>
            </w:pPr>
            <w:r w:rsidRPr="009A406E">
              <w:rPr>
                <w:sz w:val="22"/>
                <w:szCs w:val="22"/>
              </w:rPr>
              <w:t>Reporting breakdown required</w:t>
            </w:r>
          </w:p>
        </w:tc>
      </w:tr>
      <w:tr w:rsidR="00EB3377" w:rsidRPr="009A406E" w14:paraId="58C1D107" w14:textId="77777777" w:rsidTr="009C197C">
        <w:tc>
          <w:tcPr>
            <w:tcW w:w="767" w:type="dxa"/>
            <w:vAlign w:val="center"/>
          </w:tcPr>
          <w:p w14:paraId="25A6643A" w14:textId="77777777" w:rsidR="00EB3377" w:rsidRPr="009A406E" w:rsidRDefault="00EB3377" w:rsidP="009C197C">
            <w:pPr>
              <w:jc w:val="center"/>
              <w:rPr>
                <w:sz w:val="22"/>
                <w:szCs w:val="22"/>
              </w:rPr>
            </w:pPr>
            <w:r w:rsidRPr="009A406E">
              <w:rPr>
                <w:sz w:val="22"/>
                <w:szCs w:val="22"/>
              </w:rPr>
              <w:t>1.</w:t>
            </w:r>
          </w:p>
        </w:tc>
        <w:tc>
          <w:tcPr>
            <w:tcW w:w="3607" w:type="dxa"/>
          </w:tcPr>
          <w:p w14:paraId="7B5FD52A" w14:textId="69771871" w:rsidR="00EB3377" w:rsidRPr="009A406E" w:rsidRDefault="00EB3377" w:rsidP="001F0FB5">
            <w:pPr>
              <w:jc w:val="left"/>
              <w:rPr>
                <w:sz w:val="22"/>
                <w:szCs w:val="22"/>
              </w:rPr>
            </w:pPr>
            <w:r w:rsidRPr="009A406E">
              <w:rPr>
                <w:sz w:val="22"/>
                <w:szCs w:val="22"/>
              </w:rPr>
              <w:t xml:space="preserve">Overall </w:t>
            </w:r>
            <w:r w:rsidR="00260FBC">
              <w:rPr>
                <w:sz w:val="22"/>
                <w:szCs w:val="22"/>
              </w:rPr>
              <w:t>actual and forecasted spend</w:t>
            </w:r>
          </w:p>
        </w:tc>
        <w:tc>
          <w:tcPr>
            <w:tcW w:w="4693" w:type="dxa"/>
          </w:tcPr>
          <w:p w14:paraId="2681B321" w14:textId="77777777" w:rsidR="00EB3377" w:rsidRPr="009A406E" w:rsidRDefault="00EB3377" w:rsidP="001F0FB5">
            <w:pPr>
              <w:jc w:val="left"/>
              <w:rPr>
                <w:sz w:val="22"/>
                <w:szCs w:val="22"/>
              </w:rPr>
            </w:pPr>
            <w:r w:rsidRPr="009A406E">
              <w:rPr>
                <w:sz w:val="22"/>
                <w:szCs w:val="22"/>
              </w:rPr>
              <w:t xml:space="preserve">Monthly spend as a total </w:t>
            </w:r>
          </w:p>
        </w:tc>
      </w:tr>
      <w:tr w:rsidR="00EB3377" w:rsidRPr="009A406E" w14:paraId="17D088EC" w14:textId="77777777" w:rsidTr="009C197C">
        <w:tc>
          <w:tcPr>
            <w:tcW w:w="767" w:type="dxa"/>
            <w:vAlign w:val="center"/>
          </w:tcPr>
          <w:p w14:paraId="1E7CE3CB" w14:textId="77777777" w:rsidR="00EB3377" w:rsidRPr="009A406E" w:rsidRDefault="00EB3377" w:rsidP="009C197C">
            <w:pPr>
              <w:jc w:val="center"/>
              <w:rPr>
                <w:sz w:val="22"/>
                <w:szCs w:val="22"/>
              </w:rPr>
            </w:pPr>
            <w:r w:rsidRPr="009A406E">
              <w:rPr>
                <w:sz w:val="22"/>
                <w:szCs w:val="22"/>
              </w:rPr>
              <w:t>2.</w:t>
            </w:r>
          </w:p>
        </w:tc>
        <w:tc>
          <w:tcPr>
            <w:tcW w:w="3607" w:type="dxa"/>
          </w:tcPr>
          <w:p w14:paraId="383BABF4" w14:textId="730D7492" w:rsidR="00EB3377" w:rsidRPr="009A406E" w:rsidRDefault="0081668B" w:rsidP="001F0FB5">
            <w:pPr>
              <w:jc w:val="left"/>
              <w:rPr>
                <w:sz w:val="22"/>
                <w:szCs w:val="22"/>
              </w:rPr>
            </w:pPr>
            <w:r>
              <w:rPr>
                <w:sz w:val="22"/>
                <w:szCs w:val="22"/>
              </w:rPr>
              <w:t>Total number of measures installed</w:t>
            </w:r>
          </w:p>
        </w:tc>
        <w:tc>
          <w:tcPr>
            <w:tcW w:w="4693" w:type="dxa"/>
          </w:tcPr>
          <w:p w14:paraId="644074DF" w14:textId="6F4D2EFA" w:rsidR="00EB3377" w:rsidRPr="009A406E" w:rsidRDefault="00473400" w:rsidP="001F0FB5">
            <w:pPr>
              <w:jc w:val="left"/>
              <w:rPr>
                <w:sz w:val="22"/>
                <w:szCs w:val="22"/>
              </w:rPr>
            </w:pPr>
            <w:r>
              <w:rPr>
                <w:sz w:val="22"/>
                <w:szCs w:val="22"/>
              </w:rPr>
              <w:t>Total number of measures installed each month</w:t>
            </w:r>
          </w:p>
        </w:tc>
      </w:tr>
      <w:tr w:rsidR="00C85079" w:rsidRPr="009A406E" w14:paraId="28FF91CC" w14:textId="77777777" w:rsidTr="009C197C">
        <w:tc>
          <w:tcPr>
            <w:tcW w:w="767" w:type="dxa"/>
            <w:vMerge w:val="restart"/>
            <w:vAlign w:val="center"/>
          </w:tcPr>
          <w:p w14:paraId="5B161019" w14:textId="5664FE73" w:rsidR="00C85079" w:rsidRPr="009A406E" w:rsidRDefault="00C85079" w:rsidP="009C197C">
            <w:pPr>
              <w:jc w:val="center"/>
              <w:rPr>
                <w:sz w:val="22"/>
                <w:szCs w:val="22"/>
              </w:rPr>
            </w:pPr>
            <w:r>
              <w:rPr>
                <w:sz w:val="22"/>
                <w:szCs w:val="22"/>
              </w:rPr>
              <w:t>3.</w:t>
            </w:r>
          </w:p>
        </w:tc>
        <w:tc>
          <w:tcPr>
            <w:tcW w:w="3607" w:type="dxa"/>
            <w:vMerge w:val="restart"/>
          </w:tcPr>
          <w:p w14:paraId="78746D57" w14:textId="29C6DDC1" w:rsidR="00C85079" w:rsidRPr="009A406E" w:rsidRDefault="00C85079" w:rsidP="00FA3A3C">
            <w:pPr>
              <w:jc w:val="left"/>
              <w:rPr>
                <w:sz w:val="22"/>
                <w:szCs w:val="22"/>
              </w:rPr>
            </w:pPr>
            <w:r>
              <w:rPr>
                <w:sz w:val="22"/>
                <w:szCs w:val="22"/>
              </w:rPr>
              <w:t>Number of homes receiving their first measure</w:t>
            </w:r>
          </w:p>
        </w:tc>
        <w:tc>
          <w:tcPr>
            <w:tcW w:w="4693" w:type="dxa"/>
          </w:tcPr>
          <w:p w14:paraId="25938FC7" w14:textId="10F0295B" w:rsidR="00C85079" w:rsidRPr="009A406E" w:rsidRDefault="00C85079" w:rsidP="00FA3A3C">
            <w:pPr>
              <w:jc w:val="left"/>
              <w:rPr>
                <w:sz w:val="22"/>
                <w:szCs w:val="22"/>
              </w:rPr>
            </w:pPr>
            <w:r>
              <w:rPr>
                <w:sz w:val="22"/>
                <w:szCs w:val="22"/>
              </w:rPr>
              <w:t>Total number by month</w:t>
            </w:r>
          </w:p>
        </w:tc>
      </w:tr>
      <w:tr w:rsidR="00C85079" w:rsidRPr="009A406E" w14:paraId="467B0147" w14:textId="77777777" w:rsidTr="009C197C">
        <w:tc>
          <w:tcPr>
            <w:tcW w:w="767" w:type="dxa"/>
            <w:vMerge/>
            <w:vAlign w:val="center"/>
          </w:tcPr>
          <w:p w14:paraId="574E79F9" w14:textId="77777777" w:rsidR="00C85079" w:rsidRDefault="00C85079" w:rsidP="009C197C">
            <w:pPr>
              <w:jc w:val="center"/>
              <w:rPr>
                <w:sz w:val="22"/>
                <w:szCs w:val="22"/>
              </w:rPr>
            </w:pPr>
          </w:p>
        </w:tc>
        <w:tc>
          <w:tcPr>
            <w:tcW w:w="3607" w:type="dxa"/>
            <w:vMerge/>
          </w:tcPr>
          <w:p w14:paraId="78AA3985" w14:textId="77777777" w:rsidR="00C85079" w:rsidRDefault="00C85079" w:rsidP="00FA3A3C">
            <w:pPr>
              <w:jc w:val="left"/>
              <w:rPr>
                <w:sz w:val="22"/>
                <w:szCs w:val="22"/>
              </w:rPr>
            </w:pPr>
          </w:p>
        </w:tc>
        <w:tc>
          <w:tcPr>
            <w:tcW w:w="4693" w:type="dxa"/>
          </w:tcPr>
          <w:p w14:paraId="356D8B05" w14:textId="0E8BF0B0" w:rsidR="00C85079" w:rsidRPr="009A406E" w:rsidRDefault="00C85079" w:rsidP="00FA3A3C">
            <w:pPr>
              <w:jc w:val="left"/>
              <w:rPr>
                <w:sz w:val="22"/>
                <w:szCs w:val="22"/>
              </w:rPr>
            </w:pPr>
            <w:r>
              <w:rPr>
                <w:sz w:val="22"/>
                <w:szCs w:val="22"/>
              </w:rPr>
              <w:t>Number that had a pre install EPC of band D (SAP 55-68)</w:t>
            </w:r>
          </w:p>
        </w:tc>
      </w:tr>
      <w:tr w:rsidR="00EB3377" w:rsidRPr="009A406E" w14:paraId="78D1B09A" w14:textId="77777777" w:rsidTr="009C197C">
        <w:tc>
          <w:tcPr>
            <w:tcW w:w="767" w:type="dxa"/>
            <w:vMerge w:val="restart"/>
            <w:vAlign w:val="center"/>
          </w:tcPr>
          <w:p w14:paraId="36218D84" w14:textId="5AD97675" w:rsidR="00EB3377" w:rsidRPr="009A406E" w:rsidRDefault="00E445A5" w:rsidP="009C197C">
            <w:pPr>
              <w:jc w:val="center"/>
              <w:rPr>
                <w:sz w:val="22"/>
                <w:szCs w:val="22"/>
              </w:rPr>
            </w:pPr>
            <w:r>
              <w:rPr>
                <w:sz w:val="22"/>
                <w:szCs w:val="22"/>
              </w:rPr>
              <w:t>4</w:t>
            </w:r>
            <w:r w:rsidR="00EB3377" w:rsidRPr="009A406E">
              <w:rPr>
                <w:sz w:val="22"/>
                <w:szCs w:val="22"/>
              </w:rPr>
              <w:t>.</w:t>
            </w:r>
          </w:p>
        </w:tc>
        <w:tc>
          <w:tcPr>
            <w:tcW w:w="3607" w:type="dxa"/>
            <w:vMerge w:val="restart"/>
          </w:tcPr>
          <w:p w14:paraId="403EDB3E" w14:textId="42733D84" w:rsidR="00EB3377" w:rsidRPr="009A406E" w:rsidRDefault="00E445A5" w:rsidP="001F0FB5">
            <w:pPr>
              <w:jc w:val="left"/>
              <w:rPr>
                <w:sz w:val="22"/>
                <w:szCs w:val="22"/>
              </w:rPr>
            </w:pPr>
            <w:r>
              <w:rPr>
                <w:sz w:val="22"/>
                <w:szCs w:val="22"/>
              </w:rPr>
              <w:t xml:space="preserve">Eligible homes signed up to </w:t>
            </w:r>
            <w:r>
              <w:rPr>
                <w:sz w:val="22"/>
                <w:szCs w:val="22"/>
              </w:rPr>
              <w:lastRenderedPageBreak/>
              <w:t>receive measures</w:t>
            </w:r>
          </w:p>
        </w:tc>
        <w:tc>
          <w:tcPr>
            <w:tcW w:w="4693" w:type="dxa"/>
          </w:tcPr>
          <w:p w14:paraId="466DAEA4" w14:textId="77777777" w:rsidR="00EB3377" w:rsidRPr="009A406E" w:rsidRDefault="00EB3377" w:rsidP="001F0FB5">
            <w:pPr>
              <w:jc w:val="left"/>
              <w:rPr>
                <w:sz w:val="22"/>
                <w:szCs w:val="22"/>
              </w:rPr>
            </w:pPr>
            <w:r w:rsidRPr="009A406E">
              <w:rPr>
                <w:sz w:val="22"/>
                <w:szCs w:val="22"/>
              </w:rPr>
              <w:lastRenderedPageBreak/>
              <w:t>By tenure</w:t>
            </w:r>
          </w:p>
        </w:tc>
      </w:tr>
      <w:tr w:rsidR="00EB3377" w:rsidRPr="009A406E" w14:paraId="323BAAC7" w14:textId="77777777" w:rsidTr="009C197C">
        <w:tc>
          <w:tcPr>
            <w:tcW w:w="767" w:type="dxa"/>
            <w:vMerge/>
            <w:vAlign w:val="center"/>
          </w:tcPr>
          <w:p w14:paraId="1F70FAC9" w14:textId="77777777" w:rsidR="00EB3377" w:rsidRPr="00E11611" w:rsidRDefault="00EB3377" w:rsidP="009C197C">
            <w:pPr>
              <w:jc w:val="center"/>
              <w:rPr>
                <w:sz w:val="22"/>
                <w:szCs w:val="22"/>
              </w:rPr>
            </w:pPr>
          </w:p>
        </w:tc>
        <w:tc>
          <w:tcPr>
            <w:tcW w:w="3607" w:type="dxa"/>
            <w:vMerge/>
          </w:tcPr>
          <w:p w14:paraId="4C51A7CB" w14:textId="77777777" w:rsidR="00EB3377" w:rsidRPr="00E11611" w:rsidRDefault="00EB3377" w:rsidP="001F0FB5">
            <w:pPr>
              <w:jc w:val="left"/>
              <w:rPr>
                <w:sz w:val="22"/>
                <w:szCs w:val="22"/>
              </w:rPr>
            </w:pPr>
          </w:p>
        </w:tc>
        <w:tc>
          <w:tcPr>
            <w:tcW w:w="4693" w:type="dxa"/>
          </w:tcPr>
          <w:p w14:paraId="739EE81E" w14:textId="77777777" w:rsidR="00EB3377" w:rsidRPr="00E11611" w:rsidRDefault="00EB3377" w:rsidP="001F0FB5">
            <w:pPr>
              <w:jc w:val="left"/>
              <w:rPr>
                <w:sz w:val="22"/>
                <w:szCs w:val="22"/>
              </w:rPr>
            </w:pPr>
            <w:r w:rsidRPr="00E11611">
              <w:rPr>
                <w:sz w:val="22"/>
                <w:szCs w:val="22"/>
              </w:rPr>
              <w:t>By starting EPC band</w:t>
            </w:r>
          </w:p>
        </w:tc>
      </w:tr>
      <w:tr w:rsidR="00290958" w:rsidRPr="009A406E" w14:paraId="7106FC82" w14:textId="77777777" w:rsidTr="009C197C">
        <w:tc>
          <w:tcPr>
            <w:tcW w:w="767" w:type="dxa"/>
            <w:vAlign w:val="center"/>
          </w:tcPr>
          <w:p w14:paraId="4301D6B6" w14:textId="74718B49" w:rsidR="00290958" w:rsidRPr="009A406E" w:rsidDel="00E445A5" w:rsidRDefault="00290958" w:rsidP="009C197C">
            <w:pPr>
              <w:jc w:val="center"/>
              <w:rPr>
                <w:sz w:val="22"/>
                <w:szCs w:val="22"/>
              </w:rPr>
            </w:pPr>
            <w:r>
              <w:rPr>
                <w:sz w:val="22"/>
                <w:szCs w:val="22"/>
              </w:rPr>
              <w:t>5</w:t>
            </w:r>
            <w:r w:rsidRPr="009A406E">
              <w:rPr>
                <w:sz w:val="22"/>
                <w:szCs w:val="22"/>
              </w:rPr>
              <w:t>.</w:t>
            </w:r>
          </w:p>
        </w:tc>
        <w:tc>
          <w:tcPr>
            <w:tcW w:w="3607" w:type="dxa"/>
          </w:tcPr>
          <w:p w14:paraId="3896E96C" w14:textId="7776EEE3" w:rsidR="00290958" w:rsidRPr="009A406E" w:rsidRDefault="00290958" w:rsidP="00290958">
            <w:pPr>
              <w:jc w:val="left"/>
              <w:rPr>
                <w:sz w:val="22"/>
                <w:szCs w:val="22"/>
              </w:rPr>
            </w:pPr>
            <w:r>
              <w:rPr>
                <w:sz w:val="22"/>
                <w:szCs w:val="22"/>
              </w:rPr>
              <w:t>Number of homes completed</w:t>
            </w:r>
          </w:p>
        </w:tc>
        <w:tc>
          <w:tcPr>
            <w:tcW w:w="4693" w:type="dxa"/>
          </w:tcPr>
          <w:p w14:paraId="10859DE4" w14:textId="68313377" w:rsidR="00290958" w:rsidRPr="009A406E" w:rsidRDefault="00290958" w:rsidP="00290958">
            <w:pPr>
              <w:jc w:val="left"/>
              <w:rPr>
                <w:sz w:val="22"/>
                <w:szCs w:val="22"/>
              </w:rPr>
            </w:pPr>
            <w:r>
              <w:rPr>
                <w:sz w:val="22"/>
                <w:szCs w:val="22"/>
              </w:rPr>
              <w:t>By month</w:t>
            </w:r>
          </w:p>
        </w:tc>
      </w:tr>
      <w:tr w:rsidR="00290958" w:rsidRPr="009A406E" w14:paraId="4A4B9FA5" w14:textId="77777777" w:rsidTr="009C197C">
        <w:tc>
          <w:tcPr>
            <w:tcW w:w="767" w:type="dxa"/>
            <w:vMerge w:val="restart"/>
            <w:vAlign w:val="center"/>
          </w:tcPr>
          <w:p w14:paraId="75DB4267" w14:textId="6C830C58" w:rsidR="00290958" w:rsidRPr="009A406E" w:rsidRDefault="00290958" w:rsidP="009C197C">
            <w:pPr>
              <w:jc w:val="center"/>
              <w:rPr>
                <w:sz w:val="22"/>
                <w:szCs w:val="22"/>
              </w:rPr>
            </w:pPr>
          </w:p>
          <w:p w14:paraId="36137314" w14:textId="778F5FF4" w:rsidR="00290958" w:rsidRPr="009A406E" w:rsidRDefault="00290958" w:rsidP="009C197C">
            <w:pPr>
              <w:jc w:val="center"/>
              <w:rPr>
                <w:sz w:val="22"/>
                <w:szCs w:val="22"/>
              </w:rPr>
            </w:pPr>
            <w:r>
              <w:rPr>
                <w:sz w:val="22"/>
                <w:szCs w:val="22"/>
              </w:rPr>
              <w:t>6</w:t>
            </w:r>
            <w:r w:rsidRPr="009A406E">
              <w:rPr>
                <w:sz w:val="22"/>
                <w:szCs w:val="22"/>
              </w:rPr>
              <w:t>.</w:t>
            </w:r>
          </w:p>
        </w:tc>
        <w:tc>
          <w:tcPr>
            <w:tcW w:w="3607" w:type="dxa"/>
            <w:vMerge w:val="restart"/>
          </w:tcPr>
          <w:p w14:paraId="2332977D" w14:textId="4132A26D" w:rsidR="00290958" w:rsidRPr="009A406E" w:rsidRDefault="00290958" w:rsidP="001F0FB5">
            <w:pPr>
              <w:jc w:val="left"/>
              <w:rPr>
                <w:sz w:val="22"/>
                <w:szCs w:val="22"/>
              </w:rPr>
            </w:pPr>
            <w:r w:rsidRPr="009A406E">
              <w:rPr>
                <w:sz w:val="22"/>
                <w:szCs w:val="22"/>
              </w:rPr>
              <w:t xml:space="preserve">Number of homes that </w:t>
            </w:r>
            <w:r>
              <w:rPr>
                <w:sz w:val="22"/>
                <w:szCs w:val="22"/>
              </w:rPr>
              <w:t xml:space="preserve">are </w:t>
            </w:r>
            <w:r w:rsidRPr="009A406E">
              <w:rPr>
                <w:sz w:val="22"/>
                <w:szCs w:val="22"/>
              </w:rPr>
              <w:t>improve</w:t>
            </w:r>
            <w:r>
              <w:rPr>
                <w:sz w:val="22"/>
                <w:szCs w:val="22"/>
              </w:rPr>
              <w:t>d</w:t>
            </w:r>
            <w:r w:rsidRPr="009A406E">
              <w:rPr>
                <w:sz w:val="22"/>
                <w:szCs w:val="22"/>
              </w:rPr>
              <w:t xml:space="preserve"> to an EPC C</w:t>
            </w:r>
          </w:p>
        </w:tc>
        <w:tc>
          <w:tcPr>
            <w:tcW w:w="4693" w:type="dxa"/>
          </w:tcPr>
          <w:p w14:paraId="66EA6C5A" w14:textId="77777777" w:rsidR="00290958" w:rsidRPr="009A406E" w:rsidRDefault="00290958" w:rsidP="001F0FB5">
            <w:pPr>
              <w:jc w:val="left"/>
              <w:rPr>
                <w:sz w:val="22"/>
                <w:szCs w:val="22"/>
              </w:rPr>
            </w:pPr>
            <w:r w:rsidRPr="009A406E">
              <w:rPr>
                <w:sz w:val="22"/>
                <w:szCs w:val="22"/>
              </w:rPr>
              <w:t>By tenure</w:t>
            </w:r>
          </w:p>
        </w:tc>
      </w:tr>
      <w:tr w:rsidR="00290958" w:rsidRPr="009A406E" w14:paraId="258F491F" w14:textId="77777777" w:rsidTr="009C197C">
        <w:tc>
          <w:tcPr>
            <w:tcW w:w="767" w:type="dxa"/>
            <w:vMerge/>
            <w:vAlign w:val="center"/>
          </w:tcPr>
          <w:p w14:paraId="52386CCF" w14:textId="77777777" w:rsidR="00290958" w:rsidRPr="00E11611" w:rsidRDefault="00290958" w:rsidP="009C197C">
            <w:pPr>
              <w:jc w:val="center"/>
              <w:rPr>
                <w:sz w:val="22"/>
                <w:szCs w:val="22"/>
              </w:rPr>
            </w:pPr>
          </w:p>
        </w:tc>
        <w:tc>
          <w:tcPr>
            <w:tcW w:w="3607" w:type="dxa"/>
            <w:vMerge/>
          </w:tcPr>
          <w:p w14:paraId="59B3224E" w14:textId="77777777" w:rsidR="00290958" w:rsidRPr="00E11611" w:rsidRDefault="00290958" w:rsidP="001F0FB5">
            <w:pPr>
              <w:jc w:val="left"/>
              <w:rPr>
                <w:sz w:val="22"/>
                <w:szCs w:val="22"/>
              </w:rPr>
            </w:pPr>
          </w:p>
        </w:tc>
        <w:tc>
          <w:tcPr>
            <w:tcW w:w="4693" w:type="dxa"/>
          </w:tcPr>
          <w:p w14:paraId="4837F3C3" w14:textId="77777777" w:rsidR="00290958" w:rsidRPr="00E11611" w:rsidRDefault="00290958" w:rsidP="001F0FB5">
            <w:pPr>
              <w:jc w:val="left"/>
              <w:rPr>
                <w:sz w:val="22"/>
                <w:szCs w:val="22"/>
              </w:rPr>
            </w:pPr>
            <w:r w:rsidRPr="00E11611">
              <w:rPr>
                <w:sz w:val="22"/>
                <w:szCs w:val="22"/>
              </w:rPr>
              <w:t>By starting EPC band</w:t>
            </w:r>
          </w:p>
        </w:tc>
      </w:tr>
      <w:tr w:rsidR="00290958" w:rsidRPr="009A406E" w14:paraId="1B579B35" w14:textId="77777777" w:rsidTr="009C197C">
        <w:tc>
          <w:tcPr>
            <w:tcW w:w="767" w:type="dxa"/>
            <w:vMerge w:val="restart"/>
            <w:vAlign w:val="center"/>
          </w:tcPr>
          <w:p w14:paraId="6D9441A2" w14:textId="746A4F8E" w:rsidR="00290958" w:rsidRPr="009A406E" w:rsidRDefault="00290958" w:rsidP="009C197C">
            <w:pPr>
              <w:jc w:val="center"/>
              <w:rPr>
                <w:sz w:val="22"/>
                <w:szCs w:val="22"/>
              </w:rPr>
            </w:pPr>
          </w:p>
          <w:p w14:paraId="04F4F678" w14:textId="6BA6CD33" w:rsidR="00290958" w:rsidRPr="009A406E" w:rsidRDefault="00290958" w:rsidP="009C197C">
            <w:pPr>
              <w:jc w:val="center"/>
              <w:rPr>
                <w:sz w:val="22"/>
                <w:szCs w:val="22"/>
              </w:rPr>
            </w:pPr>
            <w:r>
              <w:rPr>
                <w:sz w:val="22"/>
                <w:szCs w:val="22"/>
              </w:rPr>
              <w:t>7</w:t>
            </w:r>
            <w:r w:rsidRPr="009A406E">
              <w:rPr>
                <w:sz w:val="22"/>
                <w:szCs w:val="22"/>
              </w:rPr>
              <w:t>.</w:t>
            </w:r>
          </w:p>
        </w:tc>
        <w:tc>
          <w:tcPr>
            <w:tcW w:w="3607" w:type="dxa"/>
            <w:vMerge w:val="restart"/>
          </w:tcPr>
          <w:p w14:paraId="44A002A8" w14:textId="2D7ADD7E" w:rsidR="00290958" w:rsidRPr="009A406E" w:rsidRDefault="00290958" w:rsidP="001F0FB5">
            <w:pPr>
              <w:jc w:val="left"/>
              <w:rPr>
                <w:sz w:val="22"/>
                <w:szCs w:val="22"/>
              </w:rPr>
            </w:pPr>
            <w:r w:rsidRPr="009A406E">
              <w:rPr>
                <w:sz w:val="22"/>
                <w:szCs w:val="22"/>
              </w:rPr>
              <w:t>Number of homes that have been improved by at least one EPC band (SAP 1-54 rating – EPC bands G</w:t>
            </w:r>
            <w:r>
              <w:rPr>
                <w:sz w:val="22"/>
                <w:szCs w:val="22"/>
              </w:rPr>
              <w:t>F</w:t>
            </w:r>
            <w:r w:rsidRPr="009A406E">
              <w:rPr>
                <w:sz w:val="22"/>
                <w:szCs w:val="22"/>
              </w:rPr>
              <w:t>E)</w:t>
            </w:r>
          </w:p>
        </w:tc>
        <w:tc>
          <w:tcPr>
            <w:tcW w:w="4693" w:type="dxa"/>
          </w:tcPr>
          <w:p w14:paraId="4992AF30" w14:textId="77777777" w:rsidR="00290958" w:rsidRPr="009A406E" w:rsidRDefault="00290958" w:rsidP="001F0FB5">
            <w:pPr>
              <w:jc w:val="left"/>
              <w:rPr>
                <w:sz w:val="22"/>
                <w:szCs w:val="22"/>
              </w:rPr>
            </w:pPr>
            <w:r w:rsidRPr="009A406E">
              <w:rPr>
                <w:sz w:val="22"/>
                <w:szCs w:val="22"/>
              </w:rPr>
              <w:t>Pre and Post EPC ratings/ SAP scores</w:t>
            </w:r>
          </w:p>
        </w:tc>
      </w:tr>
      <w:tr w:rsidR="00290958" w:rsidRPr="009A406E" w14:paraId="38289989" w14:textId="77777777" w:rsidTr="009C197C">
        <w:tc>
          <w:tcPr>
            <w:tcW w:w="767" w:type="dxa"/>
            <w:vMerge/>
            <w:vAlign w:val="center"/>
          </w:tcPr>
          <w:p w14:paraId="0AEA00C5" w14:textId="77777777" w:rsidR="00290958" w:rsidRPr="00E11611" w:rsidRDefault="00290958" w:rsidP="009C197C">
            <w:pPr>
              <w:jc w:val="center"/>
              <w:rPr>
                <w:sz w:val="22"/>
                <w:szCs w:val="22"/>
              </w:rPr>
            </w:pPr>
          </w:p>
        </w:tc>
        <w:tc>
          <w:tcPr>
            <w:tcW w:w="3607" w:type="dxa"/>
            <w:vMerge/>
          </w:tcPr>
          <w:p w14:paraId="4E2C481A" w14:textId="77777777" w:rsidR="00290958" w:rsidRPr="00E11611" w:rsidRDefault="00290958" w:rsidP="001F0FB5">
            <w:pPr>
              <w:jc w:val="left"/>
              <w:rPr>
                <w:sz w:val="22"/>
                <w:szCs w:val="22"/>
              </w:rPr>
            </w:pPr>
          </w:p>
        </w:tc>
        <w:tc>
          <w:tcPr>
            <w:tcW w:w="4693" w:type="dxa"/>
          </w:tcPr>
          <w:p w14:paraId="13D6F2AD" w14:textId="77777777" w:rsidR="00290958" w:rsidRPr="00E11611" w:rsidRDefault="00290958" w:rsidP="001F0FB5">
            <w:pPr>
              <w:jc w:val="left"/>
              <w:rPr>
                <w:sz w:val="22"/>
                <w:szCs w:val="22"/>
              </w:rPr>
            </w:pPr>
            <w:r w:rsidRPr="00E11611">
              <w:rPr>
                <w:sz w:val="22"/>
                <w:szCs w:val="22"/>
              </w:rPr>
              <w:t>Type of Measures</w:t>
            </w:r>
          </w:p>
        </w:tc>
      </w:tr>
      <w:tr w:rsidR="00290958" w:rsidRPr="009A406E" w14:paraId="467F695E" w14:textId="77777777" w:rsidTr="009C197C">
        <w:tc>
          <w:tcPr>
            <w:tcW w:w="767" w:type="dxa"/>
            <w:vMerge w:val="restart"/>
            <w:vAlign w:val="center"/>
          </w:tcPr>
          <w:p w14:paraId="1CCF8908" w14:textId="77B4DC39" w:rsidR="00290958" w:rsidRPr="009A406E" w:rsidRDefault="00290958" w:rsidP="009C197C">
            <w:pPr>
              <w:jc w:val="center"/>
              <w:rPr>
                <w:sz w:val="22"/>
                <w:szCs w:val="22"/>
              </w:rPr>
            </w:pPr>
          </w:p>
          <w:p w14:paraId="0896E993" w14:textId="60C8C5C1" w:rsidR="00290958" w:rsidRPr="009A406E" w:rsidRDefault="00290958" w:rsidP="009C197C">
            <w:pPr>
              <w:jc w:val="center"/>
              <w:rPr>
                <w:sz w:val="22"/>
                <w:szCs w:val="22"/>
              </w:rPr>
            </w:pPr>
            <w:r>
              <w:rPr>
                <w:sz w:val="22"/>
                <w:szCs w:val="22"/>
              </w:rPr>
              <w:t>8.</w:t>
            </w:r>
          </w:p>
        </w:tc>
        <w:tc>
          <w:tcPr>
            <w:tcW w:w="3607" w:type="dxa"/>
            <w:vMerge w:val="restart"/>
          </w:tcPr>
          <w:p w14:paraId="208B66D9" w14:textId="77777777" w:rsidR="00290958" w:rsidRPr="009A406E" w:rsidRDefault="00290958" w:rsidP="001F0FB5">
            <w:pPr>
              <w:jc w:val="left"/>
              <w:rPr>
                <w:sz w:val="22"/>
                <w:szCs w:val="22"/>
              </w:rPr>
            </w:pPr>
            <w:r w:rsidRPr="009A406E">
              <w:rPr>
                <w:sz w:val="22"/>
                <w:szCs w:val="22"/>
              </w:rPr>
              <w:t>Average SAP improvement made to properties receiving at least one measure</w:t>
            </w:r>
          </w:p>
        </w:tc>
        <w:tc>
          <w:tcPr>
            <w:tcW w:w="4693" w:type="dxa"/>
          </w:tcPr>
          <w:p w14:paraId="1EF56063" w14:textId="77777777" w:rsidR="00290958" w:rsidRPr="009A406E" w:rsidRDefault="00290958" w:rsidP="001F0FB5">
            <w:pPr>
              <w:jc w:val="left"/>
              <w:rPr>
                <w:sz w:val="22"/>
                <w:szCs w:val="22"/>
              </w:rPr>
            </w:pPr>
            <w:r w:rsidRPr="009A406E">
              <w:rPr>
                <w:sz w:val="22"/>
                <w:szCs w:val="22"/>
              </w:rPr>
              <w:t>Pre and Post EPC rating/SAP score</w:t>
            </w:r>
          </w:p>
        </w:tc>
      </w:tr>
      <w:tr w:rsidR="00290958" w:rsidRPr="009A406E" w14:paraId="69C50395" w14:textId="77777777" w:rsidTr="009C197C">
        <w:tc>
          <w:tcPr>
            <w:tcW w:w="767" w:type="dxa"/>
            <w:vMerge/>
            <w:vAlign w:val="center"/>
          </w:tcPr>
          <w:p w14:paraId="20FA05DB" w14:textId="77777777" w:rsidR="00290958" w:rsidRPr="00E11611" w:rsidRDefault="00290958" w:rsidP="009C197C">
            <w:pPr>
              <w:jc w:val="center"/>
              <w:rPr>
                <w:sz w:val="22"/>
                <w:szCs w:val="22"/>
              </w:rPr>
            </w:pPr>
          </w:p>
        </w:tc>
        <w:tc>
          <w:tcPr>
            <w:tcW w:w="3607" w:type="dxa"/>
            <w:vMerge/>
          </w:tcPr>
          <w:p w14:paraId="32BF59B5" w14:textId="77777777" w:rsidR="00290958" w:rsidRPr="00E11611" w:rsidRDefault="00290958" w:rsidP="001F0FB5">
            <w:pPr>
              <w:jc w:val="left"/>
              <w:rPr>
                <w:sz w:val="22"/>
                <w:szCs w:val="22"/>
              </w:rPr>
            </w:pPr>
          </w:p>
        </w:tc>
        <w:tc>
          <w:tcPr>
            <w:tcW w:w="4693" w:type="dxa"/>
          </w:tcPr>
          <w:p w14:paraId="71E1429A" w14:textId="77777777" w:rsidR="00290958" w:rsidRPr="00E11611" w:rsidRDefault="00290958" w:rsidP="001F0FB5">
            <w:pPr>
              <w:jc w:val="left"/>
              <w:rPr>
                <w:sz w:val="22"/>
                <w:szCs w:val="22"/>
              </w:rPr>
            </w:pPr>
            <w:r w:rsidRPr="00E11611">
              <w:rPr>
                <w:sz w:val="22"/>
                <w:szCs w:val="22"/>
              </w:rPr>
              <w:t>Type of Measures installed.</w:t>
            </w:r>
          </w:p>
        </w:tc>
      </w:tr>
      <w:tr w:rsidR="00290958" w:rsidRPr="009A406E" w14:paraId="7BB5AD4B" w14:textId="77777777" w:rsidTr="009C197C">
        <w:tc>
          <w:tcPr>
            <w:tcW w:w="767" w:type="dxa"/>
            <w:vAlign w:val="center"/>
          </w:tcPr>
          <w:p w14:paraId="36AD54BB" w14:textId="6636FEA9" w:rsidR="00290958" w:rsidRPr="009A406E" w:rsidRDefault="00290958" w:rsidP="009C197C">
            <w:pPr>
              <w:jc w:val="center"/>
              <w:rPr>
                <w:sz w:val="22"/>
                <w:szCs w:val="22"/>
              </w:rPr>
            </w:pPr>
            <w:r>
              <w:rPr>
                <w:sz w:val="22"/>
                <w:szCs w:val="22"/>
              </w:rPr>
              <w:t>9</w:t>
            </w:r>
            <w:r w:rsidRPr="009A406E">
              <w:rPr>
                <w:sz w:val="22"/>
                <w:szCs w:val="22"/>
              </w:rPr>
              <w:t>.</w:t>
            </w:r>
          </w:p>
        </w:tc>
        <w:tc>
          <w:tcPr>
            <w:tcW w:w="3607" w:type="dxa"/>
          </w:tcPr>
          <w:p w14:paraId="329858D6" w14:textId="1FD3A566" w:rsidR="00290958" w:rsidRPr="009A406E" w:rsidRDefault="00290958" w:rsidP="00290958">
            <w:pPr>
              <w:jc w:val="left"/>
              <w:rPr>
                <w:sz w:val="22"/>
                <w:szCs w:val="22"/>
              </w:rPr>
            </w:pPr>
            <w:r>
              <w:rPr>
                <w:sz w:val="22"/>
                <w:szCs w:val="22"/>
              </w:rPr>
              <w:t>Approximate Carbon Savings</w:t>
            </w:r>
          </w:p>
        </w:tc>
        <w:tc>
          <w:tcPr>
            <w:tcW w:w="4693" w:type="dxa"/>
          </w:tcPr>
          <w:p w14:paraId="1994C77C" w14:textId="09BC9355" w:rsidR="00290958" w:rsidRPr="009A406E" w:rsidRDefault="00290958" w:rsidP="00290958">
            <w:pPr>
              <w:jc w:val="left"/>
              <w:rPr>
                <w:sz w:val="22"/>
                <w:szCs w:val="22"/>
              </w:rPr>
            </w:pPr>
            <w:r>
              <w:rPr>
                <w:sz w:val="22"/>
                <w:szCs w:val="22"/>
              </w:rPr>
              <w:t>Using Carbon Savings calculation, estimate total carbon savings for measures installed each month</w:t>
            </w:r>
          </w:p>
        </w:tc>
      </w:tr>
      <w:tr w:rsidR="00290958" w:rsidRPr="009A406E" w14:paraId="0AA8272D" w14:textId="77777777" w:rsidTr="00290958">
        <w:tc>
          <w:tcPr>
            <w:tcW w:w="767" w:type="dxa"/>
            <w:vMerge w:val="restart"/>
          </w:tcPr>
          <w:p w14:paraId="62B16BE3" w14:textId="45DC9E6E" w:rsidR="00290958" w:rsidRPr="009A406E" w:rsidRDefault="00290958" w:rsidP="009C197C">
            <w:pPr>
              <w:jc w:val="center"/>
              <w:rPr>
                <w:sz w:val="22"/>
                <w:szCs w:val="22"/>
              </w:rPr>
            </w:pPr>
          </w:p>
          <w:p w14:paraId="46274BDC" w14:textId="4B84C997" w:rsidR="00290958" w:rsidRPr="009A406E" w:rsidRDefault="00290958" w:rsidP="009C197C">
            <w:pPr>
              <w:jc w:val="center"/>
              <w:rPr>
                <w:sz w:val="22"/>
                <w:szCs w:val="22"/>
              </w:rPr>
            </w:pPr>
            <w:r>
              <w:rPr>
                <w:sz w:val="22"/>
                <w:szCs w:val="22"/>
              </w:rPr>
              <w:t>10</w:t>
            </w:r>
            <w:r w:rsidRPr="009A406E">
              <w:rPr>
                <w:sz w:val="22"/>
                <w:szCs w:val="22"/>
              </w:rPr>
              <w:t>.</w:t>
            </w:r>
          </w:p>
        </w:tc>
        <w:tc>
          <w:tcPr>
            <w:tcW w:w="3607" w:type="dxa"/>
            <w:vMerge w:val="restart"/>
          </w:tcPr>
          <w:p w14:paraId="6C9623DD" w14:textId="28442039" w:rsidR="00290958" w:rsidRPr="009A406E" w:rsidRDefault="00290958" w:rsidP="001F0FB5">
            <w:pPr>
              <w:jc w:val="left"/>
              <w:rPr>
                <w:sz w:val="22"/>
                <w:szCs w:val="22"/>
              </w:rPr>
            </w:pPr>
            <w:r w:rsidRPr="009A406E">
              <w:rPr>
                <w:sz w:val="22"/>
                <w:szCs w:val="22"/>
              </w:rPr>
              <w:t>Average cost of an installation per home</w:t>
            </w:r>
            <w:r>
              <w:rPr>
                <w:sz w:val="22"/>
                <w:szCs w:val="22"/>
              </w:rPr>
              <w:t>. (This should not include admin costs)</w:t>
            </w:r>
          </w:p>
        </w:tc>
        <w:tc>
          <w:tcPr>
            <w:tcW w:w="4693" w:type="dxa"/>
          </w:tcPr>
          <w:p w14:paraId="56EAD988" w14:textId="77777777" w:rsidR="00290958" w:rsidRPr="009A406E" w:rsidRDefault="00290958" w:rsidP="001F0FB5">
            <w:pPr>
              <w:jc w:val="left"/>
              <w:rPr>
                <w:sz w:val="22"/>
                <w:szCs w:val="22"/>
              </w:rPr>
            </w:pPr>
            <w:r w:rsidRPr="009A406E">
              <w:rPr>
                <w:sz w:val="22"/>
                <w:szCs w:val="22"/>
              </w:rPr>
              <w:t>By tenure</w:t>
            </w:r>
          </w:p>
        </w:tc>
      </w:tr>
      <w:tr w:rsidR="00290958" w:rsidRPr="009A406E" w14:paraId="6DB739FD" w14:textId="77777777" w:rsidTr="00290958">
        <w:tc>
          <w:tcPr>
            <w:tcW w:w="767" w:type="dxa"/>
            <w:vMerge/>
          </w:tcPr>
          <w:p w14:paraId="6FF3AAFB" w14:textId="77777777" w:rsidR="00290958" w:rsidRPr="00E11611" w:rsidRDefault="00290958" w:rsidP="009C197C">
            <w:pPr>
              <w:jc w:val="center"/>
              <w:rPr>
                <w:sz w:val="22"/>
                <w:szCs w:val="22"/>
              </w:rPr>
            </w:pPr>
          </w:p>
        </w:tc>
        <w:tc>
          <w:tcPr>
            <w:tcW w:w="3607" w:type="dxa"/>
            <w:vMerge/>
          </w:tcPr>
          <w:p w14:paraId="71F363E1" w14:textId="77777777" w:rsidR="00290958" w:rsidRPr="00E11611" w:rsidRDefault="00290958" w:rsidP="001F0FB5">
            <w:pPr>
              <w:jc w:val="left"/>
              <w:rPr>
                <w:sz w:val="22"/>
                <w:szCs w:val="22"/>
              </w:rPr>
            </w:pPr>
          </w:p>
        </w:tc>
        <w:tc>
          <w:tcPr>
            <w:tcW w:w="4693" w:type="dxa"/>
          </w:tcPr>
          <w:p w14:paraId="214BA2F4" w14:textId="77777777" w:rsidR="00290958" w:rsidRPr="00E11611" w:rsidRDefault="00290958" w:rsidP="001F0FB5">
            <w:pPr>
              <w:jc w:val="left"/>
              <w:rPr>
                <w:sz w:val="22"/>
                <w:szCs w:val="22"/>
              </w:rPr>
            </w:pPr>
            <w:r w:rsidRPr="00E11611">
              <w:rPr>
                <w:sz w:val="22"/>
                <w:szCs w:val="22"/>
              </w:rPr>
              <w:t>By type of measure</w:t>
            </w:r>
          </w:p>
        </w:tc>
      </w:tr>
      <w:tr w:rsidR="00290958" w:rsidRPr="009A406E" w14:paraId="00F7C064" w14:textId="77777777" w:rsidTr="00290958">
        <w:tc>
          <w:tcPr>
            <w:tcW w:w="767" w:type="dxa"/>
            <w:vMerge/>
          </w:tcPr>
          <w:p w14:paraId="29388676" w14:textId="77777777" w:rsidR="00290958" w:rsidRPr="00E11611" w:rsidRDefault="00290958" w:rsidP="009C197C">
            <w:pPr>
              <w:jc w:val="center"/>
              <w:rPr>
                <w:sz w:val="22"/>
                <w:szCs w:val="22"/>
              </w:rPr>
            </w:pPr>
          </w:p>
        </w:tc>
        <w:tc>
          <w:tcPr>
            <w:tcW w:w="3607" w:type="dxa"/>
            <w:vMerge/>
          </w:tcPr>
          <w:p w14:paraId="788B37E7" w14:textId="77777777" w:rsidR="00290958" w:rsidRPr="00E11611" w:rsidRDefault="00290958" w:rsidP="001F0FB5">
            <w:pPr>
              <w:jc w:val="left"/>
              <w:rPr>
                <w:sz w:val="22"/>
                <w:szCs w:val="22"/>
              </w:rPr>
            </w:pPr>
          </w:p>
        </w:tc>
        <w:tc>
          <w:tcPr>
            <w:tcW w:w="4693" w:type="dxa"/>
          </w:tcPr>
          <w:p w14:paraId="0FEC8D5C" w14:textId="77777777" w:rsidR="00290958" w:rsidRPr="00E11611" w:rsidRDefault="00290958" w:rsidP="001F0FB5">
            <w:pPr>
              <w:jc w:val="left"/>
              <w:rPr>
                <w:sz w:val="22"/>
                <w:szCs w:val="22"/>
              </w:rPr>
            </w:pPr>
            <w:r w:rsidRPr="00E11611">
              <w:rPr>
                <w:sz w:val="22"/>
                <w:szCs w:val="22"/>
              </w:rPr>
              <w:t>By starting EPC band</w:t>
            </w:r>
          </w:p>
        </w:tc>
      </w:tr>
      <w:tr w:rsidR="00290958" w:rsidRPr="009A406E" w14:paraId="762CED6A" w14:textId="77777777" w:rsidTr="00290958">
        <w:tc>
          <w:tcPr>
            <w:tcW w:w="767" w:type="dxa"/>
            <w:vMerge w:val="restart"/>
          </w:tcPr>
          <w:p w14:paraId="091D9B30" w14:textId="697B19BB" w:rsidR="00290958" w:rsidRPr="009A406E" w:rsidRDefault="00290958" w:rsidP="009C197C">
            <w:pPr>
              <w:jc w:val="center"/>
              <w:rPr>
                <w:sz w:val="22"/>
                <w:szCs w:val="22"/>
              </w:rPr>
            </w:pPr>
          </w:p>
          <w:p w14:paraId="3B9C781F" w14:textId="4FD73F60" w:rsidR="00290958" w:rsidRPr="009A406E" w:rsidRDefault="00290958" w:rsidP="009C197C">
            <w:pPr>
              <w:jc w:val="center"/>
              <w:rPr>
                <w:sz w:val="22"/>
                <w:szCs w:val="22"/>
              </w:rPr>
            </w:pPr>
            <w:r>
              <w:rPr>
                <w:sz w:val="22"/>
                <w:szCs w:val="22"/>
              </w:rPr>
              <w:t>11</w:t>
            </w:r>
            <w:r w:rsidRPr="009A406E">
              <w:rPr>
                <w:sz w:val="22"/>
                <w:szCs w:val="22"/>
              </w:rPr>
              <w:t>.</w:t>
            </w:r>
          </w:p>
        </w:tc>
        <w:tc>
          <w:tcPr>
            <w:tcW w:w="3607" w:type="dxa"/>
            <w:vMerge w:val="restart"/>
          </w:tcPr>
          <w:p w14:paraId="7CB91527" w14:textId="77777777" w:rsidR="00290958" w:rsidRPr="009A406E" w:rsidRDefault="00290958" w:rsidP="001F0FB5">
            <w:pPr>
              <w:jc w:val="left"/>
              <w:rPr>
                <w:sz w:val="22"/>
                <w:szCs w:val="22"/>
              </w:rPr>
            </w:pPr>
            <w:r w:rsidRPr="009A406E">
              <w:rPr>
                <w:sz w:val="22"/>
                <w:szCs w:val="22"/>
              </w:rPr>
              <w:t>Number of jobs supported</w:t>
            </w:r>
          </w:p>
        </w:tc>
        <w:tc>
          <w:tcPr>
            <w:tcW w:w="4693" w:type="dxa"/>
          </w:tcPr>
          <w:p w14:paraId="636D60F1" w14:textId="77777777" w:rsidR="00290958" w:rsidRPr="009A406E" w:rsidRDefault="00290958" w:rsidP="001F0FB5">
            <w:pPr>
              <w:jc w:val="left"/>
              <w:rPr>
                <w:sz w:val="22"/>
                <w:szCs w:val="22"/>
              </w:rPr>
            </w:pPr>
            <w:r w:rsidRPr="009A406E">
              <w:rPr>
                <w:sz w:val="22"/>
                <w:szCs w:val="22"/>
              </w:rPr>
              <w:t>Total each month</w:t>
            </w:r>
          </w:p>
        </w:tc>
      </w:tr>
      <w:tr w:rsidR="00290958" w:rsidRPr="009A406E" w14:paraId="40D0B9D3" w14:textId="77777777" w:rsidTr="00290958">
        <w:tc>
          <w:tcPr>
            <w:tcW w:w="767" w:type="dxa"/>
            <w:vMerge/>
          </w:tcPr>
          <w:p w14:paraId="349D02FB" w14:textId="77777777" w:rsidR="00290958" w:rsidRPr="00E11611" w:rsidRDefault="00290958" w:rsidP="009C197C">
            <w:pPr>
              <w:jc w:val="center"/>
              <w:rPr>
                <w:sz w:val="22"/>
                <w:szCs w:val="22"/>
              </w:rPr>
            </w:pPr>
          </w:p>
        </w:tc>
        <w:tc>
          <w:tcPr>
            <w:tcW w:w="3607" w:type="dxa"/>
            <w:vMerge/>
          </w:tcPr>
          <w:p w14:paraId="06881A40" w14:textId="77777777" w:rsidR="00290958" w:rsidRPr="00E11611" w:rsidRDefault="00290958" w:rsidP="001F0FB5">
            <w:pPr>
              <w:jc w:val="left"/>
              <w:rPr>
                <w:sz w:val="22"/>
                <w:szCs w:val="22"/>
              </w:rPr>
            </w:pPr>
          </w:p>
        </w:tc>
        <w:tc>
          <w:tcPr>
            <w:tcW w:w="4693" w:type="dxa"/>
          </w:tcPr>
          <w:p w14:paraId="2E63AC2B" w14:textId="77777777" w:rsidR="00290958" w:rsidRPr="00E11611" w:rsidRDefault="00290958" w:rsidP="001F0FB5">
            <w:pPr>
              <w:jc w:val="left"/>
              <w:rPr>
                <w:sz w:val="22"/>
                <w:szCs w:val="22"/>
              </w:rPr>
            </w:pPr>
            <w:r w:rsidRPr="00E11611">
              <w:rPr>
                <w:sz w:val="22"/>
                <w:szCs w:val="22"/>
              </w:rPr>
              <w:t>Total number of apprenticeships (existing and new)</w:t>
            </w:r>
          </w:p>
        </w:tc>
      </w:tr>
      <w:tr w:rsidR="00290958" w:rsidRPr="009A406E" w14:paraId="0E6E82E1" w14:textId="77777777" w:rsidTr="009C197C">
        <w:tc>
          <w:tcPr>
            <w:tcW w:w="767" w:type="dxa"/>
            <w:vMerge w:val="restart"/>
            <w:vAlign w:val="center"/>
          </w:tcPr>
          <w:p w14:paraId="2275A314" w14:textId="6E69EF58" w:rsidR="00290958" w:rsidRPr="009A406E" w:rsidRDefault="00290958" w:rsidP="009C197C">
            <w:pPr>
              <w:jc w:val="center"/>
              <w:rPr>
                <w:sz w:val="22"/>
                <w:szCs w:val="22"/>
              </w:rPr>
            </w:pPr>
            <w:r w:rsidRPr="000473A2">
              <w:rPr>
                <w:sz w:val="22"/>
                <w:szCs w:val="22"/>
              </w:rPr>
              <w:t>1</w:t>
            </w:r>
            <w:r>
              <w:rPr>
                <w:sz w:val="22"/>
                <w:szCs w:val="22"/>
              </w:rPr>
              <w:t>2</w:t>
            </w:r>
            <w:r w:rsidR="003B0F48">
              <w:rPr>
                <w:sz w:val="22"/>
                <w:szCs w:val="22"/>
              </w:rPr>
              <w:t>.</w:t>
            </w:r>
          </w:p>
        </w:tc>
        <w:tc>
          <w:tcPr>
            <w:tcW w:w="3607" w:type="dxa"/>
            <w:vMerge w:val="restart"/>
          </w:tcPr>
          <w:p w14:paraId="15FDFE6D" w14:textId="77777777" w:rsidR="00290958" w:rsidRPr="009A406E" w:rsidRDefault="00290958" w:rsidP="001F0FB5">
            <w:pPr>
              <w:jc w:val="left"/>
              <w:rPr>
                <w:sz w:val="22"/>
                <w:szCs w:val="22"/>
              </w:rPr>
            </w:pPr>
            <w:r w:rsidRPr="009A406E">
              <w:rPr>
                <w:sz w:val="22"/>
                <w:szCs w:val="22"/>
              </w:rPr>
              <w:t>Progress against target number of installations</w:t>
            </w:r>
          </w:p>
        </w:tc>
        <w:tc>
          <w:tcPr>
            <w:tcW w:w="4693" w:type="dxa"/>
          </w:tcPr>
          <w:p w14:paraId="4C164C00" w14:textId="77777777" w:rsidR="00290958" w:rsidRPr="009A406E" w:rsidRDefault="00290958" w:rsidP="001F0FB5">
            <w:pPr>
              <w:jc w:val="left"/>
              <w:rPr>
                <w:sz w:val="22"/>
                <w:szCs w:val="22"/>
              </w:rPr>
            </w:pPr>
            <w:r w:rsidRPr="009A406E">
              <w:rPr>
                <w:sz w:val="22"/>
                <w:szCs w:val="22"/>
              </w:rPr>
              <w:t>Number of installations per month</w:t>
            </w:r>
          </w:p>
        </w:tc>
      </w:tr>
      <w:tr w:rsidR="00290958" w:rsidRPr="009A406E" w14:paraId="299E666F" w14:textId="77777777" w:rsidTr="00290958">
        <w:tc>
          <w:tcPr>
            <w:tcW w:w="767" w:type="dxa"/>
            <w:vMerge/>
          </w:tcPr>
          <w:p w14:paraId="409FB446" w14:textId="77777777" w:rsidR="00290958" w:rsidRPr="00E11611" w:rsidRDefault="00290958" w:rsidP="009C197C">
            <w:pPr>
              <w:jc w:val="center"/>
              <w:rPr>
                <w:sz w:val="22"/>
                <w:szCs w:val="22"/>
              </w:rPr>
            </w:pPr>
          </w:p>
        </w:tc>
        <w:tc>
          <w:tcPr>
            <w:tcW w:w="3607" w:type="dxa"/>
            <w:vMerge/>
          </w:tcPr>
          <w:p w14:paraId="49D3C6A8" w14:textId="77777777" w:rsidR="00290958" w:rsidRPr="00E11611" w:rsidRDefault="00290958" w:rsidP="001F0FB5">
            <w:pPr>
              <w:jc w:val="left"/>
              <w:rPr>
                <w:sz w:val="22"/>
                <w:szCs w:val="22"/>
              </w:rPr>
            </w:pPr>
          </w:p>
        </w:tc>
        <w:tc>
          <w:tcPr>
            <w:tcW w:w="4693" w:type="dxa"/>
          </w:tcPr>
          <w:p w14:paraId="5C790414" w14:textId="77777777" w:rsidR="00290958" w:rsidRPr="00E11611" w:rsidRDefault="00290958" w:rsidP="001F0FB5">
            <w:pPr>
              <w:jc w:val="left"/>
              <w:rPr>
                <w:sz w:val="22"/>
                <w:szCs w:val="22"/>
              </w:rPr>
            </w:pPr>
            <w:r w:rsidRPr="00E11611">
              <w:rPr>
                <w:sz w:val="22"/>
                <w:szCs w:val="22"/>
              </w:rPr>
              <w:t>Percentage against target by month</w:t>
            </w:r>
          </w:p>
        </w:tc>
      </w:tr>
      <w:tr w:rsidR="00290958" w:rsidRPr="009A406E" w14:paraId="44D37976" w14:textId="77777777" w:rsidTr="00290958">
        <w:trPr>
          <w:trHeight w:val="296"/>
        </w:trPr>
        <w:tc>
          <w:tcPr>
            <w:tcW w:w="767" w:type="dxa"/>
          </w:tcPr>
          <w:p w14:paraId="3CCC6AC5" w14:textId="396E63EB" w:rsidR="00290958" w:rsidRPr="000473A2" w:rsidRDefault="00290958" w:rsidP="009C197C">
            <w:pPr>
              <w:jc w:val="center"/>
              <w:rPr>
                <w:sz w:val="22"/>
                <w:szCs w:val="22"/>
              </w:rPr>
            </w:pPr>
            <w:r>
              <w:rPr>
                <w:sz w:val="22"/>
                <w:szCs w:val="22"/>
              </w:rPr>
              <w:t>13.</w:t>
            </w:r>
          </w:p>
        </w:tc>
        <w:tc>
          <w:tcPr>
            <w:tcW w:w="3607" w:type="dxa"/>
          </w:tcPr>
          <w:p w14:paraId="0928D51F" w14:textId="757C0572" w:rsidR="00290958" w:rsidRPr="000473A2" w:rsidRDefault="00290958" w:rsidP="001F0FB5">
            <w:pPr>
              <w:jc w:val="left"/>
              <w:rPr>
                <w:sz w:val="22"/>
                <w:szCs w:val="22"/>
              </w:rPr>
            </w:pPr>
            <w:r>
              <w:rPr>
                <w:sz w:val="22"/>
                <w:szCs w:val="22"/>
              </w:rPr>
              <w:t>Equalities and Diversity</w:t>
            </w:r>
          </w:p>
        </w:tc>
        <w:tc>
          <w:tcPr>
            <w:tcW w:w="4693" w:type="dxa"/>
          </w:tcPr>
          <w:p w14:paraId="7E84B9A9" w14:textId="2E10F316" w:rsidR="00290958" w:rsidRPr="000473A2" w:rsidRDefault="00290958" w:rsidP="001F0FB5">
            <w:pPr>
              <w:jc w:val="left"/>
              <w:rPr>
                <w:sz w:val="22"/>
                <w:szCs w:val="22"/>
              </w:rPr>
            </w:pPr>
            <w:r w:rsidRPr="1B718A9F">
              <w:rPr>
                <w:sz w:val="22"/>
                <w:szCs w:val="22"/>
              </w:rPr>
              <w:t xml:space="preserve">Data as outlined in </w:t>
            </w:r>
            <w:r w:rsidRPr="001F0FB5">
              <w:rPr>
                <w:sz w:val="22"/>
                <w:szCs w:val="22"/>
              </w:rPr>
              <w:t>8.0 LADs2 Document 8 Management Arrangements</w:t>
            </w:r>
          </w:p>
        </w:tc>
      </w:tr>
      <w:tr w:rsidR="00290958" w:rsidRPr="009A406E" w14:paraId="4DF68E57" w14:textId="77777777" w:rsidTr="009C197C">
        <w:tc>
          <w:tcPr>
            <w:tcW w:w="767" w:type="dxa"/>
            <w:vMerge w:val="restart"/>
            <w:vAlign w:val="center"/>
          </w:tcPr>
          <w:p w14:paraId="30F7B612" w14:textId="1AFAFED7" w:rsidR="00290958" w:rsidRPr="000473A2" w:rsidRDefault="00290958" w:rsidP="009C197C">
            <w:pPr>
              <w:jc w:val="center"/>
              <w:rPr>
                <w:sz w:val="22"/>
                <w:szCs w:val="22"/>
              </w:rPr>
            </w:pPr>
            <w:r>
              <w:rPr>
                <w:sz w:val="22"/>
                <w:szCs w:val="22"/>
              </w:rPr>
              <w:t>14.</w:t>
            </w:r>
          </w:p>
        </w:tc>
        <w:tc>
          <w:tcPr>
            <w:tcW w:w="3607" w:type="dxa"/>
            <w:vMerge w:val="restart"/>
          </w:tcPr>
          <w:p w14:paraId="2A109B18" w14:textId="4C0031A8" w:rsidR="00290958" w:rsidRPr="000473A2" w:rsidRDefault="00290958" w:rsidP="001F0FB5">
            <w:pPr>
              <w:jc w:val="left"/>
              <w:rPr>
                <w:sz w:val="22"/>
                <w:szCs w:val="22"/>
              </w:rPr>
            </w:pPr>
            <w:r>
              <w:rPr>
                <w:sz w:val="22"/>
                <w:szCs w:val="22"/>
              </w:rPr>
              <w:t xml:space="preserve">Number of installations </w:t>
            </w:r>
          </w:p>
        </w:tc>
        <w:tc>
          <w:tcPr>
            <w:tcW w:w="4693" w:type="dxa"/>
          </w:tcPr>
          <w:p w14:paraId="5A1AB74B" w14:textId="66771D38" w:rsidR="00290958" w:rsidRPr="000473A2" w:rsidRDefault="00290958" w:rsidP="001F0FB5">
            <w:pPr>
              <w:jc w:val="left"/>
              <w:rPr>
                <w:sz w:val="22"/>
                <w:szCs w:val="22"/>
              </w:rPr>
            </w:pPr>
            <w:r>
              <w:rPr>
                <w:sz w:val="22"/>
                <w:szCs w:val="22"/>
              </w:rPr>
              <w:t>For each measure</w:t>
            </w:r>
          </w:p>
        </w:tc>
      </w:tr>
      <w:tr w:rsidR="00290958" w:rsidRPr="009A406E" w14:paraId="227302C6" w14:textId="77777777" w:rsidTr="00290958">
        <w:tc>
          <w:tcPr>
            <w:tcW w:w="767" w:type="dxa"/>
            <w:vMerge/>
          </w:tcPr>
          <w:p w14:paraId="154CDC9F" w14:textId="77777777" w:rsidR="00290958" w:rsidRPr="000473A2" w:rsidRDefault="00290958" w:rsidP="009C197C">
            <w:pPr>
              <w:jc w:val="center"/>
              <w:rPr>
                <w:sz w:val="22"/>
                <w:szCs w:val="22"/>
              </w:rPr>
            </w:pPr>
          </w:p>
        </w:tc>
        <w:tc>
          <w:tcPr>
            <w:tcW w:w="3607" w:type="dxa"/>
            <w:vMerge/>
          </w:tcPr>
          <w:p w14:paraId="40B87CD4" w14:textId="77777777" w:rsidR="00290958" w:rsidRPr="000473A2" w:rsidRDefault="00290958" w:rsidP="001F0FB5">
            <w:pPr>
              <w:jc w:val="left"/>
              <w:rPr>
                <w:sz w:val="22"/>
                <w:szCs w:val="22"/>
              </w:rPr>
            </w:pPr>
          </w:p>
        </w:tc>
        <w:tc>
          <w:tcPr>
            <w:tcW w:w="4693" w:type="dxa"/>
          </w:tcPr>
          <w:p w14:paraId="0099AC48" w14:textId="7FAF5E67" w:rsidR="00290958" w:rsidRPr="000473A2" w:rsidRDefault="00290958" w:rsidP="001F0FB5">
            <w:pPr>
              <w:jc w:val="left"/>
              <w:rPr>
                <w:sz w:val="22"/>
                <w:szCs w:val="22"/>
              </w:rPr>
            </w:pPr>
            <w:r>
              <w:rPr>
                <w:sz w:val="22"/>
                <w:szCs w:val="22"/>
              </w:rPr>
              <w:t>Houses with multiple measures installed</w:t>
            </w:r>
          </w:p>
        </w:tc>
      </w:tr>
      <w:tr w:rsidR="00290958" w:rsidRPr="009A406E" w14:paraId="314C5188" w14:textId="77777777" w:rsidTr="00290958">
        <w:tc>
          <w:tcPr>
            <w:tcW w:w="767" w:type="dxa"/>
          </w:tcPr>
          <w:p w14:paraId="0FC9B25D" w14:textId="3DC3EDAD" w:rsidR="00290958" w:rsidRPr="000473A2" w:rsidRDefault="00290958" w:rsidP="009C197C">
            <w:pPr>
              <w:jc w:val="center"/>
              <w:rPr>
                <w:sz w:val="22"/>
                <w:szCs w:val="22"/>
              </w:rPr>
            </w:pPr>
            <w:r>
              <w:rPr>
                <w:sz w:val="22"/>
                <w:szCs w:val="22"/>
              </w:rPr>
              <w:t>15.</w:t>
            </w:r>
          </w:p>
        </w:tc>
        <w:tc>
          <w:tcPr>
            <w:tcW w:w="3607" w:type="dxa"/>
          </w:tcPr>
          <w:p w14:paraId="47CC5414" w14:textId="716E0B37" w:rsidR="00290958" w:rsidRPr="000473A2" w:rsidRDefault="00290958" w:rsidP="001F0FB5">
            <w:pPr>
              <w:jc w:val="left"/>
              <w:rPr>
                <w:sz w:val="22"/>
                <w:szCs w:val="22"/>
              </w:rPr>
            </w:pPr>
            <w:r>
              <w:rPr>
                <w:sz w:val="22"/>
                <w:szCs w:val="22"/>
              </w:rPr>
              <w:t>Number of customers eligible</w:t>
            </w:r>
          </w:p>
        </w:tc>
        <w:tc>
          <w:tcPr>
            <w:tcW w:w="4693" w:type="dxa"/>
          </w:tcPr>
          <w:p w14:paraId="04C2693F" w14:textId="20683E44" w:rsidR="00290958" w:rsidRDefault="00290958" w:rsidP="001F0FB5">
            <w:pPr>
              <w:jc w:val="left"/>
              <w:rPr>
                <w:sz w:val="22"/>
                <w:szCs w:val="22"/>
              </w:rPr>
            </w:pPr>
            <w:r>
              <w:rPr>
                <w:sz w:val="22"/>
                <w:szCs w:val="22"/>
              </w:rPr>
              <w:t>By eligibility criteria</w:t>
            </w:r>
          </w:p>
        </w:tc>
      </w:tr>
      <w:tr w:rsidR="00290958" w:rsidRPr="009A406E" w14:paraId="7A710117" w14:textId="77777777" w:rsidTr="009C197C">
        <w:tc>
          <w:tcPr>
            <w:tcW w:w="767" w:type="dxa"/>
            <w:vMerge w:val="restart"/>
            <w:vAlign w:val="center"/>
          </w:tcPr>
          <w:p w14:paraId="5BAC4043" w14:textId="6450EBB6" w:rsidR="00290958" w:rsidRPr="000473A2" w:rsidRDefault="00290958" w:rsidP="009C197C">
            <w:pPr>
              <w:jc w:val="center"/>
              <w:rPr>
                <w:sz w:val="22"/>
                <w:szCs w:val="22"/>
              </w:rPr>
            </w:pPr>
            <w:r>
              <w:rPr>
                <w:sz w:val="22"/>
                <w:szCs w:val="22"/>
              </w:rPr>
              <w:t>16.</w:t>
            </w:r>
          </w:p>
        </w:tc>
        <w:tc>
          <w:tcPr>
            <w:tcW w:w="3607" w:type="dxa"/>
            <w:vMerge w:val="restart"/>
          </w:tcPr>
          <w:p w14:paraId="7A2A3CD4" w14:textId="3735B06A" w:rsidR="00290958" w:rsidRPr="000473A2" w:rsidRDefault="00290958" w:rsidP="001F0FB5">
            <w:pPr>
              <w:jc w:val="left"/>
              <w:rPr>
                <w:sz w:val="22"/>
                <w:szCs w:val="22"/>
              </w:rPr>
            </w:pPr>
            <w:r>
              <w:rPr>
                <w:sz w:val="22"/>
                <w:szCs w:val="22"/>
              </w:rPr>
              <w:t>Income</w:t>
            </w:r>
          </w:p>
        </w:tc>
        <w:tc>
          <w:tcPr>
            <w:tcW w:w="4693" w:type="dxa"/>
          </w:tcPr>
          <w:p w14:paraId="416C7FD6" w14:textId="325D736A" w:rsidR="00290958" w:rsidRDefault="00290958" w:rsidP="001F0FB5">
            <w:pPr>
              <w:jc w:val="left"/>
              <w:rPr>
                <w:sz w:val="22"/>
                <w:szCs w:val="22"/>
              </w:rPr>
            </w:pPr>
            <w:r>
              <w:rPr>
                <w:sz w:val="22"/>
                <w:szCs w:val="22"/>
              </w:rPr>
              <w:t>By benefits</w:t>
            </w:r>
          </w:p>
        </w:tc>
      </w:tr>
      <w:tr w:rsidR="00290958" w:rsidRPr="009A406E" w14:paraId="021A5D3D" w14:textId="77777777" w:rsidTr="00290958">
        <w:tc>
          <w:tcPr>
            <w:tcW w:w="767" w:type="dxa"/>
            <w:vMerge/>
          </w:tcPr>
          <w:p w14:paraId="7915C9CC" w14:textId="77777777" w:rsidR="00290958" w:rsidRPr="000473A2" w:rsidRDefault="00290958" w:rsidP="009C197C">
            <w:pPr>
              <w:jc w:val="center"/>
              <w:rPr>
                <w:sz w:val="22"/>
                <w:szCs w:val="22"/>
              </w:rPr>
            </w:pPr>
          </w:p>
        </w:tc>
        <w:tc>
          <w:tcPr>
            <w:tcW w:w="3607" w:type="dxa"/>
            <w:vMerge/>
          </w:tcPr>
          <w:p w14:paraId="53EB8507" w14:textId="77777777" w:rsidR="00290958" w:rsidRPr="000473A2" w:rsidRDefault="00290958" w:rsidP="001F0FB5">
            <w:pPr>
              <w:jc w:val="left"/>
              <w:rPr>
                <w:sz w:val="22"/>
                <w:szCs w:val="22"/>
              </w:rPr>
            </w:pPr>
          </w:p>
        </w:tc>
        <w:tc>
          <w:tcPr>
            <w:tcW w:w="4693" w:type="dxa"/>
          </w:tcPr>
          <w:p w14:paraId="0D5B495E" w14:textId="0481FA1F" w:rsidR="00290958" w:rsidRDefault="00290958" w:rsidP="001F0FB5">
            <w:pPr>
              <w:jc w:val="left"/>
              <w:rPr>
                <w:sz w:val="22"/>
                <w:szCs w:val="22"/>
              </w:rPr>
            </w:pPr>
            <w:r>
              <w:rPr>
                <w:sz w:val="22"/>
                <w:szCs w:val="22"/>
              </w:rPr>
              <w:t>By self-declared income</w:t>
            </w:r>
          </w:p>
        </w:tc>
      </w:tr>
      <w:tr w:rsidR="00290958" w:rsidRPr="009A406E" w14:paraId="6D598617" w14:textId="77777777" w:rsidTr="009C197C">
        <w:tc>
          <w:tcPr>
            <w:tcW w:w="767" w:type="dxa"/>
            <w:vAlign w:val="center"/>
          </w:tcPr>
          <w:p w14:paraId="42008B1E" w14:textId="6FB36EEB" w:rsidR="00290958" w:rsidRPr="000473A2" w:rsidRDefault="00290958" w:rsidP="009C197C">
            <w:pPr>
              <w:jc w:val="center"/>
              <w:rPr>
                <w:sz w:val="22"/>
                <w:szCs w:val="22"/>
              </w:rPr>
            </w:pPr>
            <w:r>
              <w:rPr>
                <w:sz w:val="22"/>
                <w:szCs w:val="22"/>
              </w:rPr>
              <w:t>17.</w:t>
            </w:r>
          </w:p>
        </w:tc>
        <w:tc>
          <w:tcPr>
            <w:tcW w:w="3607" w:type="dxa"/>
          </w:tcPr>
          <w:p w14:paraId="29E5D052" w14:textId="6C58A8F5" w:rsidR="00290958" w:rsidRPr="000473A2" w:rsidRDefault="00290958" w:rsidP="00290958">
            <w:pPr>
              <w:jc w:val="left"/>
              <w:rPr>
                <w:sz w:val="22"/>
                <w:szCs w:val="22"/>
              </w:rPr>
            </w:pPr>
            <w:r>
              <w:rPr>
                <w:sz w:val="22"/>
                <w:szCs w:val="22"/>
              </w:rPr>
              <w:t>Customers not completing installations</w:t>
            </w:r>
          </w:p>
        </w:tc>
        <w:tc>
          <w:tcPr>
            <w:tcW w:w="4693" w:type="dxa"/>
          </w:tcPr>
          <w:p w14:paraId="7075AC22" w14:textId="73978316" w:rsidR="00290958" w:rsidRDefault="00290958" w:rsidP="001F0FB5">
            <w:pPr>
              <w:jc w:val="left"/>
              <w:rPr>
                <w:sz w:val="22"/>
                <w:szCs w:val="22"/>
              </w:rPr>
            </w:pPr>
            <w:r>
              <w:rPr>
                <w:sz w:val="22"/>
                <w:szCs w:val="22"/>
              </w:rPr>
              <w:t>Number of customers dropping out at each stage of the customer journey</w:t>
            </w:r>
          </w:p>
        </w:tc>
      </w:tr>
      <w:tr w:rsidR="00290958" w:rsidRPr="009A406E" w14:paraId="36EDBA23" w14:textId="77777777" w:rsidTr="009C197C">
        <w:tc>
          <w:tcPr>
            <w:tcW w:w="767" w:type="dxa"/>
            <w:vAlign w:val="center"/>
          </w:tcPr>
          <w:p w14:paraId="107BA883" w14:textId="22037D48" w:rsidR="00290958" w:rsidRDefault="00290958" w:rsidP="009C197C">
            <w:pPr>
              <w:jc w:val="center"/>
              <w:rPr>
                <w:sz w:val="22"/>
                <w:szCs w:val="22"/>
              </w:rPr>
            </w:pPr>
            <w:r>
              <w:rPr>
                <w:sz w:val="22"/>
                <w:szCs w:val="22"/>
              </w:rPr>
              <w:t>18.</w:t>
            </w:r>
          </w:p>
        </w:tc>
        <w:tc>
          <w:tcPr>
            <w:tcW w:w="3607" w:type="dxa"/>
          </w:tcPr>
          <w:p w14:paraId="72FC6C33" w14:textId="242E9F17" w:rsidR="00290958" w:rsidRDefault="00290958" w:rsidP="00290958">
            <w:pPr>
              <w:jc w:val="left"/>
              <w:rPr>
                <w:sz w:val="22"/>
                <w:szCs w:val="22"/>
              </w:rPr>
            </w:pPr>
            <w:r>
              <w:rPr>
                <w:sz w:val="22"/>
                <w:szCs w:val="22"/>
              </w:rPr>
              <w:t>Registered suppliers</w:t>
            </w:r>
          </w:p>
        </w:tc>
        <w:tc>
          <w:tcPr>
            <w:tcW w:w="4693" w:type="dxa"/>
          </w:tcPr>
          <w:p w14:paraId="58CFCCB9" w14:textId="178DBE84" w:rsidR="00290958" w:rsidRDefault="00290958" w:rsidP="001F0FB5">
            <w:pPr>
              <w:jc w:val="left"/>
              <w:rPr>
                <w:sz w:val="22"/>
                <w:szCs w:val="22"/>
              </w:rPr>
            </w:pPr>
            <w:r>
              <w:rPr>
                <w:sz w:val="22"/>
                <w:szCs w:val="22"/>
              </w:rPr>
              <w:t>Number of new registered Trustmark Installers or sub-contractors.</w:t>
            </w:r>
          </w:p>
        </w:tc>
      </w:tr>
      <w:tr w:rsidR="00290958" w:rsidRPr="009A406E" w14:paraId="6278596C" w14:textId="77777777" w:rsidTr="009C197C">
        <w:tc>
          <w:tcPr>
            <w:tcW w:w="767" w:type="dxa"/>
            <w:vMerge w:val="restart"/>
            <w:vAlign w:val="center"/>
          </w:tcPr>
          <w:p w14:paraId="17FA0BE5" w14:textId="139890EF" w:rsidR="00290958" w:rsidRDefault="00290958" w:rsidP="009C197C">
            <w:pPr>
              <w:jc w:val="center"/>
              <w:rPr>
                <w:sz w:val="22"/>
                <w:szCs w:val="22"/>
              </w:rPr>
            </w:pPr>
            <w:r>
              <w:rPr>
                <w:sz w:val="22"/>
                <w:szCs w:val="22"/>
              </w:rPr>
              <w:t>19.</w:t>
            </w:r>
          </w:p>
        </w:tc>
        <w:tc>
          <w:tcPr>
            <w:tcW w:w="3607" w:type="dxa"/>
            <w:vMerge w:val="restart"/>
          </w:tcPr>
          <w:p w14:paraId="6EA71C3E" w14:textId="35BC4EA7" w:rsidR="00290958" w:rsidRDefault="00290958" w:rsidP="00290958">
            <w:pPr>
              <w:jc w:val="left"/>
              <w:rPr>
                <w:sz w:val="22"/>
                <w:szCs w:val="22"/>
              </w:rPr>
            </w:pPr>
            <w:r>
              <w:rPr>
                <w:sz w:val="22"/>
                <w:szCs w:val="22"/>
              </w:rPr>
              <w:t>Referral type to conversion</w:t>
            </w:r>
          </w:p>
        </w:tc>
        <w:tc>
          <w:tcPr>
            <w:tcW w:w="4693" w:type="dxa"/>
          </w:tcPr>
          <w:p w14:paraId="1BF35E60" w14:textId="3E080A3A" w:rsidR="00290958" w:rsidRDefault="00290958" w:rsidP="001F0FB5">
            <w:pPr>
              <w:jc w:val="left"/>
              <w:rPr>
                <w:sz w:val="22"/>
                <w:szCs w:val="22"/>
              </w:rPr>
            </w:pPr>
            <w:r>
              <w:rPr>
                <w:sz w:val="22"/>
                <w:szCs w:val="22"/>
              </w:rPr>
              <w:t xml:space="preserve">Customer </w:t>
            </w:r>
            <w:r w:rsidRPr="1B718A9F">
              <w:rPr>
                <w:sz w:val="22"/>
                <w:szCs w:val="22"/>
              </w:rPr>
              <w:t>self-referral</w:t>
            </w:r>
          </w:p>
        </w:tc>
      </w:tr>
      <w:tr w:rsidR="00290958" w:rsidRPr="009A406E" w14:paraId="1AA2BF25" w14:textId="77777777" w:rsidTr="00290958">
        <w:tc>
          <w:tcPr>
            <w:tcW w:w="767" w:type="dxa"/>
            <w:vMerge/>
          </w:tcPr>
          <w:p w14:paraId="73C2E0B3" w14:textId="77777777" w:rsidR="00290958" w:rsidRDefault="00290958" w:rsidP="009C197C">
            <w:pPr>
              <w:jc w:val="center"/>
              <w:rPr>
                <w:sz w:val="22"/>
                <w:szCs w:val="22"/>
              </w:rPr>
            </w:pPr>
          </w:p>
        </w:tc>
        <w:tc>
          <w:tcPr>
            <w:tcW w:w="3607" w:type="dxa"/>
            <w:vMerge/>
          </w:tcPr>
          <w:p w14:paraId="163322D3" w14:textId="77777777" w:rsidR="00290958" w:rsidRDefault="00290958" w:rsidP="00290958">
            <w:pPr>
              <w:jc w:val="left"/>
              <w:rPr>
                <w:sz w:val="22"/>
                <w:szCs w:val="22"/>
              </w:rPr>
            </w:pPr>
          </w:p>
        </w:tc>
        <w:tc>
          <w:tcPr>
            <w:tcW w:w="4693" w:type="dxa"/>
          </w:tcPr>
          <w:p w14:paraId="42CBAC6E" w14:textId="37AE9EC4" w:rsidR="00290958" w:rsidRDefault="00290958" w:rsidP="001F0FB5">
            <w:pPr>
              <w:jc w:val="left"/>
              <w:rPr>
                <w:sz w:val="22"/>
                <w:szCs w:val="22"/>
              </w:rPr>
            </w:pPr>
            <w:r>
              <w:rPr>
                <w:sz w:val="22"/>
                <w:szCs w:val="22"/>
              </w:rPr>
              <w:t>Partner referral</w:t>
            </w:r>
          </w:p>
        </w:tc>
      </w:tr>
      <w:tr w:rsidR="00290958" w:rsidRPr="009A406E" w14:paraId="366F56DF" w14:textId="77777777" w:rsidTr="009C197C">
        <w:tc>
          <w:tcPr>
            <w:tcW w:w="767" w:type="dxa"/>
            <w:vAlign w:val="center"/>
          </w:tcPr>
          <w:p w14:paraId="740CD386" w14:textId="18594E0D" w:rsidR="00290958" w:rsidRDefault="00290958" w:rsidP="009C197C">
            <w:pPr>
              <w:jc w:val="center"/>
              <w:rPr>
                <w:sz w:val="22"/>
                <w:szCs w:val="22"/>
              </w:rPr>
            </w:pPr>
            <w:r>
              <w:rPr>
                <w:sz w:val="22"/>
                <w:szCs w:val="22"/>
              </w:rPr>
              <w:t>20.</w:t>
            </w:r>
          </w:p>
        </w:tc>
        <w:tc>
          <w:tcPr>
            <w:tcW w:w="3607" w:type="dxa"/>
          </w:tcPr>
          <w:p w14:paraId="2B1BAE66" w14:textId="28631C6D" w:rsidR="00290958" w:rsidRDefault="00290958" w:rsidP="00290958">
            <w:pPr>
              <w:jc w:val="left"/>
              <w:rPr>
                <w:sz w:val="22"/>
                <w:szCs w:val="22"/>
              </w:rPr>
            </w:pPr>
            <w:r>
              <w:rPr>
                <w:sz w:val="22"/>
                <w:szCs w:val="22"/>
              </w:rPr>
              <w:t>Conversion rates</w:t>
            </w:r>
          </w:p>
        </w:tc>
        <w:tc>
          <w:tcPr>
            <w:tcW w:w="4693" w:type="dxa"/>
          </w:tcPr>
          <w:p w14:paraId="5FFE3620" w14:textId="0E395F3E" w:rsidR="00290958" w:rsidRDefault="00290958" w:rsidP="001F0FB5">
            <w:pPr>
              <w:jc w:val="left"/>
              <w:rPr>
                <w:sz w:val="22"/>
                <w:szCs w:val="22"/>
              </w:rPr>
            </w:pPr>
            <w:r>
              <w:rPr>
                <w:sz w:val="22"/>
                <w:szCs w:val="22"/>
              </w:rPr>
              <w:t>Number of referrals (either type) to completion</w:t>
            </w:r>
          </w:p>
        </w:tc>
      </w:tr>
    </w:tbl>
    <w:p w14:paraId="3D2B79CD" w14:textId="3E850E57" w:rsidR="006B3E50" w:rsidRDefault="006B3E50" w:rsidP="00DC109A">
      <w:pPr>
        <w:spacing w:after="120"/>
        <w:rPr>
          <w:rFonts w:cs="Arial"/>
          <w:sz w:val="22"/>
          <w:szCs w:val="22"/>
        </w:rPr>
      </w:pPr>
    </w:p>
    <w:p w14:paraId="5CF08F1C" w14:textId="77777777" w:rsidR="00232247" w:rsidRPr="00DC109A" w:rsidRDefault="00232247" w:rsidP="00DC109A">
      <w:pPr>
        <w:spacing w:after="120"/>
        <w:rPr>
          <w:rFonts w:cs="Arial"/>
          <w:sz w:val="22"/>
          <w:szCs w:val="22"/>
        </w:rPr>
      </w:pPr>
    </w:p>
    <w:p w14:paraId="3D2B79CE" w14:textId="77777777" w:rsidR="006B3E50" w:rsidRPr="004C4CB4" w:rsidRDefault="00DB7B7D" w:rsidP="46B5BCA3">
      <w:pPr>
        <w:pStyle w:val="ListParagraph"/>
        <w:numPr>
          <w:ilvl w:val="0"/>
          <w:numId w:val="6"/>
        </w:numPr>
        <w:spacing w:after="120"/>
        <w:rPr>
          <w:rFonts w:ascii="Arial" w:hAnsi="Arial" w:cs="Arial"/>
          <w:b/>
          <w:bCs/>
          <w:sz w:val="22"/>
          <w:szCs w:val="22"/>
        </w:rPr>
      </w:pPr>
      <w:r w:rsidRPr="46B5BCA3">
        <w:rPr>
          <w:rFonts w:ascii="Arial" w:hAnsi="Arial" w:cs="Arial"/>
          <w:b/>
          <w:bCs/>
          <w:sz w:val="22"/>
          <w:szCs w:val="22"/>
        </w:rPr>
        <w:t>Measuring o</w:t>
      </w:r>
      <w:r w:rsidR="006B3E50" w:rsidRPr="46B5BCA3">
        <w:rPr>
          <w:rFonts w:ascii="Arial" w:hAnsi="Arial" w:cs="Arial"/>
          <w:b/>
          <w:bCs/>
          <w:sz w:val="22"/>
          <w:szCs w:val="22"/>
        </w:rPr>
        <w:t>utcomes</w:t>
      </w:r>
    </w:p>
    <w:p w14:paraId="3D2B79CF" w14:textId="31DADEF3" w:rsidR="006B3E50" w:rsidRPr="00D4392B" w:rsidRDefault="006B3E50" w:rsidP="00171ACB">
      <w:pPr>
        <w:pStyle w:val="ListParagraph"/>
        <w:numPr>
          <w:ilvl w:val="1"/>
          <w:numId w:val="6"/>
        </w:numPr>
        <w:spacing w:after="120"/>
        <w:rPr>
          <w:rFonts w:ascii="Arial" w:hAnsi="Arial" w:cs="Arial"/>
          <w:sz w:val="22"/>
          <w:szCs w:val="22"/>
        </w:rPr>
      </w:pPr>
      <w:r w:rsidRPr="46B5BCA3">
        <w:rPr>
          <w:rFonts w:ascii="Arial" w:hAnsi="Arial" w:cs="Arial"/>
          <w:sz w:val="22"/>
          <w:szCs w:val="22"/>
        </w:rPr>
        <w:t xml:space="preserve">Data from the </w:t>
      </w:r>
      <w:r w:rsidR="0052184B">
        <w:rPr>
          <w:rFonts w:ascii="Arial" w:hAnsi="Arial" w:cs="Arial"/>
          <w:sz w:val="22"/>
          <w:szCs w:val="22"/>
        </w:rPr>
        <w:t xml:space="preserve">agreement </w:t>
      </w:r>
      <w:r w:rsidRPr="46B5BCA3">
        <w:rPr>
          <w:rFonts w:ascii="Arial" w:hAnsi="Arial" w:cs="Arial"/>
          <w:sz w:val="22"/>
          <w:szCs w:val="22"/>
        </w:rPr>
        <w:t>will support the measurement of the following outcomes, either directly or by appropriate extrapolation and modelling:</w:t>
      </w:r>
    </w:p>
    <w:p w14:paraId="3D2B79D0" w14:textId="77777777" w:rsidR="004C4CB4" w:rsidRPr="004C4CB4" w:rsidRDefault="006B3E50" w:rsidP="00171ACB">
      <w:pPr>
        <w:pStyle w:val="ListParagraph"/>
        <w:numPr>
          <w:ilvl w:val="0"/>
          <w:numId w:val="16"/>
        </w:numPr>
        <w:spacing w:after="120"/>
        <w:rPr>
          <w:rFonts w:ascii="Arial" w:hAnsi="Arial" w:cs="Arial"/>
          <w:sz w:val="22"/>
          <w:szCs w:val="22"/>
        </w:rPr>
      </w:pPr>
      <w:bookmarkStart w:id="1" w:name="_Hlk61969822"/>
      <w:r w:rsidRPr="004C4CB4">
        <w:rPr>
          <w:rFonts w:ascii="Arial" w:hAnsi="Arial" w:cs="Arial"/>
          <w:sz w:val="22"/>
          <w:szCs w:val="22"/>
        </w:rPr>
        <w:t>the impact on annual and lifetim</w:t>
      </w:r>
      <w:r w:rsidR="00F61081">
        <w:rPr>
          <w:rFonts w:ascii="Arial" w:hAnsi="Arial" w:cs="Arial"/>
          <w:sz w:val="22"/>
          <w:szCs w:val="22"/>
        </w:rPr>
        <w:t>e carbon dioxide emissions; and</w:t>
      </w:r>
    </w:p>
    <w:p w14:paraId="3D2B79D1" w14:textId="77777777" w:rsidR="004C4CB4" w:rsidRPr="004C4CB4" w:rsidRDefault="006B3E50" w:rsidP="00171ACB">
      <w:pPr>
        <w:pStyle w:val="ListParagraph"/>
        <w:numPr>
          <w:ilvl w:val="0"/>
          <w:numId w:val="16"/>
        </w:numPr>
        <w:spacing w:after="120"/>
        <w:rPr>
          <w:rFonts w:ascii="Arial" w:hAnsi="Arial" w:cs="Arial"/>
          <w:sz w:val="22"/>
          <w:szCs w:val="22"/>
        </w:rPr>
      </w:pPr>
      <w:r w:rsidRPr="004C4CB4">
        <w:rPr>
          <w:rFonts w:ascii="Arial" w:hAnsi="Arial" w:cs="Arial"/>
          <w:sz w:val="22"/>
          <w:szCs w:val="22"/>
        </w:rPr>
        <w:t>the impact on annual and lifetime household fuel bills.</w:t>
      </w:r>
      <w:r w:rsidR="004C4CB4" w:rsidRPr="004C4CB4">
        <w:rPr>
          <w:rFonts w:ascii="Arial" w:hAnsi="Arial" w:cs="Arial"/>
          <w:sz w:val="22"/>
          <w:szCs w:val="22"/>
        </w:rPr>
        <w:t xml:space="preserve"> </w:t>
      </w:r>
    </w:p>
    <w:bookmarkEnd w:id="1"/>
    <w:p w14:paraId="3D2B79D2" w14:textId="6F431181" w:rsidR="006B3E50" w:rsidRDefault="006B3E50" w:rsidP="00171ACB">
      <w:pPr>
        <w:pStyle w:val="ListParagraph"/>
        <w:numPr>
          <w:ilvl w:val="1"/>
          <w:numId w:val="6"/>
        </w:numPr>
        <w:spacing w:after="120"/>
        <w:rPr>
          <w:rFonts w:ascii="Arial" w:hAnsi="Arial" w:cs="Arial"/>
          <w:sz w:val="22"/>
          <w:szCs w:val="22"/>
        </w:rPr>
      </w:pPr>
      <w:r w:rsidRPr="674DC236">
        <w:rPr>
          <w:rFonts w:ascii="Arial" w:hAnsi="Arial" w:cs="Arial"/>
          <w:sz w:val="22"/>
          <w:szCs w:val="22"/>
        </w:rPr>
        <w:t xml:space="preserve">The </w:t>
      </w:r>
      <w:r w:rsidR="00AA0779" w:rsidRPr="674DC236">
        <w:rPr>
          <w:rFonts w:ascii="Arial" w:hAnsi="Arial" w:cs="Arial"/>
          <w:sz w:val="22"/>
          <w:szCs w:val="22"/>
        </w:rPr>
        <w:t>Delivery Organisation</w:t>
      </w:r>
      <w:r w:rsidR="00AD4C5C" w:rsidRPr="674DC236">
        <w:rPr>
          <w:rFonts w:ascii="Arial" w:hAnsi="Arial" w:cs="Arial"/>
          <w:sz w:val="22"/>
          <w:szCs w:val="22"/>
        </w:rPr>
        <w:t xml:space="preserve"> </w:t>
      </w:r>
      <w:r w:rsidR="007950D5" w:rsidRPr="674DC236">
        <w:rPr>
          <w:rFonts w:ascii="Arial" w:hAnsi="Arial" w:cs="Arial"/>
          <w:sz w:val="22"/>
          <w:szCs w:val="22"/>
        </w:rPr>
        <w:t xml:space="preserve">must </w:t>
      </w:r>
      <w:r w:rsidR="00EB3B59" w:rsidRPr="674DC236">
        <w:rPr>
          <w:rFonts w:ascii="Arial" w:hAnsi="Arial" w:cs="Arial"/>
          <w:sz w:val="22"/>
          <w:szCs w:val="22"/>
        </w:rPr>
        <w:t xml:space="preserve">collect data to support the </w:t>
      </w:r>
      <w:r w:rsidR="092E75A9" w:rsidRPr="674DC236">
        <w:rPr>
          <w:rFonts w:ascii="Arial" w:hAnsi="Arial" w:cs="Arial"/>
          <w:sz w:val="22"/>
          <w:szCs w:val="22"/>
        </w:rPr>
        <w:t>Authority</w:t>
      </w:r>
      <w:r w:rsidR="00EB3B59" w:rsidRPr="674DC236">
        <w:rPr>
          <w:rFonts w:ascii="Arial" w:hAnsi="Arial" w:cs="Arial"/>
          <w:sz w:val="22"/>
          <w:szCs w:val="22"/>
        </w:rPr>
        <w:t xml:space="preserve"> in calculating the</w:t>
      </w:r>
      <w:r w:rsidRPr="674DC236">
        <w:rPr>
          <w:rFonts w:ascii="Arial" w:hAnsi="Arial" w:cs="Arial"/>
          <w:sz w:val="22"/>
          <w:szCs w:val="22"/>
        </w:rPr>
        <w:t xml:space="preserve"> impact </w:t>
      </w:r>
      <w:r w:rsidR="00EB3B59" w:rsidRPr="674DC236">
        <w:rPr>
          <w:rFonts w:ascii="Arial" w:hAnsi="Arial" w:cs="Arial"/>
          <w:sz w:val="22"/>
          <w:szCs w:val="22"/>
        </w:rPr>
        <w:t xml:space="preserve">of </w:t>
      </w:r>
      <w:r w:rsidR="00347877" w:rsidRPr="674DC236">
        <w:rPr>
          <w:rFonts w:ascii="Arial" w:hAnsi="Arial" w:cs="Arial"/>
          <w:sz w:val="22"/>
          <w:szCs w:val="22"/>
        </w:rPr>
        <w:t>Installations</w:t>
      </w:r>
      <w:r w:rsidR="00EB3B59" w:rsidRPr="674DC236">
        <w:rPr>
          <w:rFonts w:ascii="Arial" w:hAnsi="Arial" w:cs="Arial"/>
          <w:sz w:val="22"/>
          <w:szCs w:val="22"/>
        </w:rPr>
        <w:t xml:space="preserve"> </w:t>
      </w:r>
      <w:r w:rsidRPr="674DC236">
        <w:rPr>
          <w:rFonts w:ascii="Arial" w:hAnsi="Arial" w:cs="Arial"/>
          <w:sz w:val="22"/>
          <w:szCs w:val="22"/>
        </w:rPr>
        <w:t>on fuel poverty.</w:t>
      </w:r>
    </w:p>
    <w:p w14:paraId="0082C2A3" w14:textId="4D13E54C" w:rsidR="0052045C" w:rsidRPr="00D329BC" w:rsidRDefault="0052045C" w:rsidP="0052045C">
      <w:pPr>
        <w:pStyle w:val="ListParagraph"/>
        <w:numPr>
          <w:ilvl w:val="1"/>
          <w:numId w:val="6"/>
        </w:numPr>
        <w:spacing w:after="120"/>
        <w:rPr>
          <w:rFonts w:ascii="Arial" w:hAnsi="Arial" w:cs="Arial"/>
          <w:sz w:val="22"/>
          <w:szCs w:val="22"/>
        </w:rPr>
      </w:pPr>
      <w:r w:rsidRPr="46B5BCA3">
        <w:rPr>
          <w:rFonts w:ascii="Arial" w:hAnsi="Arial" w:cs="Arial"/>
          <w:sz w:val="22"/>
          <w:szCs w:val="22"/>
        </w:rPr>
        <w:t xml:space="preserve">The Delivery Organisation will support </w:t>
      </w:r>
      <w:r w:rsidRPr="00D329BC">
        <w:rPr>
          <w:rFonts w:ascii="Arial" w:hAnsi="Arial" w:cs="Arial"/>
          <w:sz w:val="22"/>
          <w:szCs w:val="22"/>
        </w:rPr>
        <w:t>the Funder with its monitoring and evaluation of the programme. This will involve:</w:t>
      </w:r>
    </w:p>
    <w:p w14:paraId="0F507C8A" w14:textId="72369B18" w:rsidR="0052045C" w:rsidRPr="00D329BC" w:rsidRDefault="003316CD" w:rsidP="00D66262">
      <w:pPr>
        <w:pStyle w:val="ListParagraph"/>
        <w:numPr>
          <w:ilvl w:val="3"/>
          <w:numId w:val="6"/>
        </w:numPr>
        <w:spacing w:after="120"/>
        <w:ind w:left="1134" w:firstLine="0"/>
        <w:rPr>
          <w:rFonts w:ascii="Arial" w:hAnsi="Arial" w:cs="Arial"/>
          <w:sz w:val="22"/>
          <w:szCs w:val="22"/>
        </w:rPr>
      </w:pPr>
      <w:r w:rsidRPr="00D329BC">
        <w:rPr>
          <w:rFonts w:ascii="Arial" w:hAnsi="Arial" w:cs="Arial"/>
          <w:sz w:val="22"/>
          <w:szCs w:val="22"/>
        </w:rPr>
        <w:lastRenderedPageBreak/>
        <w:t xml:space="preserve">Ensuring Customers are aware of the data collection and data sharing involved with participation in the programme. A Data Sharing Agreement will need to form part of the </w:t>
      </w:r>
      <w:r w:rsidR="00E91221" w:rsidRPr="00D329BC">
        <w:rPr>
          <w:rFonts w:ascii="Arial" w:hAnsi="Arial" w:cs="Arial"/>
          <w:sz w:val="22"/>
          <w:szCs w:val="22"/>
        </w:rPr>
        <w:t>contract with the Customer.</w:t>
      </w:r>
    </w:p>
    <w:p w14:paraId="33E8CD79" w14:textId="604C343A" w:rsidR="00E91221" w:rsidRDefault="00E91221" w:rsidP="00D66262">
      <w:pPr>
        <w:pStyle w:val="ListParagraph"/>
        <w:numPr>
          <w:ilvl w:val="3"/>
          <w:numId w:val="6"/>
        </w:numPr>
        <w:spacing w:after="120"/>
        <w:ind w:left="1134" w:firstLine="0"/>
        <w:rPr>
          <w:rFonts w:ascii="Arial" w:hAnsi="Arial" w:cs="Arial"/>
          <w:sz w:val="22"/>
          <w:szCs w:val="22"/>
        </w:rPr>
      </w:pPr>
      <w:r w:rsidRPr="00D329BC">
        <w:rPr>
          <w:rFonts w:ascii="Arial" w:hAnsi="Arial" w:cs="Arial"/>
          <w:sz w:val="22"/>
          <w:szCs w:val="22"/>
        </w:rPr>
        <w:t xml:space="preserve">The Funder wishes to </w:t>
      </w:r>
      <w:r w:rsidR="004B40CC" w:rsidRPr="00D329BC">
        <w:rPr>
          <w:rFonts w:ascii="Arial" w:hAnsi="Arial" w:cs="Arial"/>
          <w:sz w:val="22"/>
          <w:szCs w:val="22"/>
        </w:rPr>
        <w:t xml:space="preserve">monitor the changes within 200 homes across the </w:t>
      </w:r>
      <w:r w:rsidR="00456B1B" w:rsidRPr="00D329BC">
        <w:rPr>
          <w:rFonts w:ascii="Arial" w:hAnsi="Arial" w:cs="Arial"/>
          <w:sz w:val="22"/>
          <w:szCs w:val="22"/>
        </w:rPr>
        <w:t>South West Energy H</w:t>
      </w:r>
      <w:r w:rsidR="004B40CC" w:rsidRPr="00D329BC">
        <w:rPr>
          <w:rFonts w:ascii="Arial" w:hAnsi="Arial" w:cs="Arial"/>
          <w:sz w:val="22"/>
          <w:szCs w:val="22"/>
        </w:rPr>
        <w:t>ub region. This will be divided</w:t>
      </w:r>
      <w:r w:rsidR="004B40CC" w:rsidRPr="46B5BCA3">
        <w:rPr>
          <w:rFonts w:ascii="Arial" w:hAnsi="Arial" w:cs="Arial"/>
          <w:sz w:val="22"/>
          <w:szCs w:val="22"/>
        </w:rPr>
        <w:t xml:space="preserve"> proportionally between the LEP (Lot) areas – see Lot information for more detail on numbers.</w:t>
      </w:r>
      <w:r w:rsidR="001E518C" w:rsidRPr="46B5BCA3">
        <w:rPr>
          <w:rFonts w:ascii="Arial" w:hAnsi="Arial" w:cs="Arial"/>
          <w:sz w:val="22"/>
          <w:szCs w:val="22"/>
        </w:rPr>
        <w:t xml:space="preserve"> (See </w:t>
      </w:r>
      <w:r w:rsidR="001C5F46">
        <w:rPr>
          <w:rFonts w:ascii="Arial" w:hAnsi="Arial" w:cs="Arial"/>
          <w:sz w:val="22"/>
          <w:szCs w:val="22"/>
        </w:rPr>
        <w:t>8.0 Do</w:t>
      </w:r>
      <w:r w:rsidR="00CD1C2D">
        <w:rPr>
          <w:rFonts w:ascii="Arial" w:hAnsi="Arial" w:cs="Arial"/>
          <w:sz w:val="22"/>
          <w:szCs w:val="22"/>
        </w:rPr>
        <w:t>cument 8 Management Arrangements Appendix A</w:t>
      </w:r>
      <w:r w:rsidR="001E518C" w:rsidRPr="46B5BCA3">
        <w:rPr>
          <w:rFonts w:ascii="Arial" w:hAnsi="Arial" w:cs="Arial"/>
          <w:sz w:val="22"/>
          <w:szCs w:val="22"/>
        </w:rPr>
        <w:t xml:space="preserve"> for more details).</w:t>
      </w:r>
    </w:p>
    <w:p w14:paraId="3D2B79D4" w14:textId="77777777" w:rsidR="006B3E50" w:rsidRPr="001E518C" w:rsidRDefault="006B3E50" w:rsidP="001E518C">
      <w:pPr>
        <w:spacing w:after="120"/>
        <w:rPr>
          <w:rFonts w:cs="Arial"/>
          <w:sz w:val="22"/>
          <w:szCs w:val="22"/>
        </w:rPr>
      </w:pPr>
    </w:p>
    <w:p w14:paraId="3D2B79D5" w14:textId="77777777" w:rsidR="006B3E50" w:rsidRPr="004C4CB4" w:rsidRDefault="006B3E50" w:rsidP="46B5BCA3">
      <w:pPr>
        <w:pStyle w:val="ListParagraph"/>
        <w:numPr>
          <w:ilvl w:val="0"/>
          <w:numId w:val="6"/>
        </w:numPr>
        <w:spacing w:after="120"/>
        <w:rPr>
          <w:rFonts w:ascii="Arial" w:hAnsi="Arial" w:cs="Arial"/>
          <w:b/>
          <w:bCs/>
          <w:sz w:val="22"/>
          <w:szCs w:val="22"/>
        </w:rPr>
      </w:pPr>
      <w:r w:rsidRPr="46B5BCA3">
        <w:rPr>
          <w:rFonts w:ascii="Arial" w:hAnsi="Arial" w:cs="Arial"/>
          <w:b/>
          <w:bCs/>
          <w:sz w:val="22"/>
          <w:szCs w:val="22"/>
        </w:rPr>
        <w:t xml:space="preserve">Eligibility </w:t>
      </w:r>
    </w:p>
    <w:p w14:paraId="3D2B79D6" w14:textId="34A7E6E5" w:rsidR="006B3E50" w:rsidRPr="00D4392B" w:rsidRDefault="004259B6" w:rsidP="00171ACB">
      <w:pPr>
        <w:pStyle w:val="ListParagraph"/>
        <w:numPr>
          <w:ilvl w:val="1"/>
          <w:numId w:val="6"/>
        </w:numPr>
        <w:spacing w:after="120"/>
        <w:rPr>
          <w:rFonts w:ascii="Arial" w:hAnsi="Arial" w:cs="Arial"/>
          <w:sz w:val="22"/>
          <w:szCs w:val="22"/>
        </w:rPr>
      </w:pPr>
      <w:r w:rsidRPr="46B5BCA3">
        <w:rPr>
          <w:rFonts w:ascii="Arial" w:hAnsi="Arial" w:cs="Arial"/>
          <w:sz w:val="22"/>
          <w:szCs w:val="22"/>
        </w:rPr>
        <w:t>The eligibility criteria ha</w:t>
      </w:r>
      <w:r w:rsidR="0084715B" w:rsidRPr="46B5BCA3">
        <w:rPr>
          <w:rFonts w:ascii="Arial" w:hAnsi="Arial" w:cs="Arial"/>
          <w:sz w:val="22"/>
          <w:szCs w:val="22"/>
        </w:rPr>
        <w:t>ve</w:t>
      </w:r>
      <w:r w:rsidRPr="46B5BCA3">
        <w:rPr>
          <w:rFonts w:ascii="Arial" w:hAnsi="Arial" w:cs="Arial"/>
          <w:sz w:val="22"/>
          <w:szCs w:val="22"/>
        </w:rPr>
        <w:t xml:space="preserve"> been set by </w:t>
      </w:r>
      <w:r w:rsidR="0084715B" w:rsidRPr="46B5BCA3">
        <w:rPr>
          <w:rFonts w:ascii="Arial" w:hAnsi="Arial" w:cs="Arial"/>
          <w:sz w:val="22"/>
          <w:szCs w:val="22"/>
        </w:rPr>
        <w:t>BEIS</w:t>
      </w:r>
      <w:r w:rsidR="00AC0302" w:rsidRPr="46B5BCA3">
        <w:rPr>
          <w:rFonts w:ascii="Arial" w:hAnsi="Arial" w:cs="Arial"/>
          <w:sz w:val="22"/>
          <w:szCs w:val="22"/>
        </w:rPr>
        <w:t xml:space="preserve"> and must be implemented by the Delivery Organisation</w:t>
      </w:r>
      <w:r w:rsidR="00D25E32" w:rsidRPr="46B5BCA3">
        <w:rPr>
          <w:rFonts w:ascii="Arial" w:hAnsi="Arial" w:cs="Arial"/>
          <w:sz w:val="22"/>
          <w:szCs w:val="22"/>
        </w:rPr>
        <w:t xml:space="preserve"> </w:t>
      </w:r>
      <w:r w:rsidR="0052184B">
        <w:rPr>
          <w:rFonts w:ascii="Arial" w:hAnsi="Arial" w:cs="Arial"/>
          <w:sz w:val="22"/>
          <w:szCs w:val="22"/>
        </w:rPr>
        <w:t>as</w:t>
      </w:r>
      <w:r w:rsidR="0052184B" w:rsidRPr="46B5BCA3">
        <w:rPr>
          <w:rFonts w:ascii="Arial" w:hAnsi="Arial" w:cs="Arial"/>
          <w:sz w:val="22"/>
          <w:szCs w:val="22"/>
        </w:rPr>
        <w:t xml:space="preserve"> </w:t>
      </w:r>
      <w:r w:rsidR="001E0226" w:rsidRPr="46B5BCA3">
        <w:rPr>
          <w:rFonts w:ascii="Arial" w:hAnsi="Arial" w:cs="Arial"/>
          <w:sz w:val="22"/>
          <w:szCs w:val="22"/>
        </w:rPr>
        <w:t>detailed below</w:t>
      </w:r>
      <w:r w:rsidR="00D25E32" w:rsidRPr="46B5BCA3">
        <w:rPr>
          <w:rFonts w:ascii="Arial" w:hAnsi="Arial" w:cs="Arial"/>
          <w:sz w:val="22"/>
          <w:szCs w:val="22"/>
        </w:rPr>
        <w:t>.</w:t>
      </w:r>
    </w:p>
    <w:p w14:paraId="3D2B79D8" w14:textId="285FA0C7" w:rsidR="00705C84" w:rsidRDefault="00ED2B49" w:rsidP="00705C84">
      <w:pPr>
        <w:pStyle w:val="ListParagraph"/>
        <w:numPr>
          <w:ilvl w:val="1"/>
          <w:numId w:val="6"/>
        </w:numPr>
        <w:spacing w:after="120"/>
        <w:rPr>
          <w:rFonts w:ascii="Arial" w:hAnsi="Arial" w:cs="Arial"/>
          <w:sz w:val="22"/>
          <w:szCs w:val="22"/>
        </w:rPr>
      </w:pPr>
      <w:r w:rsidRPr="46B5BCA3">
        <w:rPr>
          <w:rFonts w:ascii="Arial" w:hAnsi="Arial" w:cs="Arial"/>
          <w:sz w:val="22"/>
          <w:szCs w:val="22"/>
        </w:rPr>
        <w:t>The aim of the Local Authority Delivery (LAD) funding is to raise the energy efficiency of low-income and low EPC rated households (</w:t>
      </w:r>
      <w:r w:rsidR="006E7D82" w:rsidRPr="46B5BCA3">
        <w:rPr>
          <w:rFonts w:ascii="Arial" w:hAnsi="Arial" w:cs="Arial"/>
          <w:sz w:val="22"/>
          <w:szCs w:val="22"/>
        </w:rPr>
        <w:t xml:space="preserve">primarily G – E, though there is scope to include some band D properties – </w:t>
      </w:r>
      <w:r w:rsidR="008C7ECE" w:rsidRPr="46B5BCA3">
        <w:rPr>
          <w:rFonts w:ascii="Arial" w:hAnsi="Arial" w:cs="Arial"/>
          <w:sz w:val="22"/>
          <w:szCs w:val="22"/>
        </w:rPr>
        <w:t>max 50% of D properties and they must achieve a SAP C rating after installation</w:t>
      </w:r>
      <w:r w:rsidR="006E7D82" w:rsidRPr="46B5BCA3">
        <w:rPr>
          <w:rFonts w:ascii="Arial" w:hAnsi="Arial" w:cs="Arial"/>
          <w:sz w:val="22"/>
          <w:szCs w:val="22"/>
        </w:rPr>
        <w:t>), supporting a green recovery and delivering progress towards:</w:t>
      </w:r>
    </w:p>
    <w:p w14:paraId="2B81A803" w14:textId="3667BC05" w:rsidR="006E7D82" w:rsidRDefault="006E7D82" w:rsidP="006E7D82">
      <w:pPr>
        <w:pStyle w:val="ListParagraph"/>
        <w:numPr>
          <w:ilvl w:val="2"/>
          <w:numId w:val="6"/>
        </w:numPr>
        <w:spacing w:after="120"/>
        <w:ind w:left="1843" w:hanging="283"/>
        <w:rPr>
          <w:rFonts w:ascii="Arial" w:hAnsi="Arial" w:cs="Arial"/>
          <w:sz w:val="22"/>
          <w:szCs w:val="22"/>
        </w:rPr>
      </w:pPr>
      <w:r w:rsidRPr="46B5BCA3">
        <w:rPr>
          <w:rFonts w:ascii="Arial" w:hAnsi="Arial" w:cs="Arial"/>
          <w:sz w:val="22"/>
          <w:szCs w:val="22"/>
        </w:rPr>
        <w:t>The statutory fuel poverty target for England</w:t>
      </w:r>
    </w:p>
    <w:p w14:paraId="44A4DF96" w14:textId="5D1FE243" w:rsidR="006E7D82" w:rsidRDefault="006E7D82" w:rsidP="006E7D82">
      <w:pPr>
        <w:pStyle w:val="ListParagraph"/>
        <w:numPr>
          <w:ilvl w:val="2"/>
          <w:numId w:val="6"/>
        </w:numPr>
        <w:spacing w:after="120"/>
        <w:ind w:left="1843" w:hanging="283"/>
        <w:rPr>
          <w:rFonts w:ascii="Arial" w:hAnsi="Arial" w:cs="Arial"/>
          <w:sz w:val="22"/>
          <w:szCs w:val="22"/>
        </w:rPr>
      </w:pPr>
      <w:r w:rsidRPr="46B5BCA3">
        <w:rPr>
          <w:rFonts w:ascii="Arial" w:hAnsi="Arial" w:cs="Arial"/>
          <w:sz w:val="22"/>
          <w:szCs w:val="22"/>
        </w:rPr>
        <w:t>The phasing out of the installation of high-carbon fossil fuel heating</w:t>
      </w:r>
    </w:p>
    <w:p w14:paraId="2B3814CF" w14:textId="12E27333" w:rsidR="006E7D82" w:rsidRDefault="006E7D82" w:rsidP="0014665B">
      <w:pPr>
        <w:pStyle w:val="ListParagraph"/>
        <w:numPr>
          <w:ilvl w:val="2"/>
          <w:numId w:val="6"/>
        </w:numPr>
        <w:spacing w:after="120"/>
        <w:ind w:left="1843" w:hanging="283"/>
        <w:rPr>
          <w:rFonts w:ascii="Arial" w:hAnsi="Arial" w:cs="Arial"/>
          <w:sz w:val="22"/>
          <w:szCs w:val="22"/>
        </w:rPr>
      </w:pPr>
      <w:r w:rsidRPr="46B5BCA3">
        <w:rPr>
          <w:rFonts w:ascii="Arial" w:hAnsi="Arial" w:cs="Arial"/>
          <w:sz w:val="22"/>
          <w:szCs w:val="22"/>
        </w:rPr>
        <w:t>The UK’s target for net zero by 2050.</w:t>
      </w:r>
    </w:p>
    <w:p w14:paraId="146A1D48" w14:textId="48D40472" w:rsidR="008D2EE0" w:rsidRPr="00DE428A" w:rsidRDefault="0084758D" w:rsidP="00DE428A">
      <w:pPr>
        <w:spacing w:after="120"/>
        <w:ind w:left="1134"/>
        <w:rPr>
          <w:rFonts w:cs="Arial"/>
          <w:sz w:val="22"/>
          <w:szCs w:val="22"/>
        </w:rPr>
      </w:pPr>
      <w:r>
        <w:rPr>
          <w:rFonts w:cs="Arial"/>
          <w:sz w:val="22"/>
          <w:szCs w:val="22"/>
        </w:rPr>
        <w:t xml:space="preserve">The aim is to maximise spend of the £10,000/ £5,000 </w:t>
      </w:r>
      <w:r w:rsidR="00DE428A">
        <w:rPr>
          <w:rFonts w:cs="Arial"/>
          <w:sz w:val="22"/>
          <w:szCs w:val="22"/>
        </w:rPr>
        <w:t>allocation per household in line with the Whole House approach to improving energy efficiency and reducing carbon based energy loads.</w:t>
      </w:r>
    </w:p>
    <w:p w14:paraId="54689C77" w14:textId="5741DA5A" w:rsidR="000A5D2F" w:rsidRDefault="005D2105" w:rsidP="00705C84">
      <w:pPr>
        <w:pStyle w:val="ListParagraph"/>
        <w:numPr>
          <w:ilvl w:val="1"/>
          <w:numId w:val="6"/>
        </w:numPr>
        <w:spacing w:after="120"/>
        <w:rPr>
          <w:rFonts w:ascii="Arial" w:hAnsi="Arial" w:cs="Arial"/>
          <w:sz w:val="22"/>
          <w:szCs w:val="22"/>
        </w:rPr>
      </w:pPr>
      <w:r>
        <w:rPr>
          <w:rFonts w:ascii="Arial" w:hAnsi="Arial" w:cs="Arial"/>
          <w:sz w:val="22"/>
          <w:szCs w:val="22"/>
        </w:rPr>
        <w:t xml:space="preserve">Where the Delivery Organisation is leveraging ECO funding in addition to the LADs2 funding, customers eligible under </w:t>
      </w:r>
      <w:r w:rsidR="008125E0">
        <w:rPr>
          <w:rFonts w:ascii="Arial" w:hAnsi="Arial" w:cs="Arial"/>
          <w:sz w:val="22"/>
          <w:szCs w:val="22"/>
        </w:rPr>
        <w:t>ECO Flex</w:t>
      </w:r>
      <w:r w:rsidR="008125E0">
        <w:rPr>
          <w:rStyle w:val="FootnoteReference"/>
          <w:rFonts w:ascii="Arial" w:hAnsi="Arial" w:cs="Arial"/>
          <w:sz w:val="22"/>
          <w:szCs w:val="22"/>
        </w:rPr>
        <w:footnoteReference w:id="3"/>
      </w:r>
      <w:r w:rsidR="008125E0">
        <w:rPr>
          <w:rFonts w:ascii="Arial" w:hAnsi="Arial" w:cs="Arial"/>
          <w:sz w:val="22"/>
          <w:szCs w:val="22"/>
        </w:rPr>
        <w:t xml:space="preserve"> </w:t>
      </w:r>
      <w:r>
        <w:rPr>
          <w:rFonts w:ascii="Arial" w:hAnsi="Arial" w:cs="Arial"/>
          <w:sz w:val="22"/>
          <w:szCs w:val="22"/>
        </w:rPr>
        <w:t>are likely to qualify for LADs2. However, the LADs</w:t>
      </w:r>
      <w:r w:rsidR="00C757F8">
        <w:rPr>
          <w:rFonts w:ascii="Arial" w:hAnsi="Arial" w:cs="Arial"/>
          <w:sz w:val="22"/>
          <w:szCs w:val="22"/>
        </w:rPr>
        <w:t>2 funding extends to a wider group</w:t>
      </w:r>
      <w:r w:rsidR="00665CBE">
        <w:rPr>
          <w:rFonts w:ascii="Arial" w:hAnsi="Arial" w:cs="Arial"/>
          <w:sz w:val="22"/>
          <w:szCs w:val="22"/>
        </w:rPr>
        <w:t xml:space="preserve"> of householders. </w:t>
      </w:r>
      <w:r w:rsidR="00705C84">
        <w:rPr>
          <w:rFonts w:ascii="Arial" w:hAnsi="Arial" w:cs="Arial"/>
          <w:sz w:val="22"/>
          <w:szCs w:val="22"/>
        </w:rPr>
        <w:t>(</w:t>
      </w:r>
      <w:r w:rsidR="00CE1EC5">
        <w:rPr>
          <w:rFonts w:ascii="Arial" w:hAnsi="Arial" w:cs="Arial"/>
          <w:sz w:val="22"/>
          <w:szCs w:val="22"/>
        </w:rPr>
        <w:t>ECO funding cannot be used to support the same measure as LAD</w:t>
      </w:r>
      <w:r w:rsidR="0014665B">
        <w:rPr>
          <w:rFonts w:ascii="Arial" w:hAnsi="Arial" w:cs="Arial"/>
          <w:sz w:val="22"/>
          <w:szCs w:val="22"/>
        </w:rPr>
        <w:t>s</w:t>
      </w:r>
      <w:r w:rsidR="00CE1EC5">
        <w:rPr>
          <w:rFonts w:ascii="Arial" w:hAnsi="Arial" w:cs="Arial"/>
          <w:sz w:val="22"/>
          <w:szCs w:val="22"/>
        </w:rPr>
        <w:t xml:space="preserve">2 funding but can be used </w:t>
      </w:r>
      <w:r w:rsidR="00BD6574">
        <w:rPr>
          <w:rFonts w:ascii="Arial" w:hAnsi="Arial" w:cs="Arial"/>
          <w:sz w:val="22"/>
          <w:szCs w:val="22"/>
        </w:rPr>
        <w:t>to maximise the impact of another installation within the individual property funding limits).</w:t>
      </w:r>
      <w:r w:rsidR="00705C84" w:rsidRPr="00D4392B">
        <w:rPr>
          <w:rFonts w:ascii="Arial" w:hAnsi="Arial" w:cs="Arial"/>
          <w:sz w:val="22"/>
          <w:szCs w:val="22"/>
        </w:rPr>
        <w:t xml:space="preserve">  </w:t>
      </w:r>
    </w:p>
    <w:p w14:paraId="2A3F2894" w14:textId="33D0C3DF" w:rsidR="00EE77A5" w:rsidRDefault="00BD1062" w:rsidP="00705C84">
      <w:pPr>
        <w:pStyle w:val="ListParagraph"/>
        <w:numPr>
          <w:ilvl w:val="1"/>
          <w:numId w:val="6"/>
        </w:numPr>
        <w:spacing w:after="120"/>
        <w:rPr>
          <w:rFonts w:ascii="Arial" w:hAnsi="Arial" w:cs="Arial"/>
          <w:sz w:val="22"/>
          <w:szCs w:val="22"/>
        </w:rPr>
      </w:pPr>
      <w:r w:rsidRPr="46B5BCA3">
        <w:rPr>
          <w:rFonts w:ascii="Arial" w:hAnsi="Arial" w:cs="Arial"/>
          <w:sz w:val="22"/>
          <w:szCs w:val="22"/>
        </w:rPr>
        <w:t xml:space="preserve">The </w:t>
      </w:r>
      <w:r w:rsidR="00D329BC" w:rsidRPr="00CD2FC5">
        <w:rPr>
          <w:rFonts w:ascii="Arial" w:hAnsi="Arial" w:cs="Arial"/>
          <w:sz w:val="22"/>
          <w:szCs w:val="22"/>
        </w:rPr>
        <w:t>F</w:t>
      </w:r>
      <w:r w:rsidRPr="00CD2FC5">
        <w:rPr>
          <w:rFonts w:ascii="Arial" w:hAnsi="Arial" w:cs="Arial"/>
          <w:sz w:val="22"/>
          <w:szCs w:val="22"/>
        </w:rPr>
        <w:t>under</w:t>
      </w:r>
      <w:r w:rsidRPr="46B5BCA3">
        <w:rPr>
          <w:rFonts w:ascii="Arial" w:hAnsi="Arial" w:cs="Arial"/>
          <w:sz w:val="22"/>
          <w:szCs w:val="22"/>
        </w:rPr>
        <w:t xml:space="preserve"> is keen to explore </w:t>
      </w:r>
      <w:r w:rsidR="001E2FED" w:rsidRPr="46B5BCA3">
        <w:rPr>
          <w:rFonts w:ascii="Arial" w:hAnsi="Arial" w:cs="Arial"/>
          <w:sz w:val="22"/>
          <w:szCs w:val="22"/>
        </w:rPr>
        <w:t>new ways of identifying eligible low</w:t>
      </w:r>
      <w:r w:rsidR="00954765" w:rsidRPr="46B5BCA3">
        <w:rPr>
          <w:rFonts w:ascii="Arial" w:hAnsi="Arial" w:cs="Arial"/>
          <w:sz w:val="22"/>
          <w:szCs w:val="22"/>
        </w:rPr>
        <w:t>-</w:t>
      </w:r>
      <w:r w:rsidR="001E2FED" w:rsidRPr="46B5BCA3">
        <w:rPr>
          <w:rFonts w:ascii="Arial" w:hAnsi="Arial" w:cs="Arial"/>
          <w:sz w:val="22"/>
          <w:szCs w:val="22"/>
        </w:rPr>
        <w:t xml:space="preserve">income households. </w:t>
      </w:r>
      <w:r w:rsidR="00CF7D04" w:rsidRPr="00CD1C2D">
        <w:rPr>
          <w:rFonts w:ascii="Arial" w:hAnsi="Arial" w:cs="Arial"/>
          <w:sz w:val="22"/>
          <w:szCs w:val="22"/>
        </w:rPr>
        <w:t>I</w:t>
      </w:r>
      <w:r w:rsidR="00D56740" w:rsidRPr="009C197C">
        <w:rPr>
          <w:rFonts w:ascii="Arial" w:hAnsi="Arial" w:cs="Arial"/>
          <w:sz w:val="22"/>
          <w:szCs w:val="22"/>
        </w:rPr>
        <w:t xml:space="preserve">ndices of </w:t>
      </w:r>
      <w:r w:rsidR="00CF7D04" w:rsidRPr="00CD1C2D">
        <w:rPr>
          <w:rFonts w:ascii="Arial" w:hAnsi="Arial" w:cs="Arial"/>
          <w:sz w:val="22"/>
          <w:szCs w:val="22"/>
        </w:rPr>
        <w:t>M</w:t>
      </w:r>
      <w:r w:rsidR="00D56740" w:rsidRPr="009C197C">
        <w:rPr>
          <w:rFonts w:ascii="Arial" w:hAnsi="Arial" w:cs="Arial"/>
          <w:sz w:val="22"/>
          <w:szCs w:val="22"/>
        </w:rPr>
        <w:t xml:space="preserve">ultiple </w:t>
      </w:r>
      <w:r w:rsidR="00CF7D04" w:rsidRPr="00CD1C2D">
        <w:rPr>
          <w:rFonts w:ascii="Arial" w:hAnsi="Arial" w:cs="Arial"/>
          <w:sz w:val="22"/>
          <w:szCs w:val="22"/>
        </w:rPr>
        <w:t>D</w:t>
      </w:r>
      <w:r w:rsidR="00D56740" w:rsidRPr="00AB75CE">
        <w:rPr>
          <w:rFonts w:ascii="Arial" w:hAnsi="Arial" w:cs="Arial"/>
          <w:sz w:val="22"/>
          <w:szCs w:val="22"/>
        </w:rPr>
        <w:t>eprivation</w:t>
      </w:r>
      <w:r w:rsidR="00CF7D04" w:rsidRPr="46B5BCA3">
        <w:rPr>
          <w:rFonts w:ascii="Arial" w:hAnsi="Arial" w:cs="Arial"/>
          <w:sz w:val="22"/>
          <w:szCs w:val="22"/>
        </w:rPr>
        <w:t xml:space="preserve"> areas are not an acceptable identifier for low</w:t>
      </w:r>
      <w:r w:rsidR="00954765" w:rsidRPr="46B5BCA3">
        <w:rPr>
          <w:rFonts w:ascii="Arial" w:hAnsi="Arial" w:cs="Arial"/>
          <w:sz w:val="22"/>
          <w:szCs w:val="22"/>
        </w:rPr>
        <w:t>-</w:t>
      </w:r>
      <w:r w:rsidR="00CF7D04" w:rsidRPr="46B5BCA3">
        <w:rPr>
          <w:rFonts w:ascii="Arial" w:hAnsi="Arial" w:cs="Arial"/>
          <w:sz w:val="22"/>
          <w:szCs w:val="22"/>
        </w:rPr>
        <w:t>income households</w:t>
      </w:r>
      <w:r w:rsidR="00832837" w:rsidRPr="46B5BCA3">
        <w:rPr>
          <w:rFonts w:ascii="Arial" w:hAnsi="Arial" w:cs="Arial"/>
          <w:sz w:val="22"/>
          <w:szCs w:val="22"/>
        </w:rPr>
        <w:t xml:space="preserve">; </w:t>
      </w:r>
      <w:r w:rsidR="00954765" w:rsidRPr="46B5BCA3">
        <w:rPr>
          <w:rFonts w:ascii="Arial" w:hAnsi="Arial" w:cs="Arial"/>
          <w:sz w:val="22"/>
          <w:szCs w:val="22"/>
        </w:rPr>
        <w:t>all households to receive funding through LADs 2 will need to demonstrate income qualification.</w:t>
      </w:r>
      <w:r w:rsidR="00CF7D04" w:rsidRPr="46B5BCA3">
        <w:rPr>
          <w:rFonts w:ascii="Arial" w:hAnsi="Arial" w:cs="Arial"/>
          <w:sz w:val="22"/>
          <w:szCs w:val="22"/>
        </w:rPr>
        <w:t xml:space="preserve"> </w:t>
      </w:r>
    </w:p>
    <w:p w14:paraId="3D2B79DA" w14:textId="77777777" w:rsidR="00BD4E44" w:rsidRDefault="00534318" w:rsidP="00BD4E44">
      <w:pPr>
        <w:pStyle w:val="ListParagraph"/>
        <w:numPr>
          <w:ilvl w:val="1"/>
          <w:numId w:val="6"/>
        </w:numPr>
        <w:spacing w:after="120"/>
        <w:rPr>
          <w:rFonts w:ascii="Arial" w:hAnsi="Arial" w:cs="Arial"/>
          <w:sz w:val="22"/>
          <w:szCs w:val="22"/>
        </w:rPr>
      </w:pPr>
      <w:r w:rsidRPr="46B5BCA3">
        <w:rPr>
          <w:rFonts w:ascii="Arial" w:hAnsi="Arial" w:cs="Arial"/>
          <w:sz w:val="22"/>
          <w:szCs w:val="22"/>
        </w:rPr>
        <w:t>In general, t</w:t>
      </w:r>
      <w:r w:rsidR="00A3682B" w:rsidRPr="46B5BCA3">
        <w:rPr>
          <w:rFonts w:ascii="Arial" w:hAnsi="Arial" w:cs="Arial"/>
          <w:sz w:val="22"/>
          <w:szCs w:val="22"/>
        </w:rPr>
        <w:t xml:space="preserve">o qualify, a </w:t>
      </w:r>
      <w:r w:rsidR="00AF51EA" w:rsidRPr="46B5BCA3">
        <w:rPr>
          <w:rFonts w:ascii="Arial" w:hAnsi="Arial" w:cs="Arial"/>
          <w:sz w:val="22"/>
          <w:szCs w:val="22"/>
        </w:rPr>
        <w:t xml:space="preserve">household </w:t>
      </w:r>
      <w:r w:rsidR="00A3682B" w:rsidRPr="46B5BCA3">
        <w:rPr>
          <w:rFonts w:ascii="Arial" w:hAnsi="Arial" w:cs="Arial"/>
          <w:sz w:val="22"/>
          <w:szCs w:val="22"/>
        </w:rPr>
        <w:t>will need to meet the following conditions:</w:t>
      </w:r>
    </w:p>
    <w:p w14:paraId="3D2B79DB" w14:textId="026CE33E" w:rsidR="00BD4E44" w:rsidRDefault="002B5FAA" w:rsidP="006E2FA9">
      <w:pPr>
        <w:pStyle w:val="ListParagraph"/>
        <w:numPr>
          <w:ilvl w:val="0"/>
          <w:numId w:val="34"/>
        </w:numPr>
        <w:spacing w:after="120"/>
        <w:rPr>
          <w:rFonts w:ascii="Arial" w:hAnsi="Arial" w:cs="Arial"/>
          <w:sz w:val="22"/>
          <w:szCs w:val="22"/>
        </w:rPr>
      </w:pPr>
      <w:r>
        <w:rPr>
          <w:rFonts w:ascii="Arial" w:hAnsi="Arial" w:cs="Arial"/>
          <w:b/>
          <w:sz w:val="22"/>
          <w:szCs w:val="22"/>
        </w:rPr>
        <w:t>Tenure</w:t>
      </w:r>
      <w:r w:rsidR="00A3682B" w:rsidRPr="00BD4E44">
        <w:rPr>
          <w:rFonts w:ascii="Arial" w:hAnsi="Arial" w:cs="Arial"/>
          <w:sz w:val="22"/>
          <w:szCs w:val="22"/>
        </w:rPr>
        <w:t xml:space="preserve"> – </w:t>
      </w:r>
      <w:r w:rsidR="00137CBF">
        <w:rPr>
          <w:rFonts w:ascii="Arial" w:hAnsi="Arial" w:cs="Arial"/>
          <w:sz w:val="22"/>
          <w:szCs w:val="22"/>
        </w:rPr>
        <w:t xml:space="preserve">the funding can be used for improvement of any tenure property </w:t>
      </w:r>
      <w:proofErr w:type="gramStart"/>
      <w:r w:rsidR="00137CBF">
        <w:rPr>
          <w:rFonts w:ascii="Arial" w:hAnsi="Arial" w:cs="Arial"/>
          <w:sz w:val="22"/>
          <w:szCs w:val="22"/>
        </w:rPr>
        <w:t>as long as</w:t>
      </w:r>
      <w:proofErr w:type="gramEnd"/>
      <w:r w:rsidR="00137CBF">
        <w:rPr>
          <w:rFonts w:ascii="Arial" w:hAnsi="Arial" w:cs="Arial"/>
          <w:sz w:val="22"/>
          <w:szCs w:val="22"/>
        </w:rPr>
        <w:t xml:space="preserve"> the property is classed as a domestic property. This includes owner occupier, private and social rental properties. </w:t>
      </w:r>
      <w:r>
        <w:rPr>
          <w:rFonts w:ascii="Arial" w:hAnsi="Arial" w:cs="Arial"/>
          <w:sz w:val="22"/>
          <w:szCs w:val="22"/>
        </w:rPr>
        <w:t xml:space="preserve"> </w:t>
      </w:r>
    </w:p>
    <w:p w14:paraId="26568051" w14:textId="105CC813" w:rsidR="000F6243" w:rsidRPr="000F6243" w:rsidRDefault="000F6243" w:rsidP="006E2FA9">
      <w:pPr>
        <w:pStyle w:val="ListParagraph"/>
        <w:numPr>
          <w:ilvl w:val="0"/>
          <w:numId w:val="34"/>
        </w:numPr>
        <w:spacing w:after="120"/>
        <w:rPr>
          <w:rFonts w:ascii="Arial" w:hAnsi="Arial" w:cs="Arial"/>
          <w:sz w:val="22"/>
          <w:szCs w:val="22"/>
        </w:rPr>
      </w:pPr>
      <w:r w:rsidRPr="001F0FB5">
        <w:rPr>
          <w:rFonts w:ascii="Arial" w:hAnsi="Arial" w:cs="Arial"/>
          <w:b/>
          <w:sz w:val="22"/>
          <w:szCs w:val="22"/>
        </w:rPr>
        <w:t>HMO’s</w:t>
      </w:r>
      <w:r w:rsidRPr="000F6243">
        <w:rPr>
          <w:rFonts w:ascii="Arial" w:hAnsi="Arial" w:cs="Arial"/>
          <w:sz w:val="22"/>
          <w:szCs w:val="22"/>
        </w:rPr>
        <w:t xml:space="preserve"> are eligible however the tenant’s eligibility only extends to their individual private rooms, not the </w:t>
      </w:r>
      <w:proofErr w:type="gramStart"/>
      <w:r w:rsidRPr="000F6243">
        <w:rPr>
          <w:rFonts w:ascii="Arial" w:hAnsi="Arial" w:cs="Arial"/>
          <w:sz w:val="22"/>
          <w:szCs w:val="22"/>
        </w:rPr>
        <w:t>HMO as a whole</w:t>
      </w:r>
      <w:proofErr w:type="gramEnd"/>
      <w:r w:rsidRPr="000F6243">
        <w:rPr>
          <w:rFonts w:ascii="Arial" w:hAnsi="Arial" w:cs="Arial"/>
          <w:sz w:val="22"/>
          <w:szCs w:val="22"/>
        </w:rPr>
        <w:t>. This means that one occupant in receipt of benefits would qualify their individual room, but not the whole HMO. For the whole HMO to be eligible, all rooms would need to have an eligible occupant, or meet other eligibility criteria.</w:t>
      </w:r>
    </w:p>
    <w:p w14:paraId="659D53C0" w14:textId="481D0187" w:rsidR="00B76CC8" w:rsidRPr="00B76CC8" w:rsidRDefault="001F0FB5" w:rsidP="008828AC">
      <w:pPr>
        <w:pStyle w:val="ListParagraph"/>
        <w:numPr>
          <w:ilvl w:val="2"/>
          <w:numId w:val="6"/>
        </w:numPr>
        <w:spacing w:after="120"/>
        <w:ind w:left="1843" w:hanging="360"/>
        <w:rPr>
          <w:rFonts w:cs="Arial"/>
          <w:sz w:val="22"/>
          <w:szCs w:val="22"/>
        </w:rPr>
      </w:pPr>
      <w:r w:rsidRPr="46B5BCA3">
        <w:rPr>
          <w:rFonts w:ascii="Arial" w:hAnsi="Arial" w:cs="Arial"/>
          <w:b/>
          <w:bCs/>
          <w:sz w:val="22"/>
          <w:szCs w:val="22"/>
        </w:rPr>
        <w:t>Low Income</w:t>
      </w:r>
      <w:r w:rsidR="00A3682B" w:rsidRPr="46B5BCA3">
        <w:rPr>
          <w:rFonts w:ascii="Arial" w:hAnsi="Arial" w:cs="Arial"/>
          <w:sz w:val="22"/>
          <w:szCs w:val="22"/>
        </w:rPr>
        <w:t xml:space="preserve"> – </w:t>
      </w:r>
      <w:r w:rsidR="00411368" w:rsidRPr="46B5BCA3">
        <w:rPr>
          <w:rFonts w:ascii="Arial" w:hAnsi="Arial" w:cs="Arial"/>
          <w:sz w:val="22"/>
          <w:szCs w:val="22"/>
        </w:rPr>
        <w:t>the funding is focussed on those likely to be at risk or in fuel poverty.</w:t>
      </w:r>
      <w:r w:rsidR="00B76CC8" w:rsidRPr="46B5BCA3">
        <w:rPr>
          <w:rFonts w:ascii="Arial" w:hAnsi="Arial" w:cs="Arial"/>
          <w:sz w:val="22"/>
          <w:szCs w:val="22"/>
        </w:rPr>
        <w:t xml:space="preserve"> This should be calculated as follows:</w:t>
      </w:r>
      <w:r w:rsidR="00411368" w:rsidRPr="46B5BCA3">
        <w:rPr>
          <w:rFonts w:ascii="Arial" w:hAnsi="Arial" w:cs="Arial"/>
          <w:sz w:val="22"/>
          <w:szCs w:val="22"/>
        </w:rPr>
        <w:t xml:space="preserve"> </w:t>
      </w:r>
    </w:p>
    <w:p w14:paraId="613A6EBA" w14:textId="4B9BCFD1" w:rsidR="00B76CC8" w:rsidRPr="00B76CC8" w:rsidRDefault="008532A5" w:rsidP="00B76CC8">
      <w:pPr>
        <w:pStyle w:val="ListParagraph"/>
        <w:numPr>
          <w:ilvl w:val="3"/>
          <w:numId w:val="6"/>
        </w:numPr>
        <w:tabs>
          <w:tab w:val="clear" w:pos="2160"/>
          <w:tab w:val="left" w:pos="2268"/>
        </w:tabs>
        <w:spacing w:after="120"/>
        <w:ind w:left="2268" w:hanging="425"/>
        <w:rPr>
          <w:rFonts w:ascii="Arial" w:hAnsi="Arial" w:cs="Arial"/>
          <w:sz w:val="22"/>
          <w:szCs w:val="22"/>
        </w:rPr>
      </w:pPr>
      <w:r w:rsidRPr="00B76CC8">
        <w:rPr>
          <w:rFonts w:ascii="Arial" w:hAnsi="Arial" w:cs="Arial"/>
          <w:sz w:val="22"/>
          <w:szCs w:val="22"/>
        </w:rPr>
        <w:lastRenderedPageBreak/>
        <w:t>They will ensure that households receiving measures have a combined household annual income of no more than £30,000</w:t>
      </w:r>
      <w:r w:rsidR="00CF2071">
        <w:rPr>
          <w:rStyle w:val="FootnoteReference"/>
          <w:rFonts w:ascii="Arial" w:hAnsi="Arial" w:cs="Arial"/>
          <w:sz w:val="22"/>
          <w:szCs w:val="22"/>
        </w:rPr>
        <w:footnoteReference w:id="4"/>
      </w:r>
      <w:r w:rsidRPr="00B76CC8">
        <w:rPr>
          <w:rFonts w:ascii="Arial" w:hAnsi="Arial" w:cs="Arial"/>
          <w:sz w:val="22"/>
          <w:szCs w:val="22"/>
        </w:rPr>
        <w:t xml:space="preserve"> gross, before housing costs and where benefits are counted towards this figure, or </w:t>
      </w:r>
    </w:p>
    <w:p w14:paraId="3C29C1E1" w14:textId="7D8AF040" w:rsidR="00B76CC8" w:rsidRDefault="008532A5" w:rsidP="00B76CC8">
      <w:pPr>
        <w:pStyle w:val="ListParagraph"/>
        <w:numPr>
          <w:ilvl w:val="3"/>
          <w:numId w:val="6"/>
        </w:numPr>
        <w:tabs>
          <w:tab w:val="clear" w:pos="2160"/>
          <w:tab w:val="left" w:pos="2268"/>
        </w:tabs>
        <w:spacing w:after="120"/>
        <w:ind w:left="2268" w:hanging="425"/>
        <w:rPr>
          <w:rFonts w:ascii="Arial" w:hAnsi="Arial" w:cs="Arial"/>
          <w:sz w:val="22"/>
          <w:szCs w:val="22"/>
        </w:rPr>
      </w:pPr>
      <w:r w:rsidRPr="46B5BCA3">
        <w:rPr>
          <w:rFonts w:ascii="Arial" w:hAnsi="Arial" w:cs="Arial"/>
          <w:sz w:val="22"/>
          <w:szCs w:val="22"/>
        </w:rPr>
        <w:t>Low-income households who are likely to be living in fuel poverty will be targeted using alternative methodologies</w:t>
      </w:r>
      <w:r w:rsidR="00B76CC8" w:rsidRPr="46B5BCA3">
        <w:rPr>
          <w:rFonts w:ascii="Arial" w:hAnsi="Arial" w:cs="Arial"/>
          <w:sz w:val="22"/>
          <w:szCs w:val="22"/>
        </w:rPr>
        <w:t xml:space="preserve">. </w:t>
      </w:r>
    </w:p>
    <w:p w14:paraId="562FB698" w14:textId="6339401E" w:rsidR="002B26C3" w:rsidRPr="002B26C3" w:rsidRDefault="002B26C3" w:rsidP="00B76CC8">
      <w:pPr>
        <w:pStyle w:val="ListParagraph"/>
        <w:numPr>
          <w:ilvl w:val="3"/>
          <w:numId w:val="6"/>
        </w:numPr>
        <w:tabs>
          <w:tab w:val="clear" w:pos="2160"/>
          <w:tab w:val="left" w:pos="2268"/>
        </w:tabs>
        <w:spacing w:after="120"/>
        <w:ind w:left="2268" w:hanging="425"/>
        <w:rPr>
          <w:rFonts w:ascii="Arial" w:hAnsi="Arial" w:cs="Arial"/>
          <w:sz w:val="22"/>
          <w:szCs w:val="22"/>
        </w:rPr>
      </w:pPr>
      <w:r w:rsidRPr="46B5BCA3">
        <w:rPr>
          <w:rFonts w:ascii="Arial" w:hAnsi="Arial" w:cs="Arial"/>
          <w:sz w:val="22"/>
          <w:szCs w:val="22"/>
        </w:rPr>
        <w:t xml:space="preserve">As an additional flexibility to enable area-based upgrades, where there is strong evidence for doing so, eligibility may be determined by the average income across a block of flats/houses/maisonettes being below £30,000 per year, or, where </w:t>
      </w:r>
      <w:proofErr w:type="gramStart"/>
      <w:r w:rsidRPr="46B5BCA3">
        <w:rPr>
          <w:rFonts w:ascii="Arial" w:hAnsi="Arial" w:cs="Arial"/>
          <w:sz w:val="22"/>
          <w:szCs w:val="22"/>
        </w:rPr>
        <w:t>the majority of</w:t>
      </w:r>
      <w:proofErr w:type="gramEnd"/>
      <w:r w:rsidRPr="46B5BCA3">
        <w:rPr>
          <w:rFonts w:ascii="Arial" w:hAnsi="Arial" w:cs="Arial"/>
          <w:sz w:val="22"/>
          <w:szCs w:val="22"/>
        </w:rPr>
        <w:t xml:space="preserve"> households have a combined income of no more than £30,000 per year. </w:t>
      </w:r>
      <w:r w:rsidR="001A7C18" w:rsidRPr="46B5BCA3">
        <w:rPr>
          <w:rFonts w:ascii="Arial" w:hAnsi="Arial" w:cs="Arial"/>
          <w:sz w:val="22"/>
          <w:szCs w:val="22"/>
        </w:rPr>
        <w:t>This is particularly useful in determining suitable social housing blocks.</w:t>
      </w:r>
    </w:p>
    <w:p w14:paraId="3D2B79DF" w14:textId="4C5626BE" w:rsidR="00A3682B" w:rsidRPr="00B76CC8" w:rsidRDefault="00B0209B" w:rsidP="00B76CC8">
      <w:pPr>
        <w:pStyle w:val="ListParagraph"/>
        <w:spacing w:after="120"/>
        <w:ind w:left="1843"/>
        <w:rPr>
          <w:rFonts w:ascii="Arial" w:hAnsi="Arial" w:cs="Arial"/>
          <w:sz w:val="22"/>
          <w:szCs w:val="22"/>
        </w:rPr>
      </w:pPr>
      <w:r w:rsidRPr="00B76CC8">
        <w:rPr>
          <w:rFonts w:ascii="Arial" w:hAnsi="Arial" w:cs="Arial"/>
          <w:sz w:val="22"/>
          <w:szCs w:val="22"/>
        </w:rPr>
        <w:t xml:space="preserve">Qualification will need to be demonstrated to the </w:t>
      </w:r>
      <w:r w:rsidR="00CD2FC5">
        <w:rPr>
          <w:rFonts w:ascii="Arial" w:hAnsi="Arial" w:cs="Arial"/>
          <w:sz w:val="22"/>
          <w:szCs w:val="22"/>
        </w:rPr>
        <w:t xml:space="preserve">Authority and the </w:t>
      </w:r>
      <w:r w:rsidR="00D329BC" w:rsidRPr="00CD2FC5">
        <w:rPr>
          <w:rFonts w:ascii="Arial" w:hAnsi="Arial" w:cs="Arial"/>
          <w:sz w:val="22"/>
          <w:szCs w:val="22"/>
        </w:rPr>
        <w:t>F</w:t>
      </w:r>
      <w:r w:rsidRPr="00CD2FC5">
        <w:rPr>
          <w:rFonts w:ascii="Arial" w:hAnsi="Arial" w:cs="Arial"/>
          <w:sz w:val="22"/>
          <w:szCs w:val="22"/>
        </w:rPr>
        <w:t>under</w:t>
      </w:r>
      <w:r w:rsidR="00CD2FC5">
        <w:rPr>
          <w:rFonts w:ascii="Arial" w:hAnsi="Arial" w:cs="Arial"/>
          <w:sz w:val="22"/>
          <w:szCs w:val="22"/>
        </w:rPr>
        <w:t xml:space="preserve"> on request</w:t>
      </w:r>
      <w:r w:rsidRPr="00B76CC8">
        <w:rPr>
          <w:rFonts w:ascii="Arial" w:hAnsi="Arial" w:cs="Arial"/>
          <w:sz w:val="22"/>
          <w:szCs w:val="22"/>
        </w:rPr>
        <w:t>.</w:t>
      </w:r>
      <w:r w:rsidR="00364312" w:rsidRPr="00B76CC8">
        <w:rPr>
          <w:rFonts w:ascii="Arial" w:hAnsi="Arial" w:cs="Arial"/>
          <w:sz w:val="22"/>
          <w:szCs w:val="22"/>
        </w:rPr>
        <w:t xml:space="preserve"> Proof of eligibility is a reporting requirement. </w:t>
      </w:r>
      <w:r w:rsidR="00442CA5" w:rsidRPr="00B76CC8">
        <w:rPr>
          <w:rFonts w:ascii="Arial" w:hAnsi="Arial" w:cs="Arial"/>
          <w:sz w:val="22"/>
          <w:szCs w:val="22"/>
        </w:rPr>
        <w:t xml:space="preserve">Recipients of </w:t>
      </w:r>
      <w:r w:rsidR="00FC4CDE" w:rsidRPr="00B76CC8">
        <w:rPr>
          <w:rFonts w:ascii="Arial" w:hAnsi="Arial" w:cs="Arial"/>
          <w:sz w:val="22"/>
          <w:szCs w:val="22"/>
        </w:rPr>
        <w:t xml:space="preserve">benefits that are acceptable under </w:t>
      </w:r>
      <w:r w:rsidR="00FC4CDE" w:rsidRPr="00D329BC">
        <w:rPr>
          <w:rFonts w:ascii="Arial" w:hAnsi="Arial" w:cs="Arial"/>
          <w:sz w:val="22"/>
          <w:szCs w:val="22"/>
        </w:rPr>
        <w:t>Affordable Warmth</w:t>
      </w:r>
      <w:r w:rsidR="00FC4CDE" w:rsidRPr="00B76CC8">
        <w:rPr>
          <w:rFonts w:ascii="Arial" w:hAnsi="Arial" w:cs="Arial"/>
          <w:sz w:val="22"/>
          <w:szCs w:val="22"/>
        </w:rPr>
        <w:t xml:space="preserve"> would qualify for LADs2 funding.</w:t>
      </w:r>
    </w:p>
    <w:p w14:paraId="2CA71C79" w14:textId="77777777" w:rsidR="008828AC" w:rsidRDefault="000A52BA" w:rsidP="006E2FA9">
      <w:pPr>
        <w:pStyle w:val="ListParagraph"/>
        <w:numPr>
          <w:ilvl w:val="0"/>
          <w:numId w:val="34"/>
        </w:numPr>
        <w:spacing w:after="120"/>
        <w:rPr>
          <w:rFonts w:ascii="Arial" w:hAnsi="Arial" w:cs="Arial"/>
          <w:sz w:val="22"/>
          <w:szCs w:val="22"/>
        </w:rPr>
      </w:pPr>
      <w:r>
        <w:rPr>
          <w:rFonts w:ascii="Arial" w:hAnsi="Arial" w:cs="Arial"/>
          <w:b/>
          <w:sz w:val="22"/>
          <w:szCs w:val="22"/>
        </w:rPr>
        <w:t>Energy Performance</w:t>
      </w:r>
      <w:r>
        <w:rPr>
          <w:rFonts w:ascii="Arial" w:hAnsi="Arial" w:cs="Arial"/>
          <w:sz w:val="22"/>
          <w:szCs w:val="22"/>
        </w:rPr>
        <w:t xml:space="preserve"> – properties eligible to receive improvements must currently be rated G-E in </w:t>
      </w:r>
      <w:proofErr w:type="gramStart"/>
      <w:r>
        <w:rPr>
          <w:rFonts w:ascii="Arial" w:hAnsi="Arial" w:cs="Arial"/>
          <w:sz w:val="22"/>
          <w:szCs w:val="22"/>
        </w:rPr>
        <w:t>the majority of</w:t>
      </w:r>
      <w:proofErr w:type="gramEnd"/>
      <w:r>
        <w:rPr>
          <w:rFonts w:ascii="Arial" w:hAnsi="Arial" w:cs="Arial"/>
          <w:sz w:val="22"/>
          <w:szCs w:val="22"/>
        </w:rPr>
        <w:t xml:space="preserve"> cases</w:t>
      </w:r>
      <w:r w:rsidR="00926371">
        <w:rPr>
          <w:rFonts w:ascii="Arial" w:hAnsi="Arial" w:cs="Arial"/>
          <w:sz w:val="22"/>
          <w:szCs w:val="22"/>
        </w:rPr>
        <w:t xml:space="preserve">. The objective is to increase the EPC rating to as close to C as possible in all cases, installing appropriate measures that will not </w:t>
      </w:r>
      <w:r w:rsidR="00A4508C">
        <w:rPr>
          <w:rFonts w:ascii="Arial" w:hAnsi="Arial" w:cs="Arial"/>
          <w:sz w:val="22"/>
          <w:szCs w:val="22"/>
        </w:rPr>
        <w:t xml:space="preserve">restrict further improvements in years to come. </w:t>
      </w:r>
    </w:p>
    <w:p w14:paraId="1C435EF2" w14:textId="50B0D3A1" w:rsidR="00115888" w:rsidRDefault="00A4508C" w:rsidP="008828AC">
      <w:pPr>
        <w:pStyle w:val="ListParagraph"/>
        <w:spacing w:after="120"/>
        <w:ind w:left="1854"/>
        <w:rPr>
          <w:rFonts w:ascii="Arial" w:hAnsi="Arial" w:cs="Arial"/>
          <w:sz w:val="22"/>
          <w:szCs w:val="22"/>
        </w:rPr>
      </w:pPr>
      <w:r>
        <w:rPr>
          <w:rFonts w:ascii="Arial" w:hAnsi="Arial" w:cs="Arial"/>
          <w:sz w:val="22"/>
          <w:szCs w:val="22"/>
        </w:rPr>
        <w:t xml:space="preserve">There is an allowance of </w:t>
      </w:r>
      <w:r w:rsidR="00761317">
        <w:rPr>
          <w:rFonts w:ascii="Arial" w:hAnsi="Arial" w:cs="Arial"/>
          <w:sz w:val="22"/>
          <w:szCs w:val="22"/>
        </w:rPr>
        <w:t>50</w:t>
      </w:r>
      <w:r>
        <w:rPr>
          <w:rFonts w:ascii="Arial" w:hAnsi="Arial" w:cs="Arial"/>
          <w:sz w:val="22"/>
          <w:szCs w:val="22"/>
        </w:rPr>
        <w:t xml:space="preserve">% of total installations on D rated properties. These will need to achieve the </w:t>
      </w:r>
      <w:r w:rsidR="004D3DA9">
        <w:rPr>
          <w:rFonts w:ascii="Arial" w:hAnsi="Arial" w:cs="Arial"/>
          <w:sz w:val="22"/>
          <w:szCs w:val="22"/>
        </w:rPr>
        <w:t xml:space="preserve">SAP </w:t>
      </w:r>
      <w:r>
        <w:rPr>
          <w:rFonts w:ascii="Arial" w:hAnsi="Arial" w:cs="Arial"/>
          <w:sz w:val="22"/>
          <w:szCs w:val="22"/>
        </w:rPr>
        <w:t>C rating through the installation.</w:t>
      </w:r>
    </w:p>
    <w:p w14:paraId="4CC071F1" w14:textId="01F47DCE" w:rsidR="00250D35" w:rsidRDefault="00D70DBD" w:rsidP="00250D35">
      <w:pPr>
        <w:pStyle w:val="ListParagraph"/>
        <w:spacing w:after="120"/>
        <w:ind w:left="1854"/>
        <w:rPr>
          <w:rStyle w:val="normaltextrun"/>
          <w:rFonts w:ascii="Arial" w:hAnsi="Arial" w:cs="Arial"/>
          <w:color w:val="000000"/>
          <w:sz w:val="22"/>
          <w:szCs w:val="22"/>
          <w:shd w:val="clear" w:color="auto" w:fill="FFFFFF"/>
        </w:rPr>
      </w:pPr>
      <w:r>
        <w:rPr>
          <w:rFonts w:ascii="Arial" w:hAnsi="Arial" w:cs="Arial"/>
          <w:sz w:val="22"/>
          <w:szCs w:val="22"/>
        </w:rPr>
        <w:t>Items listed under ‘</w:t>
      </w:r>
      <w:r w:rsidR="00D25171">
        <w:rPr>
          <w:rFonts w:ascii="Arial" w:hAnsi="Arial" w:cs="Arial"/>
          <w:sz w:val="22"/>
          <w:szCs w:val="22"/>
        </w:rPr>
        <w:t>A</w:t>
      </w:r>
      <w:r>
        <w:rPr>
          <w:rFonts w:ascii="Arial" w:hAnsi="Arial" w:cs="Arial"/>
          <w:sz w:val="22"/>
          <w:szCs w:val="22"/>
        </w:rPr>
        <w:t xml:space="preserve">ncillary </w:t>
      </w:r>
      <w:r w:rsidR="00D25171">
        <w:rPr>
          <w:rFonts w:ascii="Arial" w:hAnsi="Arial" w:cs="Arial"/>
          <w:sz w:val="22"/>
          <w:szCs w:val="22"/>
        </w:rPr>
        <w:t>M</w:t>
      </w:r>
      <w:r>
        <w:rPr>
          <w:rFonts w:ascii="Arial" w:hAnsi="Arial" w:cs="Arial"/>
          <w:sz w:val="22"/>
          <w:szCs w:val="22"/>
        </w:rPr>
        <w:t xml:space="preserve">easures’ are only to be installed alongside other measures. A Management Fee will not be paid for the installation of an Ancillary </w:t>
      </w:r>
      <w:r w:rsidR="00D25171">
        <w:rPr>
          <w:rFonts w:ascii="Arial" w:hAnsi="Arial" w:cs="Arial"/>
          <w:sz w:val="22"/>
          <w:szCs w:val="22"/>
        </w:rPr>
        <w:t>M</w:t>
      </w:r>
      <w:r>
        <w:rPr>
          <w:rFonts w:ascii="Arial" w:hAnsi="Arial" w:cs="Arial"/>
          <w:sz w:val="22"/>
          <w:szCs w:val="22"/>
        </w:rPr>
        <w:t>easure if it is the only item installed.</w:t>
      </w:r>
      <w:r w:rsidR="00250D35" w:rsidRPr="00250D35">
        <w:rPr>
          <w:rStyle w:val="normaltextrun"/>
          <w:rFonts w:ascii="Arial" w:hAnsi="Arial" w:cs="Arial"/>
          <w:color w:val="000000"/>
          <w:sz w:val="22"/>
          <w:szCs w:val="22"/>
          <w:shd w:val="clear" w:color="auto" w:fill="FFFFFF"/>
        </w:rPr>
        <w:t xml:space="preserve"> </w:t>
      </w:r>
    </w:p>
    <w:p w14:paraId="76A79BEF" w14:textId="40F589A3" w:rsidR="00EC3279" w:rsidRPr="006E3B56" w:rsidRDefault="00250D35" w:rsidP="006E3B56">
      <w:pPr>
        <w:pStyle w:val="ListParagraph"/>
        <w:spacing w:after="120"/>
        <w:ind w:left="1854"/>
      </w:pPr>
      <w:r>
        <w:rPr>
          <w:rStyle w:val="normaltextrun"/>
          <w:rFonts w:ascii="Arial" w:hAnsi="Arial" w:cs="Arial"/>
          <w:color w:val="000000"/>
          <w:sz w:val="22"/>
          <w:szCs w:val="22"/>
          <w:shd w:val="clear" w:color="auto" w:fill="FFFFFF"/>
        </w:rPr>
        <w:t>Park Homes can be targeted, and improvements can be made through this funding. As park homes/mobile homes typically do not have an EPC, the Delivery Organisation looking to upgrade park homes/mobile homes will need to outline why the stock is energy inefficient and high cost to the homeowner or tenant. As set out above, funding should focus on the least energy efficient housing and therefore those park homes/mobile homes expected to be equivalent to EPC ratings E, F and G</w:t>
      </w:r>
      <w:r w:rsidR="006E3B56">
        <w:rPr>
          <w:rStyle w:val="normaltextrun"/>
          <w:rFonts w:ascii="Arial" w:hAnsi="Arial" w:cs="Arial"/>
          <w:color w:val="000000"/>
          <w:sz w:val="22"/>
          <w:szCs w:val="22"/>
          <w:shd w:val="clear" w:color="auto" w:fill="FFFFFF"/>
        </w:rPr>
        <w:t>.</w:t>
      </w:r>
      <w:r>
        <w:rPr>
          <w:rStyle w:val="eop"/>
          <w:rFonts w:ascii="Arial" w:hAnsi="Arial" w:cs="Arial"/>
          <w:color w:val="000000"/>
          <w:sz w:val="22"/>
          <w:szCs w:val="22"/>
          <w:shd w:val="clear" w:color="auto" w:fill="FFFFFF"/>
        </w:rPr>
        <w:t> </w:t>
      </w:r>
    </w:p>
    <w:p w14:paraId="16E5C206" w14:textId="0788FF30" w:rsidR="00A4508C" w:rsidRDefault="00EC1B45" w:rsidP="006E2FA9">
      <w:pPr>
        <w:pStyle w:val="ListParagraph"/>
        <w:numPr>
          <w:ilvl w:val="0"/>
          <w:numId w:val="34"/>
        </w:numPr>
        <w:spacing w:after="120"/>
        <w:rPr>
          <w:rFonts w:ascii="Arial" w:hAnsi="Arial" w:cs="Arial"/>
          <w:sz w:val="22"/>
          <w:szCs w:val="22"/>
        </w:rPr>
      </w:pPr>
      <w:r>
        <w:rPr>
          <w:rFonts w:ascii="Arial" w:hAnsi="Arial" w:cs="Arial"/>
          <w:b/>
          <w:sz w:val="22"/>
          <w:szCs w:val="22"/>
        </w:rPr>
        <w:t>Cost</w:t>
      </w:r>
      <w:r>
        <w:rPr>
          <w:rFonts w:ascii="Arial" w:hAnsi="Arial" w:cs="Arial"/>
          <w:sz w:val="22"/>
          <w:szCs w:val="22"/>
        </w:rPr>
        <w:t xml:space="preserve"> – </w:t>
      </w:r>
      <w:r w:rsidR="00C106A5">
        <w:rPr>
          <w:rFonts w:ascii="Arial" w:hAnsi="Arial" w:cs="Arial"/>
          <w:sz w:val="22"/>
          <w:szCs w:val="22"/>
        </w:rPr>
        <w:t>Installations</w:t>
      </w:r>
      <w:r w:rsidR="00E86AFA">
        <w:rPr>
          <w:rFonts w:ascii="Arial" w:hAnsi="Arial" w:cs="Arial"/>
          <w:sz w:val="22"/>
          <w:szCs w:val="22"/>
        </w:rPr>
        <w:t xml:space="preserve"> on owner occupier properties</w:t>
      </w:r>
      <w:r w:rsidR="00C106A5">
        <w:rPr>
          <w:rFonts w:ascii="Arial" w:hAnsi="Arial" w:cs="Arial"/>
          <w:sz w:val="22"/>
          <w:szCs w:val="22"/>
        </w:rPr>
        <w:t xml:space="preserve"> should average </w:t>
      </w:r>
      <w:r w:rsidR="00B97444">
        <w:rPr>
          <w:rFonts w:ascii="Arial" w:hAnsi="Arial" w:cs="Arial"/>
          <w:sz w:val="22"/>
          <w:szCs w:val="22"/>
        </w:rPr>
        <w:t>a m</w:t>
      </w:r>
      <w:r w:rsidR="00C873F2">
        <w:rPr>
          <w:rFonts w:ascii="Arial" w:hAnsi="Arial" w:cs="Arial"/>
          <w:sz w:val="22"/>
          <w:szCs w:val="22"/>
        </w:rPr>
        <w:t xml:space="preserve">aximum of </w:t>
      </w:r>
      <w:r w:rsidR="00C106A5">
        <w:rPr>
          <w:rFonts w:ascii="Arial" w:hAnsi="Arial" w:cs="Arial"/>
          <w:sz w:val="22"/>
          <w:szCs w:val="22"/>
        </w:rPr>
        <w:t>£10,000</w:t>
      </w:r>
      <w:r w:rsidR="00DE37A0">
        <w:rPr>
          <w:rFonts w:ascii="Arial" w:hAnsi="Arial" w:cs="Arial"/>
          <w:sz w:val="22"/>
          <w:szCs w:val="22"/>
        </w:rPr>
        <w:t>, and the maximum grant for landlords (private or social) is £5,000.</w:t>
      </w:r>
      <w:r w:rsidR="00C106A5">
        <w:rPr>
          <w:rFonts w:ascii="Arial" w:hAnsi="Arial" w:cs="Arial"/>
          <w:sz w:val="22"/>
          <w:szCs w:val="22"/>
        </w:rPr>
        <w:t xml:space="preserve"> </w:t>
      </w:r>
    </w:p>
    <w:p w14:paraId="00922449" w14:textId="3E53982D" w:rsidR="00450B66" w:rsidRDefault="00450B66" w:rsidP="006E2FA9">
      <w:pPr>
        <w:pStyle w:val="ListParagraph"/>
        <w:numPr>
          <w:ilvl w:val="1"/>
          <w:numId w:val="34"/>
        </w:numPr>
        <w:spacing w:after="120"/>
        <w:rPr>
          <w:rFonts w:ascii="Arial" w:hAnsi="Arial" w:cs="Arial"/>
          <w:sz w:val="22"/>
          <w:szCs w:val="22"/>
        </w:rPr>
      </w:pPr>
      <w:r>
        <w:rPr>
          <w:rFonts w:ascii="Arial" w:hAnsi="Arial" w:cs="Arial"/>
          <w:sz w:val="22"/>
          <w:szCs w:val="22"/>
        </w:rPr>
        <w:t xml:space="preserve">Owner occupiers who fit the criteria </w:t>
      </w:r>
      <w:proofErr w:type="gramStart"/>
      <w:r>
        <w:rPr>
          <w:rFonts w:ascii="Arial" w:hAnsi="Arial" w:cs="Arial"/>
          <w:sz w:val="22"/>
          <w:szCs w:val="22"/>
        </w:rPr>
        <w:t>are able to</w:t>
      </w:r>
      <w:proofErr w:type="gramEnd"/>
      <w:r>
        <w:rPr>
          <w:rFonts w:ascii="Arial" w:hAnsi="Arial" w:cs="Arial"/>
          <w:sz w:val="22"/>
          <w:szCs w:val="22"/>
        </w:rPr>
        <w:t xml:space="preserve"> have installations to the value of £10,000.</w:t>
      </w:r>
      <w:r w:rsidR="009066D3">
        <w:rPr>
          <w:rFonts w:ascii="Arial" w:hAnsi="Arial" w:cs="Arial"/>
          <w:sz w:val="22"/>
          <w:szCs w:val="22"/>
        </w:rPr>
        <w:t xml:space="preserve"> This is an average across all </w:t>
      </w:r>
      <w:r w:rsidR="0052184B">
        <w:rPr>
          <w:rFonts w:ascii="Arial" w:hAnsi="Arial" w:cs="Arial"/>
          <w:sz w:val="22"/>
          <w:szCs w:val="22"/>
        </w:rPr>
        <w:t>Dwellings</w:t>
      </w:r>
      <w:r w:rsidR="009066D3">
        <w:rPr>
          <w:rFonts w:ascii="Arial" w:hAnsi="Arial" w:cs="Arial"/>
          <w:sz w:val="22"/>
          <w:szCs w:val="22"/>
        </w:rPr>
        <w:t xml:space="preserve">. If </w:t>
      </w:r>
      <w:proofErr w:type="gramStart"/>
      <w:r w:rsidR="009066D3">
        <w:rPr>
          <w:rFonts w:ascii="Arial" w:hAnsi="Arial" w:cs="Arial"/>
          <w:sz w:val="22"/>
          <w:szCs w:val="22"/>
        </w:rPr>
        <w:t>during the course of</w:t>
      </w:r>
      <w:proofErr w:type="gramEnd"/>
      <w:r w:rsidR="009066D3">
        <w:rPr>
          <w:rFonts w:ascii="Arial" w:hAnsi="Arial" w:cs="Arial"/>
          <w:sz w:val="22"/>
          <w:szCs w:val="22"/>
        </w:rPr>
        <w:t xml:space="preserve"> the scheme the average is falling short of this £10k limit, there may be opportunities to increase spend on some </w:t>
      </w:r>
      <w:r w:rsidR="0052184B">
        <w:rPr>
          <w:rFonts w:ascii="Arial" w:hAnsi="Arial" w:cs="Arial"/>
          <w:sz w:val="22"/>
          <w:szCs w:val="22"/>
        </w:rPr>
        <w:t>Dwellings</w:t>
      </w:r>
      <w:r w:rsidR="009066D3">
        <w:rPr>
          <w:rFonts w:ascii="Arial" w:hAnsi="Arial" w:cs="Arial"/>
          <w:sz w:val="22"/>
          <w:szCs w:val="22"/>
        </w:rPr>
        <w:t xml:space="preserve"> requiring a higher spend to achieve impact</w:t>
      </w:r>
      <w:r w:rsidR="002E1817">
        <w:rPr>
          <w:rFonts w:ascii="Arial" w:hAnsi="Arial" w:cs="Arial"/>
          <w:sz w:val="22"/>
          <w:szCs w:val="22"/>
        </w:rPr>
        <w:t xml:space="preserve"> (for example </w:t>
      </w:r>
      <w:r w:rsidR="002E1817">
        <w:rPr>
          <w:rFonts w:ascii="Arial" w:hAnsi="Arial" w:cs="Arial"/>
          <w:sz w:val="22"/>
          <w:szCs w:val="22"/>
        </w:rPr>
        <w:lastRenderedPageBreak/>
        <w:t>EWI installations may cost more to ensure coverage and quality installations</w:t>
      </w:r>
      <w:r w:rsidR="009066D3">
        <w:rPr>
          <w:rFonts w:ascii="Arial" w:hAnsi="Arial" w:cs="Arial"/>
          <w:sz w:val="22"/>
          <w:szCs w:val="22"/>
        </w:rPr>
        <w:t>)</w:t>
      </w:r>
      <w:r w:rsidR="00660B6F">
        <w:rPr>
          <w:rFonts w:ascii="Arial" w:hAnsi="Arial" w:cs="Arial"/>
          <w:sz w:val="22"/>
          <w:szCs w:val="22"/>
        </w:rPr>
        <w:t>.</w:t>
      </w:r>
      <w:r w:rsidR="00660B6F" w:rsidRPr="00660B6F">
        <w:rPr>
          <w:rFonts w:ascii="Arial" w:hAnsi="Arial" w:cs="Arial"/>
          <w:sz w:val="22"/>
          <w:szCs w:val="22"/>
        </w:rPr>
        <w:t xml:space="preserve"> </w:t>
      </w:r>
      <w:r w:rsidR="00660B6F">
        <w:rPr>
          <w:rFonts w:ascii="Arial" w:hAnsi="Arial" w:cs="Arial"/>
          <w:sz w:val="22"/>
          <w:szCs w:val="22"/>
        </w:rPr>
        <w:t>The Delivery Organisation may wish to review this monthly to provide maximum opportunities to support as many households as possible within the time and cost restrictions.</w:t>
      </w:r>
    </w:p>
    <w:p w14:paraId="2B5EFD29" w14:textId="5BD133D5" w:rsidR="00572E03" w:rsidRDefault="00572E03" w:rsidP="006E2FA9">
      <w:pPr>
        <w:pStyle w:val="ListParagraph"/>
        <w:numPr>
          <w:ilvl w:val="1"/>
          <w:numId w:val="34"/>
        </w:numPr>
        <w:spacing w:after="120"/>
        <w:rPr>
          <w:rFonts w:ascii="Arial" w:hAnsi="Arial" w:cs="Arial"/>
          <w:sz w:val="22"/>
          <w:szCs w:val="22"/>
        </w:rPr>
      </w:pPr>
      <w:r w:rsidRPr="674DC236">
        <w:rPr>
          <w:rFonts w:ascii="Arial" w:hAnsi="Arial" w:cs="Arial"/>
          <w:sz w:val="22"/>
          <w:szCs w:val="22"/>
        </w:rPr>
        <w:t xml:space="preserve">Owner occupier properties are to be </w:t>
      </w:r>
      <w:r w:rsidR="4B1C77B9" w:rsidRPr="674DC236">
        <w:rPr>
          <w:rFonts w:ascii="Arial" w:hAnsi="Arial" w:cs="Arial"/>
          <w:sz w:val="22"/>
          <w:szCs w:val="22"/>
        </w:rPr>
        <w:t>fully funded;</w:t>
      </w:r>
      <w:r w:rsidRPr="674DC236">
        <w:rPr>
          <w:rFonts w:ascii="Arial" w:hAnsi="Arial" w:cs="Arial"/>
          <w:sz w:val="22"/>
          <w:szCs w:val="22"/>
        </w:rPr>
        <w:t xml:space="preserve"> </w:t>
      </w:r>
      <w:r w:rsidR="0052184B">
        <w:rPr>
          <w:rFonts w:ascii="Arial" w:hAnsi="Arial" w:cs="Arial"/>
          <w:sz w:val="22"/>
          <w:szCs w:val="22"/>
        </w:rPr>
        <w:t>C</w:t>
      </w:r>
      <w:r w:rsidRPr="674DC236">
        <w:rPr>
          <w:rFonts w:ascii="Arial" w:hAnsi="Arial" w:cs="Arial"/>
          <w:sz w:val="22"/>
          <w:szCs w:val="22"/>
        </w:rPr>
        <w:t xml:space="preserve">ustomers are not able to provide </w:t>
      </w:r>
      <w:r w:rsidR="0052184B">
        <w:rPr>
          <w:rFonts w:ascii="Arial" w:hAnsi="Arial" w:cs="Arial"/>
          <w:sz w:val="22"/>
          <w:szCs w:val="22"/>
        </w:rPr>
        <w:t>C</w:t>
      </w:r>
      <w:r w:rsidR="0052184B" w:rsidRPr="674DC236">
        <w:rPr>
          <w:rFonts w:ascii="Arial" w:hAnsi="Arial" w:cs="Arial"/>
          <w:sz w:val="22"/>
          <w:szCs w:val="22"/>
        </w:rPr>
        <w:t xml:space="preserve">ustomer </w:t>
      </w:r>
      <w:r w:rsidR="0052184B">
        <w:rPr>
          <w:rFonts w:ascii="Arial" w:hAnsi="Arial" w:cs="Arial"/>
          <w:sz w:val="22"/>
          <w:szCs w:val="22"/>
        </w:rPr>
        <w:t>C</w:t>
      </w:r>
      <w:r w:rsidR="0052184B" w:rsidRPr="674DC236">
        <w:rPr>
          <w:rFonts w:ascii="Arial" w:hAnsi="Arial" w:cs="Arial"/>
          <w:sz w:val="22"/>
          <w:szCs w:val="22"/>
        </w:rPr>
        <w:t>ontributions</w:t>
      </w:r>
      <w:r w:rsidRPr="674DC236">
        <w:rPr>
          <w:rFonts w:ascii="Arial" w:hAnsi="Arial" w:cs="Arial"/>
          <w:sz w:val="22"/>
          <w:szCs w:val="22"/>
        </w:rPr>
        <w:t>.</w:t>
      </w:r>
    </w:p>
    <w:p w14:paraId="5EEB96A7" w14:textId="03BE4D1F" w:rsidR="00450B66" w:rsidRDefault="00450B66" w:rsidP="006E2FA9">
      <w:pPr>
        <w:pStyle w:val="ListParagraph"/>
        <w:numPr>
          <w:ilvl w:val="1"/>
          <w:numId w:val="34"/>
        </w:numPr>
        <w:spacing w:after="120"/>
        <w:rPr>
          <w:rFonts w:ascii="Arial" w:hAnsi="Arial" w:cs="Arial"/>
          <w:sz w:val="22"/>
          <w:szCs w:val="22"/>
        </w:rPr>
      </w:pPr>
      <w:r>
        <w:rPr>
          <w:rFonts w:ascii="Arial" w:hAnsi="Arial" w:cs="Arial"/>
          <w:sz w:val="22"/>
          <w:szCs w:val="22"/>
        </w:rPr>
        <w:t xml:space="preserve">Private </w:t>
      </w:r>
      <w:r w:rsidR="0052184B">
        <w:rPr>
          <w:rFonts w:ascii="Arial" w:hAnsi="Arial" w:cs="Arial"/>
          <w:sz w:val="22"/>
          <w:szCs w:val="22"/>
        </w:rPr>
        <w:t>l</w:t>
      </w:r>
      <w:r>
        <w:rPr>
          <w:rFonts w:ascii="Arial" w:hAnsi="Arial" w:cs="Arial"/>
          <w:sz w:val="22"/>
          <w:szCs w:val="22"/>
        </w:rPr>
        <w:t xml:space="preserve">andlords </w:t>
      </w:r>
      <w:proofErr w:type="gramStart"/>
      <w:r w:rsidR="004C1787">
        <w:rPr>
          <w:rFonts w:ascii="Arial" w:hAnsi="Arial" w:cs="Arial"/>
          <w:sz w:val="22"/>
          <w:szCs w:val="22"/>
        </w:rPr>
        <w:t>are able to</w:t>
      </w:r>
      <w:proofErr w:type="gramEnd"/>
      <w:r w:rsidR="004C1787">
        <w:rPr>
          <w:rFonts w:ascii="Arial" w:hAnsi="Arial" w:cs="Arial"/>
          <w:sz w:val="22"/>
          <w:szCs w:val="22"/>
        </w:rPr>
        <w:t xml:space="preserve"> be funded to a</w:t>
      </w:r>
      <w:r w:rsidR="00660B6F">
        <w:rPr>
          <w:rFonts w:ascii="Arial" w:hAnsi="Arial" w:cs="Arial"/>
          <w:sz w:val="22"/>
          <w:szCs w:val="22"/>
        </w:rPr>
        <w:t>n average</w:t>
      </w:r>
      <w:r w:rsidR="004C1787">
        <w:rPr>
          <w:rFonts w:ascii="Arial" w:hAnsi="Arial" w:cs="Arial"/>
          <w:sz w:val="22"/>
          <w:szCs w:val="22"/>
        </w:rPr>
        <w:t xml:space="preserve"> maximum of £5,000 and</w:t>
      </w:r>
      <w:r w:rsidR="00E864A0">
        <w:rPr>
          <w:rFonts w:ascii="Arial" w:hAnsi="Arial" w:cs="Arial"/>
          <w:sz w:val="22"/>
          <w:szCs w:val="22"/>
        </w:rPr>
        <w:t xml:space="preserve"> must be</w:t>
      </w:r>
      <w:r w:rsidR="004C1787">
        <w:rPr>
          <w:rFonts w:ascii="Arial" w:hAnsi="Arial" w:cs="Arial"/>
          <w:sz w:val="22"/>
          <w:szCs w:val="22"/>
        </w:rPr>
        <w:t xml:space="preserve"> match fund</w:t>
      </w:r>
      <w:r w:rsidR="00E864A0">
        <w:rPr>
          <w:rFonts w:ascii="Arial" w:hAnsi="Arial" w:cs="Arial"/>
          <w:sz w:val="22"/>
          <w:szCs w:val="22"/>
        </w:rPr>
        <w:t>ed</w:t>
      </w:r>
      <w:r w:rsidR="004C1787">
        <w:rPr>
          <w:rFonts w:ascii="Arial" w:hAnsi="Arial" w:cs="Arial"/>
          <w:sz w:val="22"/>
          <w:szCs w:val="22"/>
        </w:rPr>
        <w:t xml:space="preserve"> by 1/3 the total cost of the installation</w:t>
      </w:r>
      <w:r w:rsidR="00E864A0">
        <w:rPr>
          <w:rFonts w:ascii="Arial" w:hAnsi="Arial" w:cs="Arial"/>
          <w:sz w:val="22"/>
          <w:szCs w:val="22"/>
        </w:rPr>
        <w:t xml:space="preserve"> by the landlord.</w:t>
      </w:r>
    </w:p>
    <w:p w14:paraId="3D0DF157" w14:textId="12033589" w:rsidR="009066D3" w:rsidRDefault="004C1787" w:rsidP="006E2FA9">
      <w:pPr>
        <w:pStyle w:val="ListParagraph"/>
        <w:numPr>
          <w:ilvl w:val="1"/>
          <w:numId w:val="34"/>
        </w:numPr>
        <w:spacing w:after="120"/>
        <w:rPr>
          <w:rFonts w:ascii="Arial" w:hAnsi="Arial" w:cs="Arial"/>
          <w:sz w:val="22"/>
          <w:szCs w:val="22"/>
        </w:rPr>
      </w:pPr>
      <w:r>
        <w:rPr>
          <w:rFonts w:ascii="Arial" w:hAnsi="Arial" w:cs="Arial"/>
          <w:sz w:val="22"/>
          <w:szCs w:val="22"/>
        </w:rPr>
        <w:t>Social Landlords must match fund</w:t>
      </w:r>
      <w:r w:rsidR="005F43DA">
        <w:rPr>
          <w:rFonts w:ascii="Arial" w:hAnsi="Arial" w:cs="Arial"/>
          <w:sz w:val="22"/>
          <w:szCs w:val="22"/>
        </w:rPr>
        <w:t xml:space="preserve"> 1/3 the</w:t>
      </w:r>
      <w:r w:rsidR="001A4A04">
        <w:rPr>
          <w:rFonts w:ascii="Arial" w:hAnsi="Arial" w:cs="Arial"/>
          <w:sz w:val="22"/>
          <w:szCs w:val="22"/>
        </w:rPr>
        <w:t xml:space="preserve"> amount </w:t>
      </w:r>
    </w:p>
    <w:tbl>
      <w:tblPr>
        <w:tblW w:w="0" w:type="auto"/>
        <w:tblCellSpacing w:w="18" w:type="dxa"/>
        <w:tblInd w:w="2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315"/>
        <w:gridCol w:w="3095"/>
        <w:gridCol w:w="1058"/>
      </w:tblGrid>
      <w:tr w:rsidR="008F3FA5" w:rsidRPr="00F63A06" w14:paraId="611FCBF1" w14:textId="77777777" w:rsidTr="004D7320">
        <w:trPr>
          <w:tblCellSpacing w:w="18" w:type="dxa"/>
        </w:trPr>
        <w:tc>
          <w:tcPr>
            <w:tcW w:w="0" w:type="auto"/>
            <w:tcMar>
              <w:top w:w="15" w:type="dxa"/>
              <w:left w:w="15" w:type="dxa"/>
              <w:bottom w:w="15" w:type="dxa"/>
              <w:right w:w="15" w:type="dxa"/>
            </w:tcMar>
            <w:vAlign w:val="center"/>
            <w:hideMark/>
          </w:tcPr>
          <w:p w14:paraId="3FAF29B1" w14:textId="77777777" w:rsidR="008F3FA5" w:rsidRPr="00F63A06" w:rsidRDefault="71A68C06" w:rsidP="674DC236">
            <w:pPr>
              <w:rPr>
                <w:rFonts w:eastAsia="Arial" w:cs="Arial"/>
                <w:sz w:val="22"/>
                <w:szCs w:val="22"/>
              </w:rPr>
            </w:pPr>
            <w:r w:rsidRPr="674DC236">
              <w:rPr>
                <w:rFonts w:eastAsia="Arial" w:cs="Arial"/>
                <w:sz w:val="22"/>
                <w:szCs w:val="22"/>
              </w:rPr>
              <w:t>LAD funding</w:t>
            </w:r>
          </w:p>
        </w:tc>
        <w:tc>
          <w:tcPr>
            <w:tcW w:w="0" w:type="auto"/>
            <w:tcMar>
              <w:top w:w="15" w:type="dxa"/>
              <w:left w:w="15" w:type="dxa"/>
              <w:bottom w:w="15" w:type="dxa"/>
              <w:right w:w="15" w:type="dxa"/>
            </w:tcMar>
            <w:vAlign w:val="center"/>
            <w:hideMark/>
          </w:tcPr>
          <w:p w14:paraId="3DDF3375" w14:textId="77777777" w:rsidR="008F3FA5" w:rsidRPr="00F63A06" w:rsidRDefault="71A68C06" w:rsidP="674DC236">
            <w:pPr>
              <w:rPr>
                <w:rFonts w:eastAsia="Arial" w:cs="Arial"/>
                <w:sz w:val="22"/>
                <w:szCs w:val="22"/>
              </w:rPr>
            </w:pPr>
            <w:r w:rsidRPr="674DC236">
              <w:rPr>
                <w:rFonts w:eastAsia="Arial" w:cs="Arial"/>
                <w:sz w:val="22"/>
                <w:szCs w:val="22"/>
              </w:rPr>
              <w:t>Minimum Landlord contribution</w:t>
            </w:r>
          </w:p>
        </w:tc>
        <w:tc>
          <w:tcPr>
            <w:tcW w:w="0" w:type="auto"/>
            <w:tcMar>
              <w:top w:w="15" w:type="dxa"/>
              <w:left w:w="15" w:type="dxa"/>
              <w:bottom w:w="15" w:type="dxa"/>
              <w:right w:w="15" w:type="dxa"/>
            </w:tcMar>
            <w:vAlign w:val="center"/>
            <w:hideMark/>
          </w:tcPr>
          <w:p w14:paraId="36C5E646" w14:textId="77777777" w:rsidR="008F3FA5" w:rsidRPr="00F63A06" w:rsidRDefault="71A68C06" w:rsidP="674DC236">
            <w:pPr>
              <w:rPr>
                <w:rFonts w:eastAsia="Arial" w:cs="Arial"/>
                <w:sz w:val="22"/>
                <w:szCs w:val="22"/>
              </w:rPr>
            </w:pPr>
            <w:r w:rsidRPr="674DC236">
              <w:rPr>
                <w:rFonts w:eastAsia="Arial" w:cs="Arial"/>
                <w:sz w:val="22"/>
                <w:szCs w:val="22"/>
              </w:rPr>
              <w:t>Total cost</w:t>
            </w:r>
          </w:p>
        </w:tc>
      </w:tr>
      <w:tr w:rsidR="008F3FA5" w:rsidRPr="00F63A06" w14:paraId="4360E476" w14:textId="77777777" w:rsidTr="004D7320">
        <w:trPr>
          <w:tblCellSpacing w:w="18" w:type="dxa"/>
        </w:trPr>
        <w:tc>
          <w:tcPr>
            <w:tcW w:w="0" w:type="auto"/>
            <w:tcMar>
              <w:top w:w="15" w:type="dxa"/>
              <w:left w:w="15" w:type="dxa"/>
              <w:bottom w:w="15" w:type="dxa"/>
              <w:right w:w="15" w:type="dxa"/>
            </w:tcMar>
            <w:vAlign w:val="center"/>
            <w:hideMark/>
          </w:tcPr>
          <w:p w14:paraId="1BDFC574" w14:textId="77777777" w:rsidR="008F3FA5" w:rsidRPr="00F63A06" w:rsidRDefault="71A68C06" w:rsidP="674DC236">
            <w:pPr>
              <w:rPr>
                <w:rFonts w:eastAsia="Arial" w:cs="Arial"/>
                <w:sz w:val="22"/>
                <w:szCs w:val="22"/>
              </w:rPr>
            </w:pPr>
            <w:r w:rsidRPr="674DC236">
              <w:rPr>
                <w:rFonts w:eastAsia="Arial" w:cs="Arial"/>
                <w:sz w:val="22"/>
                <w:szCs w:val="22"/>
              </w:rPr>
              <w:t>£1,000</w:t>
            </w:r>
          </w:p>
        </w:tc>
        <w:tc>
          <w:tcPr>
            <w:tcW w:w="0" w:type="auto"/>
            <w:tcMar>
              <w:top w:w="15" w:type="dxa"/>
              <w:left w:w="15" w:type="dxa"/>
              <w:bottom w:w="15" w:type="dxa"/>
              <w:right w:w="15" w:type="dxa"/>
            </w:tcMar>
            <w:vAlign w:val="center"/>
            <w:hideMark/>
          </w:tcPr>
          <w:p w14:paraId="72A6B201" w14:textId="77777777" w:rsidR="008F3FA5" w:rsidRPr="00F63A06" w:rsidRDefault="71A68C06" w:rsidP="674DC236">
            <w:pPr>
              <w:rPr>
                <w:rFonts w:eastAsia="Arial" w:cs="Arial"/>
                <w:sz w:val="22"/>
                <w:szCs w:val="22"/>
              </w:rPr>
            </w:pPr>
            <w:r w:rsidRPr="674DC236">
              <w:rPr>
                <w:rFonts w:eastAsia="Arial" w:cs="Arial"/>
                <w:sz w:val="22"/>
                <w:szCs w:val="22"/>
              </w:rPr>
              <w:t>£500</w:t>
            </w:r>
          </w:p>
        </w:tc>
        <w:tc>
          <w:tcPr>
            <w:tcW w:w="0" w:type="auto"/>
            <w:tcMar>
              <w:top w:w="15" w:type="dxa"/>
              <w:left w:w="15" w:type="dxa"/>
              <w:bottom w:w="15" w:type="dxa"/>
              <w:right w:w="15" w:type="dxa"/>
            </w:tcMar>
            <w:vAlign w:val="center"/>
            <w:hideMark/>
          </w:tcPr>
          <w:p w14:paraId="0007B96B" w14:textId="77777777" w:rsidR="008F3FA5" w:rsidRPr="00F63A06" w:rsidRDefault="71A68C06" w:rsidP="674DC236">
            <w:pPr>
              <w:rPr>
                <w:rFonts w:eastAsia="Arial" w:cs="Arial"/>
                <w:sz w:val="22"/>
                <w:szCs w:val="22"/>
              </w:rPr>
            </w:pPr>
            <w:r w:rsidRPr="674DC236">
              <w:rPr>
                <w:rFonts w:eastAsia="Arial" w:cs="Arial"/>
                <w:sz w:val="22"/>
                <w:szCs w:val="22"/>
              </w:rPr>
              <w:t>£1,500</w:t>
            </w:r>
          </w:p>
        </w:tc>
      </w:tr>
      <w:tr w:rsidR="008F3FA5" w:rsidRPr="00F63A06" w14:paraId="45359BDD" w14:textId="77777777" w:rsidTr="004D7320">
        <w:trPr>
          <w:tblCellSpacing w:w="18" w:type="dxa"/>
        </w:trPr>
        <w:tc>
          <w:tcPr>
            <w:tcW w:w="0" w:type="auto"/>
            <w:tcMar>
              <w:top w:w="15" w:type="dxa"/>
              <w:left w:w="15" w:type="dxa"/>
              <w:bottom w:w="15" w:type="dxa"/>
              <w:right w:w="15" w:type="dxa"/>
            </w:tcMar>
            <w:vAlign w:val="center"/>
            <w:hideMark/>
          </w:tcPr>
          <w:p w14:paraId="77294B3F" w14:textId="77777777" w:rsidR="008F3FA5" w:rsidRPr="00F63A06" w:rsidRDefault="71A68C06" w:rsidP="674DC236">
            <w:pPr>
              <w:rPr>
                <w:rFonts w:eastAsia="Arial" w:cs="Arial"/>
                <w:sz w:val="22"/>
                <w:szCs w:val="22"/>
              </w:rPr>
            </w:pPr>
            <w:r w:rsidRPr="674DC236">
              <w:rPr>
                <w:rFonts w:eastAsia="Arial" w:cs="Arial"/>
                <w:sz w:val="22"/>
                <w:szCs w:val="22"/>
              </w:rPr>
              <w:t>£2,000</w:t>
            </w:r>
          </w:p>
        </w:tc>
        <w:tc>
          <w:tcPr>
            <w:tcW w:w="0" w:type="auto"/>
            <w:tcMar>
              <w:top w:w="15" w:type="dxa"/>
              <w:left w:w="15" w:type="dxa"/>
              <w:bottom w:w="15" w:type="dxa"/>
              <w:right w:w="15" w:type="dxa"/>
            </w:tcMar>
            <w:vAlign w:val="center"/>
            <w:hideMark/>
          </w:tcPr>
          <w:p w14:paraId="0638A933" w14:textId="77777777" w:rsidR="008F3FA5" w:rsidRPr="00F63A06" w:rsidRDefault="71A68C06" w:rsidP="674DC236">
            <w:pPr>
              <w:rPr>
                <w:rFonts w:eastAsia="Arial" w:cs="Arial"/>
                <w:sz w:val="22"/>
                <w:szCs w:val="22"/>
              </w:rPr>
            </w:pPr>
            <w:r w:rsidRPr="674DC236">
              <w:rPr>
                <w:rFonts w:eastAsia="Arial" w:cs="Arial"/>
                <w:sz w:val="22"/>
                <w:szCs w:val="22"/>
              </w:rPr>
              <w:t>£1,000</w:t>
            </w:r>
          </w:p>
        </w:tc>
        <w:tc>
          <w:tcPr>
            <w:tcW w:w="0" w:type="auto"/>
            <w:tcMar>
              <w:top w:w="15" w:type="dxa"/>
              <w:left w:w="15" w:type="dxa"/>
              <w:bottom w:w="15" w:type="dxa"/>
              <w:right w:w="15" w:type="dxa"/>
            </w:tcMar>
            <w:vAlign w:val="center"/>
            <w:hideMark/>
          </w:tcPr>
          <w:p w14:paraId="46BFC000" w14:textId="77777777" w:rsidR="008F3FA5" w:rsidRPr="00F63A06" w:rsidRDefault="71A68C06" w:rsidP="674DC236">
            <w:pPr>
              <w:rPr>
                <w:rFonts w:eastAsia="Arial" w:cs="Arial"/>
                <w:sz w:val="22"/>
                <w:szCs w:val="22"/>
              </w:rPr>
            </w:pPr>
            <w:r w:rsidRPr="674DC236">
              <w:rPr>
                <w:rFonts w:eastAsia="Arial" w:cs="Arial"/>
                <w:sz w:val="22"/>
                <w:szCs w:val="22"/>
              </w:rPr>
              <w:t>£3,000</w:t>
            </w:r>
          </w:p>
        </w:tc>
      </w:tr>
      <w:tr w:rsidR="008F3FA5" w:rsidRPr="00F63A06" w14:paraId="33531F30" w14:textId="77777777" w:rsidTr="004D7320">
        <w:trPr>
          <w:tblCellSpacing w:w="18" w:type="dxa"/>
        </w:trPr>
        <w:tc>
          <w:tcPr>
            <w:tcW w:w="0" w:type="auto"/>
            <w:tcMar>
              <w:top w:w="15" w:type="dxa"/>
              <w:left w:w="15" w:type="dxa"/>
              <w:bottom w:w="15" w:type="dxa"/>
              <w:right w:w="15" w:type="dxa"/>
            </w:tcMar>
            <w:vAlign w:val="center"/>
            <w:hideMark/>
          </w:tcPr>
          <w:p w14:paraId="34A93B49" w14:textId="77777777" w:rsidR="008F3FA5" w:rsidRPr="00F63A06" w:rsidRDefault="71A68C06" w:rsidP="674DC236">
            <w:pPr>
              <w:rPr>
                <w:rFonts w:eastAsia="Arial" w:cs="Arial"/>
                <w:sz w:val="22"/>
                <w:szCs w:val="22"/>
              </w:rPr>
            </w:pPr>
            <w:r w:rsidRPr="674DC236">
              <w:rPr>
                <w:rFonts w:eastAsia="Arial" w:cs="Arial"/>
                <w:sz w:val="22"/>
                <w:szCs w:val="22"/>
              </w:rPr>
              <w:t>£3,000</w:t>
            </w:r>
          </w:p>
        </w:tc>
        <w:tc>
          <w:tcPr>
            <w:tcW w:w="0" w:type="auto"/>
            <w:tcMar>
              <w:top w:w="15" w:type="dxa"/>
              <w:left w:w="15" w:type="dxa"/>
              <w:bottom w:w="15" w:type="dxa"/>
              <w:right w:w="15" w:type="dxa"/>
            </w:tcMar>
            <w:vAlign w:val="center"/>
            <w:hideMark/>
          </w:tcPr>
          <w:p w14:paraId="5B543CBB" w14:textId="77777777" w:rsidR="008F3FA5" w:rsidRPr="00F63A06" w:rsidRDefault="71A68C06" w:rsidP="674DC236">
            <w:pPr>
              <w:rPr>
                <w:rFonts w:eastAsia="Arial" w:cs="Arial"/>
                <w:sz w:val="22"/>
                <w:szCs w:val="22"/>
              </w:rPr>
            </w:pPr>
            <w:r w:rsidRPr="674DC236">
              <w:rPr>
                <w:rFonts w:eastAsia="Arial" w:cs="Arial"/>
                <w:sz w:val="22"/>
                <w:szCs w:val="22"/>
              </w:rPr>
              <w:t>£1,500</w:t>
            </w:r>
          </w:p>
        </w:tc>
        <w:tc>
          <w:tcPr>
            <w:tcW w:w="0" w:type="auto"/>
            <w:tcMar>
              <w:top w:w="15" w:type="dxa"/>
              <w:left w:w="15" w:type="dxa"/>
              <w:bottom w:w="15" w:type="dxa"/>
              <w:right w:w="15" w:type="dxa"/>
            </w:tcMar>
            <w:vAlign w:val="center"/>
            <w:hideMark/>
          </w:tcPr>
          <w:p w14:paraId="49AAAA46" w14:textId="77777777" w:rsidR="008F3FA5" w:rsidRPr="00F63A06" w:rsidRDefault="71A68C06" w:rsidP="674DC236">
            <w:pPr>
              <w:rPr>
                <w:rFonts w:eastAsia="Arial" w:cs="Arial"/>
                <w:sz w:val="22"/>
                <w:szCs w:val="22"/>
              </w:rPr>
            </w:pPr>
            <w:r w:rsidRPr="674DC236">
              <w:rPr>
                <w:rFonts w:eastAsia="Arial" w:cs="Arial"/>
                <w:sz w:val="22"/>
                <w:szCs w:val="22"/>
              </w:rPr>
              <w:t>£4,500</w:t>
            </w:r>
          </w:p>
        </w:tc>
      </w:tr>
      <w:tr w:rsidR="008F3FA5" w:rsidRPr="00F63A06" w14:paraId="4519292E" w14:textId="77777777" w:rsidTr="004D7320">
        <w:trPr>
          <w:tblCellSpacing w:w="18" w:type="dxa"/>
        </w:trPr>
        <w:tc>
          <w:tcPr>
            <w:tcW w:w="0" w:type="auto"/>
            <w:tcMar>
              <w:top w:w="15" w:type="dxa"/>
              <w:left w:w="15" w:type="dxa"/>
              <w:bottom w:w="15" w:type="dxa"/>
              <w:right w:w="15" w:type="dxa"/>
            </w:tcMar>
            <w:vAlign w:val="center"/>
            <w:hideMark/>
          </w:tcPr>
          <w:p w14:paraId="16E05386" w14:textId="77777777" w:rsidR="008F3FA5" w:rsidRPr="00F63A06" w:rsidRDefault="71A68C06" w:rsidP="674DC236">
            <w:pPr>
              <w:rPr>
                <w:rFonts w:eastAsia="Arial" w:cs="Arial"/>
                <w:sz w:val="22"/>
                <w:szCs w:val="22"/>
              </w:rPr>
            </w:pPr>
            <w:r w:rsidRPr="674DC236">
              <w:rPr>
                <w:rFonts w:eastAsia="Arial" w:cs="Arial"/>
                <w:sz w:val="22"/>
                <w:szCs w:val="22"/>
              </w:rPr>
              <w:t>£4,000</w:t>
            </w:r>
          </w:p>
        </w:tc>
        <w:tc>
          <w:tcPr>
            <w:tcW w:w="0" w:type="auto"/>
            <w:tcMar>
              <w:top w:w="15" w:type="dxa"/>
              <w:left w:w="15" w:type="dxa"/>
              <w:bottom w:w="15" w:type="dxa"/>
              <w:right w:w="15" w:type="dxa"/>
            </w:tcMar>
            <w:vAlign w:val="center"/>
            <w:hideMark/>
          </w:tcPr>
          <w:p w14:paraId="36F1026A" w14:textId="77777777" w:rsidR="008F3FA5" w:rsidRPr="00F63A06" w:rsidRDefault="71A68C06" w:rsidP="674DC236">
            <w:pPr>
              <w:rPr>
                <w:rFonts w:eastAsia="Arial" w:cs="Arial"/>
                <w:sz w:val="22"/>
                <w:szCs w:val="22"/>
              </w:rPr>
            </w:pPr>
            <w:r w:rsidRPr="674DC236">
              <w:rPr>
                <w:rFonts w:eastAsia="Arial" w:cs="Arial"/>
                <w:sz w:val="22"/>
                <w:szCs w:val="22"/>
              </w:rPr>
              <w:t>£2,000</w:t>
            </w:r>
          </w:p>
        </w:tc>
        <w:tc>
          <w:tcPr>
            <w:tcW w:w="0" w:type="auto"/>
            <w:tcMar>
              <w:top w:w="15" w:type="dxa"/>
              <w:left w:w="15" w:type="dxa"/>
              <w:bottom w:w="15" w:type="dxa"/>
              <w:right w:w="15" w:type="dxa"/>
            </w:tcMar>
            <w:vAlign w:val="center"/>
            <w:hideMark/>
          </w:tcPr>
          <w:p w14:paraId="56F661F7" w14:textId="77777777" w:rsidR="008F3FA5" w:rsidRPr="00F63A06" w:rsidRDefault="71A68C06" w:rsidP="674DC236">
            <w:pPr>
              <w:rPr>
                <w:rFonts w:eastAsia="Arial" w:cs="Arial"/>
                <w:sz w:val="22"/>
                <w:szCs w:val="22"/>
              </w:rPr>
            </w:pPr>
            <w:r w:rsidRPr="674DC236">
              <w:rPr>
                <w:rFonts w:eastAsia="Arial" w:cs="Arial"/>
                <w:sz w:val="22"/>
                <w:szCs w:val="22"/>
              </w:rPr>
              <w:t>£6,000</w:t>
            </w:r>
          </w:p>
        </w:tc>
      </w:tr>
      <w:tr w:rsidR="008F3FA5" w:rsidRPr="00F63A06" w14:paraId="7B47CAD8" w14:textId="77777777" w:rsidTr="004D7320">
        <w:trPr>
          <w:tblCellSpacing w:w="18" w:type="dxa"/>
        </w:trPr>
        <w:tc>
          <w:tcPr>
            <w:tcW w:w="0" w:type="auto"/>
            <w:tcMar>
              <w:top w:w="15" w:type="dxa"/>
              <w:left w:w="15" w:type="dxa"/>
              <w:bottom w:w="15" w:type="dxa"/>
              <w:right w:w="15" w:type="dxa"/>
            </w:tcMar>
            <w:vAlign w:val="center"/>
            <w:hideMark/>
          </w:tcPr>
          <w:p w14:paraId="714DAB7D" w14:textId="77777777" w:rsidR="008F3FA5" w:rsidRPr="00F63A06" w:rsidRDefault="71A68C06" w:rsidP="674DC236">
            <w:pPr>
              <w:rPr>
                <w:rFonts w:eastAsia="Arial" w:cs="Arial"/>
                <w:sz w:val="22"/>
                <w:szCs w:val="22"/>
              </w:rPr>
            </w:pPr>
            <w:r w:rsidRPr="674DC236">
              <w:rPr>
                <w:rFonts w:eastAsia="Arial" w:cs="Arial"/>
                <w:sz w:val="22"/>
                <w:szCs w:val="22"/>
              </w:rPr>
              <w:t>£5,000</w:t>
            </w:r>
          </w:p>
        </w:tc>
        <w:tc>
          <w:tcPr>
            <w:tcW w:w="0" w:type="auto"/>
            <w:tcMar>
              <w:top w:w="15" w:type="dxa"/>
              <w:left w:w="15" w:type="dxa"/>
              <w:bottom w:w="15" w:type="dxa"/>
              <w:right w:w="15" w:type="dxa"/>
            </w:tcMar>
            <w:vAlign w:val="center"/>
            <w:hideMark/>
          </w:tcPr>
          <w:p w14:paraId="4BB8DC30" w14:textId="77777777" w:rsidR="008F3FA5" w:rsidRPr="00F63A06" w:rsidRDefault="71A68C06" w:rsidP="674DC236">
            <w:pPr>
              <w:rPr>
                <w:rFonts w:eastAsia="Arial" w:cs="Arial"/>
                <w:sz w:val="22"/>
                <w:szCs w:val="22"/>
              </w:rPr>
            </w:pPr>
            <w:r w:rsidRPr="674DC236">
              <w:rPr>
                <w:rFonts w:eastAsia="Arial" w:cs="Arial"/>
                <w:sz w:val="22"/>
                <w:szCs w:val="22"/>
              </w:rPr>
              <w:t>£2,500</w:t>
            </w:r>
          </w:p>
        </w:tc>
        <w:tc>
          <w:tcPr>
            <w:tcW w:w="0" w:type="auto"/>
            <w:tcMar>
              <w:top w:w="15" w:type="dxa"/>
              <w:left w:w="15" w:type="dxa"/>
              <w:bottom w:w="15" w:type="dxa"/>
              <w:right w:w="15" w:type="dxa"/>
            </w:tcMar>
            <w:vAlign w:val="center"/>
            <w:hideMark/>
          </w:tcPr>
          <w:p w14:paraId="0DE3E7FF" w14:textId="77777777" w:rsidR="008F3FA5" w:rsidRPr="00F63A06" w:rsidRDefault="71A68C06" w:rsidP="674DC236">
            <w:pPr>
              <w:rPr>
                <w:rFonts w:eastAsia="Arial" w:cs="Arial"/>
                <w:sz w:val="22"/>
                <w:szCs w:val="22"/>
              </w:rPr>
            </w:pPr>
            <w:r w:rsidRPr="674DC236">
              <w:rPr>
                <w:rFonts w:eastAsia="Arial" w:cs="Arial"/>
                <w:sz w:val="22"/>
                <w:szCs w:val="22"/>
              </w:rPr>
              <w:t>£7,500</w:t>
            </w:r>
          </w:p>
        </w:tc>
      </w:tr>
    </w:tbl>
    <w:p w14:paraId="1E36B984" w14:textId="77777777" w:rsidR="00F63A06" w:rsidRDefault="00F63A06" w:rsidP="00F63A06">
      <w:pPr>
        <w:pStyle w:val="ListParagraph"/>
        <w:spacing w:after="120"/>
        <w:ind w:left="2574"/>
        <w:rPr>
          <w:rFonts w:ascii="Arial" w:hAnsi="Arial" w:cs="Arial"/>
          <w:sz w:val="22"/>
          <w:szCs w:val="22"/>
          <w:highlight w:val="yellow"/>
        </w:rPr>
      </w:pPr>
    </w:p>
    <w:p w14:paraId="386FE136" w14:textId="36A15077" w:rsidR="00DE7899" w:rsidRDefault="00DE7899" w:rsidP="006E2FA9">
      <w:pPr>
        <w:pStyle w:val="ListParagraph"/>
        <w:numPr>
          <w:ilvl w:val="0"/>
          <w:numId w:val="34"/>
        </w:numPr>
        <w:spacing w:after="120"/>
        <w:rPr>
          <w:rFonts w:ascii="Arial" w:hAnsi="Arial" w:cs="Arial"/>
          <w:sz w:val="22"/>
          <w:szCs w:val="22"/>
        </w:rPr>
      </w:pPr>
      <w:r>
        <w:rPr>
          <w:rFonts w:ascii="Arial" w:hAnsi="Arial" w:cs="Arial"/>
          <w:b/>
          <w:sz w:val="22"/>
          <w:szCs w:val="22"/>
        </w:rPr>
        <w:t>Combining Funding sources -</w:t>
      </w:r>
      <w:r>
        <w:rPr>
          <w:rFonts w:ascii="Arial" w:hAnsi="Arial" w:cs="Arial"/>
          <w:sz w:val="22"/>
          <w:szCs w:val="22"/>
        </w:rPr>
        <w:t xml:space="preserve"> Where funding is being used in conjunction with other funding subsidies (ECO Affordable Warmth or Renewable Heat Incentive (RHI)</w:t>
      </w:r>
      <w:r w:rsidR="005F43DA">
        <w:rPr>
          <w:rFonts w:ascii="Arial" w:hAnsi="Arial" w:cs="Arial"/>
          <w:sz w:val="22"/>
          <w:szCs w:val="22"/>
        </w:rPr>
        <w:t>)</w:t>
      </w:r>
      <w:r>
        <w:rPr>
          <w:rFonts w:ascii="Arial" w:hAnsi="Arial" w:cs="Arial"/>
          <w:sz w:val="22"/>
          <w:szCs w:val="22"/>
        </w:rPr>
        <w:t xml:space="preserve">, the Delivery Organisation must ensure that appropriate information is sought to confirm </w:t>
      </w:r>
      <w:r w:rsidR="0052184B">
        <w:rPr>
          <w:rFonts w:ascii="Arial" w:hAnsi="Arial" w:cs="Arial"/>
          <w:sz w:val="22"/>
          <w:szCs w:val="22"/>
        </w:rPr>
        <w:t>C</w:t>
      </w:r>
      <w:r>
        <w:rPr>
          <w:rFonts w:ascii="Arial" w:hAnsi="Arial" w:cs="Arial"/>
          <w:sz w:val="22"/>
          <w:szCs w:val="22"/>
        </w:rPr>
        <w:t xml:space="preserve">ustomer eligibility. </w:t>
      </w:r>
    </w:p>
    <w:p w14:paraId="6DD90154" w14:textId="6598B387" w:rsidR="00DE7899" w:rsidRDefault="00DE7899" w:rsidP="006E2FA9">
      <w:pPr>
        <w:pStyle w:val="ListParagraph"/>
        <w:numPr>
          <w:ilvl w:val="1"/>
          <w:numId w:val="34"/>
        </w:numPr>
        <w:spacing w:after="120"/>
        <w:rPr>
          <w:rFonts w:ascii="Arial" w:hAnsi="Arial" w:cs="Arial"/>
          <w:sz w:val="22"/>
          <w:szCs w:val="22"/>
        </w:rPr>
      </w:pPr>
      <w:r>
        <w:rPr>
          <w:rFonts w:ascii="Arial" w:hAnsi="Arial" w:cs="Arial"/>
          <w:sz w:val="22"/>
          <w:szCs w:val="22"/>
        </w:rPr>
        <w:t xml:space="preserve">Funding cannot be combined for the same measure; for </w:t>
      </w:r>
      <w:r w:rsidR="00D5066A">
        <w:rPr>
          <w:rFonts w:ascii="Arial" w:hAnsi="Arial" w:cs="Arial"/>
          <w:sz w:val="22"/>
          <w:szCs w:val="22"/>
        </w:rPr>
        <w:t>example,</w:t>
      </w:r>
      <w:r>
        <w:rPr>
          <w:rFonts w:ascii="Arial" w:hAnsi="Arial" w:cs="Arial"/>
          <w:sz w:val="22"/>
          <w:szCs w:val="22"/>
        </w:rPr>
        <w:t xml:space="preserve"> a </w:t>
      </w:r>
      <w:r w:rsidR="0052184B">
        <w:rPr>
          <w:rFonts w:ascii="Arial" w:hAnsi="Arial" w:cs="Arial"/>
          <w:sz w:val="22"/>
          <w:szCs w:val="22"/>
        </w:rPr>
        <w:t>C</w:t>
      </w:r>
      <w:r>
        <w:rPr>
          <w:rFonts w:ascii="Arial" w:hAnsi="Arial" w:cs="Arial"/>
          <w:sz w:val="22"/>
          <w:szCs w:val="22"/>
        </w:rPr>
        <w:t xml:space="preserve">ustomer could receive affordable warmth for loft insulation, LADs2 funding for external wall insulation and RHI for ASHP. If LADs funding is being used to install a heat pump, the value of the LADs funding will be deducted from any RHI funding the customer may be eligible for. Proposals should attempt to maximise the value to the customer. </w:t>
      </w:r>
    </w:p>
    <w:p w14:paraId="615E0E52" w14:textId="0B96D066" w:rsidR="005015F4" w:rsidRDefault="00511E48" w:rsidP="006E2FA9">
      <w:pPr>
        <w:pStyle w:val="ListParagraph"/>
        <w:numPr>
          <w:ilvl w:val="1"/>
          <w:numId w:val="34"/>
        </w:numPr>
        <w:spacing w:after="120"/>
        <w:rPr>
          <w:rFonts w:ascii="Arial" w:hAnsi="Arial" w:cs="Arial"/>
          <w:sz w:val="22"/>
          <w:szCs w:val="22"/>
        </w:rPr>
      </w:pPr>
      <w:r>
        <w:rPr>
          <w:rFonts w:ascii="Arial" w:hAnsi="Arial" w:cs="Arial"/>
          <w:sz w:val="22"/>
          <w:szCs w:val="22"/>
        </w:rPr>
        <w:t xml:space="preserve">The LADs2 funding </w:t>
      </w:r>
      <w:r w:rsidRPr="00511E48">
        <w:rPr>
          <w:rFonts w:ascii="Arial" w:hAnsi="Arial" w:cs="Arial"/>
          <w:b/>
          <w:sz w:val="22"/>
          <w:szCs w:val="22"/>
          <w:u w:val="single"/>
        </w:rPr>
        <w:t>cannot</w:t>
      </w:r>
      <w:r>
        <w:rPr>
          <w:rFonts w:ascii="Arial" w:hAnsi="Arial" w:cs="Arial"/>
          <w:sz w:val="22"/>
          <w:szCs w:val="22"/>
        </w:rPr>
        <w:t xml:space="preserve"> </w:t>
      </w:r>
      <w:r w:rsidRPr="00511E48">
        <w:rPr>
          <w:rFonts w:ascii="Arial" w:hAnsi="Arial" w:cs="Arial"/>
          <w:sz w:val="22"/>
          <w:szCs w:val="22"/>
        </w:rPr>
        <w:t>be used in conjunction with Green Homes Grants vouchers.</w:t>
      </w:r>
    </w:p>
    <w:p w14:paraId="596EEEC4" w14:textId="2E2C3B21" w:rsidR="00E04677" w:rsidRPr="00DE2FF3" w:rsidRDefault="00E04677" w:rsidP="00DE2FF3">
      <w:pPr>
        <w:pStyle w:val="ListParagraph"/>
        <w:numPr>
          <w:ilvl w:val="1"/>
          <w:numId w:val="34"/>
        </w:numPr>
        <w:spacing w:after="120"/>
        <w:rPr>
          <w:rFonts w:ascii="Arial" w:hAnsi="Arial" w:cs="Arial"/>
          <w:sz w:val="22"/>
          <w:szCs w:val="22"/>
        </w:rPr>
      </w:pPr>
      <w:r>
        <w:rPr>
          <w:rFonts w:ascii="Arial" w:hAnsi="Arial" w:cs="Arial"/>
          <w:sz w:val="22"/>
          <w:szCs w:val="22"/>
        </w:rPr>
        <w:t xml:space="preserve">Where a </w:t>
      </w:r>
      <w:r w:rsidR="0052184B">
        <w:rPr>
          <w:rFonts w:ascii="Arial" w:hAnsi="Arial" w:cs="Arial"/>
          <w:sz w:val="22"/>
          <w:szCs w:val="22"/>
        </w:rPr>
        <w:t>C</w:t>
      </w:r>
      <w:r>
        <w:rPr>
          <w:rFonts w:ascii="Arial" w:hAnsi="Arial" w:cs="Arial"/>
          <w:sz w:val="22"/>
          <w:szCs w:val="22"/>
        </w:rPr>
        <w:t>ustomer has received LADs1 a or b funding the maximum grant for all funding sources is £10,000.</w:t>
      </w:r>
    </w:p>
    <w:p w14:paraId="28310428" w14:textId="71E528D7" w:rsidR="00001DAC" w:rsidRDefault="00595C7E" w:rsidP="006E2FA9">
      <w:pPr>
        <w:pStyle w:val="ListParagraph"/>
        <w:numPr>
          <w:ilvl w:val="0"/>
          <w:numId w:val="34"/>
        </w:numPr>
        <w:spacing w:after="120"/>
        <w:rPr>
          <w:rFonts w:ascii="Arial" w:hAnsi="Arial" w:cs="Arial"/>
          <w:sz w:val="22"/>
          <w:szCs w:val="22"/>
        </w:rPr>
      </w:pPr>
      <w:r w:rsidRPr="0080489D">
        <w:rPr>
          <w:rFonts w:ascii="Arial" w:hAnsi="Arial" w:cs="Arial"/>
          <w:b/>
          <w:sz w:val="22"/>
          <w:szCs w:val="22"/>
        </w:rPr>
        <w:t>Targeted properties</w:t>
      </w:r>
      <w:r>
        <w:rPr>
          <w:rFonts w:ascii="Arial" w:hAnsi="Arial" w:cs="Arial"/>
          <w:sz w:val="22"/>
          <w:szCs w:val="22"/>
        </w:rPr>
        <w:t xml:space="preserve"> </w:t>
      </w:r>
      <w:r w:rsidR="009117EB">
        <w:rPr>
          <w:rFonts w:ascii="Arial" w:hAnsi="Arial" w:cs="Arial"/>
          <w:sz w:val="22"/>
          <w:szCs w:val="22"/>
        </w:rPr>
        <w:t>–</w:t>
      </w:r>
      <w:r w:rsidR="00651A85">
        <w:rPr>
          <w:rFonts w:ascii="Arial" w:hAnsi="Arial" w:cs="Arial"/>
          <w:sz w:val="22"/>
          <w:szCs w:val="22"/>
        </w:rPr>
        <w:t xml:space="preserve"> </w:t>
      </w:r>
      <w:r w:rsidR="009117EB">
        <w:rPr>
          <w:rFonts w:ascii="Arial" w:hAnsi="Arial" w:cs="Arial"/>
          <w:sz w:val="22"/>
          <w:szCs w:val="22"/>
        </w:rPr>
        <w:t>will be identified through analysis of data that will</w:t>
      </w:r>
      <w:r w:rsidR="00C44D94">
        <w:rPr>
          <w:rFonts w:ascii="Arial" w:hAnsi="Arial" w:cs="Arial"/>
          <w:sz w:val="22"/>
          <w:szCs w:val="22"/>
        </w:rPr>
        <w:t xml:space="preserve"> help identify </w:t>
      </w:r>
      <w:r w:rsidR="004B23AD">
        <w:rPr>
          <w:rFonts w:ascii="Arial" w:hAnsi="Arial" w:cs="Arial"/>
          <w:sz w:val="22"/>
          <w:szCs w:val="22"/>
        </w:rPr>
        <w:t>the potential market</w:t>
      </w:r>
      <w:r w:rsidR="009117EB">
        <w:rPr>
          <w:rFonts w:ascii="Arial" w:hAnsi="Arial" w:cs="Arial"/>
          <w:sz w:val="22"/>
          <w:szCs w:val="22"/>
        </w:rPr>
        <w:t xml:space="preserve"> be shared with the successful Delivery Organisation for their </w:t>
      </w:r>
      <w:r w:rsidR="0052184B">
        <w:rPr>
          <w:rFonts w:ascii="Arial" w:hAnsi="Arial" w:cs="Arial"/>
          <w:sz w:val="22"/>
          <w:szCs w:val="22"/>
        </w:rPr>
        <w:t>area Lot Area</w:t>
      </w:r>
      <w:r w:rsidR="009117EB">
        <w:rPr>
          <w:rFonts w:ascii="Arial" w:hAnsi="Arial" w:cs="Arial"/>
          <w:sz w:val="22"/>
          <w:szCs w:val="22"/>
        </w:rPr>
        <w:t>.</w:t>
      </w:r>
    </w:p>
    <w:p w14:paraId="63B7257D" w14:textId="3DD64120" w:rsidR="00FA4D10" w:rsidRDefault="00E65393" w:rsidP="006E2FA9">
      <w:pPr>
        <w:pStyle w:val="ListParagraph"/>
        <w:numPr>
          <w:ilvl w:val="0"/>
          <w:numId w:val="34"/>
        </w:numPr>
        <w:spacing w:after="120"/>
        <w:rPr>
          <w:rFonts w:ascii="Arial" w:hAnsi="Arial" w:cs="Arial"/>
          <w:sz w:val="22"/>
          <w:szCs w:val="22"/>
        </w:rPr>
      </w:pPr>
      <w:r>
        <w:rPr>
          <w:rFonts w:ascii="Arial" w:hAnsi="Arial" w:cs="Arial"/>
          <w:b/>
          <w:sz w:val="22"/>
          <w:szCs w:val="22"/>
        </w:rPr>
        <w:t xml:space="preserve">Qualifying measures </w:t>
      </w:r>
      <w:r>
        <w:rPr>
          <w:rFonts w:ascii="Arial" w:hAnsi="Arial" w:cs="Arial"/>
          <w:sz w:val="22"/>
          <w:szCs w:val="22"/>
        </w:rPr>
        <w:t xml:space="preserve">– all </w:t>
      </w:r>
      <w:r w:rsidR="00FA4D10">
        <w:rPr>
          <w:rFonts w:ascii="Arial" w:hAnsi="Arial" w:cs="Arial"/>
          <w:sz w:val="22"/>
          <w:szCs w:val="22"/>
        </w:rPr>
        <w:t>energy efficiency and micro-renewables are allowable under this scheme. The following list is not exhaustive but provides an example of allowable solutions:</w:t>
      </w:r>
    </w:p>
    <w:p w14:paraId="58FE2A40" w14:textId="07DA085C" w:rsidR="007E3C05" w:rsidRPr="00873FF6" w:rsidRDefault="00786985" w:rsidP="00873FF6">
      <w:pPr>
        <w:pStyle w:val="ListParagraph"/>
        <w:spacing w:after="120"/>
        <w:ind w:left="1854" w:hanging="11"/>
      </w:pPr>
      <w:r w:rsidRPr="00B22178">
        <w:rPr>
          <w:rFonts w:ascii="Arial" w:hAnsi="Arial" w:cs="Arial"/>
          <w:sz w:val="22"/>
          <w:szCs w:val="22"/>
          <w:u w:val="single"/>
        </w:rPr>
        <w:t>Insulation</w:t>
      </w:r>
      <w:r>
        <w:rPr>
          <w:rFonts w:ascii="Arial" w:hAnsi="Arial" w:cs="Arial"/>
          <w:sz w:val="22"/>
          <w:szCs w:val="22"/>
        </w:rPr>
        <w:t xml:space="preserve">: </w:t>
      </w:r>
      <w:r w:rsidR="007826F8" w:rsidRPr="001347BE">
        <w:rPr>
          <w:rFonts w:ascii="Arial" w:hAnsi="Arial" w:cs="Arial"/>
          <w:sz w:val="22"/>
          <w:szCs w:val="22"/>
        </w:rPr>
        <w:t xml:space="preserve">Loft, cavity wall, flat roof, underfloor, internal and external wall insulation; </w:t>
      </w:r>
      <w:r w:rsidR="007E3C05" w:rsidRPr="00873FF6">
        <w:rPr>
          <w:rFonts w:ascii="Arial" w:hAnsi="Arial" w:cs="Arial"/>
          <w:sz w:val="22"/>
          <w:szCs w:val="22"/>
        </w:rPr>
        <w:t>Immersion heater</w:t>
      </w:r>
      <w:r w:rsidR="00C44D94" w:rsidRPr="00873FF6">
        <w:rPr>
          <w:rFonts w:ascii="Arial" w:hAnsi="Arial" w:cs="Arial"/>
          <w:sz w:val="22"/>
          <w:szCs w:val="22"/>
        </w:rPr>
        <w:t>/tank</w:t>
      </w:r>
      <w:r w:rsidR="007E3C05" w:rsidRPr="00873FF6">
        <w:rPr>
          <w:rFonts w:ascii="Arial" w:hAnsi="Arial" w:cs="Arial"/>
          <w:sz w:val="22"/>
          <w:szCs w:val="22"/>
        </w:rPr>
        <w:t xml:space="preserve"> replacement where a new heating/hot water system is being installed, immersion heater</w:t>
      </w:r>
      <w:r w:rsidR="004E60B2" w:rsidRPr="00873FF6">
        <w:rPr>
          <w:rFonts w:ascii="Arial" w:hAnsi="Arial" w:cs="Arial"/>
          <w:sz w:val="22"/>
          <w:szCs w:val="22"/>
        </w:rPr>
        <w:t xml:space="preserve"> insulation, hot water and heating pipe insulation</w:t>
      </w:r>
      <w:r w:rsidR="004E60B2" w:rsidRPr="00873FF6">
        <w:t>;</w:t>
      </w:r>
    </w:p>
    <w:p w14:paraId="225251BB" w14:textId="5FE0240F" w:rsidR="004E60B2" w:rsidRPr="001347BE" w:rsidRDefault="00784CCE" w:rsidP="007406E6">
      <w:pPr>
        <w:pStyle w:val="ListParagraph"/>
        <w:spacing w:after="120"/>
        <w:ind w:left="1854" w:hanging="11"/>
        <w:rPr>
          <w:rFonts w:ascii="Arial" w:hAnsi="Arial" w:cs="Arial"/>
          <w:sz w:val="22"/>
          <w:szCs w:val="22"/>
        </w:rPr>
      </w:pPr>
      <w:r>
        <w:rPr>
          <w:rFonts w:ascii="Arial" w:hAnsi="Arial" w:cs="Arial"/>
          <w:sz w:val="22"/>
          <w:szCs w:val="22"/>
          <w:u w:val="single"/>
        </w:rPr>
        <w:t>Fabric other</w:t>
      </w:r>
      <w:r w:rsidR="00FE0E52" w:rsidRPr="00FE0E52">
        <w:rPr>
          <w:rFonts w:ascii="Arial" w:hAnsi="Arial" w:cs="Arial"/>
          <w:sz w:val="22"/>
          <w:szCs w:val="22"/>
          <w:u w:val="single"/>
        </w:rPr>
        <w:t>:</w:t>
      </w:r>
      <w:r w:rsidR="00FE0E52">
        <w:rPr>
          <w:rFonts w:ascii="Arial" w:hAnsi="Arial" w:cs="Arial"/>
          <w:sz w:val="22"/>
          <w:szCs w:val="22"/>
        </w:rPr>
        <w:t xml:space="preserve"> </w:t>
      </w:r>
      <w:r w:rsidR="00377F8F" w:rsidRPr="001347BE">
        <w:rPr>
          <w:rFonts w:ascii="Arial" w:hAnsi="Arial" w:cs="Arial"/>
          <w:sz w:val="22"/>
          <w:szCs w:val="22"/>
        </w:rPr>
        <w:t>High performance (A and better rated) double and triple glazed windows and</w:t>
      </w:r>
      <w:r w:rsidR="00BB39EA">
        <w:rPr>
          <w:rFonts w:ascii="Arial" w:hAnsi="Arial" w:cs="Arial"/>
          <w:sz w:val="22"/>
          <w:szCs w:val="22"/>
        </w:rPr>
        <w:t xml:space="preserve"> thermal</w:t>
      </w:r>
      <w:r w:rsidR="00377F8F" w:rsidRPr="001347BE">
        <w:rPr>
          <w:rFonts w:ascii="Arial" w:hAnsi="Arial" w:cs="Arial"/>
          <w:sz w:val="22"/>
          <w:szCs w:val="22"/>
        </w:rPr>
        <w:t xml:space="preserve"> doors</w:t>
      </w:r>
      <w:r w:rsidR="00D241C0" w:rsidRPr="001347BE">
        <w:rPr>
          <w:rFonts w:ascii="Arial" w:hAnsi="Arial" w:cs="Arial"/>
          <w:sz w:val="22"/>
          <w:szCs w:val="22"/>
        </w:rPr>
        <w:t>;</w:t>
      </w:r>
    </w:p>
    <w:p w14:paraId="35193FBB" w14:textId="4474BB89" w:rsidR="00577A18" w:rsidRDefault="00D241C0" w:rsidP="001347BE">
      <w:pPr>
        <w:pStyle w:val="ListParagraph"/>
        <w:spacing w:after="120"/>
        <w:ind w:left="1854"/>
        <w:rPr>
          <w:rFonts w:ascii="Arial" w:hAnsi="Arial" w:cs="Arial"/>
          <w:sz w:val="22"/>
          <w:szCs w:val="22"/>
        </w:rPr>
      </w:pPr>
      <w:r w:rsidRPr="00AF1C02">
        <w:rPr>
          <w:rFonts w:ascii="Arial" w:hAnsi="Arial" w:cs="Arial"/>
          <w:sz w:val="22"/>
          <w:szCs w:val="22"/>
          <w:u w:val="single"/>
        </w:rPr>
        <w:t>Micro renewables</w:t>
      </w:r>
      <w:r w:rsidR="00577A18">
        <w:rPr>
          <w:rFonts w:ascii="Arial" w:hAnsi="Arial" w:cs="Arial"/>
          <w:sz w:val="22"/>
          <w:szCs w:val="22"/>
          <w:u w:val="single"/>
        </w:rPr>
        <w:t>:</w:t>
      </w:r>
      <w:r w:rsidRPr="001347BE">
        <w:rPr>
          <w:rFonts w:ascii="Arial" w:hAnsi="Arial" w:cs="Arial"/>
          <w:sz w:val="22"/>
          <w:szCs w:val="22"/>
        </w:rPr>
        <w:t xml:space="preserve"> solar PV, solar therma</w:t>
      </w:r>
      <w:r w:rsidR="00876634">
        <w:rPr>
          <w:rFonts w:ascii="Arial" w:hAnsi="Arial" w:cs="Arial"/>
          <w:sz w:val="22"/>
          <w:szCs w:val="22"/>
        </w:rPr>
        <w:t>l;</w:t>
      </w:r>
      <w:r w:rsidRPr="001347BE">
        <w:rPr>
          <w:rFonts w:ascii="Arial" w:hAnsi="Arial" w:cs="Arial"/>
          <w:sz w:val="22"/>
          <w:szCs w:val="22"/>
        </w:rPr>
        <w:t xml:space="preserve"> </w:t>
      </w:r>
    </w:p>
    <w:p w14:paraId="022930B0" w14:textId="371168EC" w:rsidR="00D241C0" w:rsidRPr="002D154B" w:rsidRDefault="002D154B" w:rsidP="002D154B">
      <w:pPr>
        <w:pStyle w:val="ListParagraph"/>
        <w:spacing w:after="120"/>
        <w:ind w:left="1854"/>
        <w:rPr>
          <w:rFonts w:ascii="Arial" w:hAnsi="Arial" w:cs="Arial"/>
          <w:sz w:val="22"/>
          <w:szCs w:val="22"/>
        </w:rPr>
      </w:pPr>
      <w:r>
        <w:rPr>
          <w:rFonts w:ascii="Arial" w:hAnsi="Arial" w:cs="Arial"/>
          <w:sz w:val="22"/>
          <w:szCs w:val="22"/>
          <w:u w:val="single"/>
        </w:rPr>
        <w:lastRenderedPageBreak/>
        <w:t>Heating systems</w:t>
      </w:r>
      <w:r w:rsidR="00577A18" w:rsidRPr="004E7BE5">
        <w:rPr>
          <w:rFonts w:ascii="Arial" w:hAnsi="Arial" w:cs="Arial"/>
          <w:sz w:val="22"/>
          <w:szCs w:val="22"/>
        </w:rPr>
        <w:t>:</w:t>
      </w:r>
      <w:r w:rsidR="00577A18">
        <w:rPr>
          <w:rFonts w:ascii="Arial" w:hAnsi="Arial" w:cs="Arial"/>
          <w:sz w:val="22"/>
          <w:szCs w:val="22"/>
        </w:rPr>
        <w:t xml:space="preserve"> </w:t>
      </w:r>
      <w:r w:rsidR="00D241C0" w:rsidRPr="001347BE">
        <w:rPr>
          <w:rFonts w:ascii="Arial" w:hAnsi="Arial" w:cs="Arial"/>
          <w:sz w:val="22"/>
          <w:szCs w:val="22"/>
        </w:rPr>
        <w:t>air source and ground source heat pumps (ASHP and GSHP)</w:t>
      </w:r>
      <w:r w:rsidR="00630AFD">
        <w:rPr>
          <w:rFonts w:ascii="Arial" w:hAnsi="Arial" w:cs="Arial"/>
          <w:sz w:val="22"/>
          <w:szCs w:val="22"/>
        </w:rPr>
        <w:t xml:space="preserve">; </w:t>
      </w:r>
      <w:r w:rsidR="009E3EA7" w:rsidRPr="002D154B">
        <w:rPr>
          <w:rFonts w:ascii="Arial" w:hAnsi="Arial" w:cs="Arial"/>
          <w:sz w:val="22"/>
          <w:szCs w:val="22"/>
        </w:rPr>
        <w:t xml:space="preserve">smart </w:t>
      </w:r>
      <w:r w:rsidR="00630AFD" w:rsidRPr="002D154B">
        <w:rPr>
          <w:rFonts w:ascii="Arial" w:hAnsi="Arial" w:cs="Arial"/>
          <w:sz w:val="22"/>
          <w:szCs w:val="22"/>
        </w:rPr>
        <w:t xml:space="preserve">heating controls; </w:t>
      </w:r>
      <w:r w:rsidR="007265F8" w:rsidRPr="002D154B">
        <w:rPr>
          <w:rFonts w:ascii="Arial" w:hAnsi="Arial" w:cs="Arial"/>
          <w:sz w:val="22"/>
          <w:szCs w:val="22"/>
        </w:rPr>
        <w:t xml:space="preserve">heating control – timer/programmer; </w:t>
      </w:r>
      <w:r w:rsidR="00630AFD" w:rsidRPr="002D154B">
        <w:rPr>
          <w:rFonts w:ascii="Arial" w:hAnsi="Arial" w:cs="Arial"/>
          <w:sz w:val="22"/>
          <w:szCs w:val="22"/>
        </w:rPr>
        <w:t>thermostatic radiator valves</w:t>
      </w:r>
      <w:r w:rsidR="007265F8" w:rsidRPr="002D154B">
        <w:rPr>
          <w:rFonts w:ascii="Arial" w:hAnsi="Arial" w:cs="Arial"/>
          <w:sz w:val="22"/>
          <w:szCs w:val="22"/>
        </w:rPr>
        <w:t xml:space="preserve"> (on existing</w:t>
      </w:r>
      <w:r w:rsidR="004E7BE5" w:rsidRPr="002D154B">
        <w:rPr>
          <w:rFonts w:ascii="Arial" w:hAnsi="Arial" w:cs="Arial"/>
          <w:sz w:val="22"/>
          <w:szCs w:val="22"/>
        </w:rPr>
        <w:t xml:space="preserve"> systems and new)</w:t>
      </w:r>
      <w:r w:rsidR="00876634">
        <w:rPr>
          <w:rFonts w:ascii="Arial" w:hAnsi="Arial" w:cs="Arial"/>
          <w:sz w:val="22"/>
          <w:szCs w:val="22"/>
        </w:rPr>
        <w:t>;</w:t>
      </w:r>
      <w:r w:rsidR="00630AFD" w:rsidRPr="002D154B">
        <w:rPr>
          <w:rFonts w:ascii="Arial" w:hAnsi="Arial" w:cs="Arial"/>
          <w:sz w:val="22"/>
          <w:szCs w:val="22"/>
        </w:rPr>
        <w:t xml:space="preserve"> </w:t>
      </w:r>
      <w:r w:rsidR="00876634">
        <w:rPr>
          <w:rFonts w:ascii="Arial" w:hAnsi="Arial" w:cs="Arial"/>
          <w:sz w:val="22"/>
          <w:szCs w:val="22"/>
        </w:rPr>
        <w:t xml:space="preserve">High heat retention storage heaters </w:t>
      </w:r>
    </w:p>
    <w:p w14:paraId="1B87623C" w14:textId="3BC54840" w:rsidR="00481FE5" w:rsidRDefault="00481FE5" w:rsidP="001347BE">
      <w:pPr>
        <w:pStyle w:val="ListParagraph"/>
        <w:spacing w:after="120"/>
        <w:ind w:left="1854"/>
        <w:rPr>
          <w:rFonts w:ascii="Arial" w:hAnsi="Arial" w:cs="Arial"/>
          <w:sz w:val="22"/>
          <w:szCs w:val="22"/>
        </w:rPr>
      </w:pPr>
      <w:r w:rsidRPr="674DC236">
        <w:rPr>
          <w:rFonts w:ascii="Arial" w:hAnsi="Arial" w:cs="Arial"/>
          <w:sz w:val="22"/>
          <w:szCs w:val="22"/>
          <w:u w:val="single"/>
        </w:rPr>
        <w:t>Ventilation upgrades</w:t>
      </w:r>
      <w:r w:rsidRPr="674DC236">
        <w:rPr>
          <w:rFonts w:ascii="Arial" w:hAnsi="Arial" w:cs="Arial"/>
          <w:sz w:val="22"/>
          <w:szCs w:val="22"/>
        </w:rPr>
        <w:t>: Mechanical Ventilation Heat Recovery;</w:t>
      </w:r>
      <w:r w:rsidR="00501B6B" w:rsidRPr="674DC236">
        <w:rPr>
          <w:rFonts w:ascii="Arial" w:hAnsi="Arial" w:cs="Arial"/>
          <w:sz w:val="22"/>
          <w:szCs w:val="22"/>
        </w:rPr>
        <w:t xml:space="preserve"> Decentralised mechanical ventilation</w:t>
      </w:r>
      <w:r w:rsidR="20708413" w:rsidRPr="674DC236">
        <w:rPr>
          <w:rFonts w:ascii="Arial" w:hAnsi="Arial" w:cs="Arial"/>
          <w:sz w:val="22"/>
          <w:szCs w:val="22"/>
        </w:rPr>
        <w:t xml:space="preserve"> for single and multi-room</w:t>
      </w:r>
      <w:r w:rsidR="00501B6B" w:rsidRPr="674DC236">
        <w:rPr>
          <w:rFonts w:ascii="Arial" w:hAnsi="Arial" w:cs="Arial"/>
          <w:sz w:val="22"/>
          <w:szCs w:val="22"/>
        </w:rPr>
        <w:t>.</w:t>
      </w:r>
    </w:p>
    <w:p w14:paraId="53BAB114" w14:textId="005738E3" w:rsidR="00FA4D10" w:rsidRDefault="00582FF8" w:rsidP="00FA4D10">
      <w:pPr>
        <w:spacing w:after="120"/>
        <w:ind w:left="1854"/>
        <w:rPr>
          <w:rFonts w:cs="Arial"/>
          <w:b/>
          <w:sz w:val="22"/>
          <w:szCs w:val="22"/>
        </w:rPr>
      </w:pPr>
      <w:r w:rsidRPr="001347BE">
        <w:rPr>
          <w:rFonts w:cs="Arial"/>
          <w:b/>
          <w:sz w:val="22"/>
          <w:szCs w:val="22"/>
        </w:rPr>
        <w:t xml:space="preserve">No fossil fuel </w:t>
      </w:r>
      <w:r w:rsidR="00FA4D10" w:rsidRPr="001347BE">
        <w:rPr>
          <w:rFonts w:cs="Arial"/>
          <w:b/>
          <w:sz w:val="22"/>
          <w:szCs w:val="22"/>
        </w:rPr>
        <w:t xml:space="preserve">heating </w:t>
      </w:r>
      <w:r w:rsidRPr="001347BE">
        <w:rPr>
          <w:rFonts w:cs="Arial"/>
          <w:b/>
          <w:sz w:val="22"/>
          <w:szCs w:val="22"/>
        </w:rPr>
        <w:t>systems, new or replacement</w:t>
      </w:r>
      <w:r w:rsidR="00FA4D10" w:rsidRPr="001347BE">
        <w:rPr>
          <w:rFonts w:cs="Arial"/>
          <w:b/>
          <w:sz w:val="22"/>
          <w:szCs w:val="22"/>
        </w:rPr>
        <w:t>,</w:t>
      </w:r>
      <w:r w:rsidRPr="001347BE">
        <w:rPr>
          <w:rFonts w:cs="Arial"/>
          <w:b/>
          <w:sz w:val="22"/>
          <w:szCs w:val="22"/>
        </w:rPr>
        <w:t xml:space="preserve"> are allowable under this funding. </w:t>
      </w:r>
    </w:p>
    <w:p w14:paraId="3481D855" w14:textId="216A6CDF" w:rsidR="00D51822" w:rsidRPr="00E92036" w:rsidRDefault="00AD47E0" w:rsidP="000804D0">
      <w:pPr>
        <w:tabs>
          <w:tab w:val="left" w:pos="1843"/>
        </w:tabs>
        <w:spacing w:after="120"/>
        <w:ind w:left="1843"/>
        <w:rPr>
          <w:rFonts w:cs="Arial"/>
          <w:sz w:val="22"/>
          <w:szCs w:val="22"/>
        </w:rPr>
      </w:pPr>
      <w:r w:rsidRPr="57D9B5A1">
        <w:rPr>
          <w:rFonts w:cs="Arial"/>
          <w:sz w:val="22"/>
          <w:szCs w:val="22"/>
        </w:rPr>
        <w:t>Ancillary works and enabling works are eligible</w:t>
      </w:r>
      <w:r w:rsidR="0052184B">
        <w:rPr>
          <w:rFonts w:cs="Arial"/>
          <w:sz w:val="22"/>
          <w:szCs w:val="22"/>
        </w:rPr>
        <w:t xml:space="preserve"> as set out in Part C </w:t>
      </w:r>
      <w:r w:rsidR="00125E6E">
        <w:rPr>
          <w:rFonts w:cs="Arial"/>
          <w:sz w:val="22"/>
          <w:szCs w:val="22"/>
        </w:rPr>
        <w:t>Technical Specification.</w:t>
      </w:r>
      <w:r w:rsidR="00E92036" w:rsidRPr="57D9B5A1">
        <w:rPr>
          <w:rFonts w:cs="Arial"/>
          <w:sz w:val="22"/>
          <w:szCs w:val="22"/>
        </w:rPr>
        <w:t xml:space="preserve"> </w:t>
      </w:r>
    </w:p>
    <w:p w14:paraId="2D2E0F7E" w14:textId="0B374040" w:rsidR="00D51822" w:rsidRPr="00E92036" w:rsidRDefault="00D51822" w:rsidP="57D9B5A1">
      <w:pPr>
        <w:spacing w:after="120"/>
        <w:ind w:left="1440"/>
        <w:rPr>
          <w:rFonts w:cs="Arial"/>
          <w:sz w:val="22"/>
          <w:szCs w:val="22"/>
        </w:rPr>
      </w:pPr>
    </w:p>
    <w:p w14:paraId="3D2B79E0" w14:textId="5E5E793C" w:rsidR="00A3682B" w:rsidRPr="00A3682B" w:rsidRDefault="00BD4E44" w:rsidP="00BD4E44">
      <w:pPr>
        <w:pStyle w:val="ListParagraph"/>
        <w:numPr>
          <w:ilvl w:val="1"/>
          <w:numId w:val="6"/>
        </w:numPr>
        <w:spacing w:after="120"/>
        <w:rPr>
          <w:rFonts w:ascii="Arial" w:hAnsi="Arial" w:cs="Arial"/>
          <w:sz w:val="22"/>
          <w:szCs w:val="22"/>
        </w:rPr>
      </w:pPr>
      <w:r w:rsidRPr="46B5BCA3">
        <w:rPr>
          <w:rFonts w:ascii="Arial" w:hAnsi="Arial" w:cs="Arial"/>
          <w:sz w:val="22"/>
          <w:szCs w:val="22"/>
        </w:rPr>
        <w:t>For</w:t>
      </w:r>
      <w:r w:rsidR="00A3682B" w:rsidRPr="46B5BCA3">
        <w:rPr>
          <w:rFonts w:ascii="Arial" w:hAnsi="Arial" w:cs="Arial"/>
          <w:sz w:val="22"/>
          <w:szCs w:val="22"/>
        </w:rPr>
        <w:t xml:space="preserve"> the</w:t>
      </w:r>
      <w:r w:rsidR="007726EE" w:rsidRPr="46B5BCA3">
        <w:rPr>
          <w:rFonts w:ascii="Arial" w:hAnsi="Arial" w:cs="Arial"/>
          <w:sz w:val="22"/>
          <w:szCs w:val="22"/>
        </w:rPr>
        <w:t xml:space="preserve"> </w:t>
      </w:r>
      <w:r w:rsidR="00AA0779" w:rsidRPr="46B5BCA3">
        <w:rPr>
          <w:rFonts w:ascii="Arial" w:hAnsi="Arial" w:cs="Arial"/>
          <w:sz w:val="22"/>
          <w:szCs w:val="22"/>
        </w:rPr>
        <w:t>Delivery Organisation</w:t>
      </w:r>
      <w:r w:rsidR="007726EE" w:rsidRPr="46B5BCA3">
        <w:rPr>
          <w:rFonts w:ascii="Arial" w:hAnsi="Arial" w:cs="Arial"/>
          <w:sz w:val="22"/>
          <w:szCs w:val="22"/>
        </w:rPr>
        <w:t>, the precise Eligibility C</w:t>
      </w:r>
      <w:r w:rsidR="00A3682B" w:rsidRPr="46B5BCA3">
        <w:rPr>
          <w:rFonts w:ascii="Arial" w:hAnsi="Arial" w:cs="Arial"/>
          <w:sz w:val="22"/>
          <w:szCs w:val="22"/>
        </w:rPr>
        <w:t>riteria are relevant for the following purposes:</w:t>
      </w:r>
    </w:p>
    <w:p w14:paraId="2EF3EC12" w14:textId="16444A1A" w:rsidR="0032691B" w:rsidRPr="001F650D" w:rsidRDefault="009D4B9D" w:rsidP="674DC236">
      <w:pPr>
        <w:pStyle w:val="ListParagraph"/>
        <w:numPr>
          <w:ilvl w:val="0"/>
          <w:numId w:val="36"/>
        </w:numPr>
        <w:spacing w:after="120"/>
        <w:rPr>
          <w:sz w:val="22"/>
          <w:szCs w:val="22"/>
        </w:rPr>
      </w:pPr>
      <w:r w:rsidRPr="674DC236">
        <w:rPr>
          <w:rFonts w:ascii="Arial" w:hAnsi="Arial" w:cs="Arial"/>
          <w:b/>
          <w:bCs/>
          <w:sz w:val="22"/>
          <w:szCs w:val="22"/>
        </w:rPr>
        <w:t>Marketing and engagement</w:t>
      </w:r>
      <w:r w:rsidRPr="674DC236">
        <w:rPr>
          <w:rFonts w:ascii="Arial" w:hAnsi="Arial" w:cs="Arial"/>
          <w:sz w:val="22"/>
          <w:szCs w:val="22"/>
        </w:rPr>
        <w:t xml:space="preserve"> – the Delivery Organisation will be responsible for generating leads, either through an in-house or sub-contracted </w:t>
      </w:r>
      <w:r w:rsidR="00A83E20" w:rsidRPr="674DC236">
        <w:rPr>
          <w:rFonts w:ascii="Arial" w:hAnsi="Arial" w:cs="Arial"/>
          <w:sz w:val="22"/>
          <w:szCs w:val="22"/>
        </w:rPr>
        <w:t xml:space="preserve">service. All marketing will need to be clear for householders to understand their eligibility and how this will be </w:t>
      </w:r>
      <w:r w:rsidR="00492C0C" w:rsidRPr="674DC236">
        <w:rPr>
          <w:rFonts w:ascii="Arial" w:hAnsi="Arial" w:cs="Arial"/>
          <w:sz w:val="22"/>
          <w:szCs w:val="22"/>
        </w:rPr>
        <w:t xml:space="preserve">certified to allow progress through the scheme. </w:t>
      </w:r>
      <w:r w:rsidR="347C9245" w:rsidRPr="674DC236">
        <w:rPr>
          <w:rFonts w:ascii="Arial" w:eastAsia="Arial" w:hAnsi="Arial" w:cs="Arial"/>
          <w:color w:val="000000" w:themeColor="text1"/>
          <w:sz w:val="22"/>
          <w:szCs w:val="22"/>
        </w:rPr>
        <w:t xml:space="preserve">All marketing materials must comply with agreed communications and marketing protocols, branding and messaging </w:t>
      </w:r>
      <w:r w:rsidR="002B1186">
        <w:rPr>
          <w:rFonts w:ascii="Arial" w:eastAsia="Arial" w:hAnsi="Arial" w:cs="Arial"/>
          <w:color w:val="000000" w:themeColor="text1"/>
          <w:sz w:val="22"/>
          <w:szCs w:val="22"/>
        </w:rPr>
        <w:t>agreed with the Authority</w:t>
      </w:r>
      <w:r w:rsidR="002B1186" w:rsidRPr="674DC236">
        <w:rPr>
          <w:rFonts w:ascii="Arial" w:eastAsia="Arial" w:hAnsi="Arial" w:cs="Arial"/>
          <w:color w:val="000000" w:themeColor="text1"/>
          <w:sz w:val="22"/>
          <w:szCs w:val="22"/>
        </w:rPr>
        <w:t xml:space="preserve"> </w:t>
      </w:r>
      <w:r w:rsidR="347C9245" w:rsidRPr="674DC236">
        <w:rPr>
          <w:rFonts w:ascii="Arial" w:eastAsia="Arial" w:hAnsi="Arial" w:cs="Arial"/>
          <w:color w:val="000000" w:themeColor="text1"/>
          <w:sz w:val="22"/>
          <w:szCs w:val="22"/>
        </w:rPr>
        <w:t>to ensure consistency and accuracy</w:t>
      </w:r>
    </w:p>
    <w:p w14:paraId="4A2E61FE" w14:textId="02A00611" w:rsidR="009D4B9D" w:rsidRPr="0076659B" w:rsidRDefault="0032691B" w:rsidP="00BD4E44">
      <w:pPr>
        <w:pStyle w:val="ListParagraph"/>
        <w:numPr>
          <w:ilvl w:val="0"/>
          <w:numId w:val="36"/>
        </w:numPr>
        <w:spacing w:after="120"/>
        <w:rPr>
          <w:rFonts w:ascii="Arial" w:hAnsi="Arial" w:cs="Arial"/>
          <w:sz w:val="22"/>
          <w:szCs w:val="22"/>
        </w:rPr>
      </w:pPr>
      <w:r w:rsidRPr="674DC236">
        <w:rPr>
          <w:rFonts w:ascii="Arial" w:hAnsi="Arial" w:cs="Arial"/>
          <w:b/>
          <w:bCs/>
          <w:sz w:val="22"/>
          <w:szCs w:val="22"/>
        </w:rPr>
        <w:t xml:space="preserve">Lead generation </w:t>
      </w:r>
      <w:r w:rsidRPr="674DC236">
        <w:rPr>
          <w:rFonts w:ascii="Arial" w:hAnsi="Arial" w:cs="Arial"/>
          <w:sz w:val="22"/>
          <w:szCs w:val="22"/>
        </w:rPr>
        <w:t xml:space="preserve">– the Delivery Organisation </w:t>
      </w:r>
      <w:r w:rsidR="00C907D4">
        <w:rPr>
          <w:rFonts w:ascii="Arial" w:hAnsi="Arial" w:cs="Arial"/>
          <w:sz w:val="22"/>
          <w:szCs w:val="22"/>
        </w:rPr>
        <w:t>shall</w:t>
      </w:r>
      <w:r w:rsidRPr="674DC236">
        <w:rPr>
          <w:rFonts w:ascii="Arial" w:hAnsi="Arial" w:cs="Arial"/>
          <w:sz w:val="22"/>
          <w:szCs w:val="22"/>
        </w:rPr>
        <w:t xml:space="preserve"> be responsible for generating leads, either through an in-house or sub-contracted service. Understanding the criteria</w:t>
      </w:r>
      <w:r w:rsidR="00800677" w:rsidRPr="674DC236">
        <w:rPr>
          <w:rFonts w:ascii="Arial" w:hAnsi="Arial" w:cs="Arial"/>
          <w:sz w:val="22"/>
          <w:szCs w:val="22"/>
        </w:rPr>
        <w:t xml:space="preserve"> for client </w:t>
      </w:r>
      <w:r w:rsidR="00E95B3F" w:rsidRPr="674DC236">
        <w:rPr>
          <w:rFonts w:ascii="Arial" w:hAnsi="Arial" w:cs="Arial"/>
          <w:sz w:val="22"/>
          <w:szCs w:val="22"/>
        </w:rPr>
        <w:t xml:space="preserve">eligibility and reporting requirements will </w:t>
      </w:r>
      <w:r w:rsidR="00553942" w:rsidRPr="674DC236">
        <w:rPr>
          <w:rFonts w:ascii="Arial" w:hAnsi="Arial" w:cs="Arial"/>
          <w:sz w:val="22"/>
          <w:szCs w:val="22"/>
        </w:rPr>
        <w:t>require this to be understood by any telephone advisors, customer facing staff members and those involved in the scheme.</w:t>
      </w:r>
    </w:p>
    <w:p w14:paraId="0B06B8EA" w14:textId="069C97E6" w:rsidR="00553942" w:rsidRDefault="00347877" w:rsidP="00BD4E44">
      <w:pPr>
        <w:pStyle w:val="ListParagraph"/>
        <w:numPr>
          <w:ilvl w:val="0"/>
          <w:numId w:val="36"/>
        </w:numPr>
        <w:spacing w:after="120"/>
        <w:rPr>
          <w:rFonts w:ascii="Arial" w:hAnsi="Arial" w:cs="Arial"/>
          <w:sz w:val="22"/>
          <w:szCs w:val="22"/>
        </w:rPr>
      </w:pPr>
      <w:r>
        <w:rPr>
          <w:rFonts w:ascii="Arial" w:hAnsi="Arial" w:cs="Arial"/>
          <w:b/>
          <w:sz w:val="22"/>
          <w:szCs w:val="22"/>
        </w:rPr>
        <w:t>Customer</w:t>
      </w:r>
      <w:r w:rsidR="00A3682B" w:rsidRPr="00E35425">
        <w:rPr>
          <w:rFonts w:ascii="Arial" w:hAnsi="Arial" w:cs="Arial"/>
          <w:b/>
          <w:sz w:val="22"/>
          <w:szCs w:val="22"/>
        </w:rPr>
        <w:t xml:space="preserve"> care</w:t>
      </w:r>
      <w:r w:rsidR="00A3682B" w:rsidRPr="00BD4E44">
        <w:rPr>
          <w:rFonts w:ascii="Arial" w:hAnsi="Arial" w:cs="Arial"/>
          <w:sz w:val="22"/>
          <w:szCs w:val="22"/>
        </w:rPr>
        <w:t xml:space="preserve"> – the </w:t>
      </w:r>
      <w:r w:rsidR="00AA0779">
        <w:rPr>
          <w:rFonts w:ascii="Arial" w:hAnsi="Arial" w:cs="Arial"/>
          <w:sz w:val="22"/>
          <w:szCs w:val="22"/>
        </w:rPr>
        <w:t>Delivery Organisation</w:t>
      </w:r>
      <w:r w:rsidR="00A3682B" w:rsidRPr="00BD4E44">
        <w:rPr>
          <w:rFonts w:ascii="Arial" w:hAnsi="Arial" w:cs="Arial"/>
          <w:sz w:val="22"/>
          <w:szCs w:val="22"/>
        </w:rPr>
        <w:t xml:space="preserve"> </w:t>
      </w:r>
      <w:r w:rsidR="00C907D4">
        <w:rPr>
          <w:rFonts w:ascii="Arial" w:hAnsi="Arial" w:cs="Arial"/>
          <w:sz w:val="22"/>
          <w:szCs w:val="22"/>
        </w:rPr>
        <w:t>shall</w:t>
      </w:r>
      <w:r w:rsidR="00C907D4" w:rsidRPr="00BD4E44">
        <w:rPr>
          <w:rFonts w:ascii="Arial" w:hAnsi="Arial" w:cs="Arial"/>
          <w:sz w:val="22"/>
          <w:szCs w:val="22"/>
        </w:rPr>
        <w:t xml:space="preserve"> </w:t>
      </w:r>
      <w:r w:rsidR="00A3682B" w:rsidRPr="00BD4E44">
        <w:rPr>
          <w:rFonts w:ascii="Arial" w:hAnsi="Arial" w:cs="Arial"/>
          <w:sz w:val="22"/>
          <w:szCs w:val="22"/>
        </w:rPr>
        <w:t xml:space="preserve">factor into their plans that they will frequently be dealing with </w:t>
      </w:r>
      <w:r w:rsidR="00BD4E44">
        <w:rPr>
          <w:rFonts w:ascii="Arial" w:hAnsi="Arial" w:cs="Arial"/>
          <w:sz w:val="22"/>
          <w:szCs w:val="22"/>
        </w:rPr>
        <w:t>vulnerable</w:t>
      </w:r>
      <w:r w:rsidR="00BD4E44" w:rsidRPr="00BD4E44">
        <w:rPr>
          <w:rFonts w:ascii="Arial" w:hAnsi="Arial" w:cs="Arial"/>
          <w:sz w:val="22"/>
          <w:szCs w:val="22"/>
        </w:rPr>
        <w:t xml:space="preserve"> </w:t>
      </w:r>
      <w:r w:rsidR="00E42A26">
        <w:rPr>
          <w:rFonts w:ascii="Arial" w:hAnsi="Arial" w:cs="Arial"/>
          <w:sz w:val="22"/>
          <w:szCs w:val="22"/>
        </w:rPr>
        <w:t>households</w:t>
      </w:r>
      <w:r w:rsidR="00F5709E" w:rsidRPr="00BD4E44">
        <w:rPr>
          <w:rFonts w:ascii="Arial" w:hAnsi="Arial" w:cs="Arial"/>
          <w:sz w:val="22"/>
          <w:szCs w:val="22"/>
        </w:rPr>
        <w:t xml:space="preserve"> </w:t>
      </w:r>
      <w:r w:rsidR="00A3682B" w:rsidRPr="00BD4E44">
        <w:rPr>
          <w:rFonts w:ascii="Arial" w:hAnsi="Arial" w:cs="Arial"/>
          <w:sz w:val="22"/>
          <w:szCs w:val="22"/>
        </w:rPr>
        <w:t xml:space="preserve">for whom special care will need to be taken when </w:t>
      </w:r>
      <w:r w:rsidR="009D1B34">
        <w:rPr>
          <w:rFonts w:ascii="Arial" w:hAnsi="Arial" w:cs="Arial"/>
          <w:sz w:val="22"/>
          <w:szCs w:val="22"/>
        </w:rPr>
        <w:t xml:space="preserve">providing advice and </w:t>
      </w:r>
      <w:r w:rsidR="00A3682B" w:rsidRPr="00BD4E44">
        <w:rPr>
          <w:rFonts w:ascii="Arial" w:hAnsi="Arial" w:cs="Arial"/>
          <w:sz w:val="22"/>
          <w:szCs w:val="22"/>
        </w:rPr>
        <w:t xml:space="preserve">conducting site visits.  For example, it </w:t>
      </w:r>
      <w:r w:rsidR="009B4C8F">
        <w:rPr>
          <w:rFonts w:ascii="Arial" w:hAnsi="Arial" w:cs="Arial"/>
          <w:sz w:val="22"/>
          <w:szCs w:val="22"/>
        </w:rPr>
        <w:t>is not</w:t>
      </w:r>
      <w:r w:rsidR="00A3682B" w:rsidRPr="00BD4E44">
        <w:rPr>
          <w:rFonts w:ascii="Arial" w:hAnsi="Arial" w:cs="Arial"/>
          <w:sz w:val="22"/>
          <w:szCs w:val="22"/>
        </w:rPr>
        <w:t xml:space="preserve"> acceptable to make last minute changes to the </w:t>
      </w:r>
      <w:r w:rsidR="007E2F24">
        <w:rPr>
          <w:rFonts w:ascii="Arial" w:hAnsi="Arial" w:cs="Arial"/>
          <w:sz w:val="22"/>
          <w:szCs w:val="22"/>
        </w:rPr>
        <w:t>arrangements for the I</w:t>
      </w:r>
      <w:r w:rsidR="00A3682B" w:rsidRPr="00BD4E44">
        <w:rPr>
          <w:rFonts w:ascii="Arial" w:hAnsi="Arial" w:cs="Arial"/>
          <w:sz w:val="22"/>
          <w:szCs w:val="22"/>
        </w:rPr>
        <w:t xml:space="preserve">nstallation for </w:t>
      </w:r>
      <w:r w:rsidR="009B4C8F">
        <w:rPr>
          <w:rFonts w:ascii="Arial" w:hAnsi="Arial" w:cs="Arial"/>
          <w:sz w:val="22"/>
          <w:szCs w:val="22"/>
        </w:rPr>
        <w:t>some</w:t>
      </w:r>
      <w:r w:rsidR="007A120D">
        <w:rPr>
          <w:rFonts w:ascii="Arial" w:hAnsi="Arial" w:cs="Arial"/>
          <w:sz w:val="22"/>
          <w:szCs w:val="22"/>
        </w:rPr>
        <w:t xml:space="preserve"> </w:t>
      </w:r>
      <w:r>
        <w:rPr>
          <w:rFonts w:ascii="Arial" w:hAnsi="Arial" w:cs="Arial"/>
          <w:sz w:val="22"/>
          <w:szCs w:val="22"/>
        </w:rPr>
        <w:t>Customer</w:t>
      </w:r>
      <w:r w:rsidR="009B4C8F">
        <w:rPr>
          <w:rFonts w:ascii="Arial" w:hAnsi="Arial" w:cs="Arial"/>
          <w:sz w:val="22"/>
          <w:szCs w:val="22"/>
        </w:rPr>
        <w:t>s</w:t>
      </w:r>
      <w:r w:rsidR="00A3682B" w:rsidRPr="00BD4E44">
        <w:rPr>
          <w:rFonts w:ascii="Arial" w:hAnsi="Arial" w:cs="Arial"/>
          <w:sz w:val="22"/>
          <w:szCs w:val="22"/>
        </w:rPr>
        <w:t xml:space="preserve">, even if the </w:t>
      </w:r>
      <w:r w:rsidR="009B4C8F">
        <w:rPr>
          <w:rFonts w:ascii="Arial" w:hAnsi="Arial" w:cs="Arial"/>
          <w:sz w:val="22"/>
          <w:szCs w:val="22"/>
        </w:rPr>
        <w:t>intention</w:t>
      </w:r>
      <w:r w:rsidR="00A3682B" w:rsidRPr="00BD4E44">
        <w:rPr>
          <w:rFonts w:ascii="Arial" w:hAnsi="Arial" w:cs="Arial"/>
          <w:sz w:val="22"/>
          <w:szCs w:val="22"/>
        </w:rPr>
        <w:t xml:space="preserve"> is to deliver the work more quickly, as these changes may be very confusing and upsetting for that </w:t>
      </w:r>
      <w:r>
        <w:rPr>
          <w:rFonts w:ascii="Arial" w:hAnsi="Arial" w:cs="Arial"/>
          <w:sz w:val="22"/>
          <w:szCs w:val="22"/>
        </w:rPr>
        <w:t>Customer</w:t>
      </w:r>
      <w:r w:rsidR="00A3682B" w:rsidRPr="00BD4E44">
        <w:rPr>
          <w:rFonts w:ascii="Arial" w:hAnsi="Arial" w:cs="Arial"/>
          <w:sz w:val="22"/>
          <w:szCs w:val="22"/>
        </w:rPr>
        <w:t>.</w:t>
      </w:r>
      <w:r w:rsidR="00532DEB">
        <w:rPr>
          <w:rFonts w:ascii="Arial" w:hAnsi="Arial" w:cs="Arial"/>
          <w:sz w:val="22"/>
          <w:szCs w:val="22"/>
        </w:rPr>
        <w:t xml:space="preserve"> </w:t>
      </w:r>
      <w:r w:rsidR="008C47EA">
        <w:rPr>
          <w:rFonts w:ascii="Arial" w:hAnsi="Arial" w:cs="Arial"/>
          <w:sz w:val="22"/>
          <w:szCs w:val="22"/>
        </w:rPr>
        <w:t xml:space="preserve">The Delivery Organisation must demonstrate how they will </w:t>
      </w:r>
      <w:r w:rsidR="003E2A13">
        <w:rPr>
          <w:rFonts w:ascii="Arial" w:hAnsi="Arial" w:cs="Arial"/>
          <w:sz w:val="22"/>
          <w:szCs w:val="22"/>
        </w:rPr>
        <w:t>support vulnerable customers.</w:t>
      </w:r>
      <w:r w:rsidR="008C47EA">
        <w:rPr>
          <w:rFonts w:ascii="Arial" w:hAnsi="Arial" w:cs="Arial"/>
          <w:sz w:val="22"/>
          <w:szCs w:val="22"/>
        </w:rPr>
        <w:t xml:space="preserve"> </w:t>
      </w:r>
    </w:p>
    <w:p w14:paraId="3D2B79E4" w14:textId="330E3A8B" w:rsidR="00155DE7" w:rsidRPr="00351156" w:rsidRDefault="00155DE7" w:rsidP="00351156">
      <w:pPr>
        <w:spacing w:after="120"/>
        <w:rPr>
          <w:rFonts w:cs="Arial"/>
          <w:b/>
          <w:sz w:val="22"/>
          <w:szCs w:val="22"/>
          <w:highlight w:val="yellow"/>
        </w:rPr>
      </w:pPr>
    </w:p>
    <w:p w14:paraId="3D2B79E5" w14:textId="77777777" w:rsidR="006B3E50" w:rsidRPr="004C4CB4" w:rsidRDefault="006B3E50" w:rsidP="46B5BCA3">
      <w:pPr>
        <w:pStyle w:val="ListParagraph"/>
        <w:numPr>
          <w:ilvl w:val="0"/>
          <w:numId w:val="6"/>
        </w:numPr>
        <w:spacing w:after="120"/>
        <w:rPr>
          <w:rFonts w:ascii="Arial" w:hAnsi="Arial" w:cs="Arial"/>
          <w:b/>
          <w:bCs/>
          <w:sz w:val="22"/>
          <w:szCs w:val="22"/>
        </w:rPr>
      </w:pPr>
      <w:r w:rsidRPr="46B5BCA3">
        <w:rPr>
          <w:rFonts w:ascii="Arial" w:hAnsi="Arial" w:cs="Arial"/>
          <w:b/>
          <w:bCs/>
          <w:sz w:val="22"/>
          <w:szCs w:val="22"/>
        </w:rPr>
        <w:t>Grant</w:t>
      </w:r>
    </w:p>
    <w:p w14:paraId="3D2B79E6" w14:textId="67BCC037" w:rsidR="00495206" w:rsidRDefault="00C1665F" w:rsidP="00171ACB">
      <w:pPr>
        <w:pStyle w:val="ListParagraph"/>
        <w:numPr>
          <w:ilvl w:val="1"/>
          <w:numId w:val="6"/>
        </w:numPr>
        <w:spacing w:after="120"/>
        <w:rPr>
          <w:rFonts w:ascii="Arial" w:hAnsi="Arial" w:cs="Arial"/>
          <w:sz w:val="22"/>
          <w:szCs w:val="22"/>
        </w:rPr>
      </w:pPr>
      <w:r w:rsidRPr="00CD1C2D">
        <w:rPr>
          <w:rFonts w:ascii="Arial" w:hAnsi="Arial" w:cs="Arial"/>
          <w:sz w:val="22"/>
          <w:szCs w:val="22"/>
        </w:rPr>
        <w:t>Owner Occupier c</w:t>
      </w:r>
      <w:r w:rsidR="00347877" w:rsidRPr="00CD1C2D">
        <w:rPr>
          <w:rFonts w:ascii="Arial" w:hAnsi="Arial" w:cs="Arial"/>
          <w:sz w:val="22"/>
          <w:szCs w:val="22"/>
        </w:rPr>
        <w:t>ustomer</w:t>
      </w:r>
      <w:r w:rsidRPr="00CD1C2D">
        <w:rPr>
          <w:rFonts w:ascii="Arial" w:hAnsi="Arial" w:cs="Arial"/>
          <w:sz w:val="22"/>
          <w:szCs w:val="22"/>
        </w:rPr>
        <w:t>s</w:t>
      </w:r>
      <w:r w:rsidR="007E2F24" w:rsidRPr="46B5BCA3">
        <w:rPr>
          <w:rFonts w:ascii="Arial" w:hAnsi="Arial" w:cs="Arial"/>
          <w:sz w:val="22"/>
          <w:szCs w:val="22"/>
        </w:rPr>
        <w:t xml:space="preserve"> will be offered a range of </w:t>
      </w:r>
      <w:r w:rsidR="008D1C99" w:rsidRPr="46B5BCA3">
        <w:rPr>
          <w:rFonts w:ascii="Arial" w:hAnsi="Arial" w:cs="Arial"/>
          <w:sz w:val="22"/>
          <w:szCs w:val="22"/>
        </w:rPr>
        <w:t xml:space="preserve">Services and </w:t>
      </w:r>
      <w:r w:rsidR="007E2F24" w:rsidRPr="46B5BCA3">
        <w:rPr>
          <w:rFonts w:ascii="Arial" w:hAnsi="Arial" w:cs="Arial"/>
          <w:sz w:val="22"/>
          <w:szCs w:val="22"/>
        </w:rPr>
        <w:t>M</w:t>
      </w:r>
      <w:r w:rsidR="00495206" w:rsidRPr="46B5BCA3">
        <w:rPr>
          <w:rFonts w:ascii="Arial" w:hAnsi="Arial" w:cs="Arial"/>
          <w:sz w:val="22"/>
          <w:szCs w:val="22"/>
        </w:rPr>
        <w:t>easures</w:t>
      </w:r>
      <w:r w:rsidR="00BF6D73" w:rsidRPr="46B5BCA3">
        <w:rPr>
          <w:rFonts w:ascii="Arial" w:hAnsi="Arial" w:cs="Arial"/>
          <w:sz w:val="22"/>
          <w:szCs w:val="22"/>
        </w:rPr>
        <w:t xml:space="preserve"> (appropriate and suitable for their property) which will be fully funded. </w:t>
      </w:r>
      <w:r w:rsidR="00EF33C4" w:rsidRPr="46B5BCA3">
        <w:rPr>
          <w:rFonts w:ascii="Arial" w:hAnsi="Arial" w:cs="Arial"/>
          <w:sz w:val="22"/>
          <w:szCs w:val="22"/>
        </w:rPr>
        <w:t>Social and Private Landlords will be required to contribute as laid out in table</w:t>
      </w:r>
      <w:r w:rsidR="001B4053" w:rsidRPr="46B5BCA3">
        <w:rPr>
          <w:rFonts w:ascii="Arial" w:hAnsi="Arial" w:cs="Arial"/>
          <w:sz w:val="22"/>
          <w:szCs w:val="22"/>
        </w:rPr>
        <w:t xml:space="preserve"> in </w:t>
      </w:r>
      <w:r w:rsidR="00C907D4">
        <w:rPr>
          <w:rFonts w:ascii="Arial" w:hAnsi="Arial" w:cs="Arial"/>
          <w:sz w:val="22"/>
          <w:szCs w:val="22"/>
        </w:rPr>
        <w:t>paragraph</w:t>
      </w:r>
      <w:r w:rsidR="00C907D4" w:rsidRPr="46B5BCA3">
        <w:rPr>
          <w:rFonts w:ascii="Arial" w:hAnsi="Arial" w:cs="Arial"/>
          <w:sz w:val="22"/>
          <w:szCs w:val="22"/>
        </w:rPr>
        <w:t xml:space="preserve"> </w:t>
      </w:r>
      <w:r w:rsidR="001B4053" w:rsidRPr="46B5BCA3">
        <w:rPr>
          <w:rFonts w:ascii="Arial" w:hAnsi="Arial" w:cs="Arial"/>
          <w:sz w:val="22"/>
          <w:szCs w:val="22"/>
        </w:rPr>
        <w:t>10.5</w:t>
      </w:r>
      <w:r w:rsidR="00EF33C4" w:rsidRPr="46B5BCA3">
        <w:rPr>
          <w:rFonts w:ascii="Arial" w:hAnsi="Arial" w:cs="Arial"/>
          <w:sz w:val="22"/>
          <w:szCs w:val="22"/>
        </w:rPr>
        <w:t xml:space="preserve">. All </w:t>
      </w:r>
      <w:r w:rsidR="00C907D4">
        <w:rPr>
          <w:rFonts w:ascii="Arial" w:hAnsi="Arial" w:cs="Arial"/>
          <w:sz w:val="22"/>
          <w:szCs w:val="22"/>
        </w:rPr>
        <w:t>Dwellings</w:t>
      </w:r>
      <w:r w:rsidR="00C907D4" w:rsidRPr="46B5BCA3">
        <w:rPr>
          <w:rFonts w:ascii="Arial" w:hAnsi="Arial" w:cs="Arial"/>
          <w:sz w:val="22"/>
          <w:szCs w:val="22"/>
        </w:rPr>
        <w:t xml:space="preserve"> </w:t>
      </w:r>
      <w:r w:rsidR="003F0F36" w:rsidRPr="46B5BCA3">
        <w:rPr>
          <w:rFonts w:ascii="Arial" w:hAnsi="Arial" w:cs="Arial"/>
          <w:sz w:val="22"/>
          <w:szCs w:val="22"/>
        </w:rPr>
        <w:t>may attract additional funding through ECO/RHI.</w:t>
      </w:r>
      <w:r w:rsidR="00495206" w:rsidRPr="46B5BCA3">
        <w:rPr>
          <w:rFonts w:ascii="Arial" w:hAnsi="Arial" w:cs="Arial"/>
          <w:sz w:val="22"/>
          <w:szCs w:val="22"/>
        </w:rPr>
        <w:t xml:space="preserve"> </w:t>
      </w:r>
    </w:p>
    <w:p w14:paraId="242F2953" w14:textId="37E9B9D9" w:rsidR="006308E5" w:rsidRDefault="00DF05C0" w:rsidP="006308E5">
      <w:pPr>
        <w:pStyle w:val="ListParagraph"/>
        <w:numPr>
          <w:ilvl w:val="1"/>
          <w:numId w:val="6"/>
        </w:numPr>
        <w:spacing w:after="120"/>
        <w:rPr>
          <w:rFonts w:ascii="Arial" w:hAnsi="Arial" w:cs="Arial"/>
          <w:sz w:val="22"/>
          <w:szCs w:val="22"/>
        </w:rPr>
      </w:pPr>
      <w:r w:rsidRPr="674DC236">
        <w:rPr>
          <w:rFonts w:ascii="Arial" w:hAnsi="Arial" w:cs="Arial"/>
          <w:sz w:val="22"/>
          <w:szCs w:val="22"/>
        </w:rPr>
        <w:t xml:space="preserve">The </w:t>
      </w:r>
      <w:r w:rsidR="00AA0779" w:rsidRPr="674DC236">
        <w:rPr>
          <w:rFonts w:ascii="Arial" w:hAnsi="Arial" w:cs="Arial"/>
          <w:sz w:val="22"/>
          <w:szCs w:val="22"/>
        </w:rPr>
        <w:t>Delivery Organisation</w:t>
      </w:r>
      <w:r w:rsidR="00347877" w:rsidRPr="674DC236">
        <w:rPr>
          <w:rFonts w:ascii="Arial" w:hAnsi="Arial" w:cs="Arial"/>
          <w:sz w:val="22"/>
          <w:szCs w:val="22"/>
        </w:rPr>
        <w:t xml:space="preserve"> </w:t>
      </w:r>
      <w:r w:rsidR="00C907D4">
        <w:rPr>
          <w:rFonts w:ascii="Arial" w:hAnsi="Arial" w:cs="Arial"/>
          <w:sz w:val="22"/>
          <w:szCs w:val="22"/>
        </w:rPr>
        <w:t xml:space="preserve">shall work on the basis that </w:t>
      </w:r>
      <w:r w:rsidR="00347877" w:rsidRPr="674DC236">
        <w:rPr>
          <w:rFonts w:ascii="Arial" w:hAnsi="Arial" w:cs="Arial"/>
          <w:sz w:val="22"/>
          <w:szCs w:val="22"/>
        </w:rPr>
        <w:t xml:space="preserve">the </w:t>
      </w:r>
      <w:r w:rsidR="00347877" w:rsidRPr="00D329BC">
        <w:rPr>
          <w:rFonts w:ascii="Arial" w:hAnsi="Arial" w:cs="Arial"/>
          <w:sz w:val="22"/>
          <w:szCs w:val="22"/>
        </w:rPr>
        <w:t>G</w:t>
      </w:r>
      <w:r w:rsidRPr="00D329BC">
        <w:rPr>
          <w:rFonts w:ascii="Arial" w:hAnsi="Arial" w:cs="Arial"/>
          <w:sz w:val="22"/>
          <w:szCs w:val="22"/>
        </w:rPr>
        <w:t>rant</w:t>
      </w:r>
      <w:r w:rsidRPr="674DC236">
        <w:rPr>
          <w:rFonts w:ascii="Arial" w:hAnsi="Arial" w:cs="Arial"/>
          <w:sz w:val="22"/>
          <w:szCs w:val="22"/>
        </w:rPr>
        <w:t xml:space="preserve"> will </w:t>
      </w:r>
      <w:r w:rsidR="006F3644" w:rsidRPr="674DC236">
        <w:rPr>
          <w:rFonts w:ascii="Arial" w:hAnsi="Arial" w:cs="Arial"/>
          <w:sz w:val="22"/>
          <w:szCs w:val="22"/>
        </w:rPr>
        <w:t xml:space="preserve">limit the </w:t>
      </w:r>
      <w:r w:rsidR="092E75A9" w:rsidRPr="674DC236">
        <w:rPr>
          <w:rFonts w:ascii="Arial" w:hAnsi="Arial" w:cs="Arial"/>
          <w:sz w:val="22"/>
          <w:szCs w:val="22"/>
        </w:rPr>
        <w:t>Authority</w:t>
      </w:r>
      <w:r w:rsidR="006F3644" w:rsidRPr="674DC236">
        <w:rPr>
          <w:rFonts w:ascii="Arial" w:hAnsi="Arial" w:cs="Arial"/>
          <w:sz w:val="22"/>
          <w:szCs w:val="22"/>
        </w:rPr>
        <w:t>’s contribution to the Installation Price to no more than</w:t>
      </w:r>
      <w:r w:rsidR="00913581">
        <w:rPr>
          <w:rFonts w:ascii="Arial" w:hAnsi="Arial" w:cs="Arial"/>
          <w:sz w:val="22"/>
          <w:szCs w:val="22"/>
        </w:rPr>
        <w:t xml:space="preserve"> </w:t>
      </w:r>
      <w:r w:rsidRPr="674DC236">
        <w:rPr>
          <w:rFonts w:ascii="Arial" w:hAnsi="Arial" w:cs="Arial"/>
          <w:sz w:val="22"/>
          <w:szCs w:val="22"/>
        </w:rPr>
        <w:t>£</w:t>
      </w:r>
      <w:r w:rsidR="00E339FE" w:rsidRPr="674DC236">
        <w:rPr>
          <w:rFonts w:ascii="Arial" w:hAnsi="Arial" w:cs="Arial"/>
          <w:sz w:val="22"/>
          <w:szCs w:val="22"/>
        </w:rPr>
        <w:t>10,000</w:t>
      </w:r>
      <w:r w:rsidRPr="674DC236">
        <w:rPr>
          <w:rFonts w:ascii="Arial" w:hAnsi="Arial" w:cs="Arial"/>
          <w:sz w:val="22"/>
          <w:szCs w:val="22"/>
        </w:rPr>
        <w:t xml:space="preserve"> per </w:t>
      </w:r>
      <w:r w:rsidR="00913581">
        <w:rPr>
          <w:rFonts w:ascii="Arial" w:hAnsi="Arial" w:cs="Arial"/>
          <w:sz w:val="22"/>
          <w:szCs w:val="22"/>
        </w:rPr>
        <w:t xml:space="preserve">owner occupier </w:t>
      </w:r>
      <w:r w:rsidR="00347877" w:rsidRPr="674DC236">
        <w:rPr>
          <w:rFonts w:ascii="Arial" w:hAnsi="Arial" w:cs="Arial"/>
          <w:sz w:val="22"/>
          <w:szCs w:val="22"/>
        </w:rPr>
        <w:t>Customer</w:t>
      </w:r>
      <w:r w:rsidR="006308E5" w:rsidRPr="674DC236">
        <w:rPr>
          <w:rFonts w:ascii="Arial" w:hAnsi="Arial" w:cs="Arial"/>
          <w:sz w:val="22"/>
          <w:szCs w:val="22"/>
        </w:rPr>
        <w:t xml:space="preserve">. As outlined in </w:t>
      </w:r>
      <w:r w:rsidR="00C907D4">
        <w:rPr>
          <w:rFonts w:ascii="Arial" w:hAnsi="Arial" w:cs="Arial"/>
          <w:sz w:val="22"/>
          <w:szCs w:val="22"/>
        </w:rPr>
        <w:t xml:space="preserve">paragraph </w:t>
      </w:r>
      <w:r w:rsidR="0057069B">
        <w:rPr>
          <w:rFonts w:ascii="Arial" w:hAnsi="Arial" w:cs="Arial"/>
          <w:sz w:val="22"/>
          <w:szCs w:val="22"/>
        </w:rPr>
        <w:t>1</w:t>
      </w:r>
      <w:r w:rsidR="006308E5" w:rsidRPr="674DC236">
        <w:rPr>
          <w:rFonts w:ascii="Arial" w:hAnsi="Arial" w:cs="Arial"/>
          <w:sz w:val="22"/>
          <w:szCs w:val="22"/>
        </w:rPr>
        <w:t>0.</w:t>
      </w:r>
      <w:r w:rsidR="00D6412B" w:rsidRPr="674DC236">
        <w:rPr>
          <w:rFonts w:ascii="Arial" w:hAnsi="Arial" w:cs="Arial"/>
          <w:sz w:val="22"/>
          <w:szCs w:val="22"/>
        </w:rPr>
        <w:t>5</w:t>
      </w:r>
      <w:r w:rsidR="006308E5" w:rsidRPr="674DC236">
        <w:rPr>
          <w:rFonts w:ascii="Arial" w:hAnsi="Arial" w:cs="Arial"/>
          <w:sz w:val="22"/>
          <w:szCs w:val="22"/>
        </w:rPr>
        <w:t xml:space="preserve"> this</w:t>
      </w:r>
      <w:r w:rsidR="00E1430E" w:rsidRPr="674DC236">
        <w:rPr>
          <w:rFonts w:ascii="Arial" w:hAnsi="Arial" w:cs="Arial"/>
          <w:sz w:val="22"/>
          <w:szCs w:val="22"/>
        </w:rPr>
        <w:t xml:space="preserve"> is an average</w:t>
      </w:r>
      <w:r w:rsidR="006308E5" w:rsidRPr="674DC236">
        <w:rPr>
          <w:rFonts w:ascii="Arial" w:hAnsi="Arial" w:cs="Arial"/>
          <w:sz w:val="22"/>
          <w:szCs w:val="22"/>
        </w:rPr>
        <w:t xml:space="preserve"> and </w:t>
      </w:r>
      <w:r w:rsidR="00E1430E" w:rsidRPr="674DC236">
        <w:rPr>
          <w:rFonts w:ascii="Arial" w:hAnsi="Arial" w:cs="Arial"/>
          <w:sz w:val="22"/>
          <w:szCs w:val="22"/>
        </w:rPr>
        <w:t xml:space="preserve">there may be some </w:t>
      </w:r>
      <w:r w:rsidR="006308E5" w:rsidRPr="674DC236">
        <w:rPr>
          <w:rFonts w:ascii="Arial" w:hAnsi="Arial" w:cs="Arial"/>
          <w:sz w:val="22"/>
          <w:szCs w:val="22"/>
        </w:rPr>
        <w:t>instances where installations over £10,000 can be funded.</w:t>
      </w:r>
      <w:r w:rsidR="00E1430E" w:rsidRPr="674DC236">
        <w:rPr>
          <w:rFonts w:ascii="Arial" w:hAnsi="Arial" w:cs="Arial"/>
          <w:sz w:val="22"/>
          <w:szCs w:val="22"/>
        </w:rPr>
        <w:t xml:space="preserve"> </w:t>
      </w:r>
    </w:p>
    <w:p w14:paraId="3D2B79E7" w14:textId="3340A037" w:rsidR="006B3E50" w:rsidRDefault="008F1945" w:rsidP="006308E5">
      <w:pPr>
        <w:pStyle w:val="ListParagraph"/>
        <w:spacing w:after="120"/>
        <w:ind w:left="1134"/>
        <w:rPr>
          <w:rFonts w:ascii="Arial" w:hAnsi="Arial" w:cs="Arial"/>
          <w:sz w:val="22"/>
          <w:szCs w:val="22"/>
        </w:rPr>
      </w:pPr>
      <w:r w:rsidRPr="006308E5">
        <w:rPr>
          <w:rFonts w:ascii="Arial" w:hAnsi="Arial" w:cs="Arial"/>
          <w:sz w:val="22"/>
          <w:szCs w:val="22"/>
        </w:rPr>
        <w:t xml:space="preserve">An </w:t>
      </w:r>
      <w:r w:rsidR="00E339FE" w:rsidRPr="006308E5">
        <w:rPr>
          <w:rFonts w:ascii="Arial" w:hAnsi="Arial" w:cs="Arial"/>
          <w:sz w:val="22"/>
          <w:szCs w:val="22"/>
        </w:rPr>
        <w:t>excep</w:t>
      </w:r>
      <w:r w:rsidR="00D16125" w:rsidRPr="006308E5">
        <w:rPr>
          <w:rFonts w:ascii="Arial" w:hAnsi="Arial" w:cs="Arial"/>
          <w:sz w:val="22"/>
          <w:szCs w:val="22"/>
        </w:rPr>
        <w:t>t</w:t>
      </w:r>
      <w:r w:rsidRPr="006308E5">
        <w:rPr>
          <w:rFonts w:ascii="Arial" w:hAnsi="Arial" w:cs="Arial"/>
          <w:sz w:val="22"/>
          <w:szCs w:val="22"/>
        </w:rPr>
        <w:t>ion to this rule is</w:t>
      </w:r>
      <w:r w:rsidR="00D16125" w:rsidRPr="006308E5">
        <w:rPr>
          <w:rFonts w:ascii="Arial" w:hAnsi="Arial" w:cs="Arial"/>
          <w:sz w:val="22"/>
          <w:szCs w:val="22"/>
        </w:rPr>
        <w:t xml:space="preserve"> where the Customer is a private </w:t>
      </w:r>
      <w:r w:rsidR="00D1536E">
        <w:rPr>
          <w:rFonts w:ascii="Arial" w:hAnsi="Arial" w:cs="Arial"/>
          <w:sz w:val="22"/>
          <w:szCs w:val="22"/>
        </w:rPr>
        <w:t xml:space="preserve">or social </w:t>
      </w:r>
      <w:r w:rsidR="00D16125" w:rsidRPr="006308E5">
        <w:rPr>
          <w:rFonts w:ascii="Arial" w:hAnsi="Arial" w:cs="Arial"/>
          <w:sz w:val="22"/>
          <w:szCs w:val="22"/>
        </w:rPr>
        <w:t>rental landlord where the maximum grant will be £5,000, but only where the landlord provides a</w:t>
      </w:r>
      <w:r w:rsidRPr="006308E5">
        <w:rPr>
          <w:rFonts w:ascii="Arial" w:hAnsi="Arial" w:cs="Arial"/>
          <w:sz w:val="22"/>
          <w:szCs w:val="22"/>
        </w:rPr>
        <w:t>t least</w:t>
      </w:r>
      <w:r w:rsidR="00967230" w:rsidRPr="006308E5">
        <w:rPr>
          <w:rFonts w:ascii="Arial" w:hAnsi="Arial" w:cs="Arial"/>
          <w:sz w:val="22"/>
          <w:szCs w:val="22"/>
        </w:rPr>
        <w:t xml:space="preserve"> 1/3 contribution to the costs. </w:t>
      </w:r>
      <w:r w:rsidR="006B3E50" w:rsidRPr="006308E5">
        <w:rPr>
          <w:rFonts w:ascii="Arial" w:hAnsi="Arial" w:cs="Arial"/>
          <w:sz w:val="22"/>
          <w:szCs w:val="22"/>
        </w:rPr>
        <w:t xml:space="preserve">  </w:t>
      </w:r>
    </w:p>
    <w:p w14:paraId="514F344C" w14:textId="25C3C46B" w:rsidR="00BE5A55" w:rsidRDefault="00BE5A55" w:rsidP="00525184">
      <w:pPr>
        <w:tabs>
          <w:tab w:val="clear" w:pos="720"/>
        </w:tabs>
        <w:spacing w:after="120"/>
        <w:ind w:left="1134" w:hanging="567"/>
        <w:rPr>
          <w:rFonts w:cs="Arial"/>
          <w:sz w:val="22"/>
          <w:szCs w:val="22"/>
        </w:rPr>
      </w:pPr>
      <w:r>
        <w:rPr>
          <w:rFonts w:cs="Arial"/>
          <w:sz w:val="22"/>
          <w:szCs w:val="22"/>
        </w:rPr>
        <w:lastRenderedPageBreak/>
        <w:t xml:space="preserve">11.3 The </w:t>
      </w:r>
      <w:r w:rsidRPr="00D329BC">
        <w:rPr>
          <w:rFonts w:cs="Arial"/>
          <w:sz w:val="22"/>
          <w:szCs w:val="22"/>
        </w:rPr>
        <w:t>Grant</w:t>
      </w:r>
      <w:r>
        <w:rPr>
          <w:rFonts w:cs="Arial"/>
          <w:sz w:val="22"/>
          <w:szCs w:val="22"/>
        </w:rPr>
        <w:t xml:space="preserve"> funding is primarily for </w:t>
      </w:r>
      <w:r w:rsidR="00C907D4">
        <w:rPr>
          <w:rFonts w:cs="Arial"/>
          <w:sz w:val="22"/>
          <w:szCs w:val="22"/>
        </w:rPr>
        <w:t>c</w:t>
      </w:r>
      <w:r>
        <w:rPr>
          <w:rFonts w:cs="Arial"/>
          <w:sz w:val="22"/>
          <w:szCs w:val="22"/>
        </w:rPr>
        <w:t xml:space="preserve">apital </w:t>
      </w:r>
      <w:r w:rsidR="0031377D">
        <w:rPr>
          <w:rFonts w:cs="Arial"/>
          <w:sz w:val="22"/>
          <w:szCs w:val="22"/>
        </w:rPr>
        <w:t xml:space="preserve">Measure </w:t>
      </w:r>
      <w:r>
        <w:rPr>
          <w:rFonts w:cs="Arial"/>
          <w:sz w:val="22"/>
          <w:szCs w:val="22"/>
        </w:rPr>
        <w:t>installations but may also include</w:t>
      </w:r>
      <w:r w:rsidR="009F0123">
        <w:rPr>
          <w:rFonts w:cs="Arial"/>
          <w:sz w:val="22"/>
          <w:szCs w:val="22"/>
        </w:rPr>
        <w:t xml:space="preserve"> ancillary and enabling works alongside professional services, such as</w:t>
      </w:r>
      <w:r>
        <w:rPr>
          <w:rFonts w:cs="Arial"/>
          <w:sz w:val="22"/>
          <w:szCs w:val="22"/>
        </w:rPr>
        <w:t>:</w:t>
      </w:r>
    </w:p>
    <w:p w14:paraId="374F44EE" w14:textId="625308D9" w:rsidR="00525184" w:rsidRDefault="00525184" w:rsidP="00525184">
      <w:pPr>
        <w:pStyle w:val="ListParagraph"/>
        <w:numPr>
          <w:ilvl w:val="0"/>
          <w:numId w:val="36"/>
        </w:numPr>
        <w:spacing w:after="120"/>
        <w:ind w:left="1418" w:hanging="284"/>
        <w:rPr>
          <w:rFonts w:ascii="Arial" w:hAnsi="Arial" w:cs="Arial"/>
          <w:sz w:val="22"/>
          <w:szCs w:val="22"/>
        </w:rPr>
      </w:pPr>
      <w:r>
        <w:rPr>
          <w:rFonts w:ascii="Arial" w:hAnsi="Arial" w:cs="Arial"/>
          <w:b/>
          <w:sz w:val="22"/>
          <w:szCs w:val="22"/>
        </w:rPr>
        <w:t xml:space="preserve">Retrofit Coordinators </w:t>
      </w:r>
      <w:r>
        <w:rPr>
          <w:rFonts w:ascii="Arial" w:hAnsi="Arial" w:cs="Arial"/>
          <w:sz w:val="22"/>
          <w:szCs w:val="22"/>
        </w:rPr>
        <w:t xml:space="preserve">– The scheme is delivered under PAS2035. Retrofit Coordinators are required under PAS2035 and </w:t>
      </w:r>
      <w:r w:rsidR="00C907D4">
        <w:rPr>
          <w:rFonts w:ascii="Arial" w:hAnsi="Arial" w:cs="Arial"/>
          <w:sz w:val="22"/>
          <w:szCs w:val="22"/>
        </w:rPr>
        <w:t xml:space="preserve">shall </w:t>
      </w:r>
      <w:r>
        <w:rPr>
          <w:rFonts w:ascii="Arial" w:hAnsi="Arial" w:cs="Arial"/>
          <w:sz w:val="22"/>
          <w:szCs w:val="22"/>
        </w:rPr>
        <w:t xml:space="preserve">be available to support householders make the most appropriate interventions for them, maximising the value of the work, the impact of the interventions in terms of improving EPC rating and reducing CO2 emissions, and the sequencing of interventions to minimise impact to further improvements in the future.  </w:t>
      </w:r>
    </w:p>
    <w:p w14:paraId="77141DEC" w14:textId="77777777" w:rsidR="00525184" w:rsidRPr="00770499" w:rsidRDefault="00525184" w:rsidP="00525184">
      <w:pPr>
        <w:pStyle w:val="ListParagraph"/>
        <w:spacing w:after="120"/>
        <w:ind w:left="1418"/>
        <w:rPr>
          <w:rFonts w:ascii="Arial" w:hAnsi="Arial" w:cs="Arial"/>
          <w:sz w:val="22"/>
          <w:szCs w:val="22"/>
        </w:rPr>
      </w:pPr>
      <w:r>
        <w:rPr>
          <w:rFonts w:ascii="Arial" w:hAnsi="Arial" w:cs="Arial"/>
          <w:sz w:val="22"/>
          <w:szCs w:val="22"/>
        </w:rPr>
        <w:t xml:space="preserve">Retrofit Coordinators are also required to be certified and affiliated to Trustmark. </w:t>
      </w:r>
    </w:p>
    <w:p w14:paraId="496BF2D3" w14:textId="7E102B5A" w:rsidR="001715D4" w:rsidRPr="00E025AF" w:rsidRDefault="00525184" w:rsidP="001715D4">
      <w:pPr>
        <w:pStyle w:val="ListParagraph"/>
        <w:spacing w:after="120"/>
        <w:ind w:left="1418"/>
        <w:rPr>
          <w:rFonts w:ascii="Arial" w:hAnsi="Arial" w:cs="Arial"/>
          <w:sz w:val="22"/>
          <w:szCs w:val="22"/>
        </w:rPr>
      </w:pPr>
      <w:r>
        <w:rPr>
          <w:rFonts w:ascii="Arial" w:hAnsi="Arial" w:cs="Arial"/>
          <w:sz w:val="22"/>
          <w:szCs w:val="22"/>
        </w:rPr>
        <w:t xml:space="preserve">Retrofit Coordinators are not required to be independent of an installation organisation. However, Retrofit Coordinators are required to ensure they guide the </w:t>
      </w:r>
      <w:r w:rsidR="00C907D4">
        <w:rPr>
          <w:rFonts w:ascii="Arial" w:hAnsi="Arial" w:cs="Arial"/>
          <w:sz w:val="22"/>
          <w:szCs w:val="22"/>
        </w:rPr>
        <w:t>C</w:t>
      </w:r>
      <w:r>
        <w:rPr>
          <w:rFonts w:ascii="Arial" w:hAnsi="Arial" w:cs="Arial"/>
          <w:sz w:val="22"/>
          <w:szCs w:val="22"/>
        </w:rPr>
        <w:t xml:space="preserve">ustomer into installing the most appropriate measure for their </w:t>
      </w:r>
      <w:r w:rsidR="00C907D4">
        <w:rPr>
          <w:rFonts w:ascii="Arial" w:hAnsi="Arial" w:cs="Arial"/>
          <w:sz w:val="22"/>
          <w:szCs w:val="22"/>
        </w:rPr>
        <w:t>Dwelling</w:t>
      </w:r>
      <w:r>
        <w:rPr>
          <w:rFonts w:ascii="Arial" w:hAnsi="Arial" w:cs="Arial"/>
          <w:sz w:val="22"/>
          <w:szCs w:val="22"/>
        </w:rPr>
        <w:t xml:space="preserve">/circumstances. Assessments and resulting installations will be reviewed by the </w:t>
      </w:r>
      <w:r w:rsidR="008F1979">
        <w:rPr>
          <w:rFonts w:ascii="Arial" w:hAnsi="Arial" w:cs="Arial"/>
          <w:sz w:val="22"/>
          <w:szCs w:val="22"/>
        </w:rPr>
        <w:t>Authority</w:t>
      </w:r>
      <w:r>
        <w:rPr>
          <w:rFonts w:ascii="Arial" w:hAnsi="Arial" w:cs="Arial"/>
          <w:sz w:val="22"/>
          <w:szCs w:val="22"/>
        </w:rPr>
        <w:t xml:space="preserve"> to ensure that Retrofit Coordinators linked to a company installing specific measures are providing appropriate advice and not advocating for their company’s products where other measures may be more suitable. If this activity is widespread the </w:t>
      </w:r>
      <w:r w:rsidR="008F1979">
        <w:rPr>
          <w:rFonts w:ascii="Arial" w:hAnsi="Arial" w:cs="Arial"/>
          <w:sz w:val="22"/>
          <w:szCs w:val="22"/>
        </w:rPr>
        <w:t xml:space="preserve">Authority </w:t>
      </w:r>
      <w:r>
        <w:rPr>
          <w:rFonts w:ascii="Arial" w:hAnsi="Arial" w:cs="Arial"/>
          <w:sz w:val="22"/>
          <w:szCs w:val="22"/>
        </w:rPr>
        <w:t xml:space="preserve">may request the use of independent Retrofit Coordinators to provide </w:t>
      </w:r>
      <w:r w:rsidR="00C907D4">
        <w:rPr>
          <w:rFonts w:ascii="Arial" w:hAnsi="Arial" w:cs="Arial"/>
          <w:sz w:val="22"/>
          <w:szCs w:val="22"/>
        </w:rPr>
        <w:t xml:space="preserve">advice to Customers </w:t>
      </w:r>
      <w:r>
        <w:rPr>
          <w:rFonts w:ascii="Arial" w:hAnsi="Arial" w:cs="Arial"/>
          <w:sz w:val="22"/>
          <w:szCs w:val="22"/>
        </w:rPr>
        <w:t>advice. At worst, this may be considered fraudulent activity.</w:t>
      </w:r>
    </w:p>
    <w:p w14:paraId="1010ADB1" w14:textId="3CC349CE" w:rsidR="009F0123" w:rsidRDefault="009F0123" w:rsidP="00162C7E">
      <w:pPr>
        <w:pStyle w:val="ListParagraph"/>
        <w:numPr>
          <w:ilvl w:val="0"/>
          <w:numId w:val="36"/>
        </w:numPr>
        <w:spacing w:after="120"/>
        <w:ind w:left="1418"/>
        <w:rPr>
          <w:rFonts w:ascii="Arial" w:hAnsi="Arial" w:cs="Arial"/>
          <w:sz w:val="22"/>
          <w:szCs w:val="22"/>
        </w:rPr>
      </w:pPr>
      <w:r w:rsidRPr="00162C7E">
        <w:rPr>
          <w:rFonts w:ascii="Arial" w:hAnsi="Arial" w:cs="Arial"/>
          <w:b/>
          <w:sz w:val="22"/>
          <w:szCs w:val="22"/>
        </w:rPr>
        <w:t>Retrofit Designers</w:t>
      </w:r>
      <w:r>
        <w:rPr>
          <w:rFonts w:ascii="Arial" w:hAnsi="Arial" w:cs="Arial"/>
          <w:sz w:val="22"/>
          <w:szCs w:val="22"/>
        </w:rPr>
        <w:t xml:space="preserve"> </w:t>
      </w:r>
      <w:r w:rsidR="00162C7E">
        <w:rPr>
          <w:rFonts w:ascii="Arial" w:hAnsi="Arial" w:cs="Arial"/>
          <w:sz w:val="22"/>
          <w:szCs w:val="22"/>
        </w:rPr>
        <w:t xml:space="preserve">– under PAS2035 any </w:t>
      </w:r>
      <w:r w:rsidR="00C907D4">
        <w:rPr>
          <w:rFonts w:ascii="Arial" w:hAnsi="Arial" w:cs="Arial"/>
          <w:sz w:val="22"/>
          <w:szCs w:val="22"/>
        </w:rPr>
        <w:t xml:space="preserve">Dwelling </w:t>
      </w:r>
      <w:r w:rsidR="00162C7E">
        <w:rPr>
          <w:rFonts w:ascii="Arial" w:hAnsi="Arial" w:cs="Arial"/>
          <w:sz w:val="22"/>
          <w:szCs w:val="22"/>
        </w:rPr>
        <w:t>falling into Pathway C will require the services of a Retrofit Designer.</w:t>
      </w:r>
    </w:p>
    <w:p w14:paraId="26FB4516" w14:textId="77777777" w:rsidR="00B95F4E" w:rsidRDefault="001715D4" w:rsidP="00162C7E">
      <w:pPr>
        <w:pStyle w:val="ListParagraph"/>
        <w:numPr>
          <w:ilvl w:val="0"/>
          <w:numId w:val="36"/>
        </w:numPr>
        <w:spacing w:after="120"/>
        <w:ind w:left="1418"/>
        <w:rPr>
          <w:rFonts w:ascii="Arial" w:hAnsi="Arial" w:cs="Arial"/>
          <w:sz w:val="22"/>
          <w:szCs w:val="22"/>
        </w:rPr>
      </w:pPr>
      <w:r w:rsidRPr="674DC236">
        <w:rPr>
          <w:rFonts w:ascii="Arial" w:hAnsi="Arial" w:cs="Arial"/>
          <w:b/>
          <w:bCs/>
          <w:sz w:val="22"/>
          <w:szCs w:val="22"/>
        </w:rPr>
        <w:t>Monitoring and Evaluation</w:t>
      </w:r>
      <w:r w:rsidRPr="674DC236">
        <w:rPr>
          <w:rFonts w:ascii="Arial" w:hAnsi="Arial" w:cs="Arial"/>
          <w:sz w:val="22"/>
          <w:szCs w:val="22"/>
        </w:rPr>
        <w:t xml:space="preserve"> – PAS2035 also requires every installation to undergo a level of monitoring or evaluation, this differs depending on the</w:t>
      </w:r>
      <w:r w:rsidR="00762F7A" w:rsidRPr="674DC236">
        <w:rPr>
          <w:rFonts w:ascii="Arial" w:hAnsi="Arial" w:cs="Arial"/>
          <w:sz w:val="22"/>
          <w:szCs w:val="22"/>
        </w:rPr>
        <w:t xml:space="preserve"> Retrofit</w:t>
      </w:r>
      <w:r w:rsidRPr="674DC236">
        <w:rPr>
          <w:rFonts w:ascii="Arial" w:hAnsi="Arial" w:cs="Arial"/>
          <w:sz w:val="22"/>
          <w:szCs w:val="22"/>
        </w:rPr>
        <w:t xml:space="preserve"> Pathway. </w:t>
      </w:r>
      <w:r w:rsidR="00762F7A" w:rsidRPr="674DC236">
        <w:rPr>
          <w:rFonts w:ascii="Arial" w:hAnsi="Arial" w:cs="Arial"/>
          <w:sz w:val="22"/>
          <w:szCs w:val="22"/>
        </w:rPr>
        <w:t xml:space="preserve">The cost of any monitoring equipment or testing can be included in the </w:t>
      </w:r>
      <w:r w:rsidR="004165DC" w:rsidRPr="674DC236">
        <w:rPr>
          <w:rFonts w:ascii="Arial" w:hAnsi="Arial" w:cs="Arial"/>
          <w:sz w:val="22"/>
          <w:szCs w:val="22"/>
        </w:rPr>
        <w:t>capital installation costs.</w:t>
      </w:r>
      <w:r w:rsidR="5261AEDE" w:rsidRPr="674DC236">
        <w:rPr>
          <w:rFonts w:ascii="Arial" w:hAnsi="Arial" w:cs="Arial"/>
          <w:sz w:val="22"/>
          <w:szCs w:val="22"/>
        </w:rPr>
        <w:t xml:space="preserve"> </w:t>
      </w:r>
    </w:p>
    <w:p w14:paraId="184F29EF" w14:textId="56B63425" w:rsidR="001715D4" w:rsidRDefault="5261AEDE" w:rsidP="00B95F4E">
      <w:pPr>
        <w:pStyle w:val="ListParagraph"/>
        <w:spacing w:after="120"/>
        <w:ind w:left="1418"/>
        <w:rPr>
          <w:rFonts w:ascii="Arial" w:hAnsi="Arial" w:cs="Arial"/>
          <w:sz w:val="22"/>
          <w:szCs w:val="22"/>
        </w:rPr>
      </w:pPr>
      <w:r w:rsidRPr="674DC236">
        <w:rPr>
          <w:rFonts w:ascii="Arial" w:hAnsi="Arial" w:cs="Arial"/>
          <w:sz w:val="22"/>
          <w:szCs w:val="22"/>
        </w:rPr>
        <w:t xml:space="preserve">There is a </w:t>
      </w:r>
      <w:r w:rsidR="00B95F4E">
        <w:rPr>
          <w:rFonts w:ascii="Arial" w:hAnsi="Arial" w:cs="Arial"/>
          <w:sz w:val="22"/>
          <w:szCs w:val="22"/>
        </w:rPr>
        <w:t xml:space="preserve">wider </w:t>
      </w:r>
      <w:r w:rsidRPr="674DC236">
        <w:rPr>
          <w:rFonts w:ascii="Arial" w:hAnsi="Arial" w:cs="Arial"/>
          <w:sz w:val="22"/>
          <w:szCs w:val="22"/>
        </w:rPr>
        <w:t xml:space="preserve">requirement to support the </w:t>
      </w:r>
      <w:r w:rsidRPr="00E305B5">
        <w:rPr>
          <w:rFonts w:ascii="Arial" w:hAnsi="Arial" w:cs="Arial"/>
          <w:sz w:val="22"/>
          <w:szCs w:val="22"/>
        </w:rPr>
        <w:t>Funder</w:t>
      </w:r>
      <w:r w:rsidRPr="674DC236">
        <w:rPr>
          <w:rFonts w:ascii="Arial" w:hAnsi="Arial" w:cs="Arial"/>
          <w:sz w:val="22"/>
          <w:szCs w:val="22"/>
        </w:rPr>
        <w:t xml:space="preserve"> with monitoring and evaluation, further details can be found in 8.0 Document 8 </w:t>
      </w:r>
      <w:r w:rsidR="4E5E0FD6" w:rsidRPr="674DC236">
        <w:rPr>
          <w:rFonts w:ascii="Arial" w:hAnsi="Arial" w:cs="Arial"/>
          <w:sz w:val="22"/>
          <w:szCs w:val="22"/>
        </w:rPr>
        <w:t>Management</w:t>
      </w:r>
      <w:r w:rsidRPr="674DC236">
        <w:rPr>
          <w:rFonts w:ascii="Arial" w:hAnsi="Arial" w:cs="Arial"/>
          <w:sz w:val="22"/>
          <w:szCs w:val="22"/>
        </w:rPr>
        <w:t xml:space="preserve"> Arrangements and Document 8 Appendix A.</w:t>
      </w:r>
    </w:p>
    <w:p w14:paraId="64C5E6EB" w14:textId="33998C4A" w:rsidR="004165DC" w:rsidRDefault="004165DC" w:rsidP="00162C7E">
      <w:pPr>
        <w:pStyle w:val="ListParagraph"/>
        <w:numPr>
          <w:ilvl w:val="0"/>
          <w:numId w:val="36"/>
        </w:numPr>
        <w:spacing w:after="120"/>
        <w:ind w:left="1418"/>
        <w:rPr>
          <w:rFonts w:ascii="Arial" w:hAnsi="Arial" w:cs="Arial"/>
          <w:sz w:val="22"/>
          <w:szCs w:val="22"/>
        </w:rPr>
      </w:pPr>
      <w:r w:rsidRPr="674DC236">
        <w:rPr>
          <w:rFonts w:ascii="Arial" w:hAnsi="Arial" w:cs="Arial"/>
          <w:b/>
          <w:bCs/>
          <w:sz w:val="22"/>
          <w:szCs w:val="22"/>
        </w:rPr>
        <w:t xml:space="preserve">Enabling works </w:t>
      </w:r>
      <w:r w:rsidRPr="674DC236">
        <w:rPr>
          <w:rFonts w:ascii="Arial" w:hAnsi="Arial" w:cs="Arial"/>
          <w:sz w:val="22"/>
          <w:szCs w:val="22"/>
        </w:rPr>
        <w:t>– m</w:t>
      </w:r>
      <w:r w:rsidR="00880EB2" w:rsidRPr="674DC236">
        <w:rPr>
          <w:rFonts w:ascii="Arial" w:hAnsi="Arial" w:cs="Arial"/>
          <w:sz w:val="22"/>
          <w:szCs w:val="22"/>
        </w:rPr>
        <w:t xml:space="preserve">ust be considered on a </w:t>
      </w:r>
      <w:r w:rsidR="00C907D4">
        <w:rPr>
          <w:rFonts w:ascii="Arial" w:hAnsi="Arial" w:cs="Arial"/>
          <w:sz w:val="22"/>
          <w:szCs w:val="22"/>
        </w:rPr>
        <w:t>Dwelling</w:t>
      </w:r>
      <w:r w:rsidR="56FDDA13" w:rsidRPr="674DC236">
        <w:rPr>
          <w:rFonts w:ascii="Arial" w:hAnsi="Arial" w:cs="Arial"/>
          <w:sz w:val="22"/>
          <w:szCs w:val="22"/>
        </w:rPr>
        <w:t>-by-</w:t>
      </w:r>
      <w:r w:rsidR="00C907D4">
        <w:rPr>
          <w:rFonts w:ascii="Arial" w:hAnsi="Arial" w:cs="Arial"/>
          <w:sz w:val="22"/>
          <w:szCs w:val="22"/>
        </w:rPr>
        <w:t xml:space="preserve">Dwelling </w:t>
      </w:r>
      <w:r w:rsidR="00880EB2" w:rsidRPr="674DC236">
        <w:rPr>
          <w:rFonts w:ascii="Arial" w:hAnsi="Arial" w:cs="Arial"/>
          <w:sz w:val="22"/>
          <w:szCs w:val="22"/>
        </w:rPr>
        <w:t>basis. Where required these must be included in the capital installation costs.</w:t>
      </w:r>
    </w:p>
    <w:p w14:paraId="1B162150" w14:textId="0F23A2AE" w:rsidR="6CD71748" w:rsidRDefault="6CD71748" w:rsidP="57D9B5A1">
      <w:pPr>
        <w:pStyle w:val="ListParagraph"/>
        <w:numPr>
          <w:ilvl w:val="0"/>
          <w:numId w:val="36"/>
        </w:numPr>
        <w:spacing w:after="120"/>
        <w:ind w:left="1418"/>
        <w:rPr>
          <w:rFonts w:ascii="Arial" w:eastAsia="Arial" w:hAnsi="Arial" w:cs="Arial"/>
          <w:color w:val="000000" w:themeColor="text1"/>
          <w:sz w:val="22"/>
          <w:szCs w:val="22"/>
        </w:rPr>
      </w:pPr>
      <w:r w:rsidRPr="57D9B5A1">
        <w:rPr>
          <w:rFonts w:ascii="Arial" w:hAnsi="Arial" w:cs="Arial"/>
          <w:b/>
          <w:bCs/>
          <w:sz w:val="22"/>
          <w:szCs w:val="22"/>
        </w:rPr>
        <w:t>Ancillary works</w:t>
      </w:r>
      <w:r w:rsidR="548FA96F" w:rsidRPr="57D9B5A1">
        <w:rPr>
          <w:rFonts w:ascii="Arial" w:hAnsi="Arial" w:cs="Arial"/>
          <w:b/>
          <w:bCs/>
          <w:sz w:val="22"/>
          <w:szCs w:val="22"/>
        </w:rPr>
        <w:t xml:space="preserve"> </w:t>
      </w:r>
      <w:r w:rsidR="548FA96F" w:rsidRPr="57D9B5A1">
        <w:rPr>
          <w:rFonts w:ascii="Arial" w:hAnsi="Arial" w:cs="Arial"/>
          <w:sz w:val="22"/>
          <w:szCs w:val="22"/>
        </w:rPr>
        <w:t xml:space="preserve">- </w:t>
      </w:r>
      <w:r w:rsidR="548FA96F" w:rsidRPr="57D9B5A1">
        <w:rPr>
          <w:rFonts w:ascii="Arial" w:eastAsia="Arial" w:hAnsi="Arial" w:cs="Arial"/>
          <w:color w:val="000000" w:themeColor="text1"/>
          <w:sz w:val="22"/>
          <w:szCs w:val="22"/>
        </w:rPr>
        <w:t xml:space="preserve">include installations that would not increase the SAP rating of the </w:t>
      </w:r>
      <w:r w:rsidR="00C907D4">
        <w:rPr>
          <w:rFonts w:ascii="Arial" w:eastAsia="Arial" w:hAnsi="Arial" w:cs="Arial"/>
          <w:color w:val="000000" w:themeColor="text1"/>
          <w:sz w:val="22"/>
          <w:szCs w:val="22"/>
        </w:rPr>
        <w:t>Dwelling</w:t>
      </w:r>
      <w:r w:rsidR="00C907D4" w:rsidRPr="57D9B5A1">
        <w:rPr>
          <w:rFonts w:ascii="Arial" w:eastAsia="Arial" w:hAnsi="Arial" w:cs="Arial"/>
          <w:color w:val="000000" w:themeColor="text1"/>
          <w:sz w:val="22"/>
          <w:szCs w:val="22"/>
        </w:rPr>
        <w:t xml:space="preserve"> </w:t>
      </w:r>
      <w:r w:rsidR="548FA96F" w:rsidRPr="57D9B5A1">
        <w:rPr>
          <w:rFonts w:ascii="Arial" w:eastAsia="Arial" w:hAnsi="Arial" w:cs="Arial"/>
          <w:color w:val="000000" w:themeColor="text1"/>
          <w:sz w:val="22"/>
          <w:szCs w:val="22"/>
        </w:rPr>
        <w:t xml:space="preserve">but would improve the experience of the householder, for example smoke and carbon monoxide detectors. Any works identified as Ancillary Works must be taken from </w:t>
      </w:r>
      <w:r w:rsidR="00C907D4">
        <w:rPr>
          <w:rFonts w:ascii="Arial" w:eastAsia="Arial" w:hAnsi="Arial" w:cs="Arial"/>
          <w:color w:val="000000" w:themeColor="text1"/>
          <w:sz w:val="22"/>
          <w:szCs w:val="22"/>
        </w:rPr>
        <w:t>c</w:t>
      </w:r>
      <w:r w:rsidR="548FA96F" w:rsidRPr="57D9B5A1">
        <w:rPr>
          <w:rFonts w:ascii="Arial" w:eastAsia="Arial" w:hAnsi="Arial" w:cs="Arial"/>
          <w:color w:val="000000" w:themeColor="text1"/>
          <w:sz w:val="22"/>
          <w:szCs w:val="22"/>
        </w:rPr>
        <w:t xml:space="preserve">apitalised costs within the threshold identified in the Lot value description (4.0 Document 4 Appendix A Lot Details). </w:t>
      </w:r>
      <w:r w:rsidR="00C907D4">
        <w:rPr>
          <w:rFonts w:ascii="Arial" w:eastAsia="Arial" w:hAnsi="Arial" w:cs="Arial"/>
          <w:color w:val="000000" w:themeColor="text1"/>
          <w:sz w:val="22"/>
          <w:szCs w:val="22"/>
        </w:rPr>
        <w:t>See further in Part C (</w:t>
      </w:r>
      <w:r w:rsidR="68B2F277" w:rsidRPr="57D9B5A1">
        <w:rPr>
          <w:rFonts w:ascii="Arial" w:eastAsia="Arial" w:hAnsi="Arial" w:cs="Arial"/>
          <w:sz w:val="22"/>
          <w:szCs w:val="22"/>
        </w:rPr>
        <w:t>Technical Specification</w:t>
      </w:r>
      <w:r w:rsidR="00C907D4">
        <w:rPr>
          <w:rFonts w:ascii="Arial" w:eastAsia="Arial" w:hAnsi="Arial" w:cs="Arial"/>
          <w:sz w:val="22"/>
          <w:szCs w:val="22"/>
        </w:rPr>
        <w:t>)</w:t>
      </w:r>
      <w:r w:rsidR="548FA96F" w:rsidRPr="57D9B5A1">
        <w:rPr>
          <w:rFonts w:ascii="Arial" w:eastAsia="Arial" w:hAnsi="Arial" w:cs="Arial"/>
          <w:color w:val="000000" w:themeColor="text1"/>
          <w:sz w:val="22"/>
          <w:szCs w:val="22"/>
        </w:rPr>
        <w:t>.</w:t>
      </w:r>
    </w:p>
    <w:p w14:paraId="5B2A6A2B" w14:textId="2D819449" w:rsidR="005E7797" w:rsidRDefault="007519E8" w:rsidP="674DC236">
      <w:pPr>
        <w:pStyle w:val="ListParagraph"/>
        <w:numPr>
          <w:ilvl w:val="0"/>
          <w:numId w:val="36"/>
        </w:numPr>
        <w:spacing w:after="120"/>
        <w:ind w:left="1418"/>
        <w:rPr>
          <w:sz w:val="22"/>
          <w:szCs w:val="22"/>
        </w:rPr>
      </w:pPr>
      <w:r w:rsidRPr="674DC236">
        <w:rPr>
          <w:rFonts w:ascii="Arial" w:hAnsi="Arial" w:cs="Arial"/>
          <w:b/>
          <w:bCs/>
          <w:sz w:val="22"/>
          <w:szCs w:val="22"/>
        </w:rPr>
        <w:t xml:space="preserve">Specialist professional </w:t>
      </w:r>
      <w:r w:rsidR="2F6FB456" w:rsidRPr="674DC236">
        <w:rPr>
          <w:rFonts w:ascii="Arial" w:eastAsia="Arial" w:hAnsi="Arial" w:cs="Arial"/>
          <w:b/>
          <w:bCs/>
          <w:color w:val="000000" w:themeColor="text1"/>
          <w:sz w:val="22"/>
          <w:szCs w:val="22"/>
        </w:rPr>
        <w:t>services</w:t>
      </w:r>
      <w:r w:rsidR="2F6FB456" w:rsidRPr="674DC236">
        <w:rPr>
          <w:rFonts w:ascii="Arial" w:eastAsia="Arial" w:hAnsi="Arial" w:cs="Arial"/>
          <w:color w:val="000000" w:themeColor="text1"/>
          <w:sz w:val="22"/>
          <w:szCs w:val="22"/>
        </w:rPr>
        <w:t xml:space="preserve"> – where specialist professional expertise is required (e.g., structural engineer, asbestos survey) this can also be included within the Ancillary costs.</w:t>
      </w:r>
    </w:p>
    <w:p w14:paraId="747B4ED0" w14:textId="3CE4FC6A" w:rsidR="00BC3987" w:rsidRDefault="005E7797" w:rsidP="00475F6F">
      <w:pPr>
        <w:tabs>
          <w:tab w:val="clear" w:pos="1440"/>
        </w:tabs>
        <w:spacing w:after="120"/>
        <w:ind w:left="1134" w:hanging="567"/>
        <w:rPr>
          <w:rFonts w:cs="Arial"/>
          <w:sz w:val="22"/>
          <w:szCs w:val="22"/>
        </w:rPr>
      </w:pPr>
      <w:r w:rsidRPr="674DC236">
        <w:rPr>
          <w:rFonts w:cs="Arial"/>
          <w:sz w:val="22"/>
          <w:szCs w:val="22"/>
        </w:rPr>
        <w:t xml:space="preserve">11.4 </w:t>
      </w:r>
      <w:r w:rsidR="001D0F24" w:rsidRPr="674DC236">
        <w:rPr>
          <w:rFonts w:cs="Arial"/>
          <w:sz w:val="22"/>
          <w:szCs w:val="22"/>
        </w:rPr>
        <w:t xml:space="preserve">Retrofit Assessments are </w:t>
      </w:r>
      <w:r w:rsidR="1533F69B" w:rsidRPr="674DC236">
        <w:rPr>
          <w:rFonts w:cs="Arial"/>
          <w:sz w:val="22"/>
          <w:szCs w:val="22"/>
        </w:rPr>
        <w:t>to be included in the Ancillary costs</w:t>
      </w:r>
      <w:r w:rsidR="001D0F24" w:rsidRPr="674DC236">
        <w:rPr>
          <w:rFonts w:cs="Arial"/>
          <w:sz w:val="22"/>
          <w:szCs w:val="22"/>
        </w:rPr>
        <w:t xml:space="preserve">. </w:t>
      </w:r>
    </w:p>
    <w:p w14:paraId="2BB04ED3" w14:textId="23DA07CA" w:rsidR="006642D8" w:rsidRPr="006642D8" w:rsidRDefault="006642D8" w:rsidP="006642D8">
      <w:pPr>
        <w:pStyle w:val="ListParagraph"/>
        <w:numPr>
          <w:ilvl w:val="0"/>
          <w:numId w:val="48"/>
        </w:numPr>
        <w:spacing w:after="120"/>
        <w:rPr>
          <w:rFonts w:ascii="Arial" w:hAnsi="Arial" w:cs="Arial"/>
          <w:sz w:val="22"/>
          <w:szCs w:val="22"/>
        </w:rPr>
      </w:pPr>
      <w:r>
        <w:rPr>
          <w:rFonts w:ascii="Arial" w:hAnsi="Arial" w:cs="Arial"/>
          <w:sz w:val="22"/>
          <w:szCs w:val="22"/>
        </w:rPr>
        <w:t xml:space="preserve">Where </w:t>
      </w:r>
      <w:r w:rsidRPr="00BB5C4C">
        <w:rPr>
          <w:rFonts w:ascii="Arial" w:hAnsi="Arial" w:cs="Arial"/>
          <w:sz w:val="22"/>
          <w:szCs w:val="22"/>
        </w:rPr>
        <w:t>Retrofit Assessors</w:t>
      </w:r>
      <w:r>
        <w:rPr>
          <w:rFonts w:ascii="Arial" w:hAnsi="Arial" w:cs="Arial"/>
          <w:sz w:val="22"/>
          <w:szCs w:val="22"/>
        </w:rPr>
        <w:t xml:space="preserve"> are required </w:t>
      </w:r>
      <w:r w:rsidR="001D0F24" w:rsidRPr="006642D8">
        <w:rPr>
          <w:rFonts w:ascii="Arial" w:hAnsi="Arial" w:cs="Arial"/>
          <w:sz w:val="22"/>
          <w:szCs w:val="22"/>
        </w:rPr>
        <w:t xml:space="preserve">the Delivery Organisation </w:t>
      </w:r>
      <w:r w:rsidR="00C907D4">
        <w:rPr>
          <w:rFonts w:ascii="Arial" w:hAnsi="Arial" w:cs="Arial"/>
          <w:sz w:val="22"/>
          <w:szCs w:val="22"/>
        </w:rPr>
        <w:t xml:space="preserve">shall </w:t>
      </w:r>
      <w:r w:rsidR="001D0F24" w:rsidRPr="006642D8">
        <w:rPr>
          <w:rFonts w:ascii="Arial" w:hAnsi="Arial" w:cs="Arial"/>
          <w:sz w:val="22"/>
          <w:szCs w:val="22"/>
        </w:rPr>
        <w:t xml:space="preserve">ensure that all </w:t>
      </w:r>
      <w:r w:rsidR="00C907D4">
        <w:rPr>
          <w:rFonts w:ascii="Arial" w:hAnsi="Arial" w:cs="Arial"/>
          <w:sz w:val="22"/>
          <w:szCs w:val="22"/>
        </w:rPr>
        <w:t xml:space="preserve">Retrofit </w:t>
      </w:r>
      <w:r w:rsidR="001D0F24" w:rsidRPr="006642D8">
        <w:rPr>
          <w:rFonts w:ascii="Arial" w:hAnsi="Arial" w:cs="Arial"/>
          <w:sz w:val="22"/>
          <w:szCs w:val="22"/>
        </w:rPr>
        <w:t xml:space="preserve">Assessors are trained in the PAS2035 process, have access to the appropriate software and are registered with a PAS2035 affiliated governing body. </w:t>
      </w:r>
    </w:p>
    <w:p w14:paraId="44367C90" w14:textId="7E69A593" w:rsidR="00BE5A55" w:rsidRPr="00525184" w:rsidRDefault="001D0F24" w:rsidP="006642D8">
      <w:pPr>
        <w:pStyle w:val="ListParagraph"/>
        <w:numPr>
          <w:ilvl w:val="0"/>
          <w:numId w:val="48"/>
        </w:numPr>
        <w:spacing w:after="120"/>
      </w:pPr>
      <w:r w:rsidRPr="006642D8">
        <w:rPr>
          <w:rFonts w:ascii="Arial" w:hAnsi="Arial" w:cs="Arial"/>
          <w:sz w:val="22"/>
          <w:szCs w:val="22"/>
        </w:rPr>
        <w:t xml:space="preserve">Under the PAS2035 pathway A, </w:t>
      </w:r>
      <w:r w:rsidRPr="00BB5C4C">
        <w:rPr>
          <w:rFonts w:ascii="Arial" w:hAnsi="Arial" w:cs="Arial"/>
          <w:sz w:val="22"/>
          <w:szCs w:val="22"/>
        </w:rPr>
        <w:t>Retrofit Coordinators</w:t>
      </w:r>
      <w:r w:rsidRPr="006642D8">
        <w:rPr>
          <w:rFonts w:ascii="Arial" w:hAnsi="Arial" w:cs="Arial"/>
          <w:sz w:val="22"/>
          <w:szCs w:val="22"/>
        </w:rPr>
        <w:t xml:space="preserve"> </w:t>
      </w:r>
      <w:proofErr w:type="gramStart"/>
      <w:r w:rsidRPr="006642D8">
        <w:rPr>
          <w:rFonts w:ascii="Arial" w:hAnsi="Arial" w:cs="Arial"/>
          <w:sz w:val="22"/>
          <w:szCs w:val="22"/>
        </w:rPr>
        <w:t>are able to</w:t>
      </w:r>
      <w:proofErr w:type="gramEnd"/>
      <w:r w:rsidRPr="006642D8">
        <w:rPr>
          <w:rFonts w:ascii="Arial" w:hAnsi="Arial" w:cs="Arial"/>
          <w:sz w:val="22"/>
          <w:szCs w:val="22"/>
        </w:rPr>
        <w:t xml:space="preserve"> undertake an initial site survey/assessment. However, if the </w:t>
      </w:r>
      <w:r w:rsidR="00C907D4">
        <w:rPr>
          <w:rFonts w:ascii="Arial" w:hAnsi="Arial" w:cs="Arial"/>
          <w:sz w:val="22"/>
          <w:szCs w:val="22"/>
        </w:rPr>
        <w:t>C</w:t>
      </w:r>
      <w:r w:rsidRPr="006642D8">
        <w:rPr>
          <w:rFonts w:ascii="Arial" w:hAnsi="Arial" w:cs="Arial"/>
          <w:sz w:val="22"/>
          <w:szCs w:val="22"/>
        </w:rPr>
        <w:t xml:space="preserve">ustomer proceeds to </w:t>
      </w:r>
      <w:r w:rsidRPr="006642D8">
        <w:rPr>
          <w:rFonts w:ascii="Arial" w:hAnsi="Arial" w:cs="Arial"/>
          <w:sz w:val="22"/>
          <w:szCs w:val="22"/>
        </w:rPr>
        <w:lastRenderedPageBreak/>
        <w:t>installation, there will need to be an EPC in place prior to works taking place and assessment of how that will have improved following the installation.</w:t>
      </w:r>
    </w:p>
    <w:p w14:paraId="3D2B79E9" w14:textId="77777777" w:rsidR="006B3E50" w:rsidRPr="00D4392B" w:rsidRDefault="006B3E50" w:rsidP="00567C2D">
      <w:pPr>
        <w:pStyle w:val="ListParagraph"/>
        <w:spacing w:after="120"/>
        <w:ind w:left="1134"/>
        <w:rPr>
          <w:rFonts w:ascii="Arial" w:hAnsi="Arial" w:cs="Arial"/>
          <w:sz w:val="22"/>
          <w:szCs w:val="22"/>
        </w:rPr>
      </w:pPr>
    </w:p>
    <w:p w14:paraId="3D2B79EA" w14:textId="1B4F6AAB" w:rsidR="006B3E50" w:rsidRPr="004C4CB4" w:rsidRDefault="0093710D" w:rsidP="46B5BCA3">
      <w:pPr>
        <w:pStyle w:val="ListParagraph"/>
        <w:numPr>
          <w:ilvl w:val="0"/>
          <w:numId w:val="6"/>
        </w:numPr>
        <w:spacing w:after="120"/>
        <w:rPr>
          <w:rFonts w:ascii="Arial" w:hAnsi="Arial" w:cs="Arial"/>
          <w:b/>
          <w:bCs/>
          <w:sz w:val="22"/>
          <w:szCs w:val="22"/>
        </w:rPr>
      </w:pPr>
      <w:r w:rsidRPr="46B5BCA3">
        <w:rPr>
          <w:rFonts w:ascii="Arial" w:hAnsi="Arial" w:cs="Arial"/>
          <w:b/>
          <w:bCs/>
          <w:sz w:val="22"/>
          <w:szCs w:val="22"/>
        </w:rPr>
        <w:t>Pricing</w:t>
      </w:r>
      <w:r w:rsidR="00C907D4">
        <w:rPr>
          <w:rFonts w:ascii="Arial" w:hAnsi="Arial" w:cs="Arial"/>
          <w:b/>
          <w:bCs/>
          <w:sz w:val="22"/>
          <w:szCs w:val="22"/>
        </w:rPr>
        <w:t xml:space="preserve"> </w:t>
      </w:r>
    </w:p>
    <w:p w14:paraId="3D2B79EB" w14:textId="6FCFCC91" w:rsidR="0025725F" w:rsidRPr="00597617" w:rsidRDefault="00DB7B7D" w:rsidP="00171ACB">
      <w:pPr>
        <w:pStyle w:val="ListParagraph"/>
        <w:numPr>
          <w:ilvl w:val="1"/>
          <w:numId w:val="6"/>
        </w:numPr>
        <w:spacing w:after="120"/>
        <w:rPr>
          <w:rFonts w:ascii="Arial" w:hAnsi="Arial" w:cs="Arial"/>
          <w:sz w:val="22"/>
          <w:szCs w:val="22"/>
        </w:rPr>
      </w:pPr>
      <w:r w:rsidRPr="674DC236">
        <w:rPr>
          <w:rFonts w:ascii="Arial" w:hAnsi="Arial" w:cs="Arial"/>
          <w:sz w:val="22"/>
          <w:szCs w:val="22"/>
        </w:rPr>
        <w:t xml:space="preserve">A detailed explanation </w:t>
      </w:r>
      <w:r w:rsidR="00E42A26" w:rsidRPr="674DC236">
        <w:rPr>
          <w:rFonts w:ascii="Arial" w:hAnsi="Arial" w:cs="Arial"/>
          <w:sz w:val="22"/>
          <w:szCs w:val="22"/>
        </w:rPr>
        <w:t>can be found in the Pricing Schedule</w:t>
      </w:r>
      <w:r w:rsidRPr="674DC236">
        <w:rPr>
          <w:rFonts w:ascii="Arial" w:hAnsi="Arial" w:cs="Arial"/>
          <w:sz w:val="22"/>
          <w:szCs w:val="22"/>
        </w:rPr>
        <w:t xml:space="preserve"> </w:t>
      </w:r>
      <w:r w:rsidR="006C0EDA" w:rsidRPr="674DC236">
        <w:rPr>
          <w:rFonts w:ascii="Arial" w:hAnsi="Arial" w:cs="Arial"/>
          <w:sz w:val="22"/>
          <w:szCs w:val="22"/>
        </w:rPr>
        <w:t>(</w:t>
      </w:r>
      <w:r w:rsidR="00F0500B" w:rsidRPr="674DC236">
        <w:rPr>
          <w:rFonts w:ascii="Arial" w:hAnsi="Arial" w:cs="Arial"/>
          <w:sz w:val="22"/>
          <w:szCs w:val="22"/>
        </w:rPr>
        <w:t xml:space="preserve">Document 7, Funding, </w:t>
      </w:r>
      <w:r w:rsidR="000A4060" w:rsidRPr="674DC236">
        <w:rPr>
          <w:rFonts w:ascii="Arial" w:hAnsi="Arial" w:cs="Arial"/>
          <w:sz w:val="22"/>
          <w:szCs w:val="22"/>
        </w:rPr>
        <w:t>Payment and Performance</w:t>
      </w:r>
      <w:r w:rsidR="006C0EDA" w:rsidRPr="674DC236">
        <w:rPr>
          <w:rFonts w:ascii="Arial" w:hAnsi="Arial" w:cs="Arial"/>
          <w:sz w:val="22"/>
          <w:szCs w:val="22"/>
        </w:rPr>
        <w:t xml:space="preserve">) </w:t>
      </w:r>
      <w:r w:rsidRPr="674DC236">
        <w:rPr>
          <w:rFonts w:ascii="Arial" w:hAnsi="Arial" w:cs="Arial"/>
          <w:sz w:val="22"/>
          <w:szCs w:val="22"/>
        </w:rPr>
        <w:t>but</w:t>
      </w:r>
      <w:r w:rsidR="00E42A26" w:rsidRPr="674DC236">
        <w:rPr>
          <w:rFonts w:ascii="Arial" w:hAnsi="Arial" w:cs="Arial"/>
          <w:sz w:val="22"/>
          <w:szCs w:val="22"/>
        </w:rPr>
        <w:t>,</w:t>
      </w:r>
      <w:r w:rsidRPr="674DC236">
        <w:rPr>
          <w:rFonts w:ascii="Arial" w:hAnsi="Arial" w:cs="Arial"/>
          <w:sz w:val="22"/>
          <w:szCs w:val="22"/>
        </w:rPr>
        <w:t xml:space="preserve"> in summary, t</w:t>
      </w:r>
      <w:r w:rsidR="006B3E50" w:rsidRPr="674DC236">
        <w:rPr>
          <w:rFonts w:ascii="Arial" w:hAnsi="Arial" w:cs="Arial"/>
          <w:sz w:val="22"/>
          <w:szCs w:val="22"/>
        </w:rPr>
        <w:t xml:space="preserve">he </w:t>
      </w:r>
      <w:r w:rsidR="092E75A9" w:rsidRPr="674DC236">
        <w:rPr>
          <w:rFonts w:ascii="Arial" w:hAnsi="Arial" w:cs="Arial"/>
          <w:sz w:val="22"/>
          <w:szCs w:val="22"/>
        </w:rPr>
        <w:t>Authority</w:t>
      </w:r>
      <w:r w:rsidR="0025725F" w:rsidRPr="674DC236">
        <w:rPr>
          <w:rFonts w:ascii="Arial" w:hAnsi="Arial" w:cs="Arial"/>
          <w:sz w:val="22"/>
          <w:szCs w:val="22"/>
        </w:rPr>
        <w:t xml:space="preserve"> will </w:t>
      </w:r>
      <w:r w:rsidR="00ED1970" w:rsidRPr="674DC236">
        <w:rPr>
          <w:rFonts w:ascii="Arial" w:hAnsi="Arial" w:cs="Arial"/>
          <w:sz w:val="22"/>
          <w:szCs w:val="22"/>
        </w:rPr>
        <w:t>pay</w:t>
      </w:r>
      <w:r w:rsidR="0025725F" w:rsidRPr="674DC236">
        <w:rPr>
          <w:rFonts w:ascii="Arial" w:hAnsi="Arial" w:cs="Arial"/>
          <w:sz w:val="22"/>
          <w:szCs w:val="22"/>
        </w:rPr>
        <w:t>:</w:t>
      </w:r>
    </w:p>
    <w:p w14:paraId="3D2B79EC" w14:textId="62F74D9B" w:rsidR="0025725F" w:rsidRPr="00597617" w:rsidRDefault="0025725F" w:rsidP="0025725F">
      <w:pPr>
        <w:pStyle w:val="ListParagraph"/>
        <w:numPr>
          <w:ilvl w:val="0"/>
          <w:numId w:val="37"/>
        </w:numPr>
        <w:spacing w:after="120"/>
        <w:rPr>
          <w:rFonts w:ascii="Arial" w:hAnsi="Arial" w:cs="Arial"/>
          <w:sz w:val="22"/>
          <w:szCs w:val="22"/>
        </w:rPr>
      </w:pPr>
      <w:r w:rsidRPr="00597617">
        <w:rPr>
          <w:rFonts w:ascii="Arial" w:hAnsi="Arial" w:cs="Arial"/>
          <w:sz w:val="22"/>
          <w:szCs w:val="22"/>
        </w:rPr>
        <w:t>Measures</w:t>
      </w:r>
      <w:r w:rsidR="00ED1970" w:rsidRPr="00597617">
        <w:rPr>
          <w:rFonts w:ascii="Arial" w:hAnsi="Arial" w:cs="Arial"/>
          <w:sz w:val="22"/>
          <w:szCs w:val="22"/>
        </w:rPr>
        <w:t xml:space="preserve"> Prices</w:t>
      </w:r>
      <w:r w:rsidRPr="00597617">
        <w:rPr>
          <w:rFonts w:ascii="Arial" w:hAnsi="Arial" w:cs="Arial"/>
          <w:sz w:val="22"/>
          <w:szCs w:val="22"/>
        </w:rPr>
        <w:t xml:space="preserve"> (</w:t>
      </w:r>
      <w:r w:rsidR="008F6BE8" w:rsidRPr="00597617">
        <w:rPr>
          <w:rFonts w:ascii="Arial" w:hAnsi="Arial" w:cs="Arial"/>
          <w:sz w:val="22"/>
          <w:szCs w:val="22"/>
        </w:rPr>
        <w:t xml:space="preserve">reflected in </w:t>
      </w:r>
      <w:r w:rsidR="009A14C4">
        <w:rPr>
          <w:rFonts w:ascii="Arial" w:hAnsi="Arial" w:cs="Arial"/>
          <w:sz w:val="22"/>
          <w:szCs w:val="22"/>
        </w:rPr>
        <w:t>3.0 LADs2 Document 3: Pricing Schedule).</w:t>
      </w:r>
      <w:r w:rsidR="008F6BE8" w:rsidRPr="00597617">
        <w:rPr>
          <w:rFonts w:ascii="Arial" w:hAnsi="Arial" w:cs="Arial"/>
          <w:sz w:val="22"/>
          <w:szCs w:val="22"/>
        </w:rPr>
        <w:t xml:space="preserve"> </w:t>
      </w:r>
    </w:p>
    <w:p w14:paraId="0DEBA0E9" w14:textId="7102A9B0" w:rsidR="000017B5" w:rsidRDefault="008F6BE8" w:rsidP="674DC236">
      <w:pPr>
        <w:pStyle w:val="ListParagraph"/>
        <w:spacing w:after="120"/>
        <w:ind w:left="1854"/>
        <w:rPr>
          <w:rFonts w:ascii="Arial" w:hAnsi="Arial" w:cs="Arial"/>
          <w:sz w:val="22"/>
          <w:szCs w:val="22"/>
        </w:rPr>
      </w:pPr>
      <w:r w:rsidRPr="674DC236">
        <w:rPr>
          <w:rFonts w:ascii="Arial" w:hAnsi="Arial" w:cs="Arial"/>
          <w:sz w:val="22"/>
          <w:szCs w:val="22"/>
        </w:rPr>
        <w:t xml:space="preserve">The Measures price should include all </w:t>
      </w:r>
      <w:r w:rsidR="00AF6A23" w:rsidRPr="674DC236">
        <w:rPr>
          <w:rFonts w:ascii="Arial" w:hAnsi="Arial" w:cs="Arial"/>
          <w:sz w:val="22"/>
          <w:szCs w:val="22"/>
        </w:rPr>
        <w:t xml:space="preserve">anticipated </w:t>
      </w:r>
      <w:r w:rsidRPr="674DC236">
        <w:rPr>
          <w:rFonts w:ascii="Arial" w:hAnsi="Arial" w:cs="Arial"/>
          <w:sz w:val="22"/>
          <w:szCs w:val="22"/>
        </w:rPr>
        <w:t xml:space="preserve">costs associated with </w:t>
      </w:r>
      <w:r w:rsidR="00AF6A23" w:rsidRPr="674DC236">
        <w:rPr>
          <w:rFonts w:ascii="Arial" w:hAnsi="Arial" w:cs="Arial"/>
          <w:sz w:val="22"/>
          <w:szCs w:val="22"/>
        </w:rPr>
        <w:t xml:space="preserve">standard installation of the </w:t>
      </w:r>
      <w:r w:rsidR="7A4C052A" w:rsidRPr="674DC236">
        <w:rPr>
          <w:rFonts w:ascii="Arial" w:hAnsi="Arial" w:cs="Arial"/>
          <w:sz w:val="22"/>
          <w:szCs w:val="22"/>
        </w:rPr>
        <w:t>measure,</w:t>
      </w:r>
      <w:r w:rsidR="003F54F7" w:rsidRPr="674DC236">
        <w:rPr>
          <w:rFonts w:ascii="Arial" w:hAnsi="Arial" w:cs="Arial"/>
          <w:sz w:val="22"/>
          <w:szCs w:val="22"/>
        </w:rPr>
        <w:t xml:space="preserve"> for </w:t>
      </w:r>
      <w:r w:rsidR="0045342F" w:rsidRPr="674DC236">
        <w:rPr>
          <w:rFonts w:ascii="Arial" w:hAnsi="Arial" w:cs="Arial"/>
          <w:sz w:val="22"/>
          <w:szCs w:val="22"/>
        </w:rPr>
        <w:t>example,</w:t>
      </w:r>
      <w:r w:rsidR="003F54F7" w:rsidRPr="674DC236">
        <w:rPr>
          <w:rFonts w:ascii="Arial" w:hAnsi="Arial" w:cs="Arial"/>
          <w:sz w:val="22"/>
          <w:szCs w:val="22"/>
        </w:rPr>
        <w:t xml:space="preserve"> material cost, </w:t>
      </w:r>
      <w:r w:rsidR="00FB22BF" w:rsidRPr="674DC236">
        <w:rPr>
          <w:rFonts w:ascii="Arial" w:hAnsi="Arial" w:cs="Arial"/>
          <w:sz w:val="22"/>
          <w:szCs w:val="22"/>
        </w:rPr>
        <w:t xml:space="preserve">delivery and storage, </w:t>
      </w:r>
      <w:r w:rsidR="000B394F" w:rsidRPr="674DC236">
        <w:rPr>
          <w:rFonts w:ascii="Arial" w:hAnsi="Arial" w:cs="Arial"/>
          <w:sz w:val="22"/>
          <w:szCs w:val="22"/>
        </w:rPr>
        <w:t xml:space="preserve">prelims and </w:t>
      </w:r>
      <w:r w:rsidR="001F1663" w:rsidRPr="674DC236">
        <w:rPr>
          <w:rFonts w:ascii="Arial" w:hAnsi="Arial" w:cs="Arial"/>
          <w:sz w:val="22"/>
          <w:szCs w:val="22"/>
        </w:rPr>
        <w:t>staff welfare, and all</w:t>
      </w:r>
      <w:r w:rsidR="00F805C5" w:rsidRPr="674DC236">
        <w:rPr>
          <w:rFonts w:ascii="Arial" w:hAnsi="Arial" w:cs="Arial"/>
          <w:sz w:val="22"/>
          <w:szCs w:val="22"/>
        </w:rPr>
        <w:t xml:space="preserve"> labour costs</w:t>
      </w:r>
      <w:r w:rsidR="001F1663" w:rsidRPr="674DC236">
        <w:rPr>
          <w:rFonts w:ascii="Arial" w:hAnsi="Arial" w:cs="Arial"/>
          <w:sz w:val="22"/>
          <w:szCs w:val="22"/>
        </w:rPr>
        <w:t>.</w:t>
      </w:r>
      <w:r w:rsidR="5C633C91" w:rsidRPr="674DC236">
        <w:rPr>
          <w:rFonts w:ascii="Arial" w:hAnsi="Arial" w:cs="Arial"/>
          <w:sz w:val="22"/>
          <w:szCs w:val="22"/>
        </w:rPr>
        <w:t xml:space="preserve"> </w:t>
      </w:r>
    </w:p>
    <w:p w14:paraId="0E34C897" w14:textId="635E57C8" w:rsidR="005C7C83" w:rsidRPr="0038649F" w:rsidRDefault="005C7C83" w:rsidP="674DC236">
      <w:pPr>
        <w:pStyle w:val="ListParagraph"/>
        <w:spacing w:after="120"/>
        <w:ind w:left="1854"/>
        <w:rPr>
          <w:rFonts w:ascii="Arial" w:hAnsi="Arial" w:cs="Arial"/>
          <w:sz w:val="22"/>
          <w:szCs w:val="22"/>
        </w:rPr>
      </w:pPr>
      <w:r>
        <w:rPr>
          <w:rFonts w:ascii="Arial" w:hAnsi="Arial" w:cs="Arial"/>
          <w:sz w:val="22"/>
          <w:szCs w:val="22"/>
        </w:rPr>
        <w:t xml:space="preserve">The Delivery Organisation shall endeavour to install multiple </w:t>
      </w:r>
      <w:r w:rsidR="003864CA">
        <w:rPr>
          <w:rFonts w:ascii="Arial" w:hAnsi="Arial" w:cs="Arial"/>
          <w:sz w:val="22"/>
          <w:szCs w:val="22"/>
        </w:rPr>
        <w:t xml:space="preserve">measures at the Dwelling up to the allowable grant funding limit. </w:t>
      </w:r>
      <w:r w:rsidR="00825303">
        <w:rPr>
          <w:rFonts w:ascii="Arial" w:hAnsi="Arial" w:cs="Arial"/>
          <w:sz w:val="22"/>
          <w:szCs w:val="22"/>
        </w:rPr>
        <w:t>A Delivery Organisation Fee will not be paid if only the lowest cost Measure improvement is installed. For example, replacing or installing TRV’s, an immersion heater jacket</w:t>
      </w:r>
      <w:r w:rsidR="00F04A5E">
        <w:rPr>
          <w:rFonts w:ascii="Arial" w:hAnsi="Arial" w:cs="Arial"/>
          <w:sz w:val="22"/>
          <w:szCs w:val="22"/>
        </w:rPr>
        <w:t xml:space="preserve">, timer, programmer or smart controls, pipe insulation or a single </w:t>
      </w:r>
      <w:r w:rsidR="00460F73">
        <w:rPr>
          <w:rFonts w:ascii="Arial" w:hAnsi="Arial" w:cs="Arial"/>
          <w:sz w:val="22"/>
          <w:szCs w:val="22"/>
        </w:rPr>
        <w:t xml:space="preserve">room d-MEV as a single item will not be </w:t>
      </w:r>
      <w:proofErr w:type="gramStart"/>
      <w:r w:rsidR="00460F73">
        <w:rPr>
          <w:rFonts w:ascii="Arial" w:hAnsi="Arial" w:cs="Arial"/>
          <w:sz w:val="22"/>
          <w:szCs w:val="22"/>
        </w:rPr>
        <w:t>sufficient</w:t>
      </w:r>
      <w:proofErr w:type="gramEnd"/>
      <w:r w:rsidR="00460F73">
        <w:rPr>
          <w:rFonts w:ascii="Arial" w:hAnsi="Arial" w:cs="Arial"/>
          <w:sz w:val="22"/>
          <w:szCs w:val="22"/>
        </w:rPr>
        <w:t xml:space="preserve"> to </w:t>
      </w:r>
      <w:r w:rsidR="002833BC">
        <w:rPr>
          <w:rFonts w:ascii="Arial" w:hAnsi="Arial" w:cs="Arial"/>
          <w:sz w:val="22"/>
          <w:szCs w:val="22"/>
        </w:rPr>
        <w:t xml:space="preserve">charge a Delivery Organisation Fee. Where these can be installed in combination, or alongside a more </w:t>
      </w:r>
      <w:r w:rsidR="00B56E3A">
        <w:rPr>
          <w:rFonts w:ascii="Arial" w:hAnsi="Arial" w:cs="Arial"/>
          <w:sz w:val="22"/>
          <w:szCs w:val="22"/>
        </w:rPr>
        <w:t>substantive</w:t>
      </w:r>
      <w:r w:rsidR="002833BC">
        <w:rPr>
          <w:rFonts w:ascii="Arial" w:hAnsi="Arial" w:cs="Arial"/>
          <w:sz w:val="22"/>
          <w:szCs w:val="22"/>
        </w:rPr>
        <w:t xml:space="preserve"> </w:t>
      </w:r>
      <w:r w:rsidR="002B2F50">
        <w:rPr>
          <w:rFonts w:ascii="Arial" w:hAnsi="Arial" w:cs="Arial"/>
          <w:sz w:val="22"/>
          <w:szCs w:val="22"/>
        </w:rPr>
        <w:t>M</w:t>
      </w:r>
      <w:r w:rsidR="00B56E3A">
        <w:rPr>
          <w:rFonts w:ascii="Arial" w:hAnsi="Arial" w:cs="Arial"/>
          <w:sz w:val="22"/>
          <w:szCs w:val="22"/>
        </w:rPr>
        <w:t xml:space="preserve">easure </w:t>
      </w:r>
      <w:r w:rsidR="002B2F50">
        <w:rPr>
          <w:rFonts w:ascii="Arial" w:hAnsi="Arial" w:cs="Arial"/>
          <w:sz w:val="22"/>
          <w:szCs w:val="22"/>
        </w:rPr>
        <w:t xml:space="preserve">will be </w:t>
      </w:r>
      <w:proofErr w:type="gramStart"/>
      <w:r w:rsidR="002B2F50">
        <w:rPr>
          <w:rFonts w:ascii="Arial" w:hAnsi="Arial" w:cs="Arial"/>
          <w:sz w:val="22"/>
          <w:szCs w:val="22"/>
        </w:rPr>
        <w:t>sufficient</w:t>
      </w:r>
      <w:proofErr w:type="gramEnd"/>
      <w:r w:rsidR="002B2F50">
        <w:rPr>
          <w:rFonts w:ascii="Arial" w:hAnsi="Arial" w:cs="Arial"/>
          <w:sz w:val="22"/>
          <w:szCs w:val="22"/>
        </w:rPr>
        <w:t xml:space="preserve"> to incur a Delivery Organisation Fee.</w:t>
      </w:r>
    </w:p>
    <w:p w14:paraId="084263F7" w14:textId="6B783163" w:rsidR="000017B5" w:rsidRPr="0038649F" w:rsidRDefault="5C633C91" w:rsidP="000017B5">
      <w:pPr>
        <w:pStyle w:val="ListParagraph"/>
        <w:spacing w:after="120"/>
        <w:ind w:left="1854"/>
        <w:rPr>
          <w:rFonts w:ascii="Arial" w:hAnsi="Arial" w:cs="Arial"/>
          <w:sz w:val="22"/>
          <w:szCs w:val="22"/>
        </w:rPr>
      </w:pPr>
      <w:r w:rsidRPr="674DC236">
        <w:rPr>
          <w:rFonts w:ascii="Arial" w:hAnsi="Arial" w:cs="Arial"/>
          <w:sz w:val="22"/>
          <w:szCs w:val="22"/>
        </w:rPr>
        <w:t>The Measures price must also include cost for the Retrofit Coordinator.</w:t>
      </w:r>
    </w:p>
    <w:p w14:paraId="79F987D3" w14:textId="3601E666" w:rsidR="00425BD3" w:rsidRPr="00597617" w:rsidRDefault="00425BD3" w:rsidP="008F6BE8">
      <w:pPr>
        <w:pStyle w:val="ListParagraph"/>
        <w:spacing w:after="120"/>
        <w:ind w:left="1854"/>
        <w:rPr>
          <w:rFonts w:ascii="Arial" w:hAnsi="Arial" w:cs="Arial"/>
          <w:sz w:val="22"/>
          <w:szCs w:val="22"/>
          <w:u w:val="single"/>
        </w:rPr>
      </w:pPr>
      <w:r w:rsidRPr="00597617">
        <w:rPr>
          <w:rFonts w:ascii="Arial" w:hAnsi="Arial" w:cs="Arial"/>
          <w:sz w:val="22"/>
          <w:szCs w:val="22"/>
        </w:rPr>
        <w:t xml:space="preserve">The </w:t>
      </w:r>
      <w:r w:rsidR="00C907D4">
        <w:rPr>
          <w:rFonts w:ascii="Arial" w:hAnsi="Arial" w:cs="Arial"/>
          <w:sz w:val="22"/>
          <w:szCs w:val="22"/>
        </w:rPr>
        <w:t>agreement</w:t>
      </w:r>
      <w:r w:rsidR="00C907D4" w:rsidRPr="00597617">
        <w:rPr>
          <w:rFonts w:ascii="Arial" w:hAnsi="Arial" w:cs="Arial"/>
          <w:sz w:val="22"/>
          <w:szCs w:val="22"/>
        </w:rPr>
        <w:t xml:space="preserve"> </w:t>
      </w:r>
      <w:r w:rsidRPr="00597617">
        <w:rPr>
          <w:rFonts w:ascii="Arial" w:hAnsi="Arial" w:cs="Arial"/>
          <w:sz w:val="22"/>
          <w:szCs w:val="22"/>
        </w:rPr>
        <w:t xml:space="preserve">makes allowances for non-standard properties and installations. This is </w:t>
      </w:r>
      <w:r w:rsidR="00715363">
        <w:rPr>
          <w:rFonts w:ascii="Arial" w:hAnsi="Arial" w:cs="Arial"/>
          <w:sz w:val="22"/>
          <w:szCs w:val="22"/>
        </w:rPr>
        <w:t>detailed in 7.0 LADs2 Document 7</w:t>
      </w:r>
      <w:r w:rsidR="00AE0533">
        <w:rPr>
          <w:rFonts w:ascii="Arial" w:hAnsi="Arial" w:cs="Arial"/>
          <w:sz w:val="22"/>
          <w:szCs w:val="22"/>
        </w:rPr>
        <w:t>: Funding, Payments and Performance</w:t>
      </w:r>
      <w:r w:rsidR="009300F4">
        <w:rPr>
          <w:rFonts w:ascii="Arial" w:hAnsi="Arial" w:cs="Arial"/>
          <w:sz w:val="22"/>
          <w:szCs w:val="22"/>
        </w:rPr>
        <w:t xml:space="preserve">; </w:t>
      </w:r>
      <w:r w:rsidR="009300F4">
        <w:rPr>
          <w:rFonts w:ascii="Arial" w:hAnsi="Arial" w:cs="Arial"/>
          <w:sz w:val="22"/>
          <w:szCs w:val="22"/>
          <w:u w:val="single"/>
        </w:rPr>
        <w:t>t</w:t>
      </w:r>
      <w:r w:rsidR="009300F4" w:rsidRPr="00597617">
        <w:rPr>
          <w:rFonts w:ascii="Arial" w:hAnsi="Arial" w:cs="Arial"/>
          <w:sz w:val="22"/>
          <w:szCs w:val="22"/>
          <w:u w:val="single"/>
        </w:rPr>
        <w:t xml:space="preserve">he </w:t>
      </w:r>
      <w:r w:rsidR="0045342F" w:rsidRPr="00597617">
        <w:rPr>
          <w:rFonts w:ascii="Arial" w:hAnsi="Arial" w:cs="Arial"/>
          <w:sz w:val="22"/>
          <w:szCs w:val="22"/>
          <w:u w:val="single"/>
        </w:rPr>
        <w:t>Tenderer should not include these prices in the Measure Price.</w:t>
      </w:r>
    </w:p>
    <w:p w14:paraId="3D2B79ED" w14:textId="779CDBB0" w:rsidR="0025725F" w:rsidRPr="00597617" w:rsidRDefault="00597617" w:rsidP="00B52A14">
      <w:pPr>
        <w:pStyle w:val="ListParagraph"/>
        <w:numPr>
          <w:ilvl w:val="0"/>
          <w:numId w:val="37"/>
        </w:numPr>
        <w:spacing w:after="120"/>
        <w:rPr>
          <w:rFonts w:ascii="Arial" w:hAnsi="Arial" w:cs="Arial"/>
          <w:sz w:val="22"/>
          <w:szCs w:val="22"/>
        </w:rPr>
      </w:pPr>
      <w:r w:rsidRPr="00597617">
        <w:rPr>
          <w:rFonts w:ascii="Arial" w:hAnsi="Arial" w:cs="Arial"/>
          <w:sz w:val="22"/>
          <w:szCs w:val="22"/>
        </w:rPr>
        <w:t xml:space="preserve">Delivery Fee - </w:t>
      </w:r>
      <w:r w:rsidR="00B52A14" w:rsidRPr="00597617">
        <w:rPr>
          <w:rFonts w:ascii="Arial" w:hAnsi="Arial" w:cs="Arial"/>
          <w:sz w:val="22"/>
          <w:szCs w:val="22"/>
        </w:rPr>
        <w:t xml:space="preserve">An exception is made in </w:t>
      </w:r>
      <w:r w:rsidR="00FA2E54" w:rsidRPr="00597617">
        <w:rPr>
          <w:rFonts w:ascii="Arial" w:hAnsi="Arial" w:cs="Arial"/>
          <w:sz w:val="22"/>
          <w:szCs w:val="22"/>
        </w:rPr>
        <w:t xml:space="preserve">Lot </w:t>
      </w:r>
      <w:r w:rsidR="00973336" w:rsidRPr="00597617">
        <w:rPr>
          <w:rFonts w:ascii="Arial" w:hAnsi="Arial" w:cs="Arial"/>
          <w:sz w:val="22"/>
          <w:szCs w:val="22"/>
        </w:rPr>
        <w:t>6</w:t>
      </w:r>
      <w:r w:rsidR="00B33998" w:rsidRPr="00597617">
        <w:rPr>
          <w:rFonts w:ascii="Arial" w:hAnsi="Arial" w:cs="Arial"/>
          <w:sz w:val="22"/>
          <w:szCs w:val="22"/>
        </w:rPr>
        <w:t xml:space="preserve"> and Lot 7</w:t>
      </w:r>
      <w:r w:rsidR="00FA2E54" w:rsidRPr="00597617">
        <w:rPr>
          <w:rFonts w:ascii="Arial" w:hAnsi="Arial" w:cs="Arial"/>
          <w:sz w:val="22"/>
          <w:szCs w:val="22"/>
        </w:rPr>
        <w:t xml:space="preserve"> where a price for delivering to the Isle</w:t>
      </w:r>
      <w:r w:rsidR="009300F4">
        <w:rPr>
          <w:rFonts w:ascii="Arial" w:hAnsi="Arial" w:cs="Arial"/>
          <w:sz w:val="22"/>
          <w:szCs w:val="22"/>
        </w:rPr>
        <w:t>s</w:t>
      </w:r>
      <w:r w:rsidR="00FA2E54" w:rsidRPr="00597617">
        <w:rPr>
          <w:rFonts w:ascii="Arial" w:hAnsi="Arial" w:cs="Arial"/>
          <w:sz w:val="22"/>
          <w:szCs w:val="22"/>
        </w:rPr>
        <w:t xml:space="preserve"> of Scilly</w:t>
      </w:r>
      <w:r w:rsidR="00B33998" w:rsidRPr="00597617">
        <w:rPr>
          <w:rFonts w:ascii="Arial" w:hAnsi="Arial" w:cs="Arial"/>
          <w:sz w:val="22"/>
          <w:szCs w:val="22"/>
        </w:rPr>
        <w:t xml:space="preserve"> and Isle of Wight</w:t>
      </w:r>
      <w:r w:rsidR="00FA2E54" w:rsidRPr="00597617">
        <w:rPr>
          <w:rFonts w:ascii="Arial" w:hAnsi="Arial" w:cs="Arial"/>
          <w:sz w:val="22"/>
          <w:szCs w:val="22"/>
        </w:rPr>
        <w:t xml:space="preserve"> is </w:t>
      </w:r>
      <w:r w:rsidR="00B33998" w:rsidRPr="00597617">
        <w:rPr>
          <w:rFonts w:ascii="Arial" w:hAnsi="Arial" w:cs="Arial"/>
          <w:sz w:val="22"/>
          <w:szCs w:val="22"/>
        </w:rPr>
        <w:t>allowable</w:t>
      </w:r>
      <w:r w:rsidR="00FA2E54" w:rsidRPr="00597617">
        <w:rPr>
          <w:rFonts w:ascii="Arial" w:hAnsi="Arial" w:cs="Arial"/>
          <w:sz w:val="22"/>
          <w:szCs w:val="22"/>
        </w:rPr>
        <w:t xml:space="preserve"> recognising the additional transport costs.</w:t>
      </w:r>
      <w:r w:rsidR="0025725F" w:rsidRPr="00597617">
        <w:rPr>
          <w:rFonts w:ascii="Arial" w:hAnsi="Arial" w:cs="Arial"/>
          <w:sz w:val="22"/>
          <w:szCs w:val="22"/>
        </w:rPr>
        <w:t xml:space="preserve"> </w:t>
      </w:r>
      <w:r w:rsidR="00B52A14" w:rsidRPr="00597617">
        <w:rPr>
          <w:rFonts w:ascii="Arial" w:hAnsi="Arial" w:cs="Arial"/>
          <w:sz w:val="22"/>
          <w:szCs w:val="22"/>
        </w:rPr>
        <w:t xml:space="preserve">This will only be applied to </w:t>
      </w:r>
      <w:r w:rsidR="00B55481" w:rsidRPr="00597617">
        <w:rPr>
          <w:rFonts w:ascii="Arial" w:hAnsi="Arial" w:cs="Arial"/>
          <w:sz w:val="22"/>
          <w:szCs w:val="22"/>
        </w:rPr>
        <w:t>installations on the Isles of Scilly</w:t>
      </w:r>
      <w:r w:rsidR="00DB1BA7" w:rsidRPr="00597617">
        <w:rPr>
          <w:rFonts w:ascii="Arial" w:hAnsi="Arial" w:cs="Arial"/>
          <w:sz w:val="22"/>
          <w:szCs w:val="22"/>
        </w:rPr>
        <w:t xml:space="preserve"> and Isle of Wight</w:t>
      </w:r>
      <w:r w:rsidR="00B55481" w:rsidRPr="00597617">
        <w:rPr>
          <w:rFonts w:ascii="Arial" w:hAnsi="Arial" w:cs="Arial"/>
          <w:sz w:val="22"/>
          <w:szCs w:val="22"/>
        </w:rPr>
        <w:t xml:space="preserve"> and should not be applied to any installations </w:t>
      </w:r>
      <w:r w:rsidR="00DB1BA7" w:rsidRPr="00597617">
        <w:rPr>
          <w:rFonts w:ascii="Arial" w:hAnsi="Arial" w:cs="Arial"/>
          <w:sz w:val="22"/>
          <w:szCs w:val="22"/>
        </w:rPr>
        <w:t>on the mainland</w:t>
      </w:r>
      <w:r w:rsidR="00B55481" w:rsidRPr="00597617">
        <w:rPr>
          <w:rFonts w:ascii="Arial" w:hAnsi="Arial" w:cs="Arial"/>
          <w:sz w:val="22"/>
          <w:szCs w:val="22"/>
        </w:rPr>
        <w:t>.</w:t>
      </w:r>
    </w:p>
    <w:p w14:paraId="3D2B79EE" w14:textId="54EB2CFF" w:rsidR="0025725F" w:rsidRPr="00597617" w:rsidRDefault="00C9467C" w:rsidP="674DC236">
      <w:pPr>
        <w:pStyle w:val="ListParagraph"/>
        <w:numPr>
          <w:ilvl w:val="0"/>
          <w:numId w:val="37"/>
        </w:numPr>
        <w:spacing w:after="120"/>
        <w:rPr>
          <w:rFonts w:ascii="Arial" w:hAnsi="Arial" w:cs="Arial"/>
          <w:strike/>
          <w:sz w:val="22"/>
          <w:szCs w:val="22"/>
        </w:rPr>
      </w:pPr>
      <w:r>
        <w:rPr>
          <w:rFonts w:ascii="Arial" w:hAnsi="Arial" w:cs="Arial"/>
          <w:sz w:val="22"/>
          <w:szCs w:val="22"/>
        </w:rPr>
        <w:t>Management Fees</w:t>
      </w:r>
      <w:r w:rsidR="00001124" w:rsidRPr="674DC236">
        <w:rPr>
          <w:rFonts w:ascii="Arial" w:hAnsi="Arial" w:cs="Arial"/>
          <w:sz w:val="22"/>
          <w:szCs w:val="22"/>
        </w:rPr>
        <w:t xml:space="preserve"> include staff and overheads, marketing, advertising and all administration undertaken by the Deliv</w:t>
      </w:r>
      <w:r w:rsidR="009F4128" w:rsidRPr="674DC236">
        <w:rPr>
          <w:rFonts w:ascii="Arial" w:hAnsi="Arial" w:cs="Arial"/>
          <w:sz w:val="22"/>
          <w:szCs w:val="22"/>
        </w:rPr>
        <w:t xml:space="preserve">ery Organisation. </w:t>
      </w:r>
    </w:p>
    <w:p w14:paraId="61BF0B78" w14:textId="5458E822" w:rsidR="4FB1441B" w:rsidRDefault="4FB1441B" w:rsidP="674DC236">
      <w:pPr>
        <w:pStyle w:val="ListParagraph"/>
        <w:numPr>
          <w:ilvl w:val="0"/>
          <w:numId w:val="37"/>
        </w:numPr>
        <w:spacing w:after="120"/>
        <w:rPr>
          <w:strike/>
          <w:sz w:val="22"/>
          <w:szCs w:val="22"/>
        </w:rPr>
      </w:pPr>
      <w:r w:rsidRPr="674DC236">
        <w:rPr>
          <w:rFonts w:ascii="Arial" w:hAnsi="Arial" w:cs="Arial"/>
          <w:sz w:val="22"/>
          <w:szCs w:val="22"/>
        </w:rPr>
        <w:t xml:space="preserve">Ancillary </w:t>
      </w:r>
      <w:r w:rsidR="00D25171">
        <w:rPr>
          <w:rFonts w:ascii="Arial" w:hAnsi="Arial" w:cs="Arial"/>
          <w:sz w:val="22"/>
          <w:szCs w:val="22"/>
        </w:rPr>
        <w:t>C</w:t>
      </w:r>
      <w:r w:rsidRPr="674DC236">
        <w:rPr>
          <w:rFonts w:ascii="Arial" w:hAnsi="Arial" w:cs="Arial"/>
          <w:sz w:val="22"/>
          <w:szCs w:val="22"/>
        </w:rPr>
        <w:t>osts are allocated within the 10.5% maximum allowance for non-capital works</w:t>
      </w:r>
      <w:r w:rsidR="06263727" w:rsidRPr="674DC236">
        <w:rPr>
          <w:rFonts w:ascii="Arial" w:hAnsi="Arial" w:cs="Arial"/>
          <w:sz w:val="22"/>
          <w:szCs w:val="22"/>
        </w:rPr>
        <w:t xml:space="preserve">. </w:t>
      </w:r>
      <w:r w:rsidR="007322AE" w:rsidRPr="004F6CF3">
        <w:rPr>
          <w:rFonts w:ascii="Arial" w:hAnsi="Arial" w:cs="Arial"/>
          <w:sz w:val="22"/>
          <w:szCs w:val="22"/>
        </w:rPr>
        <w:t>Where the Dwelling requires additional investigation (e.g., structural engineer, asbestos report)</w:t>
      </w:r>
      <w:r w:rsidR="00676EBA" w:rsidRPr="004F6CF3">
        <w:rPr>
          <w:rFonts w:ascii="Arial" w:hAnsi="Arial" w:cs="Arial"/>
          <w:sz w:val="22"/>
          <w:szCs w:val="22"/>
        </w:rPr>
        <w:t>, the Delivery Organisation must seek approval for the appointment of Professional Services</w:t>
      </w:r>
      <w:r w:rsidR="00A9004B" w:rsidRPr="004F6CF3">
        <w:rPr>
          <w:rFonts w:ascii="Arial" w:hAnsi="Arial" w:cs="Arial"/>
          <w:sz w:val="22"/>
          <w:szCs w:val="22"/>
        </w:rPr>
        <w:t xml:space="preserve"> from the Authority prior to any works commencing. There will need to be a clear case for the</w:t>
      </w:r>
      <w:r w:rsidR="00587E67" w:rsidRPr="004F6CF3">
        <w:rPr>
          <w:rFonts w:ascii="Arial" w:hAnsi="Arial" w:cs="Arial"/>
          <w:sz w:val="22"/>
          <w:szCs w:val="22"/>
        </w:rPr>
        <w:t xml:space="preserve">se Ancillary Costs and confirmation that the measures work </w:t>
      </w:r>
      <w:r w:rsidR="00EE1A45" w:rsidRPr="004F6CF3">
        <w:rPr>
          <w:rFonts w:ascii="Arial" w:hAnsi="Arial" w:cs="Arial"/>
          <w:sz w:val="22"/>
          <w:szCs w:val="22"/>
        </w:rPr>
        <w:t xml:space="preserve">can </w:t>
      </w:r>
      <w:r w:rsidR="00EE1A45" w:rsidRPr="00A70696">
        <w:rPr>
          <w:rFonts w:ascii="Arial" w:hAnsi="Arial" w:cs="Arial"/>
          <w:sz w:val="22"/>
          <w:szCs w:val="22"/>
        </w:rPr>
        <w:t>be completed within the allocated budget. The Authority’s decision is final</w:t>
      </w:r>
      <w:r w:rsidR="06263727" w:rsidRPr="00A70696">
        <w:rPr>
          <w:rFonts w:ascii="Arial" w:hAnsi="Arial" w:cs="Arial"/>
          <w:sz w:val="22"/>
          <w:szCs w:val="22"/>
        </w:rPr>
        <w:t>.</w:t>
      </w:r>
      <w:r w:rsidR="00EE1A45">
        <w:rPr>
          <w:rFonts w:ascii="Arial" w:hAnsi="Arial" w:cs="Arial"/>
          <w:sz w:val="22"/>
          <w:szCs w:val="22"/>
        </w:rPr>
        <w:t xml:space="preserve"> </w:t>
      </w:r>
    </w:p>
    <w:p w14:paraId="54FA824A" w14:textId="6FF81ADA" w:rsidR="00E35425" w:rsidRDefault="0025725F" w:rsidP="674DC236">
      <w:pPr>
        <w:pStyle w:val="ListParagraph"/>
        <w:numPr>
          <w:ilvl w:val="1"/>
          <w:numId w:val="6"/>
        </w:numPr>
        <w:spacing w:after="120"/>
        <w:rPr>
          <w:rFonts w:ascii="Arial" w:eastAsia="Arial" w:hAnsi="Arial" w:cs="Arial"/>
          <w:sz w:val="22"/>
          <w:szCs w:val="22"/>
        </w:rPr>
      </w:pPr>
      <w:r w:rsidRPr="674DC236">
        <w:rPr>
          <w:rFonts w:ascii="Arial" w:hAnsi="Arial" w:cs="Arial"/>
          <w:sz w:val="22"/>
          <w:szCs w:val="22"/>
        </w:rPr>
        <w:t xml:space="preserve">The </w:t>
      </w:r>
      <w:r w:rsidR="00AA0779" w:rsidRPr="674DC236">
        <w:rPr>
          <w:rFonts w:ascii="Arial" w:hAnsi="Arial" w:cs="Arial"/>
          <w:sz w:val="22"/>
          <w:szCs w:val="22"/>
        </w:rPr>
        <w:t>Delivery Organisation</w:t>
      </w:r>
      <w:r w:rsidR="00A65FA7" w:rsidRPr="674DC236">
        <w:rPr>
          <w:rFonts w:ascii="Arial" w:hAnsi="Arial" w:cs="Arial"/>
          <w:sz w:val="22"/>
          <w:szCs w:val="22"/>
        </w:rPr>
        <w:t xml:space="preserve"> </w:t>
      </w:r>
      <w:r w:rsidR="006B3E50" w:rsidRPr="674DC236">
        <w:rPr>
          <w:rFonts w:ascii="Arial" w:hAnsi="Arial" w:cs="Arial"/>
          <w:sz w:val="22"/>
          <w:szCs w:val="22"/>
        </w:rPr>
        <w:t xml:space="preserve">will </w:t>
      </w:r>
      <w:r w:rsidRPr="674DC236">
        <w:rPr>
          <w:rFonts w:ascii="Arial" w:hAnsi="Arial" w:cs="Arial"/>
          <w:sz w:val="22"/>
          <w:szCs w:val="22"/>
        </w:rPr>
        <w:t>submit</w:t>
      </w:r>
      <w:r w:rsidR="006B3E50" w:rsidRPr="674DC236">
        <w:rPr>
          <w:rFonts w:ascii="Arial" w:hAnsi="Arial" w:cs="Arial"/>
          <w:sz w:val="22"/>
          <w:szCs w:val="22"/>
        </w:rPr>
        <w:t xml:space="preserve"> </w:t>
      </w:r>
      <w:r w:rsidRPr="674DC236">
        <w:rPr>
          <w:rFonts w:ascii="Arial" w:hAnsi="Arial" w:cs="Arial"/>
          <w:sz w:val="22"/>
          <w:szCs w:val="22"/>
        </w:rPr>
        <w:t xml:space="preserve">prices for these </w:t>
      </w:r>
      <w:r w:rsidR="00E42A26" w:rsidRPr="674DC236">
        <w:rPr>
          <w:rFonts w:ascii="Arial" w:hAnsi="Arial" w:cs="Arial"/>
          <w:sz w:val="22"/>
          <w:szCs w:val="22"/>
        </w:rPr>
        <w:t xml:space="preserve">in the </w:t>
      </w:r>
      <w:r w:rsidR="7CDCCAD2" w:rsidRPr="674DC236">
        <w:rPr>
          <w:rFonts w:ascii="Arial" w:hAnsi="Arial" w:cs="Arial"/>
          <w:sz w:val="22"/>
          <w:szCs w:val="22"/>
        </w:rPr>
        <w:t xml:space="preserve">3.0 LADs2 Document 3: </w:t>
      </w:r>
      <w:r w:rsidR="00E42A26" w:rsidRPr="674DC236">
        <w:rPr>
          <w:rFonts w:ascii="Arial" w:hAnsi="Arial" w:cs="Arial"/>
          <w:sz w:val="22"/>
          <w:szCs w:val="22"/>
        </w:rPr>
        <w:t xml:space="preserve">Pricing </w:t>
      </w:r>
      <w:r w:rsidR="7CDCCAD2" w:rsidRPr="674DC236">
        <w:rPr>
          <w:rFonts w:ascii="Arial" w:hAnsi="Arial" w:cs="Arial"/>
          <w:sz w:val="22"/>
          <w:szCs w:val="22"/>
        </w:rPr>
        <w:t>Schedule</w:t>
      </w:r>
    </w:p>
    <w:p w14:paraId="3D2B79EF" w14:textId="3B5A67E5" w:rsidR="00E35425" w:rsidRDefault="0025725F" w:rsidP="00171ACB">
      <w:pPr>
        <w:pStyle w:val="ListParagraph"/>
        <w:numPr>
          <w:ilvl w:val="1"/>
          <w:numId w:val="6"/>
        </w:numPr>
        <w:spacing w:after="120"/>
        <w:rPr>
          <w:sz w:val="22"/>
          <w:szCs w:val="22"/>
        </w:rPr>
      </w:pPr>
      <w:r w:rsidRPr="674DC236">
        <w:rPr>
          <w:rFonts w:ascii="Arial" w:hAnsi="Arial" w:cs="Arial"/>
          <w:sz w:val="22"/>
          <w:szCs w:val="22"/>
        </w:rPr>
        <w:t xml:space="preserve">Note that </w:t>
      </w:r>
      <w:r w:rsidR="001054CD" w:rsidRPr="674DC236">
        <w:rPr>
          <w:rFonts w:ascii="Arial" w:hAnsi="Arial" w:cs="Arial"/>
          <w:sz w:val="22"/>
          <w:szCs w:val="22"/>
        </w:rPr>
        <w:t>in some instances</w:t>
      </w:r>
      <w:r w:rsidR="006531A3" w:rsidRPr="674DC236">
        <w:rPr>
          <w:rFonts w:ascii="Arial" w:hAnsi="Arial" w:cs="Arial"/>
          <w:sz w:val="22"/>
          <w:szCs w:val="22"/>
        </w:rPr>
        <w:t xml:space="preserve">, </w:t>
      </w:r>
      <w:r w:rsidRPr="674DC236">
        <w:rPr>
          <w:rFonts w:ascii="Arial" w:hAnsi="Arial" w:cs="Arial"/>
          <w:sz w:val="22"/>
          <w:szCs w:val="22"/>
        </w:rPr>
        <w:t>t</w:t>
      </w:r>
      <w:r w:rsidR="006B3E50" w:rsidRPr="674DC236">
        <w:rPr>
          <w:rFonts w:ascii="Arial" w:hAnsi="Arial" w:cs="Arial"/>
          <w:sz w:val="22"/>
          <w:szCs w:val="22"/>
        </w:rPr>
        <w:t xml:space="preserve">he </w:t>
      </w:r>
      <w:r w:rsidR="0071044E" w:rsidRPr="674DC236">
        <w:rPr>
          <w:rFonts w:ascii="Arial" w:hAnsi="Arial" w:cs="Arial"/>
          <w:sz w:val="22"/>
          <w:szCs w:val="22"/>
        </w:rPr>
        <w:t>Installation</w:t>
      </w:r>
      <w:r w:rsidRPr="674DC236">
        <w:rPr>
          <w:rFonts w:ascii="Arial" w:hAnsi="Arial" w:cs="Arial"/>
          <w:sz w:val="22"/>
          <w:szCs w:val="22"/>
        </w:rPr>
        <w:t xml:space="preserve"> </w:t>
      </w:r>
      <w:r w:rsidR="00EE5901" w:rsidRPr="674DC236">
        <w:rPr>
          <w:rFonts w:ascii="Arial" w:hAnsi="Arial" w:cs="Arial"/>
          <w:sz w:val="22"/>
          <w:szCs w:val="22"/>
        </w:rPr>
        <w:t xml:space="preserve">Price </w:t>
      </w:r>
      <w:r w:rsidR="00EA31FC" w:rsidRPr="674DC236">
        <w:rPr>
          <w:rFonts w:ascii="Arial" w:hAnsi="Arial" w:cs="Arial"/>
          <w:sz w:val="22"/>
          <w:szCs w:val="22"/>
        </w:rPr>
        <w:t>will</w:t>
      </w:r>
      <w:r w:rsidRPr="674DC236">
        <w:rPr>
          <w:rFonts w:ascii="Arial" w:hAnsi="Arial" w:cs="Arial"/>
          <w:sz w:val="22"/>
          <w:szCs w:val="22"/>
        </w:rPr>
        <w:t xml:space="preserve"> </w:t>
      </w:r>
      <w:r w:rsidR="006B3E50" w:rsidRPr="674DC236">
        <w:rPr>
          <w:rFonts w:ascii="Arial" w:hAnsi="Arial" w:cs="Arial"/>
          <w:sz w:val="22"/>
          <w:szCs w:val="22"/>
        </w:rPr>
        <w:t xml:space="preserve">be funded by </w:t>
      </w:r>
      <w:r w:rsidR="009B4C8F" w:rsidRPr="674DC236">
        <w:rPr>
          <w:rFonts w:ascii="Arial" w:hAnsi="Arial" w:cs="Arial"/>
          <w:sz w:val="22"/>
          <w:szCs w:val="22"/>
        </w:rPr>
        <w:t xml:space="preserve">a </w:t>
      </w:r>
      <w:r w:rsidR="00EA31FC" w:rsidRPr="674DC236">
        <w:rPr>
          <w:rFonts w:ascii="Arial" w:hAnsi="Arial" w:cs="Arial"/>
          <w:sz w:val="22"/>
          <w:szCs w:val="22"/>
        </w:rPr>
        <w:t xml:space="preserve">combination of funding from the </w:t>
      </w:r>
      <w:r w:rsidR="092E75A9" w:rsidRPr="674DC236">
        <w:rPr>
          <w:rFonts w:ascii="Arial" w:hAnsi="Arial" w:cs="Arial"/>
          <w:sz w:val="22"/>
          <w:szCs w:val="22"/>
        </w:rPr>
        <w:t>Authority</w:t>
      </w:r>
      <w:r w:rsidR="006531A3" w:rsidRPr="674DC236">
        <w:rPr>
          <w:rFonts w:ascii="Arial" w:hAnsi="Arial" w:cs="Arial"/>
          <w:sz w:val="22"/>
          <w:szCs w:val="22"/>
        </w:rPr>
        <w:t xml:space="preserve"> (grant)</w:t>
      </w:r>
      <w:r w:rsidR="00EA31FC" w:rsidRPr="674DC236">
        <w:rPr>
          <w:rFonts w:ascii="Arial" w:hAnsi="Arial" w:cs="Arial"/>
          <w:sz w:val="22"/>
          <w:szCs w:val="22"/>
        </w:rPr>
        <w:t xml:space="preserve"> and</w:t>
      </w:r>
      <w:r w:rsidR="0071044E" w:rsidRPr="674DC236">
        <w:rPr>
          <w:rFonts w:ascii="Arial" w:hAnsi="Arial" w:cs="Arial"/>
          <w:sz w:val="22"/>
          <w:szCs w:val="22"/>
        </w:rPr>
        <w:t xml:space="preserve"> Customer Contributions</w:t>
      </w:r>
      <w:r w:rsidR="00EA31FC" w:rsidRPr="674DC236">
        <w:rPr>
          <w:rFonts w:ascii="Arial" w:hAnsi="Arial" w:cs="Arial"/>
          <w:sz w:val="22"/>
          <w:szCs w:val="22"/>
        </w:rPr>
        <w:t xml:space="preserve">.  </w:t>
      </w:r>
      <w:r w:rsidR="001054CD" w:rsidRPr="674DC236">
        <w:rPr>
          <w:rFonts w:ascii="Arial" w:hAnsi="Arial" w:cs="Arial"/>
          <w:sz w:val="22"/>
          <w:szCs w:val="22"/>
        </w:rPr>
        <w:t>Any o</w:t>
      </w:r>
      <w:r w:rsidR="006B3E50" w:rsidRPr="674DC236">
        <w:rPr>
          <w:rFonts w:ascii="Arial" w:hAnsi="Arial" w:cs="Arial"/>
          <w:sz w:val="22"/>
          <w:szCs w:val="22"/>
        </w:rPr>
        <w:t>ther sources of funding</w:t>
      </w:r>
      <w:r w:rsidR="00EA31FC" w:rsidRPr="674DC236">
        <w:rPr>
          <w:rFonts w:ascii="Arial" w:hAnsi="Arial" w:cs="Arial"/>
          <w:sz w:val="22"/>
          <w:szCs w:val="22"/>
        </w:rPr>
        <w:t xml:space="preserve"> </w:t>
      </w:r>
      <w:r w:rsidR="006531A3" w:rsidRPr="674DC236">
        <w:rPr>
          <w:rFonts w:ascii="Arial" w:hAnsi="Arial" w:cs="Arial"/>
          <w:sz w:val="22"/>
          <w:szCs w:val="22"/>
        </w:rPr>
        <w:t xml:space="preserve">(ECO/RHI) </w:t>
      </w:r>
      <w:r w:rsidR="00EA31FC" w:rsidRPr="674DC236">
        <w:rPr>
          <w:rFonts w:ascii="Arial" w:hAnsi="Arial" w:cs="Arial"/>
          <w:sz w:val="22"/>
          <w:szCs w:val="22"/>
        </w:rPr>
        <w:t>will</w:t>
      </w:r>
      <w:r w:rsidR="001054CD" w:rsidRPr="674DC236">
        <w:rPr>
          <w:rFonts w:ascii="Arial" w:hAnsi="Arial" w:cs="Arial"/>
          <w:sz w:val="22"/>
          <w:szCs w:val="22"/>
        </w:rPr>
        <w:t xml:space="preserve"> be utilised to</w:t>
      </w:r>
      <w:r w:rsidR="00EA31FC" w:rsidRPr="674DC236">
        <w:rPr>
          <w:rFonts w:ascii="Arial" w:hAnsi="Arial" w:cs="Arial"/>
          <w:sz w:val="22"/>
          <w:szCs w:val="22"/>
        </w:rPr>
        <w:t xml:space="preserve"> directly benefit the Customer</w:t>
      </w:r>
      <w:r w:rsidR="001054CD" w:rsidRPr="674DC236">
        <w:rPr>
          <w:rFonts w:ascii="Arial" w:hAnsi="Arial" w:cs="Arial"/>
          <w:sz w:val="22"/>
          <w:szCs w:val="22"/>
        </w:rPr>
        <w:t xml:space="preserve"> with additional improvements</w:t>
      </w:r>
      <w:r w:rsidR="00EA31FC" w:rsidRPr="674DC236">
        <w:rPr>
          <w:rFonts w:ascii="Arial" w:hAnsi="Arial" w:cs="Arial"/>
          <w:sz w:val="22"/>
          <w:szCs w:val="22"/>
        </w:rPr>
        <w:t>.</w:t>
      </w:r>
    </w:p>
    <w:p w14:paraId="3D2B79F0" w14:textId="1372A781" w:rsidR="006B3E50" w:rsidRDefault="00C907D4" w:rsidP="00E35425">
      <w:pPr>
        <w:pStyle w:val="ListParagraph"/>
        <w:numPr>
          <w:ilvl w:val="1"/>
          <w:numId w:val="6"/>
        </w:numPr>
        <w:spacing w:after="120"/>
        <w:rPr>
          <w:rFonts w:ascii="Arial" w:hAnsi="Arial" w:cs="Arial"/>
          <w:sz w:val="22"/>
          <w:szCs w:val="22"/>
        </w:rPr>
      </w:pPr>
      <w:r>
        <w:rPr>
          <w:rFonts w:ascii="Arial" w:hAnsi="Arial" w:cs="Arial"/>
          <w:sz w:val="22"/>
          <w:szCs w:val="22"/>
        </w:rPr>
        <w:t>T</w:t>
      </w:r>
      <w:r w:rsidR="006B3E50" w:rsidRPr="674DC236">
        <w:rPr>
          <w:rFonts w:ascii="Arial" w:hAnsi="Arial" w:cs="Arial"/>
          <w:sz w:val="22"/>
          <w:szCs w:val="22"/>
        </w:rPr>
        <w:t xml:space="preserve">he </w:t>
      </w:r>
      <w:r w:rsidR="00AA0779" w:rsidRPr="674DC236">
        <w:rPr>
          <w:rFonts w:ascii="Arial" w:hAnsi="Arial" w:cs="Arial"/>
          <w:sz w:val="22"/>
          <w:szCs w:val="22"/>
        </w:rPr>
        <w:t>Delivery Organisation</w:t>
      </w:r>
      <w:r w:rsidR="006B3E50" w:rsidRPr="674DC236">
        <w:rPr>
          <w:rFonts w:ascii="Arial" w:hAnsi="Arial" w:cs="Arial"/>
          <w:sz w:val="22"/>
          <w:szCs w:val="22"/>
        </w:rPr>
        <w:t xml:space="preserve"> Fee will be split into a non-performance-related element (70%) and a performance-related element (30%).  The performance </w:t>
      </w:r>
      <w:r w:rsidR="006B3E50" w:rsidRPr="674DC236">
        <w:rPr>
          <w:rFonts w:ascii="Arial" w:hAnsi="Arial" w:cs="Arial"/>
          <w:sz w:val="22"/>
          <w:szCs w:val="22"/>
        </w:rPr>
        <w:lastRenderedPageBreak/>
        <w:t>related element (Performance Fees) will be paid according to performance against the KPIs.</w:t>
      </w:r>
    </w:p>
    <w:p w14:paraId="04FD0405" w14:textId="39D566EF" w:rsidR="00B0539B" w:rsidRDefault="00B0539B" w:rsidP="674DC236">
      <w:pPr>
        <w:pStyle w:val="ListParagraph"/>
        <w:numPr>
          <w:ilvl w:val="1"/>
          <w:numId w:val="6"/>
        </w:numPr>
        <w:spacing w:after="120"/>
        <w:rPr>
          <w:sz w:val="22"/>
          <w:szCs w:val="22"/>
        </w:rPr>
      </w:pPr>
      <w:r w:rsidRPr="674DC236">
        <w:rPr>
          <w:rFonts w:ascii="Arial" w:hAnsi="Arial" w:cs="Arial"/>
          <w:sz w:val="22"/>
          <w:szCs w:val="22"/>
        </w:rPr>
        <w:t xml:space="preserve">The </w:t>
      </w:r>
      <w:r w:rsidR="092E75A9" w:rsidRPr="674DC236">
        <w:rPr>
          <w:rFonts w:ascii="Arial" w:hAnsi="Arial" w:cs="Arial"/>
          <w:sz w:val="22"/>
          <w:szCs w:val="22"/>
        </w:rPr>
        <w:t>Authority</w:t>
      </w:r>
      <w:r w:rsidRPr="674DC236">
        <w:rPr>
          <w:rFonts w:ascii="Arial" w:hAnsi="Arial" w:cs="Arial"/>
          <w:sz w:val="22"/>
          <w:szCs w:val="22"/>
        </w:rPr>
        <w:t xml:space="preserve"> will retain </w:t>
      </w:r>
      <w:r w:rsidR="0C1D1338" w:rsidRPr="674DC236">
        <w:rPr>
          <w:rFonts w:ascii="Arial" w:hAnsi="Arial" w:cs="Arial"/>
          <w:sz w:val="22"/>
          <w:szCs w:val="22"/>
        </w:rPr>
        <w:t>5</w:t>
      </w:r>
      <w:r w:rsidRPr="674DC236">
        <w:rPr>
          <w:rFonts w:ascii="Arial" w:hAnsi="Arial" w:cs="Arial"/>
          <w:sz w:val="22"/>
          <w:szCs w:val="22"/>
        </w:rPr>
        <w:t xml:space="preserve">% of the monthly fees payable as </w:t>
      </w:r>
      <w:r w:rsidRPr="00D60F99">
        <w:rPr>
          <w:rFonts w:ascii="Arial" w:hAnsi="Arial" w:cs="Arial"/>
          <w:sz w:val="22"/>
          <w:szCs w:val="22"/>
        </w:rPr>
        <w:t>a Retention Fee</w:t>
      </w:r>
      <w:r w:rsidRPr="674DC236">
        <w:rPr>
          <w:rFonts w:ascii="Arial" w:hAnsi="Arial" w:cs="Arial"/>
          <w:sz w:val="22"/>
          <w:szCs w:val="22"/>
        </w:rPr>
        <w:t>.</w:t>
      </w:r>
      <w:r w:rsidR="00663A31" w:rsidRPr="674DC236">
        <w:rPr>
          <w:rFonts w:ascii="Arial" w:hAnsi="Arial" w:cs="Arial"/>
          <w:sz w:val="22"/>
          <w:szCs w:val="22"/>
        </w:rPr>
        <w:t xml:space="preserve"> The Retention Fee will be applied to </w:t>
      </w:r>
      <w:r w:rsidR="00F07B39" w:rsidRPr="674DC236">
        <w:rPr>
          <w:rFonts w:ascii="Arial" w:hAnsi="Arial" w:cs="Arial"/>
          <w:sz w:val="22"/>
          <w:szCs w:val="22"/>
        </w:rPr>
        <w:t>all fees invoiced each month.</w:t>
      </w:r>
      <w:r w:rsidRPr="674DC236">
        <w:rPr>
          <w:rFonts w:ascii="Arial" w:hAnsi="Arial" w:cs="Arial"/>
          <w:sz w:val="22"/>
          <w:szCs w:val="22"/>
        </w:rPr>
        <w:t xml:space="preserve"> This will be payable at the end of the </w:t>
      </w:r>
      <w:r w:rsidR="00D25171">
        <w:rPr>
          <w:rFonts w:ascii="Arial" w:hAnsi="Arial" w:cs="Arial"/>
          <w:sz w:val="22"/>
          <w:szCs w:val="22"/>
        </w:rPr>
        <w:t xml:space="preserve">agreement </w:t>
      </w:r>
      <w:r w:rsidR="00663A31" w:rsidRPr="674DC236">
        <w:rPr>
          <w:rFonts w:ascii="Arial" w:hAnsi="Arial" w:cs="Arial"/>
          <w:sz w:val="22"/>
          <w:szCs w:val="22"/>
        </w:rPr>
        <w:t xml:space="preserve">when both parties </w:t>
      </w:r>
      <w:proofErr w:type="gramStart"/>
      <w:r w:rsidR="00663A31" w:rsidRPr="674DC236">
        <w:rPr>
          <w:rFonts w:ascii="Arial" w:hAnsi="Arial" w:cs="Arial"/>
          <w:sz w:val="22"/>
          <w:szCs w:val="22"/>
        </w:rPr>
        <w:t>are in agreement</w:t>
      </w:r>
      <w:proofErr w:type="gramEnd"/>
      <w:r w:rsidR="00663A31" w:rsidRPr="674DC236">
        <w:rPr>
          <w:rFonts w:ascii="Arial" w:hAnsi="Arial" w:cs="Arial"/>
          <w:sz w:val="22"/>
          <w:szCs w:val="22"/>
        </w:rPr>
        <w:t xml:space="preserve"> that the </w:t>
      </w:r>
      <w:r w:rsidR="00D25171">
        <w:rPr>
          <w:rFonts w:ascii="Arial" w:hAnsi="Arial" w:cs="Arial"/>
          <w:sz w:val="22"/>
          <w:szCs w:val="22"/>
        </w:rPr>
        <w:t xml:space="preserve">agreement </w:t>
      </w:r>
      <w:r w:rsidR="00663A31" w:rsidRPr="674DC236">
        <w:rPr>
          <w:rFonts w:ascii="Arial" w:hAnsi="Arial" w:cs="Arial"/>
          <w:sz w:val="22"/>
          <w:szCs w:val="22"/>
        </w:rPr>
        <w:t>has been completed satisfactorily.</w:t>
      </w:r>
    </w:p>
    <w:p w14:paraId="3D2B79F1" w14:textId="77777777" w:rsidR="00840C2C" w:rsidRDefault="00840C2C" w:rsidP="00840C2C">
      <w:pPr>
        <w:pStyle w:val="ListParagraph"/>
        <w:spacing w:after="120"/>
        <w:ind w:left="567"/>
        <w:rPr>
          <w:rFonts w:ascii="Arial" w:hAnsi="Arial" w:cs="Arial"/>
          <w:b/>
          <w:sz w:val="22"/>
          <w:szCs w:val="22"/>
        </w:rPr>
      </w:pPr>
    </w:p>
    <w:p w14:paraId="3D2B79F2" w14:textId="1B587EE8" w:rsidR="006B3E50" w:rsidRPr="004C4CB4" w:rsidRDefault="0071044E" w:rsidP="46B5BCA3">
      <w:pPr>
        <w:pStyle w:val="ListParagraph"/>
        <w:numPr>
          <w:ilvl w:val="0"/>
          <w:numId w:val="6"/>
        </w:numPr>
        <w:spacing w:after="120"/>
        <w:rPr>
          <w:rFonts w:ascii="Arial" w:hAnsi="Arial" w:cs="Arial"/>
          <w:b/>
          <w:bCs/>
          <w:sz w:val="22"/>
          <w:szCs w:val="22"/>
        </w:rPr>
      </w:pPr>
      <w:r w:rsidRPr="46B5BCA3">
        <w:rPr>
          <w:rFonts w:ascii="Arial" w:hAnsi="Arial" w:cs="Arial"/>
          <w:b/>
          <w:bCs/>
          <w:sz w:val="22"/>
          <w:szCs w:val="22"/>
        </w:rPr>
        <w:t>Referral</w:t>
      </w:r>
      <w:r w:rsidR="00735B61" w:rsidRPr="46B5BCA3">
        <w:rPr>
          <w:rFonts w:ascii="Arial" w:hAnsi="Arial" w:cs="Arial"/>
          <w:b/>
          <w:bCs/>
          <w:sz w:val="22"/>
          <w:szCs w:val="22"/>
        </w:rPr>
        <w:t xml:space="preserve"> Generation</w:t>
      </w:r>
    </w:p>
    <w:p w14:paraId="442268F8" w14:textId="1F645A56" w:rsidR="00556D4D" w:rsidRPr="00C86F55" w:rsidRDefault="00E37521" w:rsidP="00171ACB">
      <w:pPr>
        <w:pStyle w:val="ListParagraph"/>
        <w:numPr>
          <w:ilvl w:val="1"/>
          <w:numId w:val="6"/>
        </w:numPr>
        <w:spacing w:after="120"/>
        <w:rPr>
          <w:rFonts w:ascii="Arial" w:hAnsi="Arial" w:cs="Arial"/>
          <w:sz w:val="22"/>
          <w:szCs w:val="22"/>
        </w:rPr>
      </w:pPr>
      <w:r w:rsidRPr="674DC236">
        <w:rPr>
          <w:rFonts w:ascii="Arial" w:hAnsi="Arial" w:cs="Arial"/>
          <w:sz w:val="22"/>
          <w:szCs w:val="22"/>
        </w:rPr>
        <w:t xml:space="preserve">The Delivery Organisation is responsible for marketing and engagement of </w:t>
      </w:r>
      <w:r w:rsidR="00556D4D" w:rsidRPr="674DC236">
        <w:rPr>
          <w:rFonts w:ascii="Arial" w:hAnsi="Arial" w:cs="Arial"/>
          <w:sz w:val="22"/>
          <w:szCs w:val="22"/>
        </w:rPr>
        <w:t>the scheme to householders, confirming eligibility checks and collecting appropriate materials</w:t>
      </w:r>
      <w:r w:rsidR="002C023C" w:rsidRPr="674DC236">
        <w:rPr>
          <w:rFonts w:ascii="Arial" w:hAnsi="Arial" w:cs="Arial"/>
          <w:sz w:val="22"/>
          <w:szCs w:val="22"/>
        </w:rPr>
        <w:t>,</w:t>
      </w:r>
      <w:r w:rsidR="00556D4D" w:rsidRPr="674DC236">
        <w:rPr>
          <w:rFonts w:ascii="Arial" w:hAnsi="Arial" w:cs="Arial"/>
          <w:sz w:val="22"/>
          <w:szCs w:val="22"/>
        </w:rPr>
        <w:t xml:space="preserve"> </w:t>
      </w:r>
      <w:r w:rsidR="00D71120" w:rsidRPr="674DC236">
        <w:rPr>
          <w:rFonts w:ascii="Arial" w:hAnsi="Arial" w:cs="Arial"/>
          <w:sz w:val="22"/>
          <w:szCs w:val="22"/>
        </w:rPr>
        <w:t xml:space="preserve">and conversion into installations. The </w:t>
      </w:r>
      <w:r w:rsidR="092E75A9" w:rsidRPr="674DC236">
        <w:rPr>
          <w:rFonts w:ascii="Arial" w:hAnsi="Arial" w:cs="Arial"/>
          <w:sz w:val="22"/>
          <w:szCs w:val="22"/>
        </w:rPr>
        <w:t>Authority</w:t>
      </w:r>
      <w:r w:rsidR="00D71120" w:rsidRPr="674DC236">
        <w:rPr>
          <w:rFonts w:ascii="Arial" w:hAnsi="Arial" w:cs="Arial"/>
          <w:sz w:val="22"/>
          <w:szCs w:val="22"/>
        </w:rPr>
        <w:t xml:space="preserve"> has undertaken detailed EPC</w:t>
      </w:r>
      <w:r w:rsidR="00A3069E" w:rsidRPr="674DC236">
        <w:rPr>
          <w:rFonts w:ascii="Arial" w:hAnsi="Arial" w:cs="Arial"/>
          <w:sz w:val="22"/>
          <w:szCs w:val="22"/>
        </w:rPr>
        <w:t xml:space="preserve"> modelling to identify areas</w:t>
      </w:r>
      <w:r w:rsidR="00B36BE6" w:rsidRPr="674DC236">
        <w:rPr>
          <w:rFonts w:ascii="Arial" w:hAnsi="Arial" w:cs="Arial"/>
          <w:sz w:val="22"/>
          <w:szCs w:val="22"/>
        </w:rPr>
        <w:t xml:space="preserve"> which may have high levels of qualifying properties</w:t>
      </w:r>
      <w:r w:rsidR="00A3069E" w:rsidRPr="674DC236">
        <w:rPr>
          <w:rFonts w:ascii="Arial" w:hAnsi="Arial" w:cs="Arial"/>
          <w:sz w:val="22"/>
          <w:szCs w:val="22"/>
        </w:rPr>
        <w:t xml:space="preserve"> for targeted marketing</w:t>
      </w:r>
      <w:r w:rsidR="00B36BE6" w:rsidRPr="674DC236">
        <w:rPr>
          <w:rFonts w:ascii="Arial" w:hAnsi="Arial" w:cs="Arial"/>
          <w:sz w:val="22"/>
          <w:szCs w:val="22"/>
        </w:rPr>
        <w:t>.</w:t>
      </w:r>
      <w:r w:rsidR="00A3069E" w:rsidRPr="674DC236">
        <w:rPr>
          <w:rFonts w:ascii="Arial" w:hAnsi="Arial" w:cs="Arial"/>
          <w:sz w:val="22"/>
          <w:szCs w:val="22"/>
        </w:rPr>
        <w:t xml:space="preserve"> </w:t>
      </w:r>
    </w:p>
    <w:p w14:paraId="04A7EAEF" w14:textId="03BAAC1D" w:rsidR="00E6293B" w:rsidRPr="00263900" w:rsidRDefault="00E6293B" w:rsidP="00171ACB">
      <w:pPr>
        <w:pStyle w:val="ListParagraph"/>
        <w:numPr>
          <w:ilvl w:val="1"/>
          <w:numId w:val="6"/>
        </w:numPr>
        <w:spacing w:after="120"/>
        <w:rPr>
          <w:rFonts w:ascii="Arial" w:hAnsi="Arial" w:cs="Arial"/>
          <w:sz w:val="22"/>
          <w:szCs w:val="22"/>
        </w:rPr>
      </w:pPr>
      <w:r w:rsidRPr="674DC236">
        <w:rPr>
          <w:rFonts w:ascii="Arial" w:hAnsi="Arial" w:cs="Arial"/>
          <w:sz w:val="22"/>
          <w:szCs w:val="22"/>
        </w:rPr>
        <w:t xml:space="preserve">The </w:t>
      </w:r>
      <w:r w:rsidR="092E75A9" w:rsidRPr="674DC236">
        <w:rPr>
          <w:rFonts w:ascii="Arial" w:hAnsi="Arial" w:cs="Arial"/>
          <w:sz w:val="22"/>
          <w:szCs w:val="22"/>
        </w:rPr>
        <w:t>Authority</w:t>
      </w:r>
      <w:r w:rsidRPr="674DC236">
        <w:rPr>
          <w:rFonts w:ascii="Arial" w:hAnsi="Arial" w:cs="Arial"/>
          <w:sz w:val="22"/>
          <w:szCs w:val="22"/>
        </w:rPr>
        <w:t xml:space="preserve"> </w:t>
      </w:r>
      <w:r w:rsidR="002B1186">
        <w:rPr>
          <w:rFonts w:ascii="Arial" w:hAnsi="Arial" w:cs="Arial"/>
          <w:sz w:val="22"/>
          <w:szCs w:val="22"/>
        </w:rPr>
        <w:t xml:space="preserve">envisages holding </w:t>
      </w:r>
      <w:r w:rsidRPr="674DC236">
        <w:rPr>
          <w:rFonts w:ascii="Arial" w:hAnsi="Arial" w:cs="Arial"/>
          <w:sz w:val="22"/>
          <w:szCs w:val="22"/>
        </w:rPr>
        <w:t xml:space="preserve">discussions with </w:t>
      </w:r>
      <w:r w:rsidR="002B1186">
        <w:rPr>
          <w:rFonts w:ascii="Arial" w:hAnsi="Arial" w:cs="Arial"/>
          <w:sz w:val="22"/>
          <w:szCs w:val="22"/>
        </w:rPr>
        <w:t>l</w:t>
      </w:r>
      <w:r w:rsidRPr="674DC236">
        <w:rPr>
          <w:rFonts w:ascii="Arial" w:hAnsi="Arial" w:cs="Arial"/>
          <w:sz w:val="22"/>
          <w:szCs w:val="22"/>
        </w:rPr>
        <w:t xml:space="preserve">ocal </w:t>
      </w:r>
      <w:r w:rsidR="002B1186">
        <w:rPr>
          <w:rFonts w:ascii="Arial" w:hAnsi="Arial" w:cs="Arial"/>
          <w:sz w:val="22"/>
          <w:szCs w:val="22"/>
        </w:rPr>
        <w:t>a</w:t>
      </w:r>
      <w:r w:rsidRPr="674DC236">
        <w:rPr>
          <w:rFonts w:ascii="Arial" w:hAnsi="Arial" w:cs="Arial"/>
          <w:sz w:val="22"/>
          <w:szCs w:val="22"/>
        </w:rPr>
        <w:t xml:space="preserve">uthorities and </w:t>
      </w:r>
      <w:r w:rsidR="002B1186">
        <w:rPr>
          <w:rFonts w:ascii="Arial" w:hAnsi="Arial" w:cs="Arial"/>
          <w:sz w:val="22"/>
          <w:szCs w:val="22"/>
        </w:rPr>
        <w:t>certain h</w:t>
      </w:r>
      <w:r w:rsidRPr="674DC236">
        <w:rPr>
          <w:rFonts w:ascii="Arial" w:hAnsi="Arial" w:cs="Arial"/>
          <w:sz w:val="22"/>
          <w:szCs w:val="22"/>
        </w:rPr>
        <w:t xml:space="preserve">ousing </w:t>
      </w:r>
      <w:r w:rsidR="002B1186">
        <w:rPr>
          <w:rFonts w:ascii="Arial" w:hAnsi="Arial" w:cs="Arial"/>
          <w:sz w:val="22"/>
          <w:szCs w:val="22"/>
        </w:rPr>
        <w:t>a</w:t>
      </w:r>
      <w:r w:rsidRPr="674DC236">
        <w:rPr>
          <w:rFonts w:ascii="Arial" w:hAnsi="Arial" w:cs="Arial"/>
          <w:sz w:val="22"/>
          <w:szCs w:val="22"/>
        </w:rPr>
        <w:t xml:space="preserve">ssociations to determine any </w:t>
      </w:r>
      <w:proofErr w:type="gramStart"/>
      <w:r w:rsidRPr="674DC236">
        <w:rPr>
          <w:rFonts w:ascii="Arial" w:hAnsi="Arial" w:cs="Arial"/>
          <w:sz w:val="22"/>
          <w:szCs w:val="22"/>
        </w:rPr>
        <w:t>particular areas</w:t>
      </w:r>
      <w:proofErr w:type="gramEnd"/>
      <w:r w:rsidRPr="674DC236">
        <w:rPr>
          <w:rFonts w:ascii="Arial" w:hAnsi="Arial" w:cs="Arial"/>
          <w:sz w:val="22"/>
          <w:szCs w:val="22"/>
        </w:rPr>
        <w:t xml:space="preserve"> for focus </w:t>
      </w:r>
      <w:r w:rsidR="002A1A94" w:rsidRPr="674DC236">
        <w:rPr>
          <w:rFonts w:ascii="Arial" w:hAnsi="Arial" w:cs="Arial"/>
          <w:sz w:val="22"/>
          <w:szCs w:val="22"/>
        </w:rPr>
        <w:t>–</w:t>
      </w:r>
      <w:r w:rsidRPr="674DC236">
        <w:rPr>
          <w:rFonts w:ascii="Arial" w:hAnsi="Arial" w:cs="Arial"/>
          <w:sz w:val="22"/>
          <w:szCs w:val="22"/>
        </w:rPr>
        <w:t xml:space="preserve"> </w:t>
      </w:r>
      <w:r w:rsidR="002A1A94" w:rsidRPr="674DC236">
        <w:rPr>
          <w:rFonts w:ascii="Arial" w:hAnsi="Arial" w:cs="Arial"/>
          <w:sz w:val="22"/>
          <w:szCs w:val="22"/>
        </w:rPr>
        <w:t xml:space="preserve">to avoid competition with other LADs 1a and 1b schemes, and complement these schemes, or to identify social housing projects that could provide early referrals. </w:t>
      </w:r>
      <w:r w:rsidR="002B1186">
        <w:rPr>
          <w:rFonts w:ascii="Arial" w:hAnsi="Arial" w:cs="Arial"/>
          <w:sz w:val="22"/>
          <w:szCs w:val="22"/>
        </w:rPr>
        <w:t>It is envisaged that lo</w:t>
      </w:r>
      <w:r w:rsidR="002A1A94" w:rsidRPr="674DC236">
        <w:rPr>
          <w:rFonts w:ascii="Arial" w:hAnsi="Arial" w:cs="Arial"/>
          <w:sz w:val="22"/>
          <w:szCs w:val="22"/>
        </w:rPr>
        <w:t xml:space="preserve">cal </w:t>
      </w:r>
      <w:r w:rsidR="002B1186">
        <w:rPr>
          <w:rFonts w:ascii="Arial" w:hAnsi="Arial" w:cs="Arial"/>
          <w:sz w:val="22"/>
          <w:szCs w:val="22"/>
        </w:rPr>
        <w:t>a</w:t>
      </w:r>
      <w:r w:rsidR="002A1A94" w:rsidRPr="674DC236">
        <w:rPr>
          <w:rFonts w:ascii="Arial" w:hAnsi="Arial" w:cs="Arial"/>
          <w:sz w:val="22"/>
          <w:szCs w:val="22"/>
        </w:rPr>
        <w:t>uthorit</w:t>
      </w:r>
      <w:r w:rsidR="002B1186">
        <w:rPr>
          <w:rFonts w:ascii="Arial" w:hAnsi="Arial" w:cs="Arial"/>
          <w:sz w:val="22"/>
          <w:szCs w:val="22"/>
        </w:rPr>
        <w:t xml:space="preserve">ies </w:t>
      </w:r>
      <w:r w:rsidR="002A1A94" w:rsidRPr="674DC236">
        <w:rPr>
          <w:rFonts w:ascii="Arial" w:hAnsi="Arial" w:cs="Arial"/>
          <w:sz w:val="22"/>
          <w:szCs w:val="22"/>
        </w:rPr>
        <w:t>may provide localised</w:t>
      </w:r>
      <w:r w:rsidR="00BC7C11" w:rsidRPr="674DC236">
        <w:rPr>
          <w:rFonts w:ascii="Arial" w:hAnsi="Arial" w:cs="Arial"/>
          <w:sz w:val="22"/>
          <w:szCs w:val="22"/>
        </w:rPr>
        <w:t xml:space="preserve"> knowledge to support targeted marketing activities.</w:t>
      </w:r>
    </w:p>
    <w:p w14:paraId="5627DA0D" w14:textId="2B698072" w:rsidR="0009335E" w:rsidRPr="00263900" w:rsidRDefault="00B86F7D" w:rsidP="00171ACB">
      <w:pPr>
        <w:pStyle w:val="ListParagraph"/>
        <w:numPr>
          <w:ilvl w:val="1"/>
          <w:numId w:val="6"/>
        </w:numPr>
        <w:spacing w:after="120"/>
        <w:rPr>
          <w:rFonts w:ascii="Arial" w:hAnsi="Arial" w:cs="Arial"/>
          <w:sz w:val="22"/>
          <w:szCs w:val="22"/>
        </w:rPr>
      </w:pPr>
      <w:r w:rsidRPr="674DC236">
        <w:rPr>
          <w:rFonts w:ascii="Arial" w:hAnsi="Arial" w:cs="Arial"/>
          <w:sz w:val="22"/>
          <w:szCs w:val="22"/>
        </w:rPr>
        <w:t xml:space="preserve">The </w:t>
      </w:r>
      <w:r w:rsidR="092E75A9" w:rsidRPr="674DC236">
        <w:rPr>
          <w:rFonts w:ascii="Arial" w:hAnsi="Arial" w:cs="Arial"/>
          <w:sz w:val="22"/>
          <w:szCs w:val="22"/>
        </w:rPr>
        <w:t>Authority</w:t>
      </w:r>
      <w:r w:rsidRPr="674DC236">
        <w:rPr>
          <w:rFonts w:ascii="Arial" w:hAnsi="Arial" w:cs="Arial"/>
          <w:sz w:val="22"/>
          <w:szCs w:val="22"/>
        </w:rPr>
        <w:t xml:space="preserve"> </w:t>
      </w:r>
      <w:r w:rsidR="002B1186">
        <w:rPr>
          <w:rFonts w:ascii="Arial" w:hAnsi="Arial" w:cs="Arial"/>
          <w:sz w:val="22"/>
          <w:szCs w:val="22"/>
        </w:rPr>
        <w:t xml:space="preserve">requires </w:t>
      </w:r>
      <w:r w:rsidRPr="674DC236">
        <w:rPr>
          <w:rFonts w:ascii="Arial" w:hAnsi="Arial" w:cs="Arial"/>
          <w:sz w:val="22"/>
          <w:szCs w:val="22"/>
        </w:rPr>
        <w:t xml:space="preserve">that significant marketing and promotion is carried out by the Delivery Organisation to generate </w:t>
      </w:r>
      <w:proofErr w:type="gramStart"/>
      <w:r w:rsidRPr="674DC236">
        <w:rPr>
          <w:rFonts w:ascii="Arial" w:hAnsi="Arial" w:cs="Arial"/>
          <w:sz w:val="22"/>
          <w:szCs w:val="22"/>
        </w:rPr>
        <w:t>sufficient</w:t>
      </w:r>
      <w:proofErr w:type="gramEnd"/>
      <w:r w:rsidRPr="674DC236">
        <w:rPr>
          <w:rFonts w:ascii="Arial" w:hAnsi="Arial" w:cs="Arial"/>
          <w:sz w:val="22"/>
          <w:szCs w:val="22"/>
        </w:rPr>
        <w:t xml:space="preserve"> interest to convert into eligible </w:t>
      </w:r>
      <w:r w:rsidR="00735B61" w:rsidRPr="674DC236">
        <w:rPr>
          <w:rFonts w:ascii="Arial" w:hAnsi="Arial" w:cs="Arial"/>
          <w:sz w:val="22"/>
          <w:szCs w:val="22"/>
        </w:rPr>
        <w:t xml:space="preserve">completed installations. </w:t>
      </w:r>
    </w:p>
    <w:p w14:paraId="683A3EBC" w14:textId="5C8FC745" w:rsidR="002C023C" w:rsidRPr="00263900" w:rsidRDefault="5371E8DB" w:rsidP="674DC236">
      <w:pPr>
        <w:pStyle w:val="ListParagraph"/>
        <w:numPr>
          <w:ilvl w:val="1"/>
          <w:numId w:val="6"/>
        </w:numPr>
        <w:spacing w:after="120"/>
        <w:rPr>
          <w:rFonts w:ascii="Arial" w:eastAsia="Arial" w:hAnsi="Arial" w:cs="Arial"/>
          <w:sz w:val="22"/>
          <w:szCs w:val="22"/>
        </w:rPr>
      </w:pPr>
      <w:r w:rsidRPr="674DC236">
        <w:rPr>
          <w:rFonts w:ascii="Arial" w:eastAsia="Arial" w:hAnsi="Arial" w:cs="Arial"/>
          <w:color w:val="000000" w:themeColor="text1"/>
          <w:sz w:val="22"/>
          <w:szCs w:val="22"/>
        </w:rPr>
        <w:t xml:space="preserve">The Delivery Organisation </w:t>
      </w:r>
      <w:r w:rsidR="002B1186">
        <w:rPr>
          <w:rFonts w:ascii="Arial" w:eastAsia="Arial" w:hAnsi="Arial" w:cs="Arial"/>
          <w:color w:val="000000" w:themeColor="text1"/>
          <w:sz w:val="22"/>
          <w:szCs w:val="22"/>
        </w:rPr>
        <w:t xml:space="preserve">shall </w:t>
      </w:r>
      <w:r w:rsidRPr="674DC236">
        <w:rPr>
          <w:rFonts w:ascii="Arial" w:eastAsia="Arial" w:hAnsi="Arial" w:cs="Arial"/>
          <w:color w:val="000000" w:themeColor="text1"/>
          <w:sz w:val="22"/>
          <w:szCs w:val="22"/>
        </w:rPr>
        <w:t xml:space="preserve">ensure that all communications with </w:t>
      </w:r>
      <w:r w:rsidR="002B1186">
        <w:rPr>
          <w:rFonts w:ascii="Arial" w:eastAsia="Arial" w:hAnsi="Arial" w:cs="Arial"/>
          <w:color w:val="000000" w:themeColor="text1"/>
          <w:sz w:val="22"/>
          <w:szCs w:val="22"/>
        </w:rPr>
        <w:t>C</w:t>
      </w:r>
      <w:r w:rsidR="002B1186" w:rsidRPr="674DC236">
        <w:rPr>
          <w:rFonts w:ascii="Arial" w:eastAsia="Arial" w:hAnsi="Arial" w:cs="Arial"/>
          <w:color w:val="000000" w:themeColor="text1"/>
          <w:sz w:val="22"/>
          <w:szCs w:val="22"/>
        </w:rPr>
        <w:t xml:space="preserve">ustomers </w:t>
      </w:r>
      <w:r w:rsidRPr="674DC236">
        <w:rPr>
          <w:rFonts w:ascii="Arial" w:eastAsia="Arial" w:hAnsi="Arial" w:cs="Arial"/>
          <w:color w:val="000000" w:themeColor="text1"/>
          <w:sz w:val="22"/>
          <w:szCs w:val="22"/>
        </w:rPr>
        <w:t>complies with the requirements set out in the regulations for public bodies. This includes for example accessibility issues (how communications are accessed), readability (plain English), translation services, braille and any other items detailed in the relevant legislation.</w:t>
      </w:r>
    </w:p>
    <w:p w14:paraId="53B2E284" w14:textId="12DC972F" w:rsidR="002C023C" w:rsidRPr="00263900" w:rsidRDefault="002C023C" w:rsidP="674DC236">
      <w:pPr>
        <w:pStyle w:val="ListParagraph"/>
        <w:numPr>
          <w:ilvl w:val="1"/>
          <w:numId w:val="6"/>
        </w:numPr>
        <w:spacing w:after="120"/>
        <w:rPr>
          <w:sz w:val="22"/>
          <w:szCs w:val="22"/>
        </w:rPr>
      </w:pPr>
      <w:r w:rsidRPr="674DC236">
        <w:rPr>
          <w:rFonts w:ascii="Arial" w:hAnsi="Arial" w:cs="Arial"/>
          <w:sz w:val="22"/>
          <w:szCs w:val="22"/>
        </w:rPr>
        <w:t xml:space="preserve">The </w:t>
      </w:r>
      <w:r w:rsidR="092E75A9" w:rsidRPr="674DC236">
        <w:rPr>
          <w:rFonts w:ascii="Arial" w:hAnsi="Arial" w:cs="Arial"/>
          <w:sz w:val="22"/>
          <w:szCs w:val="22"/>
        </w:rPr>
        <w:t>Authority</w:t>
      </w:r>
      <w:r w:rsidRPr="674DC236">
        <w:rPr>
          <w:rFonts w:ascii="Arial" w:hAnsi="Arial" w:cs="Arial"/>
          <w:sz w:val="22"/>
          <w:szCs w:val="22"/>
        </w:rPr>
        <w:t xml:space="preserve"> </w:t>
      </w:r>
      <w:r w:rsidR="00F36222" w:rsidRPr="674DC236">
        <w:rPr>
          <w:rFonts w:ascii="Arial" w:hAnsi="Arial" w:cs="Arial"/>
          <w:sz w:val="22"/>
          <w:szCs w:val="22"/>
        </w:rPr>
        <w:t>encourages</w:t>
      </w:r>
      <w:r w:rsidRPr="674DC236">
        <w:rPr>
          <w:rFonts w:ascii="Arial" w:hAnsi="Arial" w:cs="Arial"/>
          <w:sz w:val="22"/>
          <w:szCs w:val="22"/>
        </w:rPr>
        <w:t xml:space="preserve"> the Delivery Organisation to work with existing local </w:t>
      </w:r>
      <w:r w:rsidR="00C959E4" w:rsidRPr="674DC236">
        <w:rPr>
          <w:rFonts w:ascii="Arial" w:hAnsi="Arial" w:cs="Arial"/>
          <w:sz w:val="22"/>
          <w:szCs w:val="22"/>
        </w:rPr>
        <w:t>organisations who have the skills, experience and administrative systems in place to undertake marketing</w:t>
      </w:r>
      <w:r w:rsidR="0014378E" w:rsidRPr="674DC236">
        <w:rPr>
          <w:rFonts w:ascii="Arial" w:hAnsi="Arial" w:cs="Arial"/>
          <w:sz w:val="22"/>
          <w:szCs w:val="22"/>
        </w:rPr>
        <w:t xml:space="preserve">, </w:t>
      </w:r>
      <w:r w:rsidR="00C959E4" w:rsidRPr="674DC236">
        <w:rPr>
          <w:rFonts w:ascii="Arial" w:hAnsi="Arial" w:cs="Arial"/>
          <w:sz w:val="22"/>
          <w:szCs w:val="22"/>
        </w:rPr>
        <w:t>engagement</w:t>
      </w:r>
      <w:r w:rsidR="003B3508" w:rsidRPr="674DC236">
        <w:rPr>
          <w:rFonts w:ascii="Arial" w:hAnsi="Arial" w:cs="Arial"/>
          <w:sz w:val="22"/>
          <w:szCs w:val="22"/>
        </w:rPr>
        <w:t xml:space="preserve"> </w:t>
      </w:r>
      <w:r w:rsidR="0014378E" w:rsidRPr="674DC236">
        <w:rPr>
          <w:rFonts w:ascii="Arial" w:hAnsi="Arial" w:cs="Arial"/>
          <w:sz w:val="22"/>
          <w:szCs w:val="22"/>
        </w:rPr>
        <w:t xml:space="preserve">and customer advice, </w:t>
      </w:r>
      <w:r w:rsidR="003B3508" w:rsidRPr="674DC236">
        <w:rPr>
          <w:rFonts w:ascii="Arial" w:hAnsi="Arial" w:cs="Arial"/>
          <w:sz w:val="22"/>
          <w:szCs w:val="22"/>
        </w:rPr>
        <w:t>where the Delivery Organisation doesn’t already have this facility</w:t>
      </w:r>
      <w:r w:rsidR="0014378E" w:rsidRPr="674DC236">
        <w:rPr>
          <w:rFonts w:ascii="Arial" w:hAnsi="Arial" w:cs="Arial"/>
          <w:sz w:val="22"/>
          <w:szCs w:val="22"/>
        </w:rPr>
        <w:t xml:space="preserve"> in-house</w:t>
      </w:r>
      <w:r w:rsidR="00C959E4" w:rsidRPr="674DC236">
        <w:rPr>
          <w:rFonts w:ascii="Arial" w:hAnsi="Arial" w:cs="Arial"/>
          <w:sz w:val="22"/>
          <w:szCs w:val="22"/>
        </w:rPr>
        <w:t>.</w:t>
      </w:r>
      <w:r w:rsidR="00994E77" w:rsidRPr="674DC236">
        <w:rPr>
          <w:rFonts w:ascii="Arial" w:hAnsi="Arial" w:cs="Arial"/>
          <w:sz w:val="22"/>
          <w:szCs w:val="22"/>
        </w:rPr>
        <w:t xml:space="preserve"> </w:t>
      </w:r>
      <w:r w:rsidR="2745E321" w:rsidRPr="674DC236">
        <w:rPr>
          <w:rFonts w:ascii="Arial" w:hAnsi="Arial" w:cs="Arial"/>
          <w:sz w:val="22"/>
          <w:szCs w:val="22"/>
        </w:rPr>
        <w:t xml:space="preserve">All marketing must be in line with the protocol agreed with the </w:t>
      </w:r>
      <w:r w:rsidR="002B1186">
        <w:rPr>
          <w:rFonts w:ascii="Arial" w:hAnsi="Arial" w:cs="Arial"/>
          <w:sz w:val="22"/>
          <w:szCs w:val="22"/>
        </w:rPr>
        <w:t>Authority</w:t>
      </w:r>
      <w:r w:rsidR="2745E321" w:rsidRPr="674DC236">
        <w:rPr>
          <w:rFonts w:ascii="Arial" w:hAnsi="Arial" w:cs="Arial"/>
          <w:sz w:val="22"/>
          <w:szCs w:val="22"/>
        </w:rPr>
        <w:t>.</w:t>
      </w:r>
    </w:p>
    <w:p w14:paraId="5F778921" w14:textId="6910DA1F" w:rsidR="002C4467" w:rsidRPr="00FB66DE" w:rsidRDefault="002C4467" w:rsidP="00171ACB">
      <w:pPr>
        <w:pStyle w:val="ListParagraph"/>
        <w:numPr>
          <w:ilvl w:val="1"/>
          <w:numId w:val="6"/>
        </w:numPr>
        <w:spacing w:after="120"/>
        <w:rPr>
          <w:rFonts w:ascii="Arial" w:hAnsi="Arial" w:cs="Arial"/>
          <w:sz w:val="22"/>
          <w:szCs w:val="22"/>
        </w:rPr>
      </w:pPr>
      <w:r w:rsidRPr="674DC236">
        <w:rPr>
          <w:rFonts w:ascii="Arial" w:hAnsi="Arial" w:cs="Arial"/>
          <w:sz w:val="22"/>
          <w:szCs w:val="22"/>
        </w:rPr>
        <w:t xml:space="preserve">The Delivery Organisation </w:t>
      </w:r>
      <w:r w:rsidR="002B1186">
        <w:rPr>
          <w:rFonts w:ascii="Arial" w:hAnsi="Arial" w:cs="Arial"/>
          <w:sz w:val="22"/>
          <w:szCs w:val="22"/>
        </w:rPr>
        <w:t>shall</w:t>
      </w:r>
      <w:r w:rsidR="002B1186" w:rsidRPr="674DC236">
        <w:rPr>
          <w:rFonts w:ascii="Arial" w:hAnsi="Arial" w:cs="Arial"/>
          <w:sz w:val="22"/>
          <w:szCs w:val="22"/>
        </w:rPr>
        <w:t xml:space="preserve"> </w:t>
      </w:r>
      <w:r w:rsidRPr="674DC236">
        <w:rPr>
          <w:rFonts w:ascii="Arial" w:hAnsi="Arial" w:cs="Arial"/>
          <w:sz w:val="22"/>
          <w:szCs w:val="22"/>
        </w:rPr>
        <w:t xml:space="preserve">work with local Trading Standards to confirm areas to be marketed, and approaches being taken to ensure that any </w:t>
      </w:r>
      <w:r w:rsidR="002B1186">
        <w:rPr>
          <w:rFonts w:ascii="Arial" w:hAnsi="Arial" w:cs="Arial"/>
          <w:sz w:val="22"/>
          <w:szCs w:val="22"/>
        </w:rPr>
        <w:t>C</w:t>
      </w:r>
      <w:r w:rsidR="002B1186" w:rsidRPr="674DC236">
        <w:rPr>
          <w:rFonts w:ascii="Arial" w:hAnsi="Arial" w:cs="Arial"/>
          <w:sz w:val="22"/>
          <w:szCs w:val="22"/>
        </w:rPr>
        <w:t xml:space="preserve">ustomer </w:t>
      </w:r>
      <w:r w:rsidRPr="674DC236">
        <w:rPr>
          <w:rFonts w:ascii="Arial" w:hAnsi="Arial" w:cs="Arial"/>
          <w:sz w:val="22"/>
          <w:szCs w:val="22"/>
        </w:rPr>
        <w:t>complaints a</w:t>
      </w:r>
      <w:r w:rsidR="00E44BAE" w:rsidRPr="674DC236">
        <w:rPr>
          <w:rFonts w:ascii="Arial" w:hAnsi="Arial" w:cs="Arial"/>
          <w:sz w:val="22"/>
          <w:szCs w:val="22"/>
        </w:rPr>
        <w:t>bout referral companies are dealt with appropriately. (</w:t>
      </w:r>
      <w:r w:rsidR="46FC26AC" w:rsidRPr="674DC236">
        <w:rPr>
          <w:rFonts w:ascii="Arial" w:hAnsi="Arial" w:cs="Arial"/>
          <w:sz w:val="22"/>
          <w:szCs w:val="22"/>
        </w:rPr>
        <w:t>e.g.,</w:t>
      </w:r>
      <w:r w:rsidR="00E44BAE" w:rsidRPr="674DC236">
        <w:rPr>
          <w:rFonts w:ascii="Arial" w:hAnsi="Arial" w:cs="Arial"/>
          <w:sz w:val="22"/>
          <w:szCs w:val="22"/>
        </w:rPr>
        <w:t xml:space="preserve"> door knocking – some areas have ‘no door-knocking’ </w:t>
      </w:r>
      <w:r w:rsidR="002266F0" w:rsidRPr="674DC236">
        <w:rPr>
          <w:rFonts w:ascii="Arial" w:hAnsi="Arial" w:cs="Arial"/>
          <w:sz w:val="22"/>
          <w:szCs w:val="22"/>
        </w:rPr>
        <w:t xml:space="preserve">orders applied). Trading Standards </w:t>
      </w:r>
      <w:r w:rsidR="002B1186">
        <w:rPr>
          <w:rFonts w:ascii="Arial" w:hAnsi="Arial" w:cs="Arial"/>
          <w:sz w:val="22"/>
          <w:szCs w:val="22"/>
        </w:rPr>
        <w:t xml:space="preserve">may be able </w:t>
      </w:r>
      <w:r w:rsidR="002266F0" w:rsidRPr="674DC236">
        <w:rPr>
          <w:rFonts w:ascii="Arial" w:hAnsi="Arial" w:cs="Arial"/>
          <w:sz w:val="22"/>
          <w:szCs w:val="22"/>
        </w:rPr>
        <w:t xml:space="preserve">to support known and supported activity (where it </w:t>
      </w:r>
      <w:r w:rsidR="00F25C7E" w:rsidRPr="674DC236">
        <w:rPr>
          <w:rFonts w:ascii="Arial" w:hAnsi="Arial" w:cs="Arial"/>
          <w:sz w:val="22"/>
          <w:szCs w:val="22"/>
        </w:rPr>
        <w:t xml:space="preserve">complies with any agreed standards) and can confirm to </w:t>
      </w:r>
      <w:r w:rsidR="002B1186">
        <w:rPr>
          <w:rFonts w:ascii="Arial" w:hAnsi="Arial" w:cs="Arial"/>
          <w:sz w:val="22"/>
          <w:szCs w:val="22"/>
        </w:rPr>
        <w:t>C</w:t>
      </w:r>
      <w:r w:rsidR="00F25C7E" w:rsidRPr="674DC236">
        <w:rPr>
          <w:rFonts w:ascii="Arial" w:hAnsi="Arial" w:cs="Arial"/>
          <w:sz w:val="22"/>
          <w:szCs w:val="22"/>
        </w:rPr>
        <w:t xml:space="preserve">ustomers </w:t>
      </w:r>
      <w:r w:rsidR="00F25C6E" w:rsidRPr="674DC236">
        <w:rPr>
          <w:rFonts w:ascii="Arial" w:hAnsi="Arial" w:cs="Arial"/>
          <w:sz w:val="22"/>
          <w:szCs w:val="22"/>
        </w:rPr>
        <w:t>the legitimacy of referral generation companies/schemes.</w:t>
      </w:r>
    </w:p>
    <w:p w14:paraId="3D2B79F4" w14:textId="77777777" w:rsidR="009048EF" w:rsidRPr="00567C2D" w:rsidRDefault="009048EF" w:rsidP="00567C2D">
      <w:pPr>
        <w:pStyle w:val="ListParagraph"/>
        <w:spacing w:after="120"/>
        <w:ind w:left="1134"/>
        <w:rPr>
          <w:rFonts w:ascii="Arial" w:hAnsi="Arial" w:cs="Arial"/>
          <w:sz w:val="22"/>
          <w:szCs w:val="22"/>
        </w:rPr>
      </w:pPr>
    </w:p>
    <w:p w14:paraId="3D2B79F5" w14:textId="77777777" w:rsidR="00A10922" w:rsidRPr="00D219FF" w:rsidRDefault="00A10922" w:rsidP="46B5BCA3">
      <w:pPr>
        <w:pStyle w:val="ListParagraph"/>
        <w:numPr>
          <w:ilvl w:val="0"/>
          <w:numId w:val="6"/>
        </w:numPr>
        <w:spacing w:after="120"/>
        <w:rPr>
          <w:rFonts w:ascii="Arial" w:hAnsi="Arial" w:cs="Arial"/>
          <w:b/>
          <w:bCs/>
          <w:sz w:val="22"/>
          <w:szCs w:val="22"/>
        </w:rPr>
      </w:pPr>
      <w:bookmarkStart w:id="2" w:name="_Ref396992631"/>
      <w:r w:rsidRPr="46B5BCA3">
        <w:rPr>
          <w:rFonts w:ascii="Arial" w:hAnsi="Arial" w:cs="Arial"/>
          <w:b/>
          <w:bCs/>
          <w:sz w:val="22"/>
          <w:szCs w:val="22"/>
        </w:rPr>
        <w:t>Measures</w:t>
      </w:r>
      <w:bookmarkEnd w:id="2"/>
    </w:p>
    <w:p w14:paraId="3D2B79F6" w14:textId="22FF2FBE" w:rsidR="00102B39" w:rsidRDefault="00A10922" w:rsidP="00A10922">
      <w:pPr>
        <w:pStyle w:val="ListParagraph"/>
        <w:numPr>
          <w:ilvl w:val="1"/>
          <w:numId w:val="6"/>
        </w:numPr>
        <w:spacing w:after="120"/>
        <w:rPr>
          <w:rFonts w:ascii="Arial" w:hAnsi="Arial" w:cs="Arial"/>
          <w:sz w:val="22"/>
          <w:szCs w:val="22"/>
        </w:rPr>
      </w:pPr>
      <w:r w:rsidRPr="46B5BCA3">
        <w:rPr>
          <w:rFonts w:ascii="Arial" w:hAnsi="Arial" w:cs="Arial"/>
          <w:sz w:val="22"/>
          <w:szCs w:val="22"/>
        </w:rPr>
        <w:t xml:space="preserve">The </w:t>
      </w:r>
      <w:r w:rsidR="002B1186">
        <w:rPr>
          <w:rFonts w:ascii="Arial" w:hAnsi="Arial" w:cs="Arial"/>
          <w:sz w:val="22"/>
          <w:szCs w:val="22"/>
        </w:rPr>
        <w:t>agreement</w:t>
      </w:r>
      <w:r w:rsidR="002B1186" w:rsidRPr="46B5BCA3">
        <w:rPr>
          <w:rFonts w:ascii="Arial" w:hAnsi="Arial" w:cs="Arial"/>
          <w:sz w:val="22"/>
          <w:szCs w:val="22"/>
        </w:rPr>
        <w:t xml:space="preserve"> </w:t>
      </w:r>
      <w:r w:rsidRPr="46B5BCA3">
        <w:rPr>
          <w:rFonts w:ascii="Arial" w:hAnsi="Arial" w:cs="Arial"/>
          <w:sz w:val="22"/>
          <w:szCs w:val="22"/>
        </w:rPr>
        <w:t>defines and specifies</w:t>
      </w:r>
      <w:r w:rsidR="00ED1970" w:rsidRPr="46B5BCA3">
        <w:rPr>
          <w:rFonts w:ascii="Arial" w:hAnsi="Arial" w:cs="Arial"/>
          <w:sz w:val="22"/>
          <w:szCs w:val="22"/>
        </w:rPr>
        <w:t xml:space="preserve"> the M</w:t>
      </w:r>
      <w:r w:rsidRPr="46B5BCA3">
        <w:rPr>
          <w:rFonts w:ascii="Arial" w:hAnsi="Arial" w:cs="Arial"/>
          <w:sz w:val="22"/>
          <w:szCs w:val="22"/>
        </w:rPr>
        <w:t>easures whic</w:t>
      </w:r>
      <w:r w:rsidR="00ED1970" w:rsidRPr="46B5BCA3">
        <w:rPr>
          <w:rFonts w:ascii="Arial" w:hAnsi="Arial" w:cs="Arial"/>
          <w:sz w:val="22"/>
          <w:szCs w:val="22"/>
        </w:rPr>
        <w:t>h may be offered as part of an I</w:t>
      </w:r>
      <w:r w:rsidRPr="46B5BCA3">
        <w:rPr>
          <w:rFonts w:ascii="Arial" w:hAnsi="Arial" w:cs="Arial"/>
          <w:sz w:val="22"/>
          <w:szCs w:val="22"/>
        </w:rPr>
        <w:t xml:space="preserve">nstallation.  The </w:t>
      </w:r>
      <w:r w:rsidR="002B1186">
        <w:rPr>
          <w:rFonts w:ascii="Arial" w:hAnsi="Arial" w:cs="Arial"/>
          <w:sz w:val="22"/>
          <w:szCs w:val="22"/>
        </w:rPr>
        <w:t>agreement</w:t>
      </w:r>
      <w:r w:rsidR="002B1186" w:rsidRPr="46B5BCA3">
        <w:rPr>
          <w:rFonts w:ascii="Arial" w:hAnsi="Arial" w:cs="Arial"/>
          <w:sz w:val="22"/>
          <w:szCs w:val="22"/>
        </w:rPr>
        <w:t xml:space="preserve"> </w:t>
      </w:r>
      <w:r w:rsidRPr="46B5BCA3">
        <w:rPr>
          <w:rFonts w:ascii="Arial" w:hAnsi="Arial" w:cs="Arial"/>
          <w:sz w:val="22"/>
          <w:szCs w:val="22"/>
        </w:rPr>
        <w:t>sets</w:t>
      </w:r>
      <w:r w:rsidR="00ED1970" w:rsidRPr="46B5BCA3">
        <w:rPr>
          <w:rFonts w:ascii="Arial" w:hAnsi="Arial" w:cs="Arial"/>
          <w:sz w:val="22"/>
          <w:szCs w:val="22"/>
        </w:rPr>
        <w:t xml:space="preserve"> out the rules governing what M</w:t>
      </w:r>
      <w:r w:rsidRPr="46B5BCA3">
        <w:rPr>
          <w:rFonts w:ascii="Arial" w:hAnsi="Arial" w:cs="Arial"/>
          <w:sz w:val="22"/>
          <w:szCs w:val="22"/>
        </w:rPr>
        <w:t xml:space="preserve">easures may be offered (and in what combination) to </w:t>
      </w:r>
      <w:r w:rsidR="00E42A26" w:rsidRPr="46B5BCA3">
        <w:rPr>
          <w:rFonts w:ascii="Arial" w:hAnsi="Arial" w:cs="Arial"/>
          <w:sz w:val="22"/>
          <w:szCs w:val="22"/>
        </w:rPr>
        <w:t>households</w:t>
      </w:r>
      <w:r w:rsidR="00AD5517" w:rsidRPr="46B5BCA3">
        <w:rPr>
          <w:rFonts w:ascii="Arial" w:hAnsi="Arial" w:cs="Arial"/>
          <w:sz w:val="22"/>
          <w:szCs w:val="22"/>
        </w:rPr>
        <w:t xml:space="preserve"> </w:t>
      </w:r>
      <w:r w:rsidRPr="46B5BCA3">
        <w:rPr>
          <w:rFonts w:ascii="Arial" w:hAnsi="Arial" w:cs="Arial"/>
          <w:sz w:val="22"/>
          <w:szCs w:val="22"/>
        </w:rPr>
        <w:t>based on suitability for</w:t>
      </w:r>
      <w:r w:rsidR="00ED1970" w:rsidRPr="46B5BCA3">
        <w:rPr>
          <w:rFonts w:ascii="Arial" w:hAnsi="Arial" w:cs="Arial"/>
          <w:sz w:val="22"/>
          <w:szCs w:val="22"/>
        </w:rPr>
        <w:t xml:space="preserve"> the current residents and the D</w:t>
      </w:r>
      <w:r w:rsidRPr="46B5BCA3">
        <w:rPr>
          <w:rFonts w:ascii="Arial" w:hAnsi="Arial" w:cs="Arial"/>
          <w:sz w:val="22"/>
          <w:szCs w:val="22"/>
        </w:rPr>
        <w:t>welling and other factors.</w:t>
      </w:r>
    </w:p>
    <w:p w14:paraId="3D2B79F8" w14:textId="7127135D" w:rsidR="00A10922" w:rsidRPr="00D4392B" w:rsidRDefault="0084785F" w:rsidP="674DC236">
      <w:pPr>
        <w:pStyle w:val="ListParagraph"/>
        <w:numPr>
          <w:ilvl w:val="1"/>
          <w:numId w:val="6"/>
        </w:numPr>
        <w:spacing w:after="120"/>
        <w:rPr>
          <w:rFonts w:ascii="Arial" w:eastAsia="Arial" w:hAnsi="Arial" w:cs="Arial"/>
          <w:sz w:val="22"/>
          <w:szCs w:val="22"/>
        </w:rPr>
      </w:pPr>
      <w:r w:rsidRPr="674DC236">
        <w:rPr>
          <w:rFonts w:ascii="Arial" w:hAnsi="Arial" w:cs="Arial"/>
          <w:sz w:val="22"/>
          <w:szCs w:val="22"/>
        </w:rPr>
        <w:t xml:space="preserve">On receipt of the Retrofit Assessors </w:t>
      </w:r>
      <w:r w:rsidR="001B50D0" w:rsidRPr="674DC236">
        <w:rPr>
          <w:rFonts w:ascii="Arial" w:hAnsi="Arial" w:cs="Arial"/>
          <w:sz w:val="22"/>
          <w:szCs w:val="22"/>
        </w:rPr>
        <w:t xml:space="preserve">assessment, the Retrofit Coordinator will be appointed to identify </w:t>
      </w:r>
      <w:r w:rsidR="00E30301" w:rsidRPr="674DC236">
        <w:rPr>
          <w:rFonts w:ascii="Arial" w:hAnsi="Arial" w:cs="Arial"/>
          <w:sz w:val="22"/>
          <w:szCs w:val="22"/>
        </w:rPr>
        <w:t xml:space="preserve">a range of measures suitable for the </w:t>
      </w:r>
      <w:r w:rsidR="002B1186">
        <w:rPr>
          <w:rFonts w:ascii="Arial" w:hAnsi="Arial" w:cs="Arial"/>
          <w:sz w:val="22"/>
          <w:szCs w:val="22"/>
        </w:rPr>
        <w:t>Dwelling</w:t>
      </w:r>
      <w:r w:rsidR="00E30301" w:rsidRPr="674DC236">
        <w:rPr>
          <w:rFonts w:ascii="Arial" w:hAnsi="Arial" w:cs="Arial"/>
          <w:sz w:val="22"/>
          <w:szCs w:val="22"/>
        </w:rPr>
        <w:t xml:space="preserve">. These should consider the ‘fabric first’ approach and consider any sequencing issues to avoid </w:t>
      </w:r>
      <w:r w:rsidR="00BE219D" w:rsidRPr="674DC236">
        <w:rPr>
          <w:rFonts w:ascii="Arial" w:hAnsi="Arial" w:cs="Arial"/>
          <w:sz w:val="22"/>
          <w:szCs w:val="22"/>
        </w:rPr>
        <w:lastRenderedPageBreak/>
        <w:t xml:space="preserve">limitations or additional costs further down the line to improve the </w:t>
      </w:r>
      <w:r w:rsidR="002B1186">
        <w:rPr>
          <w:rFonts w:ascii="Arial" w:hAnsi="Arial" w:cs="Arial"/>
          <w:sz w:val="22"/>
          <w:szCs w:val="22"/>
        </w:rPr>
        <w:t>Dwelling</w:t>
      </w:r>
      <w:r w:rsidR="002B1186" w:rsidRPr="674DC236">
        <w:rPr>
          <w:rFonts w:ascii="Arial" w:hAnsi="Arial" w:cs="Arial"/>
          <w:sz w:val="22"/>
          <w:szCs w:val="22"/>
        </w:rPr>
        <w:t xml:space="preserve"> </w:t>
      </w:r>
      <w:r w:rsidR="00CB4CFE" w:rsidRPr="674DC236">
        <w:rPr>
          <w:rFonts w:ascii="Arial" w:hAnsi="Arial" w:cs="Arial"/>
          <w:sz w:val="22"/>
          <w:szCs w:val="22"/>
        </w:rPr>
        <w:t>in the futu</w:t>
      </w:r>
      <w:r w:rsidR="00BE219D" w:rsidRPr="674DC236">
        <w:rPr>
          <w:rFonts w:ascii="Arial" w:hAnsi="Arial" w:cs="Arial"/>
          <w:sz w:val="22"/>
          <w:szCs w:val="22"/>
        </w:rPr>
        <w:t>r</w:t>
      </w:r>
      <w:r w:rsidR="00CB4CFE" w:rsidRPr="674DC236">
        <w:rPr>
          <w:rFonts w:ascii="Arial" w:hAnsi="Arial" w:cs="Arial"/>
          <w:sz w:val="22"/>
          <w:szCs w:val="22"/>
        </w:rPr>
        <w:t>e</w:t>
      </w:r>
      <w:r w:rsidR="00BE219D" w:rsidRPr="674DC236">
        <w:rPr>
          <w:rFonts w:ascii="Arial" w:hAnsi="Arial" w:cs="Arial"/>
          <w:sz w:val="22"/>
          <w:szCs w:val="22"/>
        </w:rPr>
        <w:t xml:space="preserve">. The Retrofit Coordinator will discuss the proposals with the </w:t>
      </w:r>
      <w:r w:rsidR="002B1186">
        <w:rPr>
          <w:rFonts w:ascii="Arial" w:hAnsi="Arial" w:cs="Arial"/>
          <w:sz w:val="22"/>
          <w:szCs w:val="22"/>
        </w:rPr>
        <w:t>C</w:t>
      </w:r>
      <w:r w:rsidR="00BE219D" w:rsidRPr="674DC236">
        <w:rPr>
          <w:rFonts w:ascii="Arial" w:hAnsi="Arial" w:cs="Arial"/>
          <w:sz w:val="22"/>
          <w:szCs w:val="22"/>
        </w:rPr>
        <w:t>ustomer and explain the reasoning behind the proposals. Customers will only be able to cho</w:t>
      </w:r>
      <w:r w:rsidR="00D4567C" w:rsidRPr="674DC236">
        <w:rPr>
          <w:rFonts w:ascii="Arial" w:hAnsi="Arial" w:cs="Arial"/>
          <w:sz w:val="22"/>
          <w:szCs w:val="22"/>
        </w:rPr>
        <w:t>o</w:t>
      </w:r>
      <w:r w:rsidR="00BE219D" w:rsidRPr="674DC236">
        <w:rPr>
          <w:rFonts w:ascii="Arial" w:hAnsi="Arial" w:cs="Arial"/>
          <w:sz w:val="22"/>
          <w:szCs w:val="22"/>
        </w:rPr>
        <w:t xml:space="preserve">se from </w:t>
      </w:r>
      <w:r w:rsidR="00562C92" w:rsidRPr="674DC236">
        <w:rPr>
          <w:rFonts w:ascii="Arial" w:hAnsi="Arial" w:cs="Arial"/>
          <w:sz w:val="22"/>
          <w:szCs w:val="22"/>
        </w:rPr>
        <w:t>this list of recommended measures.</w:t>
      </w:r>
    </w:p>
    <w:p w14:paraId="3D2B79F9" w14:textId="031EDB30" w:rsidR="00A10922" w:rsidRPr="00D4392B" w:rsidRDefault="00112A8A" w:rsidP="00A10922">
      <w:pPr>
        <w:pStyle w:val="ListParagraph"/>
        <w:numPr>
          <w:ilvl w:val="1"/>
          <w:numId w:val="6"/>
        </w:numPr>
        <w:spacing w:after="120"/>
        <w:rPr>
          <w:rFonts w:ascii="Arial" w:hAnsi="Arial" w:cs="Arial"/>
          <w:sz w:val="22"/>
          <w:szCs w:val="22"/>
        </w:rPr>
      </w:pPr>
      <w:r w:rsidRPr="674DC236">
        <w:rPr>
          <w:rFonts w:ascii="Arial" w:hAnsi="Arial" w:cs="Arial"/>
          <w:sz w:val="22"/>
          <w:szCs w:val="22"/>
        </w:rPr>
        <w:t>Fabric first measures are</w:t>
      </w:r>
      <w:r w:rsidR="00ED1970" w:rsidRPr="674DC236">
        <w:rPr>
          <w:rFonts w:ascii="Arial" w:hAnsi="Arial" w:cs="Arial"/>
          <w:sz w:val="22"/>
          <w:szCs w:val="22"/>
        </w:rPr>
        <w:t xml:space="preserve"> </w:t>
      </w:r>
      <w:r w:rsidRPr="674DC236">
        <w:rPr>
          <w:rFonts w:ascii="Arial" w:hAnsi="Arial" w:cs="Arial"/>
          <w:sz w:val="22"/>
          <w:szCs w:val="22"/>
        </w:rPr>
        <w:t>h</w:t>
      </w:r>
      <w:r w:rsidR="00A10922" w:rsidRPr="674DC236">
        <w:rPr>
          <w:rFonts w:ascii="Arial" w:hAnsi="Arial" w:cs="Arial"/>
          <w:sz w:val="22"/>
          <w:szCs w:val="22"/>
        </w:rPr>
        <w:t xml:space="preserve">ighly </w:t>
      </w:r>
      <w:r w:rsidRPr="674DC236">
        <w:rPr>
          <w:rFonts w:ascii="Arial" w:hAnsi="Arial" w:cs="Arial"/>
          <w:sz w:val="22"/>
          <w:szCs w:val="22"/>
        </w:rPr>
        <w:t>r</w:t>
      </w:r>
      <w:r w:rsidR="00ED1970" w:rsidRPr="674DC236">
        <w:rPr>
          <w:rFonts w:ascii="Arial" w:hAnsi="Arial" w:cs="Arial"/>
          <w:sz w:val="22"/>
          <w:szCs w:val="22"/>
        </w:rPr>
        <w:t>ecommended</w:t>
      </w:r>
      <w:r w:rsidR="00AD5517" w:rsidRPr="674DC236">
        <w:rPr>
          <w:rFonts w:ascii="Arial" w:hAnsi="Arial" w:cs="Arial"/>
          <w:sz w:val="22"/>
          <w:szCs w:val="22"/>
        </w:rPr>
        <w:t xml:space="preserve"> </w:t>
      </w:r>
      <w:r w:rsidR="00A10922" w:rsidRPr="674DC236">
        <w:rPr>
          <w:rFonts w:ascii="Arial" w:hAnsi="Arial" w:cs="Arial"/>
          <w:sz w:val="22"/>
          <w:szCs w:val="22"/>
        </w:rPr>
        <w:t xml:space="preserve">to ensure that the fabric of the </w:t>
      </w:r>
      <w:r w:rsidR="002B1186">
        <w:rPr>
          <w:rFonts w:ascii="Arial" w:hAnsi="Arial" w:cs="Arial"/>
          <w:sz w:val="22"/>
          <w:szCs w:val="22"/>
        </w:rPr>
        <w:t>Dwelling</w:t>
      </w:r>
      <w:r w:rsidR="002B1186" w:rsidRPr="674DC236">
        <w:rPr>
          <w:rFonts w:ascii="Arial" w:hAnsi="Arial" w:cs="Arial"/>
          <w:sz w:val="22"/>
          <w:szCs w:val="22"/>
        </w:rPr>
        <w:t xml:space="preserve"> </w:t>
      </w:r>
      <w:r w:rsidR="00A10922" w:rsidRPr="674DC236">
        <w:rPr>
          <w:rFonts w:ascii="Arial" w:hAnsi="Arial" w:cs="Arial"/>
          <w:sz w:val="22"/>
          <w:szCs w:val="22"/>
        </w:rPr>
        <w:t>is improved and demand for heating is reduced before ne</w:t>
      </w:r>
      <w:r w:rsidR="00ED1970" w:rsidRPr="674DC236">
        <w:rPr>
          <w:rFonts w:ascii="Arial" w:hAnsi="Arial" w:cs="Arial"/>
          <w:sz w:val="22"/>
          <w:szCs w:val="22"/>
        </w:rPr>
        <w:t>w heating systems are installed.</w:t>
      </w:r>
      <w:r w:rsidR="009F4DBD" w:rsidRPr="674DC236">
        <w:rPr>
          <w:rFonts w:ascii="Arial" w:hAnsi="Arial" w:cs="Arial"/>
          <w:sz w:val="22"/>
          <w:szCs w:val="22"/>
        </w:rPr>
        <w:t xml:space="preserve"> </w:t>
      </w:r>
      <w:r w:rsidR="00BD6DF3" w:rsidRPr="674DC236">
        <w:rPr>
          <w:rFonts w:ascii="Arial" w:hAnsi="Arial" w:cs="Arial"/>
          <w:sz w:val="22"/>
          <w:szCs w:val="22"/>
        </w:rPr>
        <w:t xml:space="preserve">Householders participating in the scheme are likely to be living in fuel poverty, </w:t>
      </w:r>
      <w:r w:rsidR="003C5A61" w:rsidRPr="674DC236">
        <w:rPr>
          <w:rFonts w:ascii="Arial" w:hAnsi="Arial" w:cs="Arial"/>
          <w:sz w:val="22"/>
          <w:szCs w:val="22"/>
        </w:rPr>
        <w:t xml:space="preserve">installations should increase the energy efficiency of the building (thus providing warmer home at no extra cost or a home cheaper to heat) </w:t>
      </w:r>
      <w:r w:rsidR="00F113BF" w:rsidRPr="674DC236">
        <w:rPr>
          <w:rFonts w:ascii="Arial" w:hAnsi="Arial" w:cs="Arial"/>
          <w:sz w:val="22"/>
          <w:szCs w:val="22"/>
        </w:rPr>
        <w:t xml:space="preserve">rather than transferring to a low energy heat source that may result in </w:t>
      </w:r>
      <w:r w:rsidR="00985AD0" w:rsidRPr="674DC236">
        <w:rPr>
          <w:rFonts w:ascii="Arial" w:hAnsi="Arial" w:cs="Arial"/>
          <w:sz w:val="22"/>
          <w:szCs w:val="22"/>
        </w:rPr>
        <w:t>higher bills or does not impact warmth</w:t>
      </w:r>
      <w:r w:rsidR="00472A88" w:rsidRPr="674DC236">
        <w:rPr>
          <w:rFonts w:ascii="Arial" w:hAnsi="Arial" w:cs="Arial"/>
          <w:sz w:val="22"/>
          <w:szCs w:val="22"/>
        </w:rPr>
        <w:t xml:space="preserve"> within the property.</w:t>
      </w:r>
    </w:p>
    <w:p w14:paraId="29D6EE38" w14:textId="51CB726A" w:rsidR="004A1F82" w:rsidRPr="007A4274" w:rsidRDefault="0B9DA661" w:rsidP="674DC236">
      <w:pPr>
        <w:pStyle w:val="ListParagraph"/>
        <w:numPr>
          <w:ilvl w:val="1"/>
          <w:numId w:val="6"/>
        </w:numPr>
        <w:spacing w:after="120"/>
        <w:rPr>
          <w:rFonts w:ascii="Arial" w:eastAsia="Arial" w:hAnsi="Arial" w:cs="Arial"/>
          <w:color w:val="000000" w:themeColor="text1"/>
          <w:sz w:val="22"/>
          <w:szCs w:val="22"/>
        </w:rPr>
      </w:pPr>
      <w:r w:rsidRPr="674DC236">
        <w:rPr>
          <w:rFonts w:ascii="Arial" w:eastAsia="Arial" w:hAnsi="Arial" w:cs="Arial"/>
          <w:color w:val="000000" w:themeColor="text1"/>
          <w:sz w:val="22"/>
          <w:szCs w:val="22"/>
        </w:rPr>
        <w:t xml:space="preserve"> The </w:t>
      </w:r>
      <w:r w:rsidR="0044427F">
        <w:rPr>
          <w:rFonts w:ascii="Arial" w:eastAsia="Arial" w:hAnsi="Arial" w:cs="Arial"/>
          <w:color w:val="000000" w:themeColor="text1"/>
          <w:sz w:val="22"/>
          <w:szCs w:val="22"/>
        </w:rPr>
        <w:t xml:space="preserve">agreement </w:t>
      </w:r>
      <w:r w:rsidRPr="674DC236">
        <w:rPr>
          <w:rFonts w:ascii="Arial" w:eastAsia="Arial" w:hAnsi="Arial" w:cs="Arial"/>
          <w:color w:val="000000" w:themeColor="text1"/>
          <w:sz w:val="22"/>
          <w:szCs w:val="22"/>
        </w:rPr>
        <w:t>includes provision for the following types of Measures:</w:t>
      </w:r>
    </w:p>
    <w:p w14:paraId="72F6ECDD" w14:textId="679A40B1" w:rsidR="004A1F82" w:rsidRPr="007A4274" w:rsidRDefault="0B9DA661" w:rsidP="674DC236">
      <w:pPr>
        <w:pStyle w:val="ListParagraph"/>
        <w:numPr>
          <w:ilvl w:val="0"/>
          <w:numId w:val="29"/>
        </w:numPr>
        <w:tabs>
          <w:tab w:val="clear" w:pos="720"/>
          <w:tab w:val="clear" w:pos="1440"/>
          <w:tab w:val="clear" w:pos="2160"/>
          <w:tab w:val="clear" w:pos="2880"/>
          <w:tab w:val="clear" w:pos="4680"/>
          <w:tab w:val="clear" w:pos="5400"/>
          <w:tab w:val="clear" w:pos="9000"/>
        </w:tabs>
        <w:spacing w:after="120"/>
        <w:rPr>
          <w:rFonts w:ascii="Arial" w:eastAsia="Arial" w:hAnsi="Arial" w:cs="Arial"/>
          <w:b/>
          <w:bCs/>
          <w:color w:val="000000" w:themeColor="text1"/>
          <w:sz w:val="22"/>
          <w:szCs w:val="22"/>
        </w:rPr>
      </w:pPr>
      <w:r w:rsidRPr="674DC236">
        <w:rPr>
          <w:rFonts w:ascii="Arial" w:eastAsia="Arial" w:hAnsi="Arial" w:cs="Arial"/>
          <w:b/>
          <w:bCs/>
          <w:color w:val="000000" w:themeColor="text1"/>
          <w:sz w:val="22"/>
          <w:szCs w:val="22"/>
        </w:rPr>
        <w:t>Insulation Measures</w:t>
      </w:r>
      <w:r w:rsidRPr="674DC236">
        <w:rPr>
          <w:rFonts w:ascii="Arial" w:eastAsia="Arial" w:hAnsi="Arial" w:cs="Arial"/>
          <w:color w:val="000000" w:themeColor="text1"/>
          <w:sz w:val="22"/>
          <w:szCs w:val="22"/>
        </w:rPr>
        <w:t xml:space="preserve"> – cavity and party wall, solid wall insulation (EWI, IWI and Hybrid), loft, under floor and flat roof insulation measures.</w:t>
      </w:r>
    </w:p>
    <w:p w14:paraId="2C0AB533" w14:textId="20D04B44" w:rsidR="004A1F82" w:rsidRPr="007A4274" w:rsidRDefault="0B9DA661" w:rsidP="674DC236">
      <w:pPr>
        <w:pStyle w:val="ListParagraph"/>
        <w:numPr>
          <w:ilvl w:val="0"/>
          <w:numId w:val="29"/>
        </w:numPr>
        <w:tabs>
          <w:tab w:val="clear" w:pos="720"/>
          <w:tab w:val="clear" w:pos="1440"/>
          <w:tab w:val="clear" w:pos="2160"/>
          <w:tab w:val="clear" w:pos="2880"/>
          <w:tab w:val="clear" w:pos="4680"/>
          <w:tab w:val="clear" w:pos="5400"/>
          <w:tab w:val="clear" w:pos="9000"/>
        </w:tabs>
        <w:spacing w:after="120"/>
        <w:rPr>
          <w:rFonts w:ascii="Arial" w:eastAsia="Arial" w:hAnsi="Arial" w:cs="Arial"/>
          <w:b/>
          <w:bCs/>
          <w:color w:val="000000" w:themeColor="text1"/>
          <w:sz w:val="22"/>
          <w:szCs w:val="22"/>
        </w:rPr>
      </w:pPr>
      <w:r w:rsidRPr="674DC236">
        <w:rPr>
          <w:rFonts w:ascii="Arial" w:eastAsia="Arial" w:hAnsi="Arial" w:cs="Arial"/>
          <w:b/>
          <w:bCs/>
          <w:color w:val="000000" w:themeColor="text1"/>
          <w:sz w:val="22"/>
          <w:szCs w:val="22"/>
        </w:rPr>
        <w:t>Heating Measures</w:t>
      </w:r>
      <w:r w:rsidRPr="674DC236">
        <w:rPr>
          <w:rFonts w:ascii="Arial" w:eastAsia="Arial" w:hAnsi="Arial" w:cs="Arial"/>
          <w:color w:val="000000" w:themeColor="text1"/>
          <w:sz w:val="22"/>
          <w:szCs w:val="22"/>
        </w:rPr>
        <w:t xml:space="preserve"> –Heat pumps (Air and Ground source) and high heat retention storage heaters.</w:t>
      </w:r>
    </w:p>
    <w:p w14:paraId="0FC7D02E" w14:textId="0FA0943E" w:rsidR="004A1F82" w:rsidRPr="007A4274" w:rsidRDefault="0B9DA661" w:rsidP="674DC236">
      <w:pPr>
        <w:pStyle w:val="ListParagraph"/>
        <w:numPr>
          <w:ilvl w:val="0"/>
          <w:numId w:val="29"/>
        </w:numPr>
        <w:tabs>
          <w:tab w:val="clear" w:pos="720"/>
          <w:tab w:val="clear" w:pos="1440"/>
          <w:tab w:val="clear" w:pos="2160"/>
          <w:tab w:val="clear" w:pos="2880"/>
          <w:tab w:val="clear" w:pos="4680"/>
          <w:tab w:val="clear" w:pos="5400"/>
          <w:tab w:val="clear" w:pos="9000"/>
        </w:tabs>
        <w:spacing w:after="120"/>
        <w:rPr>
          <w:rFonts w:ascii="Arial" w:eastAsia="Arial" w:hAnsi="Arial" w:cs="Arial"/>
          <w:b/>
          <w:bCs/>
          <w:color w:val="000000" w:themeColor="text1"/>
          <w:sz w:val="22"/>
          <w:szCs w:val="22"/>
        </w:rPr>
      </w:pPr>
      <w:r w:rsidRPr="674DC236">
        <w:rPr>
          <w:rFonts w:ascii="Arial" w:eastAsia="Arial" w:hAnsi="Arial" w:cs="Arial"/>
          <w:b/>
          <w:bCs/>
          <w:color w:val="000000" w:themeColor="text1"/>
          <w:sz w:val="22"/>
          <w:szCs w:val="22"/>
        </w:rPr>
        <w:t>Micro-generation Measures</w:t>
      </w:r>
      <w:r w:rsidRPr="674DC236">
        <w:rPr>
          <w:rFonts w:ascii="Arial" w:eastAsia="Arial" w:hAnsi="Arial" w:cs="Arial"/>
          <w:color w:val="000000" w:themeColor="text1"/>
          <w:sz w:val="22"/>
          <w:szCs w:val="22"/>
        </w:rPr>
        <w:t xml:space="preserve"> – new solar PV and solar thermal installations are allowable.</w:t>
      </w:r>
    </w:p>
    <w:p w14:paraId="6D661C11" w14:textId="209A3FE7" w:rsidR="004A1F82" w:rsidRPr="007A4274" w:rsidRDefault="0B9DA661" w:rsidP="57D9B5A1">
      <w:pPr>
        <w:pStyle w:val="ListParagraph"/>
        <w:numPr>
          <w:ilvl w:val="0"/>
          <w:numId w:val="29"/>
        </w:numPr>
        <w:tabs>
          <w:tab w:val="clear" w:pos="720"/>
          <w:tab w:val="clear" w:pos="1440"/>
          <w:tab w:val="clear" w:pos="2160"/>
          <w:tab w:val="clear" w:pos="2880"/>
          <w:tab w:val="clear" w:pos="4680"/>
          <w:tab w:val="clear" w:pos="5400"/>
          <w:tab w:val="clear" w:pos="9000"/>
        </w:tabs>
        <w:spacing w:after="120"/>
        <w:rPr>
          <w:rFonts w:ascii="Arial" w:eastAsia="Arial" w:hAnsi="Arial" w:cs="Arial"/>
          <w:color w:val="000000" w:themeColor="text1"/>
          <w:sz w:val="22"/>
          <w:szCs w:val="22"/>
        </w:rPr>
      </w:pPr>
      <w:r w:rsidRPr="57D9B5A1">
        <w:rPr>
          <w:rFonts w:ascii="Arial" w:eastAsia="Arial" w:hAnsi="Arial" w:cs="Arial"/>
          <w:color w:val="000000" w:themeColor="text1"/>
          <w:sz w:val="22"/>
          <w:szCs w:val="22"/>
        </w:rPr>
        <w:t xml:space="preserve">Biomass boilers in exceptional circumstances – </w:t>
      </w:r>
      <w:r w:rsidR="0044427F">
        <w:rPr>
          <w:rFonts w:ascii="Arial" w:eastAsia="Arial" w:hAnsi="Arial" w:cs="Arial"/>
          <w:color w:val="000000" w:themeColor="text1"/>
          <w:sz w:val="22"/>
          <w:szCs w:val="22"/>
        </w:rPr>
        <w:t>see Part C (</w:t>
      </w:r>
      <w:r w:rsidR="43203409" w:rsidRPr="57D9B5A1">
        <w:rPr>
          <w:rFonts w:ascii="Arial" w:eastAsia="Arial" w:hAnsi="Arial" w:cs="Arial"/>
          <w:sz w:val="22"/>
          <w:szCs w:val="22"/>
        </w:rPr>
        <w:t>Technical Specification</w:t>
      </w:r>
      <w:r w:rsidR="0044427F">
        <w:rPr>
          <w:rFonts w:ascii="Arial" w:eastAsia="Arial" w:hAnsi="Arial" w:cs="Arial"/>
          <w:sz w:val="22"/>
          <w:szCs w:val="22"/>
        </w:rPr>
        <w:t xml:space="preserve">) </w:t>
      </w:r>
      <w:r w:rsidRPr="57D9B5A1">
        <w:rPr>
          <w:rFonts w:ascii="Arial" w:eastAsia="Arial" w:hAnsi="Arial" w:cs="Arial"/>
          <w:color w:val="000000" w:themeColor="text1"/>
          <w:sz w:val="22"/>
          <w:szCs w:val="22"/>
        </w:rPr>
        <w:t xml:space="preserve">for </w:t>
      </w:r>
      <w:r w:rsidR="0044427F">
        <w:rPr>
          <w:rFonts w:ascii="Arial" w:eastAsia="Arial" w:hAnsi="Arial" w:cs="Arial"/>
          <w:color w:val="000000" w:themeColor="text1"/>
          <w:sz w:val="22"/>
          <w:szCs w:val="22"/>
        </w:rPr>
        <w:t>more details.</w:t>
      </w:r>
    </w:p>
    <w:p w14:paraId="1A33C03F" w14:textId="3D514D29" w:rsidR="004A1F82" w:rsidRPr="007A4274" w:rsidRDefault="0B9DA661" w:rsidP="674DC236">
      <w:pPr>
        <w:pStyle w:val="ListParagraph"/>
        <w:numPr>
          <w:ilvl w:val="0"/>
          <w:numId w:val="29"/>
        </w:numPr>
        <w:tabs>
          <w:tab w:val="clear" w:pos="720"/>
          <w:tab w:val="clear" w:pos="1440"/>
          <w:tab w:val="clear" w:pos="2160"/>
          <w:tab w:val="clear" w:pos="2880"/>
          <w:tab w:val="clear" w:pos="4680"/>
          <w:tab w:val="clear" w:pos="5400"/>
          <w:tab w:val="clear" w:pos="9000"/>
        </w:tabs>
        <w:spacing w:after="120"/>
        <w:rPr>
          <w:rFonts w:ascii="Arial" w:eastAsia="Arial" w:hAnsi="Arial" w:cs="Arial"/>
          <w:b/>
          <w:bCs/>
          <w:color w:val="000000" w:themeColor="text1"/>
          <w:sz w:val="22"/>
          <w:szCs w:val="22"/>
        </w:rPr>
      </w:pPr>
      <w:r w:rsidRPr="674DC236">
        <w:rPr>
          <w:rFonts w:ascii="Arial" w:eastAsia="Arial" w:hAnsi="Arial" w:cs="Arial"/>
          <w:b/>
          <w:bCs/>
          <w:color w:val="000000" w:themeColor="text1"/>
          <w:sz w:val="22"/>
          <w:szCs w:val="22"/>
        </w:rPr>
        <w:t xml:space="preserve">Other Fabric Measures - </w:t>
      </w:r>
      <w:r w:rsidRPr="674DC236">
        <w:rPr>
          <w:rFonts w:ascii="Arial" w:eastAsia="Arial" w:hAnsi="Arial" w:cs="Arial"/>
          <w:color w:val="000000" w:themeColor="text1"/>
          <w:sz w:val="22"/>
          <w:szCs w:val="22"/>
        </w:rPr>
        <w:t>A rated double glazing, triple glazing, thermal doors, and fixed frame secondary glazing.</w:t>
      </w:r>
    </w:p>
    <w:p w14:paraId="1CC8D535" w14:textId="740A0E30" w:rsidR="004A1F82" w:rsidRPr="007A4274" w:rsidRDefault="0B9DA661" w:rsidP="674DC236">
      <w:pPr>
        <w:pStyle w:val="ListParagraph"/>
        <w:numPr>
          <w:ilvl w:val="0"/>
          <w:numId w:val="29"/>
        </w:numPr>
        <w:tabs>
          <w:tab w:val="clear" w:pos="720"/>
          <w:tab w:val="clear" w:pos="1440"/>
          <w:tab w:val="clear" w:pos="2160"/>
          <w:tab w:val="clear" w:pos="2880"/>
          <w:tab w:val="clear" w:pos="4680"/>
          <w:tab w:val="clear" w:pos="5400"/>
          <w:tab w:val="clear" w:pos="9000"/>
        </w:tabs>
        <w:spacing w:after="120"/>
        <w:rPr>
          <w:rFonts w:ascii="Arial" w:eastAsia="Arial" w:hAnsi="Arial" w:cs="Arial"/>
          <w:b/>
          <w:bCs/>
          <w:color w:val="000000" w:themeColor="text1"/>
          <w:sz w:val="22"/>
          <w:szCs w:val="22"/>
        </w:rPr>
      </w:pPr>
      <w:r w:rsidRPr="674DC236">
        <w:rPr>
          <w:rFonts w:ascii="Arial" w:eastAsia="Arial" w:hAnsi="Arial" w:cs="Arial"/>
          <w:b/>
          <w:bCs/>
          <w:color w:val="000000" w:themeColor="text1"/>
          <w:sz w:val="22"/>
          <w:szCs w:val="22"/>
        </w:rPr>
        <w:t>Other Heating Measures -</w:t>
      </w:r>
      <w:r w:rsidRPr="674DC236">
        <w:rPr>
          <w:rFonts w:ascii="Arial" w:eastAsia="Arial" w:hAnsi="Arial" w:cs="Arial"/>
          <w:color w:val="000000" w:themeColor="text1"/>
          <w:sz w:val="22"/>
          <w:szCs w:val="22"/>
        </w:rPr>
        <w:t xml:space="preserve"> Smart heating controls, heating programmers and timers on existing heating systems, TRV’s, hot water and heating pipe insulation, immersion heater insulation. </w:t>
      </w:r>
    </w:p>
    <w:p w14:paraId="73E3EA4A" w14:textId="589255E3" w:rsidR="004A1F82" w:rsidRPr="007A4274" w:rsidRDefault="0B9DA661" w:rsidP="674DC236">
      <w:pPr>
        <w:pStyle w:val="ListParagraph"/>
        <w:numPr>
          <w:ilvl w:val="0"/>
          <w:numId w:val="29"/>
        </w:numPr>
        <w:tabs>
          <w:tab w:val="clear" w:pos="720"/>
          <w:tab w:val="clear" w:pos="1440"/>
          <w:tab w:val="clear" w:pos="2160"/>
          <w:tab w:val="clear" w:pos="2880"/>
          <w:tab w:val="clear" w:pos="4680"/>
          <w:tab w:val="clear" w:pos="5400"/>
          <w:tab w:val="clear" w:pos="9000"/>
        </w:tabs>
        <w:spacing w:after="120"/>
        <w:rPr>
          <w:rFonts w:ascii="Arial" w:eastAsia="Arial" w:hAnsi="Arial" w:cs="Arial"/>
          <w:b/>
          <w:bCs/>
          <w:color w:val="000000" w:themeColor="text1"/>
          <w:sz w:val="22"/>
          <w:szCs w:val="22"/>
        </w:rPr>
      </w:pPr>
      <w:r w:rsidRPr="674DC236">
        <w:rPr>
          <w:rFonts w:ascii="Arial" w:eastAsia="Arial" w:hAnsi="Arial" w:cs="Arial"/>
          <w:b/>
          <w:bCs/>
          <w:color w:val="000000" w:themeColor="text1"/>
          <w:sz w:val="22"/>
          <w:szCs w:val="22"/>
        </w:rPr>
        <w:t>Ancillary Measures</w:t>
      </w:r>
      <w:r w:rsidRPr="674DC236">
        <w:rPr>
          <w:rFonts w:ascii="Arial" w:eastAsia="Arial" w:hAnsi="Arial" w:cs="Arial"/>
          <w:color w:val="000000" w:themeColor="text1"/>
          <w:sz w:val="22"/>
          <w:szCs w:val="22"/>
        </w:rPr>
        <w:t xml:space="preserve"> – are </w:t>
      </w:r>
      <w:r w:rsidRPr="674DC236">
        <w:rPr>
          <w:rFonts w:ascii="Arial" w:eastAsia="Arial" w:hAnsi="Arial" w:cs="Arial"/>
          <w:color w:val="000000" w:themeColor="text1"/>
          <w:sz w:val="22"/>
          <w:szCs w:val="22"/>
          <w:u w:val="single"/>
        </w:rPr>
        <w:t>not</w:t>
      </w:r>
      <w:r w:rsidRPr="674DC236">
        <w:rPr>
          <w:rFonts w:ascii="Arial" w:eastAsia="Arial" w:hAnsi="Arial" w:cs="Arial"/>
          <w:color w:val="000000" w:themeColor="text1"/>
          <w:sz w:val="22"/>
          <w:szCs w:val="22"/>
        </w:rPr>
        <w:t xml:space="preserve"> included in the </w:t>
      </w:r>
      <w:r w:rsidR="0044427F">
        <w:rPr>
          <w:rFonts w:ascii="Arial" w:eastAsia="Arial" w:hAnsi="Arial" w:cs="Arial"/>
          <w:color w:val="000000" w:themeColor="text1"/>
          <w:sz w:val="22"/>
          <w:szCs w:val="22"/>
        </w:rPr>
        <w:t>c</w:t>
      </w:r>
      <w:r w:rsidRPr="674DC236">
        <w:rPr>
          <w:rFonts w:ascii="Arial" w:eastAsia="Arial" w:hAnsi="Arial" w:cs="Arial"/>
          <w:color w:val="000000" w:themeColor="text1"/>
          <w:sz w:val="22"/>
          <w:szCs w:val="22"/>
        </w:rPr>
        <w:t>apital costs but the following can be used to upgrade a property; replacement radiators (where upgrading the heating system to a heat pump), smoke and carbon monoxide detectors, LED lightbulbs, cavity wall extraction, loft hatch enlargement/creation, loft clearance and storage platforms.</w:t>
      </w:r>
    </w:p>
    <w:p w14:paraId="645BA240" w14:textId="1900ACDE" w:rsidR="004A1F82" w:rsidRPr="007A4274" w:rsidRDefault="0B9DA661" w:rsidP="674DC236">
      <w:pPr>
        <w:pStyle w:val="ListParagraph"/>
        <w:numPr>
          <w:ilvl w:val="0"/>
          <w:numId w:val="29"/>
        </w:numPr>
        <w:tabs>
          <w:tab w:val="clear" w:pos="720"/>
          <w:tab w:val="clear" w:pos="1440"/>
          <w:tab w:val="clear" w:pos="2160"/>
          <w:tab w:val="clear" w:pos="2880"/>
          <w:tab w:val="clear" w:pos="4680"/>
          <w:tab w:val="clear" w:pos="5400"/>
          <w:tab w:val="clear" w:pos="9000"/>
        </w:tabs>
        <w:spacing w:after="120"/>
        <w:rPr>
          <w:rFonts w:ascii="Arial" w:eastAsia="Arial" w:hAnsi="Arial" w:cs="Arial"/>
          <w:color w:val="000000" w:themeColor="text1"/>
          <w:sz w:val="22"/>
          <w:szCs w:val="22"/>
        </w:rPr>
      </w:pPr>
      <w:r w:rsidRPr="674DC236">
        <w:rPr>
          <w:rFonts w:ascii="Arial" w:eastAsia="Arial" w:hAnsi="Arial" w:cs="Arial"/>
          <w:color w:val="000000" w:themeColor="text1"/>
          <w:sz w:val="22"/>
          <w:szCs w:val="22"/>
        </w:rPr>
        <w:t>No replacement or new fossil fuel measures are allowable.</w:t>
      </w:r>
    </w:p>
    <w:p w14:paraId="3D2B79FF" w14:textId="00F5BE8F" w:rsidR="00102B39" w:rsidRPr="00D4392B" w:rsidRDefault="00ED1970" w:rsidP="57D9B5A1">
      <w:pPr>
        <w:pStyle w:val="ListParagraph"/>
        <w:numPr>
          <w:ilvl w:val="1"/>
          <w:numId w:val="6"/>
        </w:numPr>
        <w:spacing w:after="120"/>
        <w:rPr>
          <w:rFonts w:ascii="Arial" w:eastAsia="Arial" w:hAnsi="Arial" w:cs="Arial"/>
          <w:sz w:val="22"/>
          <w:szCs w:val="22"/>
        </w:rPr>
      </w:pPr>
      <w:r w:rsidRPr="57D9B5A1">
        <w:rPr>
          <w:rFonts w:ascii="Arial" w:hAnsi="Arial" w:cs="Arial"/>
          <w:sz w:val="22"/>
          <w:szCs w:val="22"/>
        </w:rPr>
        <w:t>The full list of M</w:t>
      </w:r>
      <w:r w:rsidR="00102B39" w:rsidRPr="57D9B5A1">
        <w:rPr>
          <w:rFonts w:ascii="Arial" w:hAnsi="Arial" w:cs="Arial"/>
          <w:sz w:val="22"/>
          <w:szCs w:val="22"/>
        </w:rPr>
        <w:t xml:space="preserve">easures is detailed within </w:t>
      </w:r>
      <w:r w:rsidR="0044427F">
        <w:rPr>
          <w:rFonts w:ascii="Arial" w:hAnsi="Arial" w:cs="Arial"/>
          <w:sz w:val="22"/>
          <w:szCs w:val="22"/>
        </w:rPr>
        <w:t>Part C (</w:t>
      </w:r>
      <w:r w:rsidR="728BA67E" w:rsidRPr="57D9B5A1">
        <w:rPr>
          <w:rFonts w:ascii="Arial" w:eastAsia="Arial" w:hAnsi="Arial" w:cs="Arial"/>
          <w:sz w:val="22"/>
          <w:szCs w:val="22"/>
        </w:rPr>
        <w:t>Technical Specification</w:t>
      </w:r>
      <w:r w:rsidR="0044427F">
        <w:rPr>
          <w:rFonts w:ascii="Arial" w:eastAsia="Arial" w:hAnsi="Arial" w:cs="Arial"/>
          <w:sz w:val="22"/>
          <w:szCs w:val="22"/>
        </w:rPr>
        <w:t>)</w:t>
      </w:r>
      <w:r w:rsidR="00102B39" w:rsidRPr="57D9B5A1">
        <w:rPr>
          <w:rFonts w:ascii="Arial" w:hAnsi="Arial" w:cs="Arial"/>
          <w:sz w:val="22"/>
          <w:szCs w:val="22"/>
        </w:rPr>
        <w:t>.</w:t>
      </w:r>
    </w:p>
    <w:p w14:paraId="3D2B7A00" w14:textId="6E9C264C" w:rsidR="0060710E" w:rsidRPr="00102B39" w:rsidRDefault="0060710E" w:rsidP="00102B39">
      <w:pPr>
        <w:pStyle w:val="ListParagraph"/>
        <w:numPr>
          <w:ilvl w:val="1"/>
          <w:numId w:val="6"/>
        </w:numPr>
        <w:spacing w:after="120"/>
        <w:rPr>
          <w:rFonts w:ascii="Arial" w:hAnsi="Arial" w:cs="Arial"/>
          <w:sz w:val="22"/>
          <w:szCs w:val="22"/>
        </w:rPr>
      </w:pPr>
      <w:r w:rsidRPr="57D9B5A1">
        <w:rPr>
          <w:rFonts w:ascii="Arial" w:hAnsi="Arial" w:cs="Arial"/>
          <w:sz w:val="22"/>
          <w:szCs w:val="22"/>
        </w:rPr>
        <w:t xml:space="preserve">The </w:t>
      </w:r>
      <w:r w:rsidR="0044427F">
        <w:rPr>
          <w:rFonts w:ascii="Arial" w:hAnsi="Arial" w:cs="Arial"/>
          <w:sz w:val="22"/>
          <w:szCs w:val="22"/>
        </w:rPr>
        <w:t xml:space="preserve">agreement </w:t>
      </w:r>
      <w:r w:rsidR="00102B39" w:rsidRPr="57D9B5A1">
        <w:rPr>
          <w:rFonts w:ascii="Arial" w:hAnsi="Arial" w:cs="Arial"/>
          <w:sz w:val="22"/>
          <w:szCs w:val="22"/>
        </w:rPr>
        <w:t xml:space="preserve">also </w:t>
      </w:r>
      <w:r w:rsidRPr="57D9B5A1">
        <w:rPr>
          <w:rFonts w:ascii="Arial" w:hAnsi="Arial" w:cs="Arial"/>
          <w:sz w:val="22"/>
          <w:szCs w:val="22"/>
        </w:rPr>
        <w:t xml:space="preserve">includes provision for </w:t>
      </w:r>
      <w:r w:rsidR="00102B39" w:rsidRPr="57D9B5A1">
        <w:rPr>
          <w:rFonts w:ascii="Arial" w:hAnsi="Arial" w:cs="Arial"/>
          <w:sz w:val="22"/>
          <w:szCs w:val="22"/>
        </w:rPr>
        <w:t>pr</w:t>
      </w:r>
      <w:r w:rsidR="00ED1970" w:rsidRPr="57D9B5A1">
        <w:rPr>
          <w:rFonts w:ascii="Arial" w:hAnsi="Arial" w:cs="Arial"/>
          <w:sz w:val="22"/>
          <w:szCs w:val="22"/>
        </w:rPr>
        <w:t>eparing the Dwelling for the I</w:t>
      </w:r>
      <w:r w:rsidR="00102B39" w:rsidRPr="57D9B5A1">
        <w:rPr>
          <w:rFonts w:ascii="Arial" w:hAnsi="Arial" w:cs="Arial"/>
          <w:sz w:val="22"/>
          <w:szCs w:val="22"/>
        </w:rPr>
        <w:t>nstallation and making it good afterwards</w:t>
      </w:r>
      <w:r w:rsidRPr="57D9B5A1">
        <w:rPr>
          <w:rFonts w:ascii="Arial" w:hAnsi="Arial" w:cs="Arial"/>
          <w:sz w:val="22"/>
          <w:szCs w:val="22"/>
        </w:rPr>
        <w:t>:</w:t>
      </w:r>
      <w:r w:rsidR="00D75FD9" w:rsidRPr="57D9B5A1">
        <w:rPr>
          <w:rFonts w:ascii="Arial" w:hAnsi="Arial" w:cs="Arial"/>
          <w:sz w:val="22"/>
          <w:szCs w:val="22"/>
        </w:rPr>
        <w:t xml:space="preserve"> </w:t>
      </w:r>
    </w:p>
    <w:p w14:paraId="2F419BBB" w14:textId="29C3E92B" w:rsidR="009A357D" w:rsidRDefault="0060710E" w:rsidP="0060710E">
      <w:pPr>
        <w:pStyle w:val="ListParagraph"/>
        <w:numPr>
          <w:ilvl w:val="0"/>
          <w:numId w:val="29"/>
        </w:numPr>
        <w:tabs>
          <w:tab w:val="clear" w:pos="720"/>
          <w:tab w:val="clear" w:pos="1440"/>
          <w:tab w:val="clear" w:pos="2160"/>
          <w:tab w:val="clear" w:pos="2880"/>
          <w:tab w:val="clear" w:pos="4680"/>
          <w:tab w:val="clear" w:pos="5400"/>
          <w:tab w:val="clear" w:pos="9000"/>
        </w:tabs>
        <w:spacing w:after="120"/>
        <w:rPr>
          <w:rFonts w:ascii="Arial" w:hAnsi="Arial" w:cs="Arial"/>
          <w:sz w:val="22"/>
          <w:szCs w:val="22"/>
        </w:rPr>
      </w:pPr>
      <w:r w:rsidRPr="007A4274">
        <w:rPr>
          <w:rFonts w:ascii="Arial" w:hAnsi="Arial" w:cs="Arial"/>
          <w:sz w:val="22"/>
          <w:szCs w:val="22"/>
        </w:rPr>
        <w:t xml:space="preserve">Enabling </w:t>
      </w:r>
      <w:r w:rsidR="009F3354">
        <w:rPr>
          <w:rFonts w:ascii="Arial" w:hAnsi="Arial" w:cs="Arial"/>
          <w:sz w:val="22"/>
          <w:szCs w:val="22"/>
        </w:rPr>
        <w:t>works</w:t>
      </w:r>
      <w:r w:rsidRPr="007A4274">
        <w:rPr>
          <w:rFonts w:ascii="Arial" w:hAnsi="Arial" w:cs="Arial"/>
          <w:sz w:val="22"/>
          <w:szCs w:val="22"/>
        </w:rPr>
        <w:t xml:space="preserve"> </w:t>
      </w:r>
      <w:r w:rsidR="009A357D">
        <w:rPr>
          <w:rFonts w:ascii="Arial" w:hAnsi="Arial" w:cs="Arial"/>
          <w:sz w:val="22"/>
          <w:szCs w:val="22"/>
        </w:rPr>
        <w:t>–</w:t>
      </w:r>
      <w:r w:rsidRPr="007A4274">
        <w:rPr>
          <w:rFonts w:ascii="Arial" w:hAnsi="Arial" w:cs="Arial"/>
          <w:sz w:val="22"/>
          <w:szCs w:val="22"/>
        </w:rPr>
        <w:t xml:space="preserve"> </w:t>
      </w:r>
      <w:r w:rsidR="009A357D">
        <w:rPr>
          <w:rFonts w:ascii="Arial" w:hAnsi="Arial" w:cs="Arial"/>
          <w:sz w:val="22"/>
          <w:szCs w:val="22"/>
        </w:rPr>
        <w:t xml:space="preserve">that would be reasonably expected on most/all installations should be included within the </w:t>
      </w:r>
      <w:r w:rsidR="005B51D9">
        <w:rPr>
          <w:rFonts w:ascii="Arial" w:hAnsi="Arial" w:cs="Arial"/>
          <w:sz w:val="22"/>
          <w:szCs w:val="22"/>
        </w:rPr>
        <w:t>M</w:t>
      </w:r>
      <w:r w:rsidR="009A357D">
        <w:rPr>
          <w:rFonts w:ascii="Arial" w:hAnsi="Arial" w:cs="Arial"/>
          <w:sz w:val="22"/>
          <w:szCs w:val="22"/>
        </w:rPr>
        <w:t>easures costs.</w:t>
      </w:r>
    </w:p>
    <w:p w14:paraId="3D2B7A01" w14:textId="0CBDD1B7" w:rsidR="0060710E" w:rsidRPr="007A4274" w:rsidRDefault="74FFDFC6" w:rsidP="0060710E">
      <w:pPr>
        <w:pStyle w:val="ListParagraph"/>
        <w:numPr>
          <w:ilvl w:val="0"/>
          <w:numId w:val="29"/>
        </w:numPr>
        <w:tabs>
          <w:tab w:val="clear" w:pos="720"/>
          <w:tab w:val="clear" w:pos="1440"/>
          <w:tab w:val="clear" w:pos="2160"/>
          <w:tab w:val="clear" w:pos="2880"/>
          <w:tab w:val="clear" w:pos="4680"/>
          <w:tab w:val="clear" w:pos="5400"/>
          <w:tab w:val="clear" w:pos="9000"/>
        </w:tabs>
        <w:spacing w:after="120"/>
        <w:rPr>
          <w:rFonts w:ascii="Arial" w:hAnsi="Arial" w:cs="Arial"/>
          <w:sz w:val="22"/>
          <w:szCs w:val="22"/>
        </w:rPr>
      </w:pPr>
      <w:r w:rsidRPr="674DC236">
        <w:rPr>
          <w:rFonts w:ascii="Arial" w:hAnsi="Arial" w:cs="Arial"/>
          <w:sz w:val="22"/>
          <w:szCs w:val="22"/>
        </w:rPr>
        <w:t>Ancillary</w:t>
      </w:r>
      <w:r w:rsidR="009A357D" w:rsidRPr="674DC236">
        <w:rPr>
          <w:rFonts w:ascii="Arial" w:hAnsi="Arial" w:cs="Arial"/>
          <w:sz w:val="22"/>
          <w:szCs w:val="22"/>
        </w:rPr>
        <w:t xml:space="preserve"> works that often are not allowable under other</w:t>
      </w:r>
      <w:r w:rsidR="005B51D9" w:rsidRPr="674DC236">
        <w:rPr>
          <w:rFonts w:ascii="Arial" w:hAnsi="Arial" w:cs="Arial"/>
          <w:sz w:val="22"/>
          <w:szCs w:val="22"/>
        </w:rPr>
        <w:t xml:space="preserve"> schemes</w:t>
      </w:r>
      <w:r w:rsidR="009A357D" w:rsidRPr="674DC236">
        <w:rPr>
          <w:rFonts w:ascii="Arial" w:hAnsi="Arial" w:cs="Arial"/>
          <w:sz w:val="22"/>
          <w:szCs w:val="22"/>
        </w:rPr>
        <w:t xml:space="preserve"> </w:t>
      </w:r>
      <w:r w:rsidR="0060710E" w:rsidRPr="674DC236">
        <w:rPr>
          <w:rFonts w:ascii="Arial" w:hAnsi="Arial" w:cs="Arial"/>
          <w:sz w:val="22"/>
          <w:szCs w:val="22"/>
        </w:rPr>
        <w:t>such as loft clearance</w:t>
      </w:r>
      <w:r w:rsidR="005B51D9" w:rsidRPr="674DC236">
        <w:rPr>
          <w:rFonts w:ascii="Arial" w:hAnsi="Arial" w:cs="Arial"/>
          <w:sz w:val="22"/>
          <w:szCs w:val="22"/>
        </w:rPr>
        <w:t xml:space="preserve">, loft hatch </w:t>
      </w:r>
      <w:r w:rsidR="00AA4CBE" w:rsidRPr="674DC236">
        <w:rPr>
          <w:rFonts w:ascii="Arial" w:hAnsi="Arial" w:cs="Arial"/>
          <w:sz w:val="22"/>
          <w:szCs w:val="22"/>
        </w:rPr>
        <w:t>alterations</w:t>
      </w:r>
      <w:r w:rsidR="0060710E" w:rsidRPr="674DC236">
        <w:rPr>
          <w:rFonts w:ascii="Arial" w:hAnsi="Arial" w:cs="Arial"/>
          <w:sz w:val="22"/>
          <w:szCs w:val="22"/>
        </w:rPr>
        <w:t>, asbestos removal</w:t>
      </w:r>
      <w:r w:rsidR="008F0ED2" w:rsidRPr="674DC236">
        <w:rPr>
          <w:rFonts w:ascii="Arial" w:hAnsi="Arial" w:cs="Arial"/>
          <w:sz w:val="22"/>
          <w:szCs w:val="22"/>
        </w:rPr>
        <w:t xml:space="preserve">, structural surveys and repairs </w:t>
      </w:r>
      <w:r w:rsidR="002C1711" w:rsidRPr="674DC236">
        <w:rPr>
          <w:rFonts w:ascii="Arial" w:hAnsi="Arial" w:cs="Arial"/>
          <w:sz w:val="22"/>
          <w:szCs w:val="22"/>
        </w:rPr>
        <w:t>(particularly for solid wall insulation)</w:t>
      </w:r>
      <w:r w:rsidR="0060710E" w:rsidRPr="674DC236">
        <w:rPr>
          <w:rFonts w:ascii="Arial" w:hAnsi="Arial" w:cs="Arial"/>
          <w:sz w:val="22"/>
          <w:szCs w:val="22"/>
        </w:rPr>
        <w:t xml:space="preserve"> which are necessary to prepare the</w:t>
      </w:r>
      <w:r w:rsidR="007E2F24" w:rsidRPr="674DC236">
        <w:rPr>
          <w:rFonts w:ascii="Arial" w:hAnsi="Arial" w:cs="Arial"/>
          <w:sz w:val="22"/>
          <w:szCs w:val="22"/>
        </w:rPr>
        <w:t xml:space="preserve"> D</w:t>
      </w:r>
      <w:r w:rsidR="0060710E" w:rsidRPr="674DC236">
        <w:rPr>
          <w:rFonts w:ascii="Arial" w:hAnsi="Arial" w:cs="Arial"/>
          <w:sz w:val="22"/>
          <w:szCs w:val="22"/>
        </w:rPr>
        <w:t xml:space="preserve">welling for the </w:t>
      </w:r>
      <w:r w:rsidR="007E2F24" w:rsidRPr="674DC236">
        <w:rPr>
          <w:rFonts w:ascii="Arial" w:hAnsi="Arial" w:cs="Arial"/>
          <w:sz w:val="22"/>
          <w:szCs w:val="22"/>
        </w:rPr>
        <w:t>M</w:t>
      </w:r>
      <w:r w:rsidR="0060710E" w:rsidRPr="674DC236">
        <w:rPr>
          <w:rFonts w:ascii="Arial" w:hAnsi="Arial" w:cs="Arial"/>
          <w:sz w:val="22"/>
          <w:szCs w:val="22"/>
        </w:rPr>
        <w:t>easures</w:t>
      </w:r>
      <w:r w:rsidR="00AA4CBE" w:rsidRPr="674DC236">
        <w:rPr>
          <w:rFonts w:ascii="Arial" w:hAnsi="Arial" w:cs="Arial"/>
          <w:sz w:val="22"/>
          <w:szCs w:val="22"/>
        </w:rPr>
        <w:t xml:space="preserve">, </w:t>
      </w:r>
      <w:r w:rsidR="0044427F">
        <w:rPr>
          <w:rFonts w:ascii="Arial" w:hAnsi="Arial" w:cs="Arial"/>
          <w:sz w:val="22"/>
          <w:szCs w:val="22"/>
        </w:rPr>
        <w:t xml:space="preserve">are </w:t>
      </w:r>
      <w:r w:rsidR="007D55A5" w:rsidRPr="674DC236">
        <w:rPr>
          <w:rFonts w:ascii="Arial" w:hAnsi="Arial" w:cs="Arial"/>
          <w:sz w:val="22"/>
          <w:szCs w:val="22"/>
        </w:rPr>
        <w:t>detailed in the Pricing schedule</w:t>
      </w:r>
      <w:r w:rsidR="03F0D6F0" w:rsidRPr="674DC236">
        <w:rPr>
          <w:rFonts w:ascii="Arial" w:hAnsi="Arial" w:cs="Arial"/>
          <w:sz w:val="22"/>
          <w:szCs w:val="22"/>
        </w:rPr>
        <w:t xml:space="preserve"> where there is provision</w:t>
      </w:r>
      <w:r w:rsidR="007D55A5" w:rsidRPr="674DC236">
        <w:rPr>
          <w:rFonts w:ascii="Arial" w:hAnsi="Arial" w:cs="Arial"/>
          <w:sz w:val="22"/>
          <w:szCs w:val="22"/>
        </w:rPr>
        <w:t xml:space="preserve">. </w:t>
      </w:r>
      <w:r w:rsidR="4226F377" w:rsidRPr="674DC236">
        <w:rPr>
          <w:rFonts w:ascii="Arial" w:hAnsi="Arial" w:cs="Arial"/>
          <w:sz w:val="22"/>
          <w:szCs w:val="22"/>
        </w:rPr>
        <w:t xml:space="preserve">For any professional </w:t>
      </w:r>
      <w:r w:rsidR="23FEBF79" w:rsidRPr="674DC236">
        <w:rPr>
          <w:rFonts w:ascii="Arial" w:hAnsi="Arial" w:cs="Arial"/>
          <w:sz w:val="22"/>
          <w:szCs w:val="22"/>
        </w:rPr>
        <w:t>services these</w:t>
      </w:r>
      <w:r w:rsidR="007D55A5" w:rsidRPr="674DC236">
        <w:rPr>
          <w:rFonts w:ascii="Arial" w:hAnsi="Arial" w:cs="Arial"/>
          <w:sz w:val="22"/>
          <w:szCs w:val="22"/>
        </w:rPr>
        <w:t xml:space="preserve"> are one-off pieces of work, the work will be </w:t>
      </w:r>
      <w:r w:rsidR="00417EFF" w:rsidRPr="674DC236">
        <w:rPr>
          <w:rFonts w:ascii="Arial" w:hAnsi="Arial" w:cs="Arial"/>
          <w:sz w:val="22"/>
          <w:szCs w:val="22"/>
        </w:rPr>
        <w:t>itemised,</w:t>
      </w:r>
      <w:r w:rsidR="007D55A5" w:rsidRPr="674DC236">
        <w:rPr>
          <w:rFonts w:ascii="Arial" w:hAnsi="Arial" w:cs="Arial"/>
          <w:sz w:val="22"/>
          <w:szCs w:val="22"/>
        </w:rPr>
        <w:t xml:space="preserve"> and a price provided for review </w:t>
      </w:r>
      <w:r w:rsidR="00417EFF" w:rsidRPr="674DC236">
        <w:rPr>
          <w:rFonts w:ascii="Arial" w:hAnsi="Arial" w:cs="Arial"/>
          <w:sz w:val="22"/>
          <w:szCs w:val="22"/>
        </w:rPr>
        <w:t xml:space="preserve">by the </w:t>
      </w:r>
      <w:r w:rsidR="092E75A9" w:rsidRPr="674DC236">
        <w:rPr>
          <w:rFonts w:ascii="Arial" w:hAnsi="Arial" w:cs="Arial"/>
          <w:sz w:val="22"/>
          <w:szCs w:val="22"/>
        </w:rPr>
        <w:t>Authority</w:t>
      </w:r>
      <w:r w:rsidR="00417EFF" w:rsidRPr="674DC236">
        <w:rPr>
          <w:rFonts w:ascii="Arial" w:hAnsi="Arial" w:cs="Arial"/>
          <w:sz w:val="22"/>
          <w:szCs w:val="22"/>
        </w:rPr>
        <w:t xml:space="preserve"> prior to any installations proceeding.</w:t>
      </w:r>
    </w:p>
    <w:p w14:paraId="0DBD8E02" w14:textId="77777777" w:rsidR="006653E5" w:rsidRDefault="0060710E" w:rsidP="0060710E">
      <w:pPr>
        <w:pStyle w:val="ListParagraph"/>
        <w:numPr>
          <w:ilvl w:val="0"/>
          <w:numId w:val="29"/>
        </w:numPr>
        <w:tabs>
          <w:tab w:val="clear" w:pos="720"/>
          <w:tab w:val="clear" w:pos="1440"/>
          <w:tab w:val="clear" w:pos="2160"/>
          <w:tab w:val="clear" w:pos="2880"/>
          <w:tab w:val="clear" w:pos="4680"/>
          <w:tab w:val="clear" w:pos="5400"/>
          <w:tab w:val="clear" w:pos="9000"/>
        </w:tabs>
        <w:spacing w:after="120"/>
        <w:rPr>
          <w:rFonts w:ascii="Arial" w:hAnsi="Arial" w:cs="Arial"/>
          <w:sz w:val="22"/>
          <w:szCs w:val="22"/>
        </w:rPr>
      </w:pPr>
      <w:r w:rsidRPr="007A4274">
        <w:rPr>
          <w:rFonts w:ascii="Arial" w:hAnsi="Arial" w:cs="Arial"/>
          <w:sz w:val="22"/>
          <w:szCs w:val="22"/>
        </w:rPr>
        <w:t xml:space="preserve">Aesthetic </w:t>
      </w:r>
      <w:r w:rsidR="009F3354">
        <w:rPr>
          <w:rFonts w:ascii="Arial" w:hAnsi="Arial" w:cs="Arial"/>
          <w:sz w:val="22"/>
          <w:szCs w:val="22"/>
        </w:rPr>
        <w:t>works</w:t>
      </w:r>
      <w:r w:rsidRPr="007A4274">
        <w:rPr>
          <w:rFonts w:ascii="Arial" w:hAnsi="Arial" w:cs="Arial"/>
          <w:sz w:val="22"/>
          <w:szCs w:val="22"/>
        </w:rPr>
        <w:t xml:space="preserve"> –</w:t>
      </w:r>
      <w:r w:rsidR="002C1711">
        <w:rPr>
          <w:rFonts w:ascii="Arial" w:hAnsi="Arial" w:cs="Arial"/>
          <w:sz w:val="22"/>
          <w:szCs w:val="22"/>
        </w:rPr>
        <w:t xml:space="preserve"> including </w:t>
      </w:r>
      <w:r w:rsidR="00B9789B">
        <w:rPr>
          <w:rFonts w:ascii="Arial" w:hAnsi="Arial" w:cs="Arial"/>
          <w:sz w:val="22"/>
          <w:szCs w:val="22"/>
        </w:rPr>
        <w:t xml:space="preserve">appointment of Retrofit Designers </w:t>
      </w:r>
      <w:r w:rsidR="00417EFF">
        <w:rPr>
          <w:rFonts w:ascii="Arial" w:hAnsi="Arial" w:cs="Arial"/>
          <w:sz w:val="22"/>
          <w:szCs w:val="22"/>
        </w:rPr>
        <w:t>(where the work follows Pathway C of</w:t>
      </w:r>
      <w:r w:rsidR="00B9789B">
        <w:rPr>
          <w:rFonts w:ascii="Arial" w:hAnsi="Arial" w:cs="Arial"/>
          <w:sz w:val="22"/>
          <w:szCs w:val="22"/>
        </w:rPr>
        <w:t xml:space="preserve"> PAS2035</w:t>
      </w:r>
      <w:r w:rsidR="006653E5">
        <w:rPr>
          <w:rFonts w:ascii="Arial" w:hAnsi="Arial" w:cs="Arial"/>
          <w:sz w:val="22"/>
          <w:szCs w:val="22"/>
        </w:rPr>
        <w:t>)</w:t>
      </w:r>
      <w:r w:rsidR="00B9789B">
        <w:rPr>
          <w:rFonts w:ascii="Arial" w:hAnsi="Arial" w:cs="Arial"/>
          <w:sz w:val="22"/>
          <w:szCs w:val="22"/>
        </w:rPr>
        <w:t xml:space="preserve">; </w:t>
      </w:r>
      <w:r w:rsidR="0009586D">
        <w:rPr>
          <w:rFonts w:ascii="Arial" w:hAnsi="Arial" w:cs="Arial"/>
          <w:sz w:val="22"/>
          <w:szCs w:val="22"/>
        </w:rPr>
        <w:t>architectural designers where planning permission is required, and for installation measures</w:t>
      </w:r>
      <w:r w:rsidRPr="007A4274">
        <w:rPr>
          <w:rFonts w:ascii="Arial" w:hAnsi="Arial" w:cs="Arial"/>
          <w:sz w:val="22"/>
          <w:szCs w:val="22"/>
        </w:rPr>
        <w:t xml:space="preserve"> such as burying cabling, hiding pipework </w:t>
      </w:r>
      <w:r w:rsidR="009F341C">
        <w:rPr>
          <w:rFonts w:ascii="Arial" w:hAnsi="Arial" w:cs="Arial"/>
          <w:sz w:val="22"/>
          <w:szCs w:val="22"/>
        </w:rPr>
        <w:t xml:space="preserve">etc. </w:t>
      </w:r>
    </w:p>
    <w:p w14:paraId="3D2B7A02" w14:textId="2C27CBAE" w:rsidR="0060710E" w:rsidRPr="007A4274" w:rsidRDefault="00C62CE0" w:rsidP="0060710E">
      <w:pPr>
        <w:pStyle w:val="ListParagraph"/>
        <w:numPr>
          <w:ilvl w:val="0"/>
          <w:numId w:val="29"/>
        </w:numPr>
        <w:tabs>
          <w:tab w:val="clear" w:pos="720"/>
          <w:tab w:val="clear" w:pos="1440"/>
          <w:tab w:val="clear" w:pos="2160"/>
          <w:tab w:val="clear" w:pos="2880"/>
          <w:tab w:val="clear" w:pos="4680"/>
          <w:tab w:val="clear" w:pos="5400"/>
          <w:tab w:val="clear" w:pos="9000"/>
        </w:tabs>
        <w:spacing w:after="120"/>
        <w:rPr>
          <w:rFonts w:ascii="Arial" w:hAnsi="Arial" w:cs="Arial"/>
          <w:sz w:val="22"/>
          <w:szCs w:val="22"/>
        </w:rPr>
      </w:pPr>
      <w:r>
        <w:rPr>
          <w:rFonts w:ascii="Arial" w:hAnsi="Arial" w:cs="Arial"/>
          <w:sz w:val="22"/>
          <w:szCs w:val="22"/>
        </w:rPr>
        <w:lastRenderedPageBreak/>
        <w:t>The funding does not cover the cost of redecoration.</w:t>
      </w:r>
    </w:p>
    <w:p w14:paraId="3D2B7A03" w14:textId="77777777" w:rsidR="0060710E" w:rsidRDefault="0060710E" w:rsidP="007A4274">
      <w:pPr>
        <w:pStyle w:val="ListParagraph"/>
        <w:spacing w:after="120"/>
        <w:ind w:left="1134"/>
        <w:rPr>
          <w:rFonts w:ascii="Arial" w:hAnsi="Arial" w:cs="Arial"/>
          <w:sz w:val="22"/>
          <w:szCs w:val="22"/>
        </w:rPr>
      </w:pPr>
    </w:p>
    <w:p w14:paraId="3D2B7A04" w14:textId="77777777" w:rsidR="00DC4230" w:rsidRPr="007A4274" w:rsidRDefault="00347877" w:rsidP="46B5BCA3">
      <w:pPr>
        <w:pStyle w:val="ListParagraph"/>
        <w:numPr>
          <w:ilvl w:val="0"/>
          <w:numId w:val="6"/>
        </w:numPr>
        <w:spacing w:after="120"/>
        <w:rPr>
          <w:rFonts w:ascii="Arial" w:hAnsi="Arial" w:cs="Arial"/>
          <w:b/>
          <w:bCs/>
          <w:sz w:val="22"/>
          <w:szCs w:val="22"/>
        </w:rPr>
      </w:pPr>
      <w:r w:rsidRPr="46B5BCA3">
        <w:rPr>
          <w:rFonts w:ascii="Arial" w:hAnsi="Arial" w:cs="Arial"/>
          <w:b/>
          <w:bCs/>
          <w:sz w:val="22"/>
          <w:szCs w:val="22"/>
        </w:rPr>
        <w:t>Customer</w:t>
      </w:r>
      <w:r w:rsidR="007A4274" w:rsidRPr="46B5BCA3">
        <w:rPr>
          <w:rFonts w:ascii="Arial" w:hAnsi="Arial" w:cs="Arial"/>
          <w:b/>
          <w:bCs/>
          <w:sz w:val="22"/>
          <w:szCs w:val="22"/>
        </w:rPr>
        <w:t xml:space="preserve"> choice</w:t>
      </w:r>
    </w:p>
    <w:p w14:paraId="15F90F8D" w14:textId="78B66056" w:rsidR="00007760" w:rsidRDefault="005D4154" w:rsidP="00A10922">
      <w:pPr>
        <w:pStyle w:val="ListParagraph"/>
        <w:numPr>
          <w:ilvl w:val="1"/>
          <w:numId w:val="6"/>
        </w:numPr>
        <w:spacing w:after="120"/>
        <w:rPr>
          <w:rFonts w:ascii="Arial" w:hAnsi="Arial" w:cs="Arial"/>
          <w:sz w:val="22"/>
          <w:szCs w:val="22"/>
        </w:rPr>
      </w:pPr>
      <w:r w:rsidRPr="46B5BCA3">
        <w:rPr>
          <w:rFonts w:ascii="Arial" w:hAnsi="Arial" w:cs="Arial"/>
          <w:sz w:val="22"/>
          <w:szCs w:val="22"/>
        </w:rPr>
        <w:t>It is the role of the Retrofit Coordinator to recommend the ‘highly recommended’ fabric first measures</w:t>
      </w:r>
      <w:r w:rsidR="00BB4CC6" w:rsidRPr="46B5BCA3">
        <w:rPr>
          <w:rFonts w:ascii="Arial" w:hAnsi="Arial" w:cs="Arial"/>
          <w:sz w:val="22"/>
          <w:szCs w:val="22"/>
        </w:rPr>
        <w:t xml:space="preserve"> to help reduce heat demand. </w:t>
      </w:r>
      <w:r w:rsidR="007606CA" w:rsidRPr="46B5BCA3">
        <w:rPr>
          <w:rFonts w:ascii="Arial" w:hAnsi="Arial" w:cs="Arial"/>
          <w:sz w:val="22"/>
          <w:szCs w:val="22"/>
        </w:rPr>
        <w:t xml:space="preserve">Once these have been installed, the </w:t>
      </w:r>
      <w:r w:rsidR="00007760" w:rsidRPr="46B5BCA3">
        <w:rPr>
          <w:rFonts w:ascii="Arial" w:hAnsi="Arial" w:cs="Arial"/>
          <w:sz w:val="22"/>
          <w:szCs w:val="22"/>
        </w:rPr>
        <w:t>C</w:t>
      </w:r>
      <w:r w:rsidR="007606CA" w:rsidRPr="46B5BCA3">
        <w:rPr>
          <w:rFonts w:ascii="Arial" w:hAnsi="Arial" w:cs="Arial"/>
          <w:sz w:val="22"/>
          <w:szCs w:val="22"/>
        </w:rPr>
        <w:t>ustomer has</w:t>
      </w:r>
      <w:r w:rsidR="00007760" w:rsidRPr="46B5BCA3">
        <w:rPr>
          <w:rFonts w:ascii="Arial" w:hAnsi="Arial" w:cs="Arial"/>
          <w:sz w:val="22"/>
          <w:szCs w:val="22"/>
        </w:rPr>
        <w:t xml:space="preserve"> choice in which measures to install, providing they can be installed in</w:t>
      </w:r>
      <w:r w:rsidR="00AF06DE" w:rsidRPr="46B5BCA3">
        <w:rPr>
          <w:rFonts w:ascii="Arial" w:hAnsi="Arial" w:cs="Arial"/>
          <w:sz w:val="22"/>
          <w:szCs w:val="22"/>
        </w:rPr>
        <w:t xml:space="preserve"> </w:t>
      </w:r>
      <w:r w:rsidR="00007760" w:rsidRPr="46B5BCA3">
        <w:rPr>
          <w:rFonts w:ascii="Arial" w:hAnsi="Arial" w:cs="Arial"/>
          <w:sz w:val="22"/>
          <w:szCs w:val="22"/>
        </w:rPr>
        <w:t xml:space="preserve">line with other funding criteria. </w:t>
      </w:r>
    </w:p>
    <w:p w14:paraId="742D4C83" w14:textId="692301B7" w:rsidR="00DB5245" w:rsidRDefault="00A10922" w:rsidP="00A10922">
      <w:pPr>
        <w:pStyle w:val="ListParagraph"/>
        <w:numPr>
          <w:ilvl w:val="1"/>
          <w:numId w:val="6"/>
        </w:numPr>
        <w:spacing w:after="120"/>
        <w:rPr>
          <w:rFonts w:ascii="Arial" w:hAnsi="Arial" w:cs="Arial"/>
          <w:sz w:val="22"/>
          <w:szCs w:val="22"/>
        </w:rPr>
      </w:pPr>
      <w:r w:rsidRPr="46B5BCA3">
        <w:rPr>
          <w:rFonts w:ascii="Arial" w:hAnsi="Arial" w:cs="Arial"/>
          <w:sz w:val="22"/>
          <w:szCs w:val="22"/>
        </w:rPr>
        <w:t>Note</w:t>
      </w:r>
      <w:r w:rsidR="0079280F" w:rsidRPr="46B5BCA3">
        <w:rPr>
          <w:rFonts w:ascii="Arial" w:hAnsi="Arial" w:cs="Arial"/>
          <w:sz w:val="22"/>
          <w:szCs w:val="22"/>
        </w:rPr>
        <w:t>:</w:t>
      </w:r>
      <w:r w:rsidRPr="46B5BCA3">
        <w:rPr>
          <w:rFonts w:ascii="Arial" w:hAnsi="Arial" w:cs="Arial"/>
          <w:sz w:val="22"/>
          <w:szCs w:val="22"/>
        </w:rPr>
        <w:t xml:space="preserve"> </w:t>
      </w:r>
      <w:r w:rsidR="00347877" w:rsidRPr="46B5BCA3">
        <w:rPr>
          <w:rFonts w:ascii="Arial" w:hAnsi="Arial" w:cs="Arial"/>
          <w:sz w:val="22"/>
          <w:szCs w:val="22"/>
        </w:rPr>
        <w:t>Customer</w:t>
      </w:r>
      <w:r w:rsidR="00EA3701" w:rsidRPr="46B5BCA3">
        <w:rPr>
          <w:rFonts w:ascii="Arial" w:hAnsi="Arial" w:cs="Arial"/>
          <w:sz w:val="22"/>
          <w:szCs w:val="22"/>
        </w:rPr>
        <w:t>’s that own their property (not a landlord)</w:t>
      </w:r>
      <w:r w:rsidRPr="46B5BCA3">
        <w:rPr>
          <w:rFonts w:ascii="Arial" w:hAnsi="Arial" w:cs="Arial"/>
          <w:sz w:val="22"/>
          <w:szCs w:val="22"/>
        </w:rPr>
        <w:t xml:space="preserve"> cannot choose (even with a </w:t>
      </w:r>
      <w:r w:rsidR="009F3354" w:rsidRPr="46B5BCA3">
        <w:rPr>
          <w:rFonts w:ascii="Arial" w:hAnsi="Arial" w:cs="Arial"/>
          <w:sz w:val="22"/>
          <w:szCs w:val="22"/>
        </w:rPr>
        <w:t>Customer Contribution) M</w:t>
      </w:r>
      <w:r w:rsidRPr="46B5BCA3">
        <w:rPr>
          <w:rFonts w:ascii="Arial" w:hAnsi="Arial" w:cs="Arial"/>
          <w:sz w:val="22"/>
          <w:szCs w:val="22"/>
        </w:rPr>
        <w:t>easures which have not been identified by the</w:t>
      </w:r>
      <w:r w:rsidR="00EB6EAD" w:rsidRPr="46B5BCA3">
        <w:rPr>
          <w:rFonts w:ascii="Arial" w:hAnsi="Arial" w:cs="Arial"/>
          <w:sz w:val="22"/>
          <w:szCs w:val="22"/>
        </w:rPr>
        <w:t xml:space="preserve"> Retrofit C</w:t>
      </w:r>
      <w:r w:rsidR="009758F2" w:rsidRPr="46B5BCA3">
        <w:rPr>
          <w:rFonts w:ascii="Arial" w:hAnsi="Arial" w:cs="Arial"/>
          <w:sz w:val="22"/>
          <w:szCs w:val="22"/>
        </w:rPr>
        <w:t>o</w:t>
      </w:r>
      <w:r w:rsidR="00EB6EAD" w:rsidRPr="46B5BCA3">
        <w:rPr>
          <w:rFonts w:ascii="Arial" w:hAnsi="Arial" w:cs="Arial"/>
          <w:sz w:val="22"/>
          <w:szCs w:val="22"/>
        </w:rPr>
        <w:t>ordinator</w:t>
      </w:r>
      <w:r w:rsidRPr="46B5BCA3">
        <w:rPr>
          <w:rFonts w:ascii="Arial" w:hAnsi="Arial" w:cs="Arial"/>
          <w:sz w:val="22"/>
          <w:szCs w:val="22"/>
        </w:rPr>
        <w:t xml:space="preserve"> as </w:t>
      </w:r>
      <w:r w:rsidR="009F3354" w:rsidRPr="46B5BCA3">
        <w:rPr>
          <w:rFonts w:ascii="Arial" w:hAnsi="Arial" w:cs="Arial"/>
          <w:sz w:val="22"/>
          <w:szCs w:val="22"/>
        </w:rPr>
        <w:t xml:space="preserve">appropriate for the </w:t>
      </w:r>
      <w:r w:rsidR="00FE022D" w:rsidRPr="46B5BCA3">
        <w:rPr>
          <w:rFonts w:ascii="Arial" w:hAnsi="Arial" w:cs="Arial"/>
          <w:sz w:val="22"/>
          <w:szCs w:val="22"/>
        </w:rPr>
        <w:t xml:space="preserve">property </w:t>
      </w:r>
      <w:r w:rsidR="009758F2" w:rsidRPr="46B5BCA3">
        <w:rPr>
          <w:rFonts w:ascii="Arial" w:hAnsi="Arial" w:cs="Arial"/>
          <w:sz w:val="22"/>
          <w:szCs w:val="22"/>
        </w:rPr>
        <w:t xml:space="preserve">for payment under this scheme. The </w:t>
      </w:r>
      <w:r w:rsidR="0044427F">
        <w:rPr>
          <w:rFonts w:ascii="Arial" w:hAnsi="Arial" w:cs="Arial"/>
          <w:sz w:val="22"/>
          <w:szCs w:val="22"/>
        </w:rPr>
        <w:t>C</w:t>
      </w:r>
      <w:r w:rsidR="009758F2" w:rsidRPr="46B5BCA3">
        <w:rPr>
          <w:rFonts w:ascii="Arial" w:hAnsi="Arial" w:cs="Arial"/>
          <w:sz w:val="22"/>
          <w:szCs w:val="22"/>
        </w:rPr>
        <w:t>ustomer is also unable to ‘top-up’ the funding to enable installation</w:t>
      </w:r>
      <w:r w:rsidR="0024545B" w:rsidRPr="46B5BCA3">
        <w:rPr>
          <w:rFonts w:ascii="Arial" w:hAnsi="Arial" w:cs="Arial"/>
          <w:sz w:val="22"/>
          <w:szCs w:val="22"/>
        </w:rPr>
        <w:t xml:space="preserve"> where costs are prohibitive. </w:t>
      </w:r>
    </w:p>
    <w:p w14:paraId="3D2B7A06" w14:textId="4D16761D" w:rsidR="00A10922" w:rsidRPr="00D4392B" w:rsidRDefault="0024545B" w:rsidP="00F921DB">
      <w:pPr>
        <w:pStyle w:val="ListParagraph"/>
        <w:spacing w:after="120"/>
        <w:ind w:left="1134"/>
        <w:rPr>
          <w:rFonts w:ascii="Arial" w:hAnsi="Arial" w:cs="Arial"/>
          <w:sz w:val="22"/>
          <w:szCs w:val="22"/>
        </w:rPr>
      </w:pPr>
      <w:r>
        <w:rPr>
          <w:rFonts w:ascii="Arial" w:hAnsi="Arial" w:cs="Arial"/>
          <w:sz w:val="22"/>
          <w:szCs w:val="22"/>
        </w:rPr>
        <w:t>NOTE: there is provision within the ‘average installation cost of £10,000</w:t>
      </w:r>
      <w:r w:rsidR="00EA3701">
        <w:rPr>
          <w:rFonts w:ascii="Arial" w:hAnsi="Arial" w:cs="Arial"/>
          <w:sz w:val="22"/>
          <w:szCs w:val="22"/>
        </w:rPr>
        <w:t>’</w:t>
      </w:r>
      <w:r>
        <w:rPr>
          <w:rFonts w:ascii="Arial" w:hAnsi="Arial" w:cs="Arial"/>
          <w:sz w:val="22"/>
          <w:szCs w:val="22"/>
        </w:rPr>
        <w:t xml:space="preserve"> </w:t>
      </w:r>
      <w:r w:rsidR="008A06AE">
        <w:rPr>
          <w:rFonts w:ascii="Arial" w:hAnsi="Arial" w:cs="Arial"/>
          <w:sz w:val="22"/>
          <w:szCs w:val="22"/>
        </w:rPr>
        <w:t xml:space="preserve">to offer fully funded installations above this amount, particularly for expensive installations like EWI </w:t>
      </w:r>
      <w:r w:rsidR="00DB5245">
        <w:rPr>
          <w:rFonts w:ascii="Arial" w:hAnsi="Arial" w:cs="Arial"/>
          <w:sz w:val="22"/>
          <w:szCs w:val="22"/>
        </w:rPr>
        <w:t xml:space="preserve">where the </w:t>
      </w:r>
      <w:r w:rsidR="00F921DB">
        <w:rPr>
          <w:rFonts w:ascii="Arial" w:hAnsi="Arial" w:cs="Arial"/>
          <w:sz w:val="22"/>
          <w:szCs w:val="22"/>
        </w:rPr>
        <w:t>aggregated</w:t>
      </w:r>
      <w:r w:rsidR="00DB5245">
        <w:rPr>
          <w:rFonts w:ascii="Arial" w:hAnsi="Arial" w:cs="Arial"/>
          <w:sz w:val="22"/>
          <w:szCs w:val="22"/>
        </w:rPr>
        <w:t xml:space="preserve"> cost of installations remains</w:t>
      </w:r>
      <w:r w:rsidR="00F921DB">
        <w:rPr>
          <w:rFonts w:ascii="Arial" w:hAnsi="Arial" w:cs="Arial"/>
          <w:sz w:val="22"/>
          <w:szCs w:val="22"/>
        </w:rPr>
        <w:t xml:space="preserve"> around £10,000.</w:t>
      </w:r>
      <w:r w:rsidR="00DB5245">
        <w:rPr>
          <w:rFonts w:ascii="Arial" w:hAnsi="Arial" w:cs="Arial"/>
          <w:sz w:val="22"/>
          <w:szCs w:val="22"/>
        </w:rPr>
        <w:t xml:space="preserve"> </w:t>
      </w:r>
    </w:p>
    <w:p w14:paraId="3D2B7A07" w14:textId="547303CD" w:rsidR="001955DA" w:rsidRDefault="00D879FA" w:rsidP="00A10922">
      <w:pPr>
        <w:pStyle w:val="ListParagraph"/>
        <w:numPr>
          <w:ilvl w:val="1"/>
          <w:numId w:val="6"/>
        </w:numPr>
        <w:spacing w:after="120"/>
        <w:rPr>
          <w:rFonts w:ascii="Arial" w:hAnsi="Arial" w:cs="Arial"/>
          <w:sz w:val="22"/>
          <w:szCs w:val="22"/>
        </w:rPr>
      </w:pPr>
      <w:r w:rsidRPr="46B5BCA3">
        <w:rPr>
          <w:rFonts w:ascii="Arial" w:hAnsi="Arial" w:cs="Arial"/>
          <w:sz w:val="22"/>
          <w:szCs w:val="22"/>
        </w:rPr>
        <w:t>Where t</w:t>
      </w:r>
      <w:r w:rsidR="00347877" w:rsidRPr="46B5BCA3">
        <w:rPr>
          <w:rFonts w:ascii="Arial" w:hAnsi="Arial" w:cs="Arial"/>
          <w:sz w:val="22"/>
          <w:szCs w:val="22"/>
        </w:rPr>
        <w:t>he Customer</w:t>
      </w:r>
      <w:r w:rsidR="00121369" w:rsidRPr="46B5BCA3">
        <w:rPr>
          <w:rFonts w:ascii="Arial" w:hAnsi="Arial" w:cs="Arial"/>
          <w:sz w:val="22"/>
          <w:szCs w:val="22"/>
        </w:rPr>
        <w:t xml:space="preserve"> </w:t>
      </w:r>
      <w:r w:rsidRPr="46B5BCA3">
        <w:rPr>
          <w:rFonts w:ascii="Arial" w:hAnsi="Arial" w:cs="Arial"/>
          <w:sz w:val="22"/>
          <w:szCs w:val="22"/>
        </w:rPr>
        <w:t xml:space="preserve">is a social or private </w:t>
      </w:r>
      <w:r w:rsidR="001D251F" w:rsidRPr="46B5BCA3">
        <w:rPr>
          <w:rFonts w:ascii="Arial" w:hAnsi="Arial" w:cs="Arial"/>
          <w:sz w:val="22"/>
          <w:szCs w:val="22"/>
        </w:rPr>
        <w:t>landlord,</w:t>
      </w:r>
      <w:r w:rsidRPr="46B5BCA3">
        <w:rPr>
          <w:rFonts w:ascii="Arial" w:hAnsi="Arial" w:cs="Arial"/>
          <w:sz w:val="22"/>
          <w:szCs w:val="22"/>
        </w:rPr>
        <w:t xml:space="preserve"> they </w:t>
      </w:r>
      <w:r w:rsidR="00121369" w:rsidRPr="46B5BCA3">
        <w:rPr>
          <w:rFonts w:ascii="Arial" w:hAnsi="Arial" w:cs="Arial"/>
          <w:sz w:val="22"/>
          <w:szCs w:val="22"/>
        </w:rPr>
        <w:t xml:space="preserve">may choose </w:t>
      </w:r>
      <w:r w:rsidR="00102B39" w:rsidRPr="46B5BCA3">
        <w:rPr>
          <w:rFonts w:ascii="Arial" w:hAnsi="Arial" w:cs="Arial"/>
          <w:sz w:val="22"/>
          <w:szCs w:val="22"/>
        </w:rPr>
        <w:t xml:space="preserve">additional </w:t>
      </w:r>
      <w:r w:rsidR="007E2F24" w:rsidRPr="46B5BCA3">
        <w:rPr>
          <w:rFonts w:ascii="Arial" w:hAnsi="Arial" w:cs="Arial"/>
          <w:sz w:val="22"/>
          <w:szCs w:val="22"/>
        </w:rPr>
        <w:t>M</w:t>
      </w:r>
      <w:r w:rsidR="00121369" w:rsidRPr="46B5BCA3">
        <w:rPr>
          <w:rFonts w:ascii="Arial" w:hAnsi="Arial" w:cs="Arial"/>
          <w:sz w:val="22"/>
          <w:szCs w:val="22"/>
        </w:rPr>
        <w:t>easures</w:t>
      </w:r>
      <w:r w:rsidR="001D251F" w:rsidRPr="46B5BCA3">
        <w:rPr>
          <w:rFonts w:ascii="Arial" w:hAnsi="Arial" w:cs="Arial"/>
          <w:sz w:val="22"/>
          <w:szCs w:val="22"/>
        </w:rPr>
        <w:t>. These will attract a</w:t>
      </w:r>
      <w:r w:rsidR="0068193C" w:rsidRPr="46B5BCA3">
        <w:rPr>
          <w:rFonts w:ascii="Arial" w:hAnsi="Arial" w:cs="Arial"/>
          <w:sz w:val="22"/>
          <w:szCs w:val="22"/>
        </w:rPr>
        <w:t xml:space="preserve"> Customer Contribution. </w:t>
      </w:r>
    </w:p>
    <w:p w14:paraId="3D2B7A08" w14:textId="7F05B812" w:rsidR="00A10922" w:rsidRPr="00D4392B" w:rsidRDefault="001955DA" w:rsidP="00A10922">
      <w:pPr>
        <w:pStyle w:val="ListParagraph"/>
        <w:numPr>
          <w:ilvl w:val="1"/>
          <w:numId w:val="6"/>
        </w:numPr>
        <w:spacing w:after="120"/>
        <w:rPr>
          <w:rFonts w:ascii="Arial" w:hAnsi="Arial" w:cs="Arial"/>
          <w:sz w:val="22"/>
          <w:szCs w:val="22"/>
        </w:rPr>
      </w:pPr>
      <w:r w:rsidRPr="674DC236">
        <w:rPr>
          <w:rFonts w:ascii="Arial" w:hAnsi="Arial" w:cs="Arial"/>
          <w:sz w:val="22"/>
          <w:szCs w:val="22"/>
        </w:rPr>
        <w:t xml:space="preserve">The </w:t>
      </w:r>
      <w:r w:rsidR="092E75A9" w:rsidRPr="674DC236">
        <w:rPr>
          <w:rFonts w:ascii="Arial" w:hAnsi="Arial" w:cs="Arial"/>
          <w:sz w:val="22"/>
          <w:szCs w:val="22"/>
        </w:rPr>
        <w:t>Authority</w:t>
      </w:r>
      <w:r w:rsidR="00347877" w:rsidRPr="674DC236">
        <w:rPr>
          <w:rFonts w:ascii="Arial" w:hAnsi="Arial" w:cs="Arial"/>
          <w:sz w:val="22"/>
          <w:szCs w:val="22"/>
        </w:rPr>
        <w:t>’s</w:t>
      </w:r>
      <w:r w:rsidRPr="674DC236">
        <w:rPr>
          <w:rFonts w:ascii="Arial" w:hAnsi="Arial" w:cs="Arial"/>
          <w:sz w:val="22"/>
          <w:szCs w:val="22"/>
        </w:rPr>
        <w:t xml:space="preserve"> aim is that e</w:t>
      </w:r>
      <w:r w:rsidR="00A10922" w:rsidRPr="674DC236">
        <w:rPr>
          <w:rFonts w:ascii="Arial" w:hAnsi="Arial" w:cs="Arial"/>
          <w:sz w:val="22"/>
          <w:szCs w:val="22"/>
        </w:rPr>
        <w:t xml:space="preserve">very </w:t>
      </w:r>
      <w:r w:rsidR="00347877" w:rsidRPr="674DC236">
        <w:rPr>
          <w:rFonts w:ascii="Arial" w:hAnsi="Arial" w:cs="Arial"/>
          <w:sz w:val="22"/>
          <w:szCs w:val="22"/>
        </w:rPr>
        <w:t>Customer</w:t>
      </w:r>
      <w:r w:rsidR="00121369" w:rsidRPr="674DC236">
        <w:rPr>
          <w:rFonts w:ascii="Arial" w:hAnsi="Arial" w:cs="Arial"/>
          <w:sz w:val="22"/>
          <w:szCs w:val="22"/>
        </w:rPr>
        <w:t xml:space="preserve"> </w:t>
      </w:r>
      <w:r w:rsidR="00A10922" w:rsidRPr="674DC236">
        <w:rPr>
          <w:rFonts w:ascii="Arial" w:hAnsi="Arial" w:cs="Arial"/>
          <w:sz w:val="22"/>
          <w:szCs w:val="22"/>
        </w:rPr>
        <w:t>will</w:t>
      </w:r>
      <w:r w:rsidR="00347877" w:rsidRPr="674DC236">
        <w:rPr>
          <w:rFonts w:ascii="Arial" w:hAnsi="Arial" w:cs="Arial"/>
          <w:sz w:val="22"/>
          <w:szCs w:val="22"/>
        </w:rPr>
        <w:t xml:space="preserve"> be able to select one or more M</w:t>
      </w:r>
      <w:r w:rsidR="00A10922" w:rsidRPr="674DC236">
        <w:rPr>
          <w:rFonts w:ascii="Arial" w:hAnsi="Arial" w:cs="Arial"/>
          <w:sz w:val="22"/>
          <w:szCs w:val="22"/>
        </w:rPr>
        <w:t xml:space="preserve">easures which </w:t>
      </w:r>
      <w:r w:rsidR="00121369" w:rsidRPr="674DC236">
        <w:rPr>
          <w:rFonts w:ascii="Arial" w:hAnsi="Arial" w:cs="Arial"/>
          <w:sz w:val="22"/>
          <w:szCs w:val="22"/>
        </w:rPr>
        <w:t>improve</w:t>
      </w:r>
      <w:r w:rsidR="00A10922" w:rsidRPr="674DC236">
        <w:rPr>
          <w:rFonts w:ascii="Arial" w:hAnsi="Arial" w:cs="Arial"/>
          <w:sz w:val="22"/>
          <w:szCs w:val="22"/>
        </w:rPr>
        <w:t xml:space="preserve"> their thermal comfort and/or </w:t>
      </w:r>
      <w:r w:rsidR="00121369" w:rsidRPr="674DC236">
        <w:rPr>
          <w:rFonts w:ascii="Arial" w:hAnsi="Arial" w:cs="Arial"/>
          <w:sz w:val="22"/>
          <w:szCs w:val="22"/>
        </w:rPr>
        <w:t>reduce</w:t>
      </w:r>
      <w:r w:rsidR="00A10922" w:rsidRPr="674DC236">
        <w:rPr>
          <w:rFonts w:ascii="Arial" w:hAnsi="Arial" w:cs="Arial"/>
          <w:sz w:val="22"/>
          <w:szCs w:val="22"/>
        </w:rPr>
        <w:t xml:space="preserve"> their bills for which no </w:t>
      </w:r>
      <w:r w:rsidR="00347877" w:rsidRPr="674DC236">
        <w:rPr>
          <w:rFonts w:ascii="Arial" w:hAnsi="Arial" w:cs="Arial"/>
          <w:sz w:val="22"/>
          <w:szCs w:val="22"/>
        </w:rPr>
        <w:t>Customer C</w:t>
      </w:r>
      <w:r w:rsidR="00A10922" w:rsidRPr="674DC236">
        <w:rPr>
          <w:rFonts w:ascii="Arial" w:hAnsi="Arial" w:cs="Arial"/>
          <w:sz w:val="22"/>
          <w:szCs w:val="22"/>
        </w:rPr>
        <w:t>ontribution is chargeable.</w:t>
      </w:r>
      <w:r w:rsidR="004C64A2" w:rsidRPr="674DC236">
        <w:rPr>
          <w:rFonts w:ascii="Arial" w:hAnsi="Arial" w:cs="Arial"/>
          <w:sz w:val="22"/>
          <w:szCs w:val="22"/>
        </w:rPr>
        <w:t xml:space="preserve"> Recommended installations should also </w:t>
      </w:r>
      <w:r w:rsidR="00AD23F8" w:rsidRPr="674DC236">
        <w:rPr>
          <w:rFonts w:ascii="Arial" w:hAnsi="Arial" w:cs="Arial"/>
          <w:sz w:val="22"/>
          <w:szCs w:val="22"/>
        </w:rPr>
        <w:t xml:space="preserve">improve property EPC rating, particularly for properties already rated D, where possible </w:t>
      </w:r>
      <w:r w:rsidR="00F96DA6" w:rsidRPr="674DC236">
        <w:rPr>
          <w:rFonts w:ascii="Arial" w:hAnsi="Arial" w:cs="Arial"/>
          <w:sz w:val="22"/>
          <w:szCs w:val="22"/>
        </w:rPr>
        <w:t xml:space="preserve">new measures should move these </w:t>
      </w:r>
      <w:r w:rsidR="0044427F">
        <w:rPr>
          <w:rFonts w:ascii="Arial" w:hAnsi="Arial" w:cs="Arial"/>
          <w:sz w:val="22"/>
          <w:szCs w:val="22"/>
        </w:rPr>
        <w:t>Dwellings</w:t>
      </w:r>
      <w:r w:rsidR="0044427F" w:rsidRPr="674DC236">
        <w:rPr>
          <w:rFonts w:ascii="Arial" w:hAnsi="Arial" w:cs="Arial"/>
          <w:sz w:val="22"/>
          <w:szCs w:val="22"/>
        </w:rPr>
        <w:t xml:space="preserve"> </w:t>
      </w:r>
      <w:r w:rsidR="00F96DA6" w:rsidRPr="674DC236">
        <w:rPr>
          <w:rFonts w:ascii="Arial" w:hAnsi="Arial" w:cs="Arial"/>
          <w:sz w:val="22"/>
          <w:szCs w:val="22"/>
        </w:rPr>
        <w:t>into band C.</w:t>
      </w:r>
    </w:p>
    <w:p w14:paraId="3D2B7A09" w14:textId="77777777" w:rsidR="006B3E50" w:rsidRPr="00D4392B" w:rsidRDefault="006B3E50" w:rsidP="004C4CB4">
      <w:pPr>
        <w:pStyle w:val="ListParagraph"/>
        <w:spacing w:after="120"/>
        <w:ind w:left="1134"/>
        <w:rPr>
          <w:rFonts w:ascii="Arial" w:hAnsi="Arial" w:cs="Arial"/>
          <w:sz w:val="22"/>
          <w:szCs w:val="22"/>
        </w:rPr>
      </w:pPr>
    </w:p>
    <w:p w14:paraId="3D2B7A0A" w14:textId="77777777" w:rsidR="006B3E50" w:rsidRPr="004C4CB4" w:rsidRDefault="00347877" w:rsidP="46B5BCA3">
      <w:pPr>
        <w:pStyle w:val="ListParagraph"/>
        <w:numPr>
          <w:ilvl w:val="0"/>
          <w:numId w:val="6"/>
        </w:numPr>
        <w:spacing w:after="120"/>
        <w:rPr>
          <w:rFonts w:ascii="Arial" w:hAnsi="Arial" w:cs="Arial"/>
          <w:b/>
          <w:bCs/>
          <w:sz w:val="22"/>
          <w:szCs w:val="22"/>
        </w:rPr>
      </w:pPr>
      <w:r w:rsidRPr="46B5BCA3">
        <w:rPr>
          <w:rFonts w:ascii="Arial" w:hAnsi="Arial" w:cs="Arial"/>
          <w:b/>
          <w:bCs/>
          <w:sz w:val="22"/>
          <w:szCs w:val="22"/>
        </w:rPr>
        <w:t>Customer C</w:t>
      </w:r>
      <w:r w:rsidR="006B3E50" w:rsidRPr="46B5BCA3">
        <w:rPr>
          <w:rFonts w:ascii="Arial" w:hAnsi="Arial" w:cs="Arial"/>
          <w:b/>
          <w:bCs/>
          <w:sz w:val="22"/>
          <w:szCs w:val="22"/>
        </w:rPr>
        <w:t>ontributions</w:t>
      </w:r>
    </w:p>
    <w:p w14:paraId="79783F6F" w14:textId="658D1094" w:rsidR="2314500A" w:rsidRDefault="2314500A" w:rsidP="674DC236">
      <w:pPr>
        <w:pStyle w:val="ListParagraph"/>
        <w:numPr>
          <w:ilvl w:val="1"/>
          <w:numId w:val="6"/>
        </w:numPr>
        <w:spacing w:after="120"/>
        <w:rPr>
          <w:rFonts w:ascii="Arial" w:eastAsia="Arial" w:hAnsi="Arial" w:cs="Arial"/>
          <w:sz w:val="22"/>
          <w:szCs w:val="22"/>
        </w:rPr>
      </w:pPr>
      <w:r w:rsidRPr="674DC236">
        <w:rPr>
          <w:rFonts w:ascii="Arial" w:hAnsi="Arial" w:cs="Arial"/>
          <w:sz w:val="22"/>
          <w:szCs w:val="22"/>
        </w:rPr>
        <w:t>Customer contributions can only be collected from Social and Private Landlords as laid out in the criteria.</w:t>
      </w:r>
    </w:p>
    <w:p w14:paraId="3D2B7A0E" w14:textId="3F0D243D" w:rsidR="006B3E50" w:rsidRDefault="006B3E50" w:rsidP="00171ACB">
      <w:pPr>
        <w:pStyle w:val="ListParagraph"/>
        <w:numPr>
          <w:ilvl w:val="1"/>
          <w:numId w:val="6"/>
        </w:numPr>
        <w:spacing w:after="120"/>
        <w:rPr>
          <w:rFonts w:ascii="Arial" w:hAnsi="Arial" w:cs="Arial"/>
          <w:sz w:val="22"/>
          <w:szCs w:val="22"/>
        </w:rPr>
      </w:pPr>
      <w:r w:rsidRPr="674DC236">
        <w:rPr>
          <w:rFonts w:ascii="Arial" w:hAnsi="Arial" w:cs="Arial"/>
          <w:sz w:val="22"/>
          <w:szCs w:val="22"/>
        </w:rPr>
        <w:t xml:space="preserve">The </w:t>
      </w:r>
      <w:r w:rsidR="00AA0779" w:rsidRPr="674DC236">
        <w:rPr>
          <w:rFonts w:ascii="Arial" w:hAnsi="Arial" w:cs="Arial"/>
          <w:sz w:val="22"/>
          <w:szCs w:val="22"/>
        </w:rPr>
        <w:t>Delivery Organisation</w:t>
      </w:r>
      <w:r w:rsidRPr="674DC236">
        <w:rPr>
          <w:rFonts w:ascii="Arial" w:hAnsi="Arial" w:cs="Arial"/>
          <w:sz w:val="22"/>
          <w:szCs w:val="22"/>
        </w:rPr>
        <w:t xml:space="preserve"> </w:t>
      </w:r>
      <w:r w:rsidR="0044427F">
        <w:rPr>
          <w:rFonts w:ascii="Arial" w:hAnsi="Arial" w:cs="Arial"/>
          <w:sz w:val="22"/>
          <w:szCs w:val="22"/>
        </w:rPr>
        <w:t>shall</w:t>
      </w:r>
      <w:r w:rsidR="0044427F" w:rsidRPr="674DC236">
        <w:rPr>
          <w:rFonts w:ascii="Arial" w:hAnsi="Arial" w:cs="Arial"/>
          <w:sz w:val="22"/>
          <w:szCs w:val="22"/>
        </w:rPr>
        <w:t xml:space="preserve"> </w:t>
      </w:r>
      <w:r w:rsidR="003F2ED4" w:rsidRPr="674DC236">
        <w:rPr>
          <w:rFonts w:ascii="Arial" w:hAnsi="Arial" w:cs="Arial"/>
          <w:sz w:val="22"/>
          <w:szCs w:val="22"/>
        </w:rPr>
        <w:t>generate referrals through the mechanisms detailed in response</w:t>
      </w:r>
      <w:r w:rsidR="00E9357E" w:rsidRPr="674DC236">
        <w:rPr>
          <w:rFonts w:ascii="Arial" w:hAnsi="Arial" w:cs="Arial"/>
          <w:sz w:val="22"/>
          <w:szCs w:val="22"/>
        </w:rPr>
        <w:t xml:space="preserve"> to this specification.</w:t>
      </w:r>
      <w:r w:rsidRPr="674DC236">
        <w:rPr>
          <w:rFonts w:ascii="Arial" w:hAnsi="Arial" w:cs="Arial"/>
          <w:sz w:val="22"/>
          <w:szCs w:val="22"/>
        </w:rPr>
        <w:t xml:space="preserve"> The </w:t>
      </w:r>
      <w:r w:rsidR="00AA0779" w:rsidRPr="674DC236">
        <w:rPr>
          <w:rFonts w:ascii="Arial" w:hAnsi="Arial" w:cs="Arial"/>
          <w:sz w:val="22"/>
          <w:szCs w:val="22"/>
        </w:rPr>
        <w:t>Delivery Organisation</w:t>
      </w:r>
      <w:r w:rsidRPr="674DC236">
        <w:rPr>
          <w:rFonts w:ascii="Arial" w:hAnsi="Arial" w:cs="Arial"/>
          <w:sz w:val="22"/>
          <w:szCs w:val="22"/>
        </w:rPr>
        <w:t xml:space="preserve"> </w:t>
      </w:r>
      <w:r w:rsidR="0044427F">
        <w:rPr>
          <w:rFonts w:ascii="Arial" w:hAnsi="Arial" w:cs="Arial"/>
          <w:sz w:val="22"/>
          <w:szCs w:val="22"/>
        </w:rPr>
        <w:t>shall</w:t>
      </w:r>
      <w:r w:rsidR="0044427F" w:rsidRPr="674DC236">
        <w:rPr>
          <w:rFonts w:ascii="Arial" w:hAnsi="Arial" w:cs="Arial"/>
          <w:sz w:val="22"/>
          <w:szCs w:val="22"/>
        </w:rPr>
        <w:t xml:space="preserve"> </w:t>
      </w:r>
      <w:r w:rsidRPr="674DC236">
        <w:rPr>
          <w:rFonts w:ascii="Arial" w:hAnsi="Arial" w:cs="Arial"/>
          <w:sz w:val="22"/>
          <w:szCs w:val="22"/>
        </w:rPr>
        <w:t xml:space="preserve">not seek or accept </w:t>
      </w:r>
      <w:r w:rsidR="0044427F">
        <w:rPr>
          <w:rFonts w:ascii="Arial" w:hAnsi="Arial" w:cs="Arial"/>
          <w:sz w:val="22"/>
          <w:szCs w:val="22"/>
        </w:rPr>
        <w:t>r</w:t>
      </w:r>
      <w:r w:rsidRPr="674DC236">
        <w:rPr>
          <w:rFonts w:ascii="Arial" w:hAnsi="Arial" w:cs="Arial"/>
          <w:sz w:val="22"/>
          <w:szCs w:val="22"/>
        </w:rPr>
        <w:t>eferrals from any other person or body</w:t>
      </w:r>
      <w:r w:rsidR="00126EF6" w:rsidRPr="674DC236">
        <w:rPr>
          <w:rFonts w:ascii="Arial" w:hAnsi="Arial" w:cs="Arial"/>
          <w:sz w:val="22"/>
          <w:szCs w:val="22"/>
        </w:rPr>
        <w:t xml:space="preserve"> if not identified in the </w:t>
      </w:r>
      <w:r w:rsidR="0044427F" w:rsidRPr="674DC236">
        <w:rPr>
          <w:rFonts w:ascii="Arial" w:hAnsi="Arial" w:cs="Arial"/>
          <w:sz w:val="22"/>
          <w:szCs w:val="22"/>
        </w:rPr>
        <w:t>Delivery Organisation</w:t>
      </w:r>
      <w:r w:rsidR="0044427F">
        <w:rPr>
          <w:rFonts w:ascii="Arial" w:hAnsi="Arial" w:cs="Arial"/>
          <w:sz w:val="22"/>
          <w:szCs w:val="22"/>
        </w:rPr>
        <w:t>’s</w:t>
      </w:r>
      <w:r w:rsidR="0044427F" w:rsidRPr="674DC236">
        <w:rPr>
          <w:rFonts w:ascii="Arial" w:hAnsi="Arial" w:cs="Arial"/>
          <w:sz w:val="22"/>
          <w:szCs w:val="22"/>
        </w:rPr>
        <w:t xml:space="preserve"> </w:t>
      </w:r>
      <w:r w:rsidR="00126EF6" w:rsidRPr="674DC236">
        <w:rPr>
          <w:rFonts w:ascii="Arial" w:hAnsi="Arial" w:cs="Arial"/>
          <w:sz w:val="22"/>
          <w:szCs w:val="22"/>
        </w:rPr>
        <w:t>tender response</w:t>
      </w:r>
      <w:r w:rsidR="00FF3C9D" w:rsidRPr="674DC236">
        <w:rPr>
          <w:rFonts w:ascii="Arial" w:hAnsi="Arial" w:cs="Arial"/>
          <w:sz w:val="22"/>
          <w:szCs w:val="22"/>
        </w:rPr>
        <w:t xml:space="preserve"> without </w:t>
      </w:r>
      <w:r w:rsidR="00230A05" w:rsidRPr="674DC236">
        <w:rPr>
          <w:rFonts w:ascii="Arial" w:hAnsi="Arial" w:cs="Arial"/>
          <w:sz w:val="22"/>
          <w:szCs w:val="22"/>
        </w:rPr>
        <w:t xml:space="preserve">written consent from the </w:t>
      </w:r>
      <w:r w:rsidR="092E75A9" w:rsidRPr="674DC236">
        <w:rPr>
          <w:rFonts w:ascii="Arial" w:hAnsi="Arial" w:cs="Arial"/>
          <w:sz w:val="22"/>
          <w:szCs w:val="22"/>
        </w:rPr>
        <w:t>Authority</w:t>
      </w:r>
      <w:r w:rsidR="00230A05" w:rsidRPr="674DC236">
        <w:rPr>
          <w:rFonts w:ascii="Arial" w:hAnsi="Arial" w:cs="Arial"/>
          <w:sz w:val="22"/>
          <w:szCs w:val="22"/>
        </w:rPr>
        <w:t>.</w:t>
      </w:r>
      <w:r w:rsidRPr="674DC236">
        <w:rPr>
          <w:rFonts w:ascii="Arial" w:hAnsi="Arial" w:cs="Arial"/>
          <w:sz w:val="22"/>
          <w:szCs w:val="22"/>
        </w:rPr>
        <w:t xml:space="preserve">  </w:t>
      </w:r>
    </w:p>
    <w:p w14:paraId="27039075" w14:textId="0717D55C" w:rsidR="006842D1" w:rsidRPr="00D4392B" w:rsidRDefault="006842D1" w:rsidP="00171ACB">
      <w:pPr>
        <w:pStyle w:val="ListParagraph"/>
        <w:numPr>
          <w:ilvl w:val="1"/>
          <w:numId w:val="6"/>
        </w:numPr>
        <w:spacing w:after="120"/>
        <w:rPr>
          <w:rFonts w:ascii="Arial" w:hAnsi="Arial" w:cs="Arial"/>
          <w:sz w:val="22"/>
          <w:szCs w:val="22"/>
        </w:rPr>
      </w:pPr>
      <w:r w:rsidRPr="674DC236">
        <w:rPr>
          <w:rFonts w:ascii="Arial" w:hAnsi="Arial" w:cs="Arial"/>
          <w:sz w:val="22"/>
          <w:szCs w:val="22"/>
        </w:rPr>
        <w:t xml:space="preserve">The Delivery Organisation may have their own internal lead generation service or may contract to work with a sub-contractor to generate leads. The </w:t>
      </w:r>
      <w:r w:rsidR="00AB75CE">
        <w:rPr>
          <w:rFonts w:ascii="Arial" w:hAnsi="Arial" w:cs="Arial"/>
          <w:sz w:val="22"/>
          <w:szCs w:val="22"/>
        </w:rPr>
        <w:t>Authority</w:t>
      </w:r>
      <w:r w:rsidR="00AB75CE" w:rsidRPr="674DC236">
        <w:rPr>
          <w:rFonts w:ascii="Arial" w:hAnsi="Arial" w:cs="Arial"/>
          <w:sz w:val="22"/>
          <w:szCs w:val="22"/>
        </w:rPr>
        <w:t xml:space="preserve"> </w:t>
      </w:r>
      <w:r w:rsidRPr="674DC236">
        <w:rPr>
          <w:rFonts w:ascii="Arial" w:hAnsi="Arial" w:cs="Arial"/>
          <w:sz w:val="22"/>
          <w:szCs w:val="22"/>
        </w:rPr>
        <w:t>wou</w:t>
      </w:r>
      <w:r w:rsidR="00F544AB" w:rsidRPr="674DC236">
        <w:rPr>
          <w:rFonts w:ascii="Arial" w:hAnsi="Arial" w:cs="Arial"/>
          <w:sz w:val="22"/>
          <w:szCs w:val="22"/>
        </w:rPr>
        <w:t xml:space="preserve">ld prefer Delivery Organisations work with local third sector/ community partners </w:t>
      </w:r>
      <w:r w:rsidR="00AA6F62" w:rsidRPr="674DC236">
        <w:rPr>
          <w:rFonts w:ascii="Arial" w:hAnsi="Arial" w:cs="Arial"/>
          <w:sz w:val="22"/>
          <w:szCs w:val="22"/>
        </w:rPr>
        <w:t xml:space="preserve">or directly with Local Authorities to generate leads if it does not already have an in-house service. </w:t>
      </w:r>
    </w:p>
    <w:p w14:paraId="3D2B7A0F" w14:textId="77777777" w:rsidR="006B3E50" w:rsidRPr="00D4392B" w:rsidRDefault="006B3E50" w:rsidP="004D6FC2">
      <w:pPr>
        <w:pStyle w:val="ListParagraph"/>
        <w:spacing w:after="120"/>
        <w:ind w:left="1134"/>
        <w:rPr>
          <w:rFonts w:ascii="Arial" w:hAnsi="Arial" w:cs="Arial"/>
          <w:sz w:val="22"/>
          <w:szCs w:val="22"/>
        </w:rPr>
      </w:pPr>
    </w:p>
    <w:p w14:paraId="3D2B7A10" w14:textId="77777777" w:rsidR="006B3E50" w:rsidRPr="004C4CB4" w:rsidRDefault="006B3E50" w:rsidP="46B5BCA3">
      <w:pPr>
        <w:pStyle w:val="ListParagraph"/>
        <w:numPr>
          <w:ilvl w:val="0"/>
          <w:numId w:val="6"/>
        </w:numPr>
        <w:spacing w:after="120"/>
        <w:rPr>
          <w:rFonts w:ascii="Arial" w:hAnsi="Arial" w:cs="Arial"/>
          <w:b/>
          <w:bCs/>
          <w:sz w:val="22"/>
          <w:szCs w:val="22"/>
        </w:rPr>
      </w:pPr>
      <w:r w:rsidRPr="46B5BCA3">
        <w:rPr>
          <w:rFonts w:ascii="Arial" w:hAnsi="Arial" w:cs="Arial"/>
          <w:b/>
          <w:bCs/>
          <w:sz w:val="22"/>
          <w:szCs w:val="22"/>
        </w:rPr>
        <w:t>DWP eligibility check</w:t>
      </w:r>
    </w:p>
    <w:p w14:paraId="3D2B7A12" w14:textId="473320AB" w:rsidR="006B3E50" w:rsidRDefault="00433500" w:rsidP="00E6016B">
      <w:pPr>
        <w:pStyle w:val="ListParagraph"/>
        <w:numPr>
          <w:ilvl w:val="1"/>
          <w:numId w:val="6"/>
        </w:numPr>
        <w:spacing w:after="120"/>
        <w:rPr>
          <w:rFonts w:ascii="Arial" w:hAnsi="Arial" w:cs="Arial"/>
          <w:sz w:val="22"/>
          <w:szCs w:val="22"/>
        </w:rPr>
      </w:pPr>
      <w:r w:rsidRPr="46B5BCA3">
        <w:rPr>
          <w:rFonts w:ascii="Arial" w:hAnsi="Arial" w:cs="Arial"/>
          <w:sz w:val="22"/>
          <w:szCs w:val="22"/>
        </w:rPr>
        <w:t xml:space="preserve">To assist progress with eligibility of </w:t>
      </w:r>
      <w:r w:rsidR="0044427F">
        <w:rPr>
          <w:rFonts w:ascii="Arial" w:hAnsi="Arial" w:cs="Arial"/>
          <w:sz w:val="22"/>
          <w:szCs w:val="22"/>
        </w:rPr>
        <w:t>Customers</w:t>
      </w:r>
      <w:r w:rsidRPr="46B5BCA3">
        <w:rPr>
          <w:rFonts w:ascii="Arial" w:hAnsi="Arial" w:cs="Arial"/>
          <w:sz w:val="22"/>
          <w:szCs w:val="22"/>
        </w:rPr>
        <w:t xml:space="preserve">, </w:t>
      </w:r>
      <w:r w:rsidR="00B0755B" w:rsidRPr="46B5BCA3">
        <w:rPr>
          <w:rFonts w:ascii="Arial" w:hAnsi="Arial" w:cs="Arial"/>
          <w:sz w:val="22"/>
          <w:szCs w:val="22"/>
        </w:rPr>
        <w:t>the Delivery Organisation should make use of the</w:t>
      </w:r>
      <w:r w:rsidR="003A48A3" w:rsidRPr="46B5BCA3">
        <w:rPr>
          <w:rFonts w:ascii="Arial" w:hAnsi="Arial" w:cs="Arial"/>
          <w:sz w:val="22"/>
          <w:szCs w:val="22"/>
        </w:rPr>
        <w:t xml:space="preserve"> benefits</w:t>
      </w:r>
      <w:r w:rsidR="00B0755B" w:rsidRPr="46B5BCA3">
        <w:rPr>
          <w:rFonts w:ascii="Arial" w:hAnsi="Arial" w:cs="Arial"/>
          <w:sz w:val="22"/>
          <w:szCs w:val="22"/>
        </w:rPr>
        <w:t xml:space="preserve"> screening service </w:t>
      </w:r>
      <w:r w:rsidR="003A48A3" w:rsidRPr="46B5BCA3">
        <w:rPr>
          <w:rFonts w:ascii="Arial" w:hAnsi="Arial" w:cs="Arial"/>
          <w:sz w:val="22"/>
          <w:szCs w:val="22"/>
        </w:rPr>
        <w:t xml:space="preserve">offered by the DWP. </w:t>
      </w:r>
    </w:p>
    <w:p w14:paraId="5590809A" w14:textId="77777777" w:rsidR="001E1577" w:rsidRPr="00E6016B" w:rsidRDefault="001E1577" w:rsidP="001E1577">
      <w:pPr>
        <w:pStyle w:val="ListParagraph"/>
        <w:spacing w:after="120"/>
        <w:ind w:left="1134"/>
        <w:rPr>
          <w:rFonts w:ascii="Arial" w:hAnsi="Arial" w:cs="Arial"/>
          <w:sz w:val="22"/>
          <w:szCs w:val="22"/>
        </w:rPr>
      </w:pPr>
    </w:p>
    <w:p w14:paraId="3D2B7A13" w14:textId="77777777" w:rsidR="006B3E50" w:rsidRPr="004C4CB4" w:rsidRDefault="006B3E50" w:rsidP="46B5BCA3">
      <w:pPr>
        <w:pStyle w:val="ListParagraph"/>
        <w:numPr>
          <w:ilvl w:val="0"/>
          <w:numId w:val="6"/>
        </w:numPr>
        <w:spacing w:after="120"/>
        <w:rPr>
          <w:rFonts w:ascii="Arial" w:hAnsi="Arial" w:cs="Arial"/>
          <w:b/>
          <w:bCs/>
          <w:sz w:val="22"/>
          <w:szCs w:val="22"/>
        </w:rPr>
      </w:pPr>
      <w:r w:rsidRPr="46B5BCA3">
        <w:rPr>
          <w:rFonts w:ascii="Arial" w:hAnsi="Arial" w:cs="Arial"/>
          <w:b/>
          <w:bCs/>
          <w:sz w:val="22"/>
          <w:szCs w:val="22"/>
        </w:rPr>
        <w:t>Quality Assurance and Audit Agent</w:t>
      </w:r>
    </w:p>
    <w:p w14:paraId="29B99319" w14:textId="77777777" w:rsidR="005279AC" w:rsidRDefault="005279AC" w:rsidP="005279AC">
      <w:pPr>
        <w:pStyle w:val="ListParagraph"/>
        <w:numPr>
          <w:ilvl w:val="1"/>
          <w:numId w:val="6"/>
        </w:numPr>
        <w:spacing w:after="120"/>
        <w:rPr>
          <w:rFonts w:ascii="Arial" w:hAnsi="Arial" w:cs="Arial"/>
          <w:sz w:val="22"/>
          <w:szCs w:val="22"/>
        </w:rPr>
      </w:pPr>
      <w:r w:rsidRPr="46B5BCA3">
        <w:rPr>
          <w:rFonts w:ascii="Arial" w:hAnsi="Arial" w:cs="Arial"/>
          <w:sz w:val="22"/>
          <w:szCs w:val="22"/>
        </w:rPr>
        <w:t>The Delivery Organisation should set out any auditing and quality assurance checks that will be carried out on installations. This applies to internal teams and external sub-contractors.</w:t>
      </w:r>
    </w:p>
    <w:p w14:paraId="6F42BAE6" w14:textId="23ED42B6" w:rsidR="00BA4F6F" w:rsidRDefault="006B3E50" w:rsidP="00171ACB">
      <w:pPr>
        <w:pStyle w:val="ListParagraph"/>
        <w:numPr>
          <w:ilvl w:val="1"/>
          <w:numId w:val="6"/>
        </w:numPr>
        <w:spacing w:after="120"/>
        <w:rPr>
          <w:rFonts w:ascii="Arial" w:hAnsi="Arial" w:cs="Arial"/>
          <w:sz w:val="22"/>
          <w:szCs w:val="22"/>
        </w:rPr>
      </w:pPr>
      <w:r w:rsidRPr="674DC236">
        <w:rPr>
          <w:rFonts w:ascii="Arial" w:hAnsi="Arial" w:cs="Arial"/>
          <w:sz w:val="22"/>
          <w:szCs w:val="22"/>
        </w:rPr>
        <w:lastRenderedPageBreak/>
        <w:t xml:space="preserve">A Quality Assurance and Audit Agent will be procured </w:t>
      </w:r>
      <w:r w:rsidR="00554ECB" w:rsidRPr="674DC236">
        <w:rPr>
          <w:rFonts w:ascii="Arial" w:hAnsi="Arial" w:cs="Arial"/>
          <w:sz w:val="22"/>
          <w:szCs w:val="22"/>
        </w:rPr>
        <w:t xml:space="preserve">by the </w:t>
      </w:r>
      <w:r w:rsidR="092E75A9" w:rsidRPr="674DC236">
        <w:rPr>
          <w:rFonts w:ascii="Arial" w:hAnsi="Arial" w:cs="Arial"/>
          <w:sz w:val="22"/>
          <w:szCs w:val="22"/>
        </w:rPr>
        <w:t>Authority</w:t>
      </w:r>
      <w:r w:rsidR="00554ECB" w:rsidRPr="674DC236">
        <w:rPr>
          <w:rFonts w:ascii="Arial" w:hAnsi="Arial" w:cs="Arial"/>
          <w:sz w:val="22"/>
          <w:szCs w:val="22"/>
        </w:rPr>
        <w:t xml:space="preserve"> </w:t>
      </w:r>
      <w:r w:rsidRPr="674DC236">
        <w:rPr>
          <w:rFonts w:ascii="Arial" w:hAnsi="Arial" w:cs="Arial"/>
          <w:sz w:val="22"/>
          <w:szCs w:val="22"/>
        </w:rPr>
        <w:t xml:space="preserve">to provide regular and ad hoc inspection and audit services.  This will complement any </w:t>
      </w:r>
      <w:r w:rsidR="00554ECB" w:rsidRPr="674DC236">
        <w:rPr>
          <w:rFonts w:ascii="Arial" w:hAnsi="Arial" w:cs="Arial"/>
          <w:sz w:val="22"/>
          <w:szCs w:val="22"/>
        </w:rPr>
        <w:t xml:space="preserve">other </w:t>
      </w:r>
      <w:r w:rsidRPr="674DC236">
        <w:rPr>
          <w:rFonts w:ascii="Arial" w:hAnsi="Arial" w:cs="Arial"/>
          <w:sz w:val="22"/>
          <w:szCs w:val="22"/>
        </w:rPr>
        <w:t xml:space="preserve">quality assurance </w:t>
      </w:r>
      <w:r w:rsidR="00554ECB" w:rsidRPr="674DC236">
        <w:rPr>
          <w:rFonts w:ascii="Arial" w:hAnsi="Arial" w:cs="Arial"/>
          <w:sz w:val="22"/>
          <w:szCs w:val="22"/>
        </w:rPr>
        <w:t>and/or audit conducted by any other professional body or administrator</w:t>
      </w:r>
      <w:r w:rsidR="0060710E" w:rsidRPr="674DC236">
        <w:rPr>
          <w:rFonts w:ascii="Arial" w:hAnsi="Arial" w:cs="Arial"/>
          <w:sz w:val="22"/>
          <w:szCs w:val="22"/>
        </w:rPr>
        <w:t xml:space="preserve">, for example </w:t>
      </w:r>
      <w:r w:rsidRPr="674DC236">
        <w:rPr>
          <w:rFonts w:ascii="Arial" w:hAnsi="Arial" w:cs="Arial"/>
          <w:sz w:val="22"/>
          <w:szCs w:val="22"/>
        </w:rPr>
        <w:t xml:space="preserve">provided </w:t>
      </w:r>
      <w:r w:rsidR="007C7FDF" w:rsidRPr="674DC236">
        <w:rPr>
          <w:rFonts w:ascii="Arial" w:hAnsi="Arial" w:cs="Arial"/>
          <w:sz w:val="22"/>
          <w:szCs w:val="22"/>
        </w:rPr>
        <w:t xml:space="preserve">by </w:t>
      </w:r>
      <w:r w:rsidR="00347877" w:rsidRPr="674DC236">
        <w:rPr>
          <w:rFonts w:ascii="Arial" w:hAnsi="Arial" w:cs="Arial"/>
          <w:sz w:val="22"/>
          <w:szCs w:val="22"/>
        </w:rPr>
        <w:t>Ofgem in respect of M</w:t>
      </w:r>
      <w:r w:rsidRPr="674DC236">
        <w:rPr>
          <w:rFonts w:ascii="Arial" w:hAnsi="Arial" w:cs="Arial"/>
          <w:sz w:val="22"/>
          <w:szCs w:val="22"/>
        </w:rPr>
        <w:t>easures installed in compliance with ECO</w:t>
      </w:r>
      <w:r w:rsidR="009421DF" w:rsidRPr="674DC236">
        <w:rPr>
          <w:rFonts w:ascii="Arial" w:hAnsi="Arial" w:cs="Arial"/>
          <w:sz w:val="22"/>
          <w:szCs w:val="22"/>
        </w:rPr>
        <w:t xml:space="preserve"> or MCS/Trustmark under PAS2035. </w:t>
      </w:r>
      <w:r w:rsidRPr="674DC236">
        <w:rPr>
          <w:rFonts w:ascii="Arial" w:hAnsi="Arial" w:cs="Arial"/>
          <w:sz w:val="22"/>
          <w:szCs w:val="22"/>
        </w:rPr>
        <w:t xml:space="preserve"> </w:t>
      </w:r>
    </w:p>
    <w:p w14:paraId="3D2B7A14" w14:textId="3DFF6EF1" w:rsidR="006B3E50" w:rsidRDefault="00BA4F6F" w:rsidP="00171ACB">
      <w:pPr>
        <w:pStyle w:val="ListParagraph"/>
        <w:numPr>
          <w:ilvl w:val="1"/>
          <w:numId w:val="6"/>
        </w:numPr>
        <w:spacing w:after="120"/>
        <w:rPr>
          <w:rFonts w:ascii="Arial" w:hAnsi="Arial" w:cs="Arial"/>
          <w:sz w:val="22"/>
          <w:szCs w:val="22"/>
        </w:rPr>
      </w:pPr>
      <w:r w:rsidRPr="674DC236">
        <w:rPr>
          <w:rFonts w:ascii="Arial" w:hAnsi="Arial" w:cs="Arial"/>
          <w:sz w:val="22"/>
          <w:szCs w:val="22"/>
        </w:rPr>
        <w:t xml:space="preserve">To assist in the smooth delivery of </w:t>
      </w:r>
      <w:r w:rsidR="00CB511E" w:rsidRPr="674DC236">
        <w:rPr>
          <w:rFonts w:ascii="Arial" w:hAnsi="Arial" w:cs="Arial"/>
          <w:sz w:val="22"/>
          <w:szCs w:val="22"/>
        </w:rPr>
        <w:t xml:space="preserve">installations the </w:t>
      </w:r>
      <w:r w:rsidR="092E75A9" w:rsidRPr="674DC236">
        <w:rPr>
          <w:rFonts w:ascii="Arial" w:hAnsi="Arial" w:cs="Arial"/>
          <w:sz w:val="22"/>
          <w:szCs w:val="22"/>
        </w:rPr>
        <w:t>Authority</w:t>
      </w:r>
      <w:r w:rsidR="00CB511E" w:rsidRPr="674DC236">
        <w:rPr>
          <w:rFonts w:ascii="Arial" w:hAnsi="Arial" w:cs="Arial"/>
          <w:sz w:val="22"/>
          <w:szCs w:val="22"/>
        </w:rPr>
        <w:t xml:space="preserve"> will make provision for its appointed Quality Assurance and Audit</w:t>
      </w:r>
      <w:r w:rsidR="0044427F">
        <w:rPr>
          <w:rFonts w:ascii="Arial" w:hAnsi="Arial" w:cs="Arial"/>
          <w:sz w:val="22"/>
          <w:szCs w:val="22"/>
        </w:rPr>
        <w:t xml:space="preserve"> Agent</w:t>
      </w:r>
      <w:r w:rsidR="00CB511E" w:rsidRPr="674DC236">
        <w:rPr>
          <w:rFonts w:ascii="Arial" w:hAnsi="Arial" w:cs="Arial"/>
          <w:sz w:val="22"/>
          <w:szCs w:val="22"/>
        </w:rPr>
        <w:t xml:space="preserve"> function to work directly with the </w:t>
      </w:r>
      <w:r w:rsidR="00D25171">
        <w:rPr>
          <w:rFonts w:ascii="Arial" w:hAnsi="Arial" w:cs="Arial"/>
          <w:sz w:val="22"/>
          <w:szCs w:val="22"/>
        </w:rPr>
        <w:t xml:space="preserve">Delivery Organisation </w:t>
      </w:r>
      <w:r w:rsidR="007D2939" w:rsidRPr="674DC236">
        <w:rPr>
          <w:rFonts w:ascii="Arial" w:hAnsi="Arial" w:cs="Arial"/>
          <w:sz w:val="22"/>
          <w:szCs w:val="22"/>
        </w:rPr>
        <w:t xml:space="preserve">to arrange </w:t>
      </w:r>
      <w:r w:rsidR="00CB511E" w:rsidRPr="674DC236">
        <w:rPr>
          <w:rFonts w:ascii="Arial" w:hAnsi="Arial" w:cs="Arial"/>
          <w:sz w:val="22"/>
          <w:szCs w:val="22"/>
        </w:rPr>
        <w:t xml:space="preserve">site </w:t>
      </w:r>
      <w:r w:rsidR="007D2939" w:rsidRPr="674DC236">
        <w:rPr>
          <w:rFonts w:ascii="Arial" w:hAnsi="Arial" w:cs="Arial"/>
          <w:sz w:val="22"/>
          <w:szCs w:val="22"/>
        </w:rPr>
        <w:t>visit</w:t>
      </w:r>
      <w:r w:rsidR="00CB511E" w:rsidRPr="674DC236">
        <w:rPr>
          <w:rFonts w:ascii="Arial" w:hAnsi="Arial" w:cs="Arial"/>
          <w:sz w:val="22"/>
          <w:szCs w:val="22"/>
        </w:rPr>
        <w:t>s</w:t>
      </w:r>
      <w:r w:rsidR="007D2939" w:rsidRPr="674DC236">
        <w:rPr>
          <w:rFonts w:ascii="Arial" w:hAnsi="Arial" w:cs="Arial"/>
          <w:sz w:val="22"/>
          <w:szCs w:val="22"/>
        </w:rPr>
        <w:t xml:space="preserve"> t</w:t>
      </w:r>
      <w:r w:rsidR="00CB511E" w:rsidRPr="674DC236">
        <w:rPr>
          <w:rFonts w:ascii="Arial" w:hAnsi="Arial" w:cs="Arial"/>
          <w:sz w:val="22"/>
          <w:szCs w:val="22"/>
        </w:rPr>
        <w:t>o</w:t>
      </w:r>
      <w:r w:rsidR="007D2939" w:rsidRPr="674DC236">
        <w:rPr>
          <w:rFonts w:ascii="Arial" w:hAnsi="Arial" w:cs="Arial"/>
          <w:sz w:val="22"/>
          <w:szCs w:val="22"/>
        </w:rPr>
        <w:t xml:space="preserve"> suit</w:t>
      </w:r>
      <w:r w:rsidR="00124BB7">
        <w:rPr>
          <w:rFonts w:ascii="Arial" w:hAnsi="Arial" w:cs="Arial"/>
          <w:sz w:val="22"/>
          <w:szCs w:val="22"/>
        </w:rPr>
        <w:t xml:space="preserve"> the </w:t>
      </w:r>
      <w:r w:rsidR="00640506">
        <w:rPr>
          <w:rFonts w:ascii="Arial" w:hAnsi="Arial" w:cs="Arial"/>
          <w:sz w:val="22"/>
          <w:szCs w:val="22"/>
        </w:rPr>
        <w:t xml:space="preserve">installation </w:t>
      </w:r>
      <w:r w:rsidR="007D2939" w:rsidRPr="674DC236">
        <w:rPr>
          <w:rFonts w:ascii="Arial" w:hAnsi="Arial" w:cs="Arial"/>
          <w:sz w:val="22"/>
          <w:szCs w:val="22"/>
        </w:rPr>
        <w:t>schedule</w:t>
      </w:r>
      <w:r w:rsidR="00CB511E" w:rsidRPr="674DC236">
        <w:rPr>
          <w:rFonts w:ascii="Arial" w:hAnsi="Arial" w:cs="Arial"/>
          <w:sz w:val="22"/>
          <w:szCs w:val="22"/>
        </w:rPr>
        <w:t>.</w:t>
      </w:r>
    </w:p>
    <w:p w14:paraId="3D2B7A15" w14:textId="77777777" w:rsidR="00840C2C" w:rsidRDefault="00840C2C" w:rsidP="00840C2C">
      <w:pPr>
        <w:pStyle w:val="ListParagraph"/>
        <w:spacing w:after="120"/>
        <w:ind w:left="567"/>
        <w:rPr>
          <w:rFonts w:ascii="Arial" w:hAnsi="Arial" w:cs="Arial"/>
          <w:sz w:val="22"/>
          <w:szCs w:val="22"/>
        </w:rPr>
      </w:pPr>
    </w:p>
    <w:p w14:paraId="3D2B7A16" w14:textId="409F1537" w:rsidR="00840C2C" w:rsidRPr="00840C2C" w:rsidRDefault="00840C2C" w:rsidP="46B5BCA3">
      <w:pPr>
        <w:pStyle w:val="ListParagraph"/>
        <w:numPr>
          <w:ilvl w:val="0"/>
          <w:numId w:val="6"/>
        </w:numPr>
        <w:spacing w:after="120"/>
        <w:rPr>
          <w:rFonts w:ascii="Arial" w:hAnsi="Arial" w:cs="Arial"/>
          <w:b/>
          <w:bCs/>
          <w:sz w:val="22"/>
          <w:szCs w:val="22"/>
        </w:rPr>
      </w:pPr>
      <w:r w:rsidRPr="46B5BCA3">
        <w:rPr>
          <w:rFonts w:ascii="Arial" w:hAnsi="Arial" w:cs="Arial"/>
          <w:b/>
          <w:bCs/>
          <w:sz w:val="22"/>
          <w:szCs w:val="22"/>
        </w:rPr>
        <w:t>Current service and demand for service</w:t>
      </w:r>
      <w:r w:rsidR="0044427F">
        <w:rPr>
          <w:rFonts w:ascii="Arial" w:hAnsi="Arial" w:cs="Arial"/>
          <w:b/>
          <w:bCs/>
          <w:sz w:val="22"/>
          <w:szCs w:val="22"/>
        </w:rPr>
        <w:t xml:space="preserve"> </w:t>
      </w:r>
    </w:p>
    <w:p w14:paraId="7CE6C8BB" w14:textId="3A2845E9" w:rsidR="00987E06" w:rsidRPr="007E01B7" w:rsidRDefault="007A2267" w:rsidP="00840C2C">
      <w:pPr>
        <w:pStyle w:val="ListParagraph"/>
        <w:numPr>
          <w:ilvl w:val="1"/>
          <w:numId w:val="6"/>
        </w:numPr>
        <w:spacing w:after="120"/>
        <w:rPr>
          <w:rFonts w:ascii="Arial" w:hAnsi="Arial" w:cs="Arial"/>
          <w:sz w:val="22"/>
          <w:szCs w:val="22"/>
        </w:rPr>
      </w:pPr>
      <w:r w:rsidRPr="46B5BCA3">
        <w:rPr>
          <w:rFonts w:ascii="Arial" w:hAnsi="Arial" w:cs="Arial"/>
          <w:sz w:val="22"/>
          <w:szCs w:val="22"/>
        </w:rPr>
        <w:t xml:space="preserve">See </w:t>
      </w:r>
      <w:r w:rsidR="00472BAB" w:rsidRPr="46B5BCA3">
        <w:rPr>
          <w:rFonts w:ascii="Arial" w:hAnsi="Arial" w:cs="Arial"/>
          <w:sz w:val="22"/>
          <w:szCs w:val="22"/>
        </w:rPr>
        <w:t>individual Lots for more information about size of p</w:t>
      </w:r>
      <w:r w:rsidR="007E01B7" w:rsidRPr="46B5BCA3">
        <w:rPr>
          <w:rFonts w:ascii="Arial" w:hAnsi="Arial" w:cs="Arial"/>
          <w:sz w:val="22"/>
          <w:szCs w:val="22"/>
        </w:rPr>
        <w:t>otential market, geographical spread and households likely to qualify under income criteria</w:t>
      </w:r>
      <w:r w:rsidRPr="46B5BCA3">
        <w:rPr>
          <w:rFonts w:ascii="Arial" w:hAnsi="Arial" w:cs="Arial"/>
          <w:sz w:val="22"/>
          <w:szCs w:val="22"/>
        </w:rPr>
        <w:t>.</w:t>
      </w:r>
    </w:p>
    <w:p w14:paraId="3D2B7A18" w14:textId="77777777" w:rsidR="00840C2C" w:rsidRPr="004D6FC2" w:rsidRDefault="00840C2C" w:rsidP="004D6FC2">
      <w:pPr>
        <w:pStyle w:val="ListParagraph"/>
        <w:spacing w:after="120"/>
        <w:ind w:left="1134"/>
        <w:rPr>
          <w:rFonts w:ascii="Arial" w:hAnsi="Arial" w:cs="Arial"/>
          <w:sz w:val="22"/>
          <w:szCs w:val="22"/>
        </w:rPr>
      </w:pPr>
    </w:p>
    <w:p w14:paraId="3D2B7A20" w14:textId="78CB68B4" w:rsidR="00EF280C" w:rsidRPr="00EB3B59" w:rsidRDefault="00EF280C" w:rsidP="00ED2E92">
      <w:pPr>
        <w:pStyle w:val="ListParagraph"/>
        <w:spacing w:after="120"/>
        <w:ind w:left="1134"/>
        <w:rPr>
          <w:rFonts w:ascii="Arial" w:hAnsi="Arial" w:cs="Arial"/>
          <w:sz w:val="22"/>
          <w:szCs w:val="22"/>
        </w:rPr>
      </w:pPr>
    </w:p>
    <w:p w14:paraId="3D2B7A9E" w14:textId="70EB7DF9" w:rsidR="00DE3844" w:rsidRDefault="00DE3844" w:rsidP="00B46F1B">
      <w:pPr>
        <w:autoSpaceDE w:val="0"/>
        <w:autoSpaceDN w:val="0"/>
        <w:adjustRightInd w:val="0"/>
        <w:rPr>
          <w:rFonts w:cs="Arial"/>
          <w:b/>
          <w:szCs w:val="24"/>
          <w:lang w:eastAsia="en-GB"/>
        </w:rPr>
      </w:pPr>
    </w:p>
    <w:sectPr w:rsidR="00DE3844" w:rsidSect="00AB54FF">
      <w:headerReference w:type="even" r:id="rId11"/>
      <w:headerReference w:type="default" r:id="rId12"/>
      <w:footerReference w:type="even" r:id="rId13"/>
      <w:footerReference w:type="default" r:id="rId14"/>
      <w:headerReference w:type="first" r:id="rId15"/>
      <w:footerReference w:type="first" r:id="rId16"/>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63181D" w14:textId="77777777" w:rsidR="003A7B66" w:rsidRDefault="003A7B66">
      <w:pPr>
        <w:spacing w:line="240" w:lineRule="auto"/>
      </w:pPr>
      <w:r>
        <w:separator/>
      </w:r>
    </w:p>
  </w:endnote>
  <w:endnote w:type="continuationSeparator" w:id="0">
    <w:p w14:paraId="2ABC08DF" w14:textId="77777777" w:rsidR="003A7B66" w:rsidRDefault="003A7B66">
      <w:pPr>
        <w:spacing w:line="240" w:lineRule="auto"/>
      </w:pPr>
      <w:r>
        <w:continuationSeparator/>
      </w:r>
    </w:p>
  </w:endnote>
  <w:endnote w:type="continuationNotice" w:id="1">
    <w:p w14:paraId="2E0C367C" w14:textId="77777777" w:rsidR="003A7B66" w:rsidRDefault="003A7B6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876BDD" w14:textId="77777777" w:rsidR="00C907D4" w:rsidRDefault="00C907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tblBorders>
      <w:tblLook w:val="04A0" w:firstRow="1" w:lastRow="0" w:firstColumn="1" w:lastColumn="0" w:noHBand="0" w:noVBand="1"/>
    </w:tblPr>
    <w:tblGrid>
      <w:gridCol w:w="3080"/>
      <w:gridCol w:w="3081"/>
      <w:gridCol w:w="3081"/>
    </w:tblGrid>
    <w:tr w:rsidR="00C907D4" w:rsidRPr="006C2EE3" w14:paraId="3D2B7AAF" w14:textId="77777777" w:rsidTr="008D711B">
      <w:tc>
        <w:tcPr>
          <w:tcW w:w="1666" w:type="pct"/>
          <w:shd w:val="clear" w:color="auto" w:fill="auto"/>
        </w:tcPr>
        <w:p w14:paraId="3D2B7AAC" w14:textId="77777777" w:rsidR="00C907D4" w:rsidRPr="006C2EE3" w:rsidRDefault="00C907D4" w:rsidP="008D711B">
          <w:pPr>
            <w:pStyle w:val="Footer"/>
            <w:jc w:val="right"/>
            <w:rPr>
              <w:rFonts w:cs="Arial"/>
              <w:sz w:val="20"/>
            </w:rPr>
          </w:pPr>
        </w:p>
      </w:tc>
      <w:tc>
        <w:tcPr>
          <w:tcW w:w="1667" w:type="pct"/>
          <w:shd w:val="clear" w:color="auto" w:fill="auto"/>
        </w:tcPr>
        <w:p w14:paraId="3D2B7AAD" w14:textId="77777777" w:rsidR="00C907D4" w:rsidRPr="006C2EE3" w:rsidRDefault="00C907D4" w:rsidP="008D711B">
          <w:pPr>
            <w:pStyle w:val="Footer"/>
            <w:jc w:val="right"/>
            <w:rPr>
              <w:rFonts w:cs="Arial"/>
              <w:sz w:val="20"/>
            </w:rPr>
          </w:pPr>
        </w:p>
      </w:tc>
      <w:tc>
        <w:tcPr>
          <w:tcW w:w="1667" w:type="pct"/>
          <w:shd w:val="clear" w:color="auto" w:fill="auto"/>
        </w:tcPr>
        <w:p w14:paraId="3D2B7AAE" w14:textId="77777777" w:rsidR="00C907D4" w:rsidRPr="006C2EE3" w:rsidRDefault="00C907D4" w:rsidP="008D711B">
          <w:pPr>
            <w:pStyle w:val="Footer"/>
            <w:jc w:val="right"/>
            <w:rPr>
              <w:rFonts w:cs="Arial"/>
              <w:sz w:val="20"/>
            </w:rPr>
          </w:pPr>
        </w:p>
      </w:tc>
    </w:tr>
    <w:tr w:rsidR="00C907D4" w:rsidRPr="006C2EE3" w14:paraId="3D2B7AB3" w14:textId="77777777" w:rsidTr="008D711B">
      <w:tc>
        <w:tcPr>
          <w:tcW w:w="1666" w:type="pct"/>
          <w:shd w:val="clear" w:color="auto" w:fill="auto"/>
        </w:tcPr>
        <w:p w14:paraId="3D2B7AB0" w14:textId="77777777" w:rsidR="00C907D4" w:rsidRPr="006C2EE3" w:rsidRDefault="00C907D4" w:rsidP="008D711B">
          <w:pPr>
            <w:pStyle w:val="Footer"/>
            <w:tabs>
              <w:tab w:val="left" w:pos="705"/>
            </w:tabs>
            <w:rPr>
              <w:rFonts w:cs="Arial"/>
              <w:sz w:val="20"/>
            </w:rPr>
          </w:pPr>
        </w:p>
      </w:tc>
      <w:tc>
        <w:tcPr>
          <w:tcW w:w="1667" w:type="pct"/>
          <w:shd w:val="clear" w:color="auto" w:fill="auto"/>
        </w:tcPr>
        <w:p w14:paraId="3D2B7AB1" w14:textId="6841966D" w:rsidR="00C907D4" w:rsidRPr="006C2EE3" w:rsidRDefault="00C907D4" w:rsidP="008D711B">
          <w:pPr>
            <w:pStyle w:val="Footer"/>
            <w:jc w:val="center"/>
            <w:rPr>
              <w:rFonts w:cs="Arial"/>
              <w:sz w:val="20"/>
            </w:rPr>
          </w:pPr>
          <w:r w:rsidRPr="006C2EE3">
            <w:rPr>
              <w:rFonts w:cs="Arial"/>
              <w:color w:val="2B579A"/>
              <w:sz w:val="20"/>
              <w:shd w:val="clear" w:color="auto" w:fill="E6E6E6"/>
            </w:rPr>
            <w:fldChar w:fldCharType="begin"/>
          </w:r>
          <w:r w:rsidRPr="006C2EE3">
            <w:rPr>
              <w:rFonts w:cs="Arial"/>
              <w:sz w:val="20"/>
            </w:rPr>
            <w:instrText xml:space="preserve"> PAGE  \* Arabic  \* MERGEFORMAT </w:instrText>
          </w:r>
          <w:r w:rsidRPr="006C2EE3">
            <w:rPr>
              <w:rFonts w:cs="Arial"/>
              <w:color w:val="2B579A"/>
              <w:sz w:val="20"/>
              <w:shd w:val="clear" w:color="auto" w:fill="E6E6E6"/>
            </w:rPr>
            <w:fldChar w:fldCharType="separate"/>
          </w:r>
          <w:r w:rsidR="000B621A">
            <w:rPr>
              <w:rFonts w:cs="Arial"/>
              <w:noProof/>
              <w:sz w:val="20"/>
            </w:rPr>
            <w:t>15</w:t>
          </w:r>
          <w:r w:rsidRPr="006C2EE3">
            <w:rPr>
              <w:rFonts w:cs="Arial"/>
              <w:color w:val="2B579A"/>
              <w:sz w:val="20"/>
              <w:shd w:val="clear" w:color="auto" w:fill="E6E6E6"/>
            </w:rPr>
            <w:fldChar w:fldCharType="end"/>
          </w:r>
          <w:r w:rsidRPr="006C2EE3">
            <w:rPr>
              <w:rFonts w:cs="Arial"/>
              <w:sz w:val="20"/>
            </w:rPr>
            <w:t xml:space="preserve"> of </w:t>
          </w:r>
          <w:r w:rsidRPr="006C2EE3">
            <w:rPr>
              <w:rFonts w:cs="Arial"/>
              <w:color w:val="2B579A"/>
              <w:sz w:val="20"/>
              <w:shd w:val="clear" w:color="auto" w:fill="E6E6E6"/>
            </w:rPr>
            <w:fldChar w:fldCharType="begin"/>
          </w:r>
          <w:r w:rsidRPr="006C2EE3">
            <w:rPr>
              <w:rFonts w:cs="Arial"/>
              <w:sz w:val="20"/>
            </w:rPr>
            <w:instrText xml:space="preserve"> NUMPAGES  \* Arabic  \* MERGEFORMAT </w:instrText>
          </w:r>
          <w:r w:rsidRPr="006C2EE3">
            <w:rPr>
              <w:rFonts w:cs="Arial"/>
              <w:color w:val="2B579A"/>
              <w:sz w:val="20"/>
              <w:shd w:val="clear" w:color="auto" w:fill="E6E6E6"/>
            </w:rPr>
            <w:fldChar w:fldCharType="separate"/>
          </w:r>
          <w:r w:rsidR="000B621A">
            <w:rPr>
              <w:rFonts w:cs="Arial"/>
              <w:noProof/>
              <w:sz w:val="20"/>
            </w:rPr>
            <w:t>15</w:t>
          </w:r>
          <w:r w:rsidRPr="006C2EE3">
            <w:rPr>
              <w:rFonts w:cs="Arial"/>
              <w:color w:val="2B579A"/>
              <w:sz w:val="20"/>
              <w:shd w:val="clear" w:color="auto" w:fill="E6E6E6"/>
            </w:rPr>
            <w:fldChar w:fldCharType="end"/>
          </w:r>
        </w:p>
      </w:tc>
      <w:tc>
        <w:tcPr>
          <w:tcW w:w="1667" w:type="pct"/>
          <w:shd w:val="clear" w:color="auto" w:fill="auto"/>
        </w:tcPr>
        <w:p w14:paraId="3D2B7AB2" w14:textId="77777777" w:rsidR="00C907D4" w:rsidRPr="006C2EE3" w:rsidRDefault="00C907D4" w:rsidP="008D711B">
          <w:pPr>
            <w:pStyle w:val="Footer"/>
            <w:jc w:val="right"/>
            <w:rPr>
              <w:rFonts w:cs="Arial"/>
              <w:sz w:val="20"/>
            </w:rPr>
          </w:pPr>
          <w:r>
            <w:rPr>
              <w:rFonts w:cs="Arial"/>
              <w:sz w:val="20"/>
            </w:rPr>
            <w:t>Introduction</w:t>
          </w:r>
        </w:p>
      </w:tc>
    </w:tr>
  </w:tbl>
  <w:p w14:paraId="3D2B7AB4" w14:textId="77777777" w:rsidR="00C907D4" w:rsidRPr="0067486A" w:rsidRDefault="00C907D4" w:rsidP="0067486A">
    <w:pPr>
      <w:pStyle w:val="Footer"/>
      <w:tabs>
        <w:tab w:val="clear" w:pos="4153"/>
        <w:tab w:val="clear" w:pos="8306"/>
        <w:tab w:val="center" w:pos="4500"/>
        <w:tab w:val="right" w:pos="9000"/>
      </w:tabs>
      <w:jc w:val="left"/>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CF900" w14:textId="77777777" w:rsidR="00C907D4" w:rsidRDefault="00C907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9656E4" w14:textId="77777777" w:rsidR="003A7B66" w:rsidRDefault="003A7B66">
      <w:pPr>
        <w:spacing w:line="240" w:lineRule="auto"/>
      </w:pPr>
      <w:r>
        <w:separator/>
      </w:r>
    </w:p>
  </w:footnote>
  <w:footnote w:type="continuationSeparator" w:id="0">
    <w:p w14:paraId="66AA9126" w14:textId="77777777" w:rsidR="003A7B66" w:rsidRDefault="003A7B66">
      <w:pPr>
        <w:spacing w:line="240" w:lineRule="auto"/>
      </w:pPr>
      <w:r>
        <w:continuationSeparator/>
      </w:r>
    </w:p>
  </w:footnote>
  <w:footnote w:type="continuationNotice" w:id="1">
    <w:p w14:paraId="6E6DAAB5" w14:textId="77777777" w:rsidR="003A7B66" w:rsidRDefault="003A7B66">
      <w:pPr>
        <w:spacing w:line="240" w:lineRule="auto"/>
      </w:pPr>
    </w:p>
  </w:footnote>
  <w:footnote w:id="2">
    <w:p w14:paraId="3D2B7AB7" w14:textId="48CAA2D9" w:rsidR="00C907D4" w:rsidRDefault="00C907D4">
      <w:pPr>
        <w:pStyle w:val="FootnoteText"/>
      </w:pPr>
      <w:r>
        <w:rPr>
          <w:rStyle w:val="FootnoteReference"/>
        </w:rPr>
        <w:footnoteRef/>
      </w:r>
      <w:r>
        <w:t xml:space="preserve"> Fuel Poverty is defined by the UK government using the Low Income, High Cost calculator and can be found here </w:t>
      </w:r>
      <w:r w:rsidRPr="0016537A">
        <w:t>https://www.gov.uk/government/collections/fuel-poverty-statistics</w:t>
      </w:r>
    </w:p>
  </w:footnote>
  <w:footnote w:id="3">
    <w:p w14:paraId="146280AB" w14:textId="5FF9645A" w:rsidR="00C907D4" w:rsidRDefault="00C907D4">
      <w:pPr>
        <w:pStyle w:val="FootnoteText"/>
      </w:pPr>
      <w:r>
        <w:rPr>
          <w:rStyle w:val="FootnoteReference"/>
        </w:rPr>
        <w:footnoteRef/>
      </w:r>
      <w:r>
        <w:t xml:space="preserve"> ECO Flex is set by Local Authorities and will differ across administrative boundaries.</w:t>
      </w:r>
    </w:p>
  </w:footnote>
  <w:footnote w:id="4">
    <w:p w14:paraId="33805999" w14:textId="3A955841" w:rsidR="00C907D4" w:rsidRDefault="00C907D4">
      <w:pPr>
        <w:pStyle w:val="FootnoteText"/>
      </w:pPr>
      <w:r>
        <w:rPr>
          <w:rStyle w:val="FootnoteReference"/>
        </w:rPr>
        <w:footnoteRef/>
      </w:r>
      <w:r>
        <w:t xml:space="preserve"> This may include total household incomes above the £30,000 threshold, for example in certain areas where higher housing costs mean the resultant household income after housing costs is likely to be below £20,000. It may also be possible for a household income to be in excess of £30,000 and still at risk of fuel poverty where the household composition means that incomes are stretched amongst many dependent children. A viable way of setting thresholds for low-income households likely to be in fuel poverty would be to use the income thresholds set out in Annex 6 of the Energy Company Obligation flexible eligibility guidance for Local Authorities.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4E7F5D" w14:textId="77777777" w:rsidR="00C907D4" w:rsidRDefault="00C907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42" w:type="dxa"/>
      <w:tblLook w:val="04A0" w:firstRow="1" w:lastRow="0" w:firstColumn="1" w:lastColumn="0" w:noHBand="0" w:noVBand="1"/>
    </w:tblPr>
    <w:tblGrid>
      <w:gridCol w:w="6150"/>
      <w:gridCol w:w="3092"/>
    </w:tblGrid>
    <w:tr w:rsidR="00C907D4" w:rsidRPr="006C2EE3" w14:paraId="3D2B7AA6" w14:textId="77777777" w:rsidTr="00ED2CE1">
      <w:tc>
        <w:tcPr>
          <w:tcW w:w="6150" w:type="dxa"/>
          <w:shd w:val="clear" w:color="auto" w:fill="auto"/>
        </w:tcPr>
        <w:p w14:paraId="3D2B7AA4" w14:textId="61B72719" w:rsidR="00C907D4" w:rsidRPr="006C2EE3" w:rsidRDefault="00C907D4" w:rsidP="207F9810">
          <w:pPr>
            <w:pStyle w:val="Header"/>
            <w:tabs>
              <w:tab w:val="center" w:pos="4500"/>
            </w:tabs>
            <w:jc w:val="left"/>
            <w:rPr>
              <w:rFonts w:cs="Arial"/>
              <w:sz w:val="20"/>
            </w:rPr>
          </w:pPr>
          <w:r w:rsidRPr="207F9810">
            <w:rPr>
              <w:rFonts w:cs="Arial"/>
              <w:sz w:val="20"/>
            </w:rPr>
            <w:t xml:space="preserve"> 4.0 LADs2 Document 4: Specification Section A - Introduction</w:t>
          </w:r>
        </w:p>
      </w:tc>
      <w:tc>
        <w:tcPr>
          <w:tcW w:w="3092" w:type="dxa"/>
          <w:shd w:val="clear" w:color="auto" w:fill="auto"/>
        </w:tcPr>
        <w:p w14:paraId="3D2B7AA5" w14:textId="706C60C6" w:rsidR="00C907D4" w:rsidRPr="006C2EE3" w:rsidRDefault="00C907D4" w:rsidP="207F9810">
          <w:pPr>
            <w:pStyle w:val="Header"/>
            <w:tabs>
              <w:tab w:val="center" w:pos="4500"/>
            </w:tabs>
            <w:jc w:val="right"/>
            <w:rPr>
              <w:rFonts w:cs="Arial"/>
              <w:sz w:val="20"/>
            </w:rPr>
          </w:pPr>
          <w:r w:rsidRPr="207F9810">
            <w:rPr>
              <w:rFonts w:cs="Arial"/>
              <w:sz w:val="20"/>
            </w:rPr>
            <w:t xml:space="preserve"> </w:t>
          </w:r>
        </w:p>
      </w:tc>
    </w:tr>
    <w:tr w:rsidR="00C907D4" w:rsidRPr="006C2EE3" w14:paraId="3D2B7AA9" w14:textId="77777777" w:rsidTr="00ED2CE1">
      <w:tc>
        <w:tcPr>
          <w:tcW w:w="6150" w:type="dxa"/>
          <w:tcBorders>
            <w:bottom w:val="single" w:sz="4" w:space="0" w:color="auto"/>
          </w:tcBorders>
          <w:shd w:val="clear" w:color="auto" w:fill="auto"/>
        </w:tcPr>
        <w:p w14:paraId="3D2B7AA7" w14:textId="77777777" w:rsidR="00C907D4" w:rsidRPr="001035AF" w:rsidRDefault="00C907D4" w:rsidP="0076033D">
          <w:pPr>
            <w:pStyle w:val="Header"/>
            <w:tabs>
              <w:tab w:val="center" w:pos="4500"/>
            </w:tabs>
            <w:jc w:val="left"/>
            <w:rPr>
              <w:rFonts w:cs="Arial"/>
              <w:b/>
              <w:sz w:val="20"/>
            </w:rPr>
          </w:pPr>
        </w:p>
      </w:tc>
      <w:tc>
        <w:tcPr>
          <w:tcW w:w="3092" w:type="dxa"/>
          <w:tcBorders>
            <w:bottom w:val="single" w:sz="4" w:space="0" w:color="auto"/>
          </w:tcBorders>
          <w:shd w:val="clear" w:color="auto" w:fill="auto"/>
        </w:tcPr>
        <w:p w14:paraId="3D2B7AA8" w14:textId="4ACBE8EC" w:rsidR="00C907D4" w:rsidRPr="006C2EE3" w:rsidRDefault="00C907D4" w:rsidP="0076033D">
          <w:pPr>
            <w:pStyle w:val="Header"/>
            <w:tabs>
              <w:tab w:val="left" w:pos="3435"/>
              <w:tab w:val="right" w:pos="4405"/>
              <w:tab w:val="center" w:pos="4500"/>
            </w:tabs>
            <w:jc w:val="right"/>
            <w:rPr>
              <w:rFonts w:cs="Arial"/>
              <w:sz w:val="20"/>
            </w:rPr>
          </w:pPr>
        </w:p>
      </w:tc>
    </w:tr>
  </w:tbl>
  <w:p w14:paraId="3D2B7AAA" w14:textId="77777777" w:rsidR="00C907D4" w:rsidRPr="00413035" w:rsidRDefault="00C907D4" w:rsidP="00413035">
    <w:pPr>
      <w:pStyle w:val="Header"/>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AA8685" w14:textId="77777777" w:rsidR="00C907D4" w:rsidRDefault="00C907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0015BBD"/>
    <w:multiLevelType w:val="hybridMultilevel"/>
    <w:tmpl w:val="FFFFFFFF"/>
    <w:lvl w:ilvl="0" w:tplc="49F810CE">
      <w:start w:val="1"/>
      <w:numFmt w:val="bullet"/>
      <w:lvlText w:val=""/>
      <w:lvlJc w:val="left"/>
      <w:pPr>
        <w:ind w:left="720" w:hanging="360"/>
      </w:pPr>
      <w:rPr>
        <w:rFonts w:ascii="Symbol" w:hAnsi="Symbol" w:hint="default"/>
      </w:rPr>
    </w:lvl>
    <w:lvl w:ilvl="1" w:tplc="0F12AAF8">
      <w:start w:val="1"/>
      <w:numFmt w:val="bullet"/>
      <w:lvlText w:val=""/>
      <w:lvlJc w:val="left"/>
      <w:pPr>
        <w:ind w:left="1440" w:hanging="360"/>
      </w:pPr>
      <w:rPr>
        <w:rFonts w:ascii="Symbol" w:hAnsi="Symbol" w:hint="default"/>
      </w:rPr>
    </w:lvl>
    <w:lvl w:ilvl="2" w:tplc="97FE6128">
      <w:start w:val="1"/>
      <w:numFmt w:val="bullet"/>
      <w:lvlText w:val=""/>
      <w:lvlJc w:val="left"/>
      <w:pPr>
        <w:ind w:left="2160" w:hanging="360"/>
      </w:pPr>
      <w:rPr>
        <w:rFonts w:ascii="Wingdings" w:hAnsi="Wingdings" w:hint="default"/>
      </w:rPr>
    </w:lvl>
    <w:lvl w:ilvl="3" w:tplc="DAC68E88">
      <w:start w:val="1"/>
      <w:numFmt w:val="bullet"/>
      <w:lvlText w:val=""/>
      <w:lvlJc w:val="left"/>
      <w:pPr>
        <w:ind w:left="2880" w:hanging="360"/>
      </w:pPr>
      <w:rPr>
        <w:rFonts w:ascii="Symbol" w:hAnsi="Symbol" w:hint="default"/>
      </w:rPr>
    </w:lvl>
    <w:lvl w:ilvl="4" w:tplc="737CBCEE">
      <w:start w:val="1"/>
      <w:numFmt w:val="bullet"/>
      <w:lvlText w:val="o"/>
      <w:lvlJc w:val="left"/>
      <w:pPr>
        <w:ind w:left="3600" w:hanging="360"/>
      </w:pPr>
      <w:rPr>
        <w:rFonts w:ascii="Courier New" w:hAnsi="Courier New" w:hint="default"/>
      </w:rPr>
    </w:lvl>
    <w:lvl w:ilvl="5" w:tplc="72663ECE">
      <w:start w:val="1"/>
      <w:numFmt w:val="bullet"/>
      <w:lvlText w:val=""/>
      <w:lvlJc w:val="left"/>
      <w:pPr>
        <w:ind w:left="4320" w:hanging="360"/>
      </w:pPr>
      <w:rPr>
        <w:rFonts w:ascii="Wingdings" w:hAnsi="Wingdings" w:hint="default"/>
      </w:rPr>
    </w:lvl>
    <w:lvl w:ilvl="6" w:tplc="D58ABEA8">
      <w:start w:val="1"/>
      <w:numFmt w:val="bullet"/>
      <w:lvlText w:val=""/>
      <w:lvlJc w:val="left"/>
      <w:pPr>
        <w:ind w:left="5040" w:hanging="360"/>
      </w:pPr>
      <w:rPr>
        <w:rFonts w:ascii="Symbol" w:hAnsi="Symbol" w:hint="default"/>
      </w:rPr>
    </w:lvl>
    <w:lvl w:ilvl="7" w:tplc="EAD0CF36">
      <w:start w:val="1"/>
      <w:numFmt w:val="bullet"/>
      <w:lvlText w:val="o"/>
      <w:lvlJc w:val="left"/>
      <w:pPr>
        <w:ind w:left="5760" w:hanging="360"/>
      </w:pPr>
      <w:rPr>
        <w:rFonts w:ascii="Courier New" w:hAnsi="Courier New" w:hint="default"/>
      </w:rPr>
    </w:lvl>
    <w:lvl w:ilvl="8" w:tplc="EBE694E2">
      <w:start w:val="1"/>
      <w:numFmt w:val="bullet"/>
      <w:lvlText w:val=""/>
      <w:lvlJc w:val="left"/>
      <w:pPr>
        <w:ind w:left="6480" w:hanging="360"/>
      </w:pPr>
      <w:rPr>
        <w:rFonts w:ascii="Wingdings" w:hAnsi="Wingdings" w:hint="default"/>
      </w:rPr>
    </w:lvl>
  </w:abstractNum>
  <w:abstractNum w:abstractNumId="2" w15:restartNumberingAfterBreak="0">
    <w:nsid w:val="00172A0F"/>
    <w:multiLevelType w:val="hybridMultilevel"/>
    <w:tmpl w:val="53BE16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18567D6"/>
    <w:multiLevelType w:val="hybridMultilevel"/>
    <w:tmpl w:val="095AFB4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591392C"/>
    <w:multiLevelType w:val="hybridMultilevel"/>
    <w:tmpl w:val="1F8A3E44"/>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5" w15:restartNumberingAfterBreak="0">
    <w:nsid w:val="05B63FC2"/>
    <w:multiLevelType w:val="hybridMultilevel"/>
    <w:tmpl w:val="7B643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8A31640"/>
    <w:multiLevelType w:val="hybridMultilevel"/>
    <w:tmpl w:val="8D7C3F94"/>
    <w:lvl w:ilvl="0" w:tplc="08090017">
      <w:start w:val="1"/>
      <w:numFmt w:val="lowerLetter"/>
      <w:lvlText w:val="%1)"/>
      <w:lvlJc w:val="left"/>
      <w:pPr>
        <w:ind w:left="1854" w:hanging="360"/>
      </w:pPr>
      <w:rPr>
        <w:rFonts w:hint="default"/>
        <w:b w:val="0"/>
        <w:color w:val="auto"/>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7" w15:restartNumberingAfterBreak="0">
    <w:nsid w:val="0EA17AAE"/>
    <w:multiLevelType w:val="hybridMultilevel"/>
    <w:tmpl w:val="7E68D2F6"/>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8" w15:restartNumberingAfterBreak="0">
    <w:nsid w:val="129505BF"/>
    <w:multiLevelType w:val="hybridMultilevel"/>
    <w:tmpl w:val="56EC2018"/>
    <w:lvl w:ilvl="0" w:tplc="A0208808">
      <w:start w:val="1"/>
      <w:numFmt w:val="bullet"/>
      <w:lvlText w:val=""/>
      <w:lvlJc w:val="left"/>
      <w:pPr>
        <w:ind w:left="720" w:hanging="360"/>
      </w:pPr>
      <w:rPr>
        <w:rFonts w:ascii="Symbol" w:hAnsi="Symbol" w:hint="default"/>
      </w:rPr>
    </w:lvl>
    <w:lvl w:ilvl="1" w:tplc="0EC4B9DE">
      <w:start w:val="1"/>
      <w:numFmt w:val="bullet"/>
      <w:lvlText w:val="o"/>
      <w:lvlJc w:val="left"/>
      <w:pPr>
        <w:ind w:left="1440" w:hanging="360"/>
      </w:pPr>
      <w:rPr>
        <w:rFonts w:ascii="Courier New" w:hAnsi="Courier New" w:hint="default"/>
      </w:rPr>
    </w:lvl>
    <w:lvl w:ilvl="2" w:tplc="12E2D7EE">
      <w:start w:val="1"/>
      <w:numFmt w:val="bullet"/>
      <w:lvlText w:val=""/>
      <w:lvlJc w:val="left"/>
      <w:pPr>
        <w:ind w:left="2160" w:hanging="360"/>
      </w:pPr>
      <w:rPr>
        <w:rFonts w:ascii="Wingdings" w:hAnsi="Wingdings" w:hint="default"/>
      </w:rPr>
    </w:lvl>
    <w:lvl w:ilvl="3" w:tplc="415852C0">
      <w:start w:val="1"/>
      <w:numFmt w:val="bullet"/>
      <w:lvlText w:val=""/>
      <w:lvlJc w:val="left"/>
      <w:pPr>
        <w:ind w:left="2880" w:hanging="360"/>
      </w:pPr>
      <w:rPr>
        <w:rFonts w:ascii="Symbol" w:hAnsi="Symbol" w:hint="default"/>
      </w:rPr>
    </w:lvl>
    <w:lvl w:ilvl="4" w:tplc="FDE290F6">
      <w:start w:val="1"/>
      <w:numFmt w:val="bullet"/>
      <w:lvlText w:val="o"/>
      <w:lvlJc w:val="left"/>
      <w:pPr>
        <w:ind w:left="3600" w:hanging="360"/>
      </w:pPr>
      <w:rPr>
        <w:rFonts w:ascii="Courier New" w:hAnsi="Courier New" w:hint="default"/>
      </w:rPr>
    </w:lvl>
    <w:lvl w:ilvl="5" w:tplc="B5FAA80A">
      <w:start w:val="1"/>
      <w:numFmt w:val="bullet"/>
      <w:lvlText w:val=""/>
      <w:lvlJc w:val="left"/>
      <w:pPr>
        <w:ind w:left="4320" w:hanging="360"/>
      </w:pPr>
      <w:rPr>
        <w:rFonts w:ascii="Wingdings" w:hAnsi="Wingdings" w:hint="default"/>
      </w:rPr>
    </w:lvl>
    <w:lvl w:ilvl="6" w:tplc="22EAC9F6">
      <w:start w:val="1"/>
      <w:numFmt w:val="bullet"/>
      <w:lvlText w:val=""/>
      <w:lvlJc w:val="left"/>
      <w:pPr>
        <w:ind w:left="5040" w:hanging="360"/>
      </w:pPr>
      <w:rPr>
        <w:rFonts w:ascii="Symbol" w:hAnsi="Symbol" w:hint="default"/>
      </w:rPr>
    </w:lvl>
    <w:lvl w:ilvl="7" w:tplc="7E62E29A">
      <w:start w:val="1"/>
      <w:numFmt w:val="bullet"/>
      <w:lvlText w:val="o"/>
      <w:lvlJc w:val="left"/>
      <w:pPr>
        <w:ind w:left="5760" w:hanging="360"/>
      </w:pPr>
      <w:rPr>
        <w:rFonts w:ascii="Courier New" w:hAnsi="Courier New" w:hint="default"/>
      </w:rPr>
    </w:lvl>
    <w:lvl w:ilvl="8" w:tplc="D890CC50">
      <w:start w:val="1"/>
      <w:numFmt w:val="bullet"/>
      <w:lvlText w:val=""/>
      <w:lvlJc w:val="left"/>
      <w:pPr>
        <w:ind w:left="6480" w:hanging="360"/>
      </w:pPr>
      <w:rPr>
        <w:rFonts w:ascii="Wingdings" w:hAnsi="Wingdings" w:hint="default"/>
      </w:rPr>
    </w:lvl>
  </w:abstractNum>
  <w:abstractNum w:abstractNumId="9" w15:restartNumberingAfterBreak="0">
    <w:nsid w:val="151740CB"/>
    <w:multiLevelType w:val="multilevel"/>
    <w:tmpl w:val="74E63756"/>
    <w:lvl w:ilvl="0">
      <w:start w:val="1"/>
      <w:numFmt w:val="decimal"/>
      <w:lvlText w:val="%1."/>
      <w:lvlJc w:val="left"/>
      <w:pPr>
        <w:ind w:left="680" w:hanging="680"/>
      </w:pPr>
      <w:rPr>
        <w:rFonts w:hint="default"/>
      </w:rPr>
    </w:lvl>
    <w:lvl w:ilvl="1">
      <w:start w:val="1"/>
      <w:numFmt w:val="decimal"/>
      <w:lvlText w:val="%1.%2."/>
      <w:lvlJc w:val="left"/>
      <w:pPr>
        <w:ind w:left="1361" w:hanging="681"/>
      </w:pPr>
      <w:rPr>
        <w:rFonts w:hint="default"/>
      </w:rPr>
    </w:lvl>
    <w:lvl w:ilvl="2">
      <w:start w:val="1"/>
      <w:numFmt w:val="decimal"/>
      <w:lvlText w:val="%1.%2.%3."/>
      <w:lvlJc w:val="left"/>
      <w:pPr>
        <w:ind w:left="1701" w:hanging="68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63527D7"/>
    <w:multiLevelType w:val="hybridMultilevel"/>
    <w:tmpl w:val="2FBE01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17000C1C"/>
    <w:multiLevelType w:val="hybridMultilevel"/>
    <w:tmpl w:val="6E96FF8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2" w15:restartNumberingAfterBreak="0">
    <w:nsid w:val="178A36C9"/>
    <w:multiLevelType w:val="multilevel"/>
    <w:tmpl w:val="15467E48"/>
    <w:lvl w:ilvl="0">
      <w:start w:val="1"/>
      <w:numFmt w:val="decimal"/>
      <w:lvlText w:val="%1."/>
      <w:lvlJc w:val="left"/>
      <w:pPr>
        <w:ind w:left="567" w:hanging="567"/>
      </w:pPr>
      <w:rPr>
        <w:rFonts w:hint="default"/>
      </w:rPr>
    </w:lvl>
    <w:lvl w:ilvl="1">
      <w:start w:val="1"/>
      <w:numFmt w:val="decimal"/>
      <w:lvlText w:val="%1.%2."/>
      <w:lvlJc w:val="left"/>
      <w:pPr>
        <w:ind w:left="1134" w:hanging="567"/>
      </w:pPr>
      <w:rPr>
        <w:rFonts w:hint="default"/>
      </w:rPr>
    </w:lvl>
    <w:lvl w:ilvl="2">
      <w:start w:val="1"/>
      <w:numFmt w:val="decimal"/>
      <w:lvlText w:val="%1.%2.%3."/>
      <w:lvlJc w:val="left"/>
      <w:pPr>
        <w:ind w:left="1021" w:hanging="1021"/>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13" w15:restartNumberingAfterBreak="0">
    <w:nsid w:val="1A805155"/>
    <w:multiLevelType w:val="multilevel"/>
    <w:tmpl w:val="F9F822E2"/>
    <w:lvl w:ilvl="0">
      <w:start w:val="1"/>
      <w:numFmt w:val="decimal"/>
      <w:lvlText w:val="%1."/>
      <w:lvlJc w:val="left"/>
      <w:pPr>
        <w:ind w:left="567" w:hanging="567"/>
      </w:pPr>
      <w:rPr>
        <w:rFonts w:hint="default"/>
      </w:rPr>
    </w:lvl>
    <w:lvl w:ilvl="1">
      <w:start w:val="1"/>
      <w:numFmt w:val="decimal"/>
      <w:lvlText w:val="%1.%2."/>
      <w:lvlJc w:val="left"/>
      <w:pPr>
        <w:ind w:left="1134" w:hanging="567"/>
      </w:pPr>
      <w:rPr>
        <w:rFonts w:ascii="Arial" w:hAnsi="Arial" w:cs="Arial" w:hint="default"/>
        <w:sz w:val="22"/>
        <w:szCs w:val="22"/>
      </w:rPr>
    </w:lvl>
    <w:lvl w:ilvl="2">
      <w:start w:val="1"/>
      <w:numFmt w:val="bullet"/>
      <w:lvlText w:val=""/>
      <w:lvlJc w:val="left"/>
      <w:pPr>
        <w:ind w:left="1021" w:hanging="1021"/>
      </w:pPr>
      <w:rPr>
        <w:rFonts w:ascii="Symbol" w:hAnsi="Symbol" w:hint="default"/>
      </w:rPr>
    </w:lvl>
    <w:lvl w:ilvl="3">
      <w:start w:val="1"/>
      <w:numFmt w:val="bullet"/>
      <w:lvlText w:val="o"/>
      <w:lvlJc w:val="left"/>
      <w:pPr>
        <w:ind w:left="357" w:hanging="357"/>
      </w:pPr>
      <w:rPr>
        <w:rFonts w:ascii="Courier New" w:hAnsi="Courier New" w:cs="Courier New"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14" w15:restartNumberingAfterBreak="0">
    <w:nsid w:val="1ADC0DCA"/>
    <w:multiLevelType w:val="hybridMultilevel"/>
    <w:tmpl w:val="860870CE"/>
    <w:lvl w:ilvl="0" w:tplc="D6622680">
      <w:start w:val="1"/>
      <w:numFmt w:val="lowerLetter"/>
      <w:lvlText w:val="(%1.)"/>
      <w:lvlJc w:val="right"/>
      <w:pPr>
        <w:tabs>
          <w:tab w:val="num" w:pos="1307"/>
        </w:tabs>
        <w:ind w:left="1707" w:hanging="400"/>
      </w:pPr>
      <w:rPr>
        <w:rFonts w:hint="default"/>
        <w:b w:val="0"/>
        <w:color w:val="auto"/>
      </w:rPr>
    </w:lvl>
    <w:lvl w:ilvl="1" w:tplc="08090019" w:tentative="1">
      <w:start w:val="1"/>
      <w:numFmt w:val="lowerLetter"/>
      <w:lvlText w:val="%2."/>
      <w:lvlJc w:val="left"/>
      <w:pPr>
        <w:tabs>
          <w:tab w:val="num" w:pos="2067"/>
        </w:tabs>
        <w:ind w:left="2067" w:hanging="360"/>
      </w:pPr>
    </w:lvl>
    <w:lvl w:ilvl="2" w:tplc="0809001B" w:tentative="1">
      <w:start w:val="1"/>
      <w:numFmt w:val="lowerRoman"/>
      <w:lvlText w:val="%3."/>
      <w:lvlJc w:val="right"/>
      <w:pPr>
        <w:tabs>
          <w:tab w:val="num" w:pos="2787"/>
        </w:tabs>
        <w:ind w:left="2787" w:hanging="180"/>
      </w:pPr>
    </w:lvl>
    <w:lvl w:ilvl="3" w:tplc="0809000F" w:tentative="1">
      <w:start w:val="1"/>
      <w:numFmt w:val="decimal"/>
      <w:lvlText w:val="%4."/>
      <w:lvlJc w:val="left"/>
      <w:pPr>
        <w:tabs>
          <w:tab w:val="num" w:pos="3507"/>
        </w:tabs>
        <w:ind w:left="3507" w:hanging="360"/>
      </w:pPr>
    </w:lvl>
    <w:lvl w:ilvl="4" w:tplc="08090019" w:tentative="1">
      <w:start w:val="1"/>
      <w:numFmt w:val="lowerLetter"/>
      <w:lvlText w:val="%5."/>
      <w:lvlJc w:val="left"/>
      <w:pPr>
        <w:tabs>
          <w:tab w:val="num" w:pos="4227"/>
        </w:tabs>
        <w:ind w:left="4227" w:hanging="360"/>
      </w:pPr>
    </w:lvl>
    <w:lvl w:ilvl="5" w:tplc="0809001B" w:tentative="1">
      <w:start w:val="1"/>
      <w:numFmt w:val="lowerRoman"/>
      <w:lvlText w:val="%6."/>
      <w:lvlJc w:val="right"/>
      <w:pPr>
        <w:tabs>
          <w:tab w:val="num" w:pos="4947"/>
        </w:tabs>
        <w:ind w:left="4947" w:hanging="180"/>
      </w:pPr>
    </w:lvl>
    <w:lvl w:ilvl="6" w:tplc="0809000F" w:tentative="1">
      <w:start w:val="1"/>
      <w:numFmt w:val="decimal"/>
      <w:lvlText w:val="%7."/>
      <w:lvlJc w:val="left"/>
      <w:pPr>
        <w:tabs>
          <w:tab w:val="num" w:pos="5667"/>
        </w:tabs>
        <w:ind w:left="5667" w:hanging="360"/>
      </w:pPr>
    </w:lvl>
    <w:lvl w:ilvl="7" w:tplc="08090019" w:tentative="1">
      <w:start w:val="1"/>
      <w:numFmt w:val="lowerLetter"/>
      <w:lvlText w:val="%8."/>
      <w:lvlJc w:val="left"/>
      <w:pPr>
        <w:tabs>
          <w:tab w:val="num" w:pos="6387"/>
        </w:tabs>
        <w:ind w:left="6387" w:hanging="360"/>
      </w:pPr>
    </w:lvl>
    <w:lvl w:ilvl="8" w:tplc="0809001B" w:tentative="1">
      <w:start w:val="1"/>
      <w:numFmt w:val="lowerRoman"/>
      <w:lvlText w:val="%9."/>
      <w:lvlJc w:val="right"/>
      <w:pPr>
        <w:tabs>
          <w:tab w:val="num" w:pos="7107"/>
        </w:tabs>
        <w:ind w:left="7107" w:hanging="180"/>
      </w:pPr>
    </w:lvl>
  </w:abstractNum>
  <w:abstractNum w:abstractNumId="15" w15:restartNumberingAfterBreak="0">
    <w:nsid w:val="260F4DE3"/>
    <w:multiLevelType w:val="hybridMultilevel"/>
    <w:tmpl w:val="693483D0"/>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6" w15:restartNumberingAfterBreak="0">
    <w:nsid w:val="28EB6E86"/>
    <w:multiLevelType w:val="hybridMultilevel"/>
    <w:tmpl w:val="095AFB4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9932FD9"/>
    <w:multiLevelType w:val="hybridMultilevel"/>
    <w:tmpl w:val="FFFFFFFF"/>
    <w:lvl w:ilvl="0" w:tplc="8BFEFDC8">
      <w:start w:val="1"/>
      <w:numFmt w:val="bullet"/>
      <w:lvlText w:val=""/>
      <w:lvlJc w:val="left"/>
      <w:pPr>
        <w:ind w:left="720" w:hanging="360"/>
      </w:pPr>
      <w:rPr>
        <w:rFonts w:ascii="Symbol" w:hAnsi="Symbol" w:hint="default"/>
      </w:rPr>
    </w:lvl>
    <w:lvl w:ilvl="1" w:tplc="71CE7A3C">
      <w:start w:val="1"/>
      <w:numFmt w:val="bullet"/>
      <w:lvlText w:val="o"/>
      <w:lvlJc w:val="left"/>
      <w:pPr>
        <w:ind w:left="1440" w:hanging="360"/>
      </w:pPr>
      <w:rPr>
        <w:rFonts w:ascii="Courier New" w:hAnsi="Courier New" w:hint="default"/>
      </w:rPr>
    </w:lvl>
    <w:lvl w:ilvl="2" w:tplc="BA060D80">
      <w:start w:val="1"/>
      <w:numFmt w:val="bullet"/>
      <w:lvlText w:val=""/>
      <w:lvlJc w:val="left"/>
      <w:pPr>
        <w:ind w:left="2160" w:hanging="360"/>
      </w:pPr>
      <w:rPr>
        <w:rFonts w:ascii="Wingdings" w:hAnsi="Wingdings" w:hint="default"/>
      </w:rPr>
    </w:lvl>
    <w:lvl w:ilvl="3" w:tplc="312CC0CC">
      <w:start w:val="1"/>
      <w:numFmt w:val="bullet"/>
      <w:lvlText w:val=""/>
      <w:lvlJc w:val="left"/>
      <w:pPr>
        <w:ind w:left="2880" w:hanging="360"/>
      </w:pPr>
      <w:rPr>
        <w:rFonts w:ascii="Symbol" w:hAnsi="Symbol" w:hint="default"/>
      </w:rPr>
    </w:lvl>
    <w:lvl w:ilvl="4" w:tplc="FCE8DB66">
      <w:start w:val="1"/>
      <w:numFmt w:val="bullet"/>
      <w:lvlText w:val="o"/>
      <w:lvlJc w:val="left"/>
      <w:pPr>
        <w:ind w:left="3600" w:hanging="360"/>
      </w:pPr>
      <w:rPr>
        <w:rFonts w:ascii="Courier New" w:hAnsi="Courier New" w:hint="default"/>
      </w:rPr>
    </w:lvl>
    <w:lvl w:ilvl="5" w:tplc="8B7451D0">
      <w:start w:val="1"/>
      <w:numFmt w:val="bullet"/>
      <w:lvlText w:val=""/>
      <w:lvlJc w:val="left"/>
      <w:pPr>
        <w:ind w:left="4320" w:hanging="360"/>
      </w:pPr>
      <w:rPr>
        <w:rFonts w:ascii="Wingdings" w:hAnsi="Wingdings" w:hint="default"/>
      </w:rPr>
    </w:lvl>
    <w:lvl w:ilvl="6" w:tplc="F7865E86">
      <w:start w:val="1"/>
      <w:numFmt w:val="bullet"/>
      <w:lvlText w:val=""/>
      <w:lvlJc w:val="left"/>
      <w:pPr>
        <w:ind w:left="5040" w:hanging="360"/>
      </w:pPr>
      <w:rPr>
        <w:rFonts w:ascii="Symbol" w:hAnsi="Symbol" w:hint="default"/>
      </w:rPr>
    </w:lvl>
    <w:lvl w:ilvl="7" w:tplc="99E6979A">
      <w:start w:val="1"/>
      <w:numFmt w:val="bullet"/>
      <w:lvlText w:val="o"/>
      <w:lvlJc w:val="left"/>
      <w:pPr>
        <w:ind w:left="5760" w:hanging="360"/>
      </w:pPr>
      <w:rPr>
        <w:rFonts w:ascii="Courier New" w:hAnsi="Courier New" w:hint="default"/>
      </w:rPr>
    </w:lvl>
    <w:lvl w:ilvl="8" w:tplc="87E6F37E">
      <w:start w:val="1"/>
      <w:numFmt w:val="bullet"/>
      <w:lvlText w:val=""/>
      <w:lvlJc w:val="left"/>
      <w:pPr>
        <w:ind w:left="6480" w:hanging="360"/>
      </w:pPr>
      <w:rPr>
        <w:rFonts w:ascii="Wingdings" w:hAnsi="Wingdings" w:hint="default"/>
      </w:rPr>
    </w:lvl>
  </w:abstractNum>
  <w:abstractNum w:abstractNumId="18" w15:restartNumberingAfterBreak="0">
    <w:nsid w:val="2FF50432"/>
    <w:multiLevelType w:val="hybridMultilevel"/>
    <w:tmpl w:val="6684635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9" w15:restartNumberingAfterBreak="0">
    <w:nsid w:val="30BF3EF7"/>
    <w:multiLevelType w:val="hybridMultilevel"/>
    <w:tmpl w:val="F012A32E"/>
    <w:lvl w:ilvl="0" w:tplc="08090001">
      <w:start w:val="1"/>
      <w:numFmt w:val="bullet"/>
      <w:lvlText w:val=""/>
      <w:lvlJc w:val="left"/>
      <w:pPr>
        <w:ind w:left="1854" w:hanging="360"/>
      </w:pPr>
      <w:rPr>
        <w:rFonts w:ascii="Symbol" w:hAnsi="Symbol" w:hint="default"/>
        <w:b w:val="0"/>
        <w:color w:val="auto"/>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0" w15:restartNumberingAfterBreak="0">
    <w:nsid w:val="32866BB2"/>
    <w:multiLevelType w:val="hybridMultilevel"/>
    <w:tmpl w:val="EA90515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1" w15:restartNumberingAfterBreak="0">
    <w:nsid w:val="34194FD2"/>
    <w:multiLevelType w:val="hybridMultilevel"/>
    <w:tmpl w:val="002857CA"/>
    <w:lvl w:ilvl="0" w:tplc="99EEB07C">
      <w:start w:val="1"/>
      <w:numFmt w:val="lowerLetter"/>
      <w:lvlText w:val="(%1.)"/>
      <w:lvlJc w:val="right"/>
      <w:pPr>
        <w:ind w:left="1854" w:hanging="360"/>
      </w:pPr>
      <w:rPr>
        <w:rFonts w:hint="default"/>
        <w:b w:val="0"/>
        <w:color w:val="auto"/>
      </w:rPr>
    </w:lvl>
    <w:lvl w:ilvl="1" w:tplc="08090019" w:tentative="1">
      <w:start w:val="1"/>
      <w:numFmt w:val="lowerLetter"/>
      <w:lvlText w:val="%2."/>
      <w:lvlJc w:val="left"/>
      <w:pPr>
        <w:ind w:left="2574" w:hanging="360"/>
      </w:pPr>
    </w:lvl>
    <w:lvl w:ilvl="2" w:tplc="0809001B">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2" w15:restartNumberingAfterBreak="0">
    <w:nsid w:val="37A56D6C"/>
    <w:multiLevelType w:val="hybridMultilevel"/>
    <w:tmpl w:val="35402926"/>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3" w15:restartNumberingAfterBreak="0">
    <w:nsid w:val="3CD7559E"/>
    <w:multiLevelType w:val="multilevel"/>
    <w:tmpl w:val="0F5C7CCE"/>
    <w:lvl w:ilvl="0">
      <w:start w:val="1"/>
      <w:numFmt w:val="decimal"/>
      <w:lvlText w:val="%1."/>
      <w:lvlJc w:val="left"/>
      <w:pPr>
        <w:ind w:left="567" w:hanging="567"/>
      </w:pPr>
      <w:rPr>
        <w:rFonts w:hint="default"/>
      </w:rPr>
    </w:lvl>
    <w:lvl w:ilvl="1">
      <w:start w:val="1"/>
      <w:numFmt w:val="decimal"/>
      <w:lvlText w:val="%1.%2."/>
      <w:lvlJc w:val="left"/>
      <w:pPr>
        <w:ind w:left="1134" w:hanging="567"/>
      </w:pPr>
      <w:rPr>
        <w:rFonts w:hint="default"/>
      </w:rPr>
    </w:lvl>
    <w:lvl w:ilvl="2">
      <w:start w:val="1"/>
      <w:numFmt w:val="decimal"/>
      <w:lvlText w:val="%1.%2.%3."/>
      <w:lvlJc w:val="left"/>
      <w:pPr>
        <w:ind w:left="1021" w:hanging="1021"/>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24" w15:restartNumberingAfterBreak="0">
    <w:nsid w:val="3DAB1AFB"/>
    <w:multiLevelType w:val="hybridMultilevel"/>
    <w:tmpl w:val="7056066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5" w15:restartNumberingAfterBreak="0">
    <w:nsid w:val="3E191169"/>
    <w:multiLevelType w:val="hybridMultilevel"/>
    <w:tmpl w:val="141832F0"/>
    <w:lvl w:ilvl="0" w:tplc="7BAC1CF0">
      <w:start w:val="1"/>
      <w:numFmt w:val="bullet"/>
      <w:lvlText w:val=""/>
      <w:lvlJc w:val="left"/>
      <w:pPr>
        <w:ind w:left="720" w:hanging="360"/>
      </w:pPr>
      <w:rPr>
        <w:rFonts w:ascii="Symbol" w:hAnsi="Symbol" w:hint="default"/>
      </w:rPr>
    </w:lvl>
    <w:lvl w:ilvl="1" w:tplc="A44A50F4">
      <w:start w:val="1"/>
      <w:numFmt w:val="bullet"/>
      <w:lvlText w:val=""/>
      <w:lvlJc w:val="left"/>
      <w:pPr>
        <w:ind w:left="1440" w:hanging="360"/>
      </w:pPr>
      <w:rPr>
        <w:rFonts w:ascii="Symbol" w:hAnsi="Symbol" w:hint="default"/>
      </w:rPr>
    </w:lvl>
    <w:lvl w:ilvl="2" w:tplc="300A4396">
      <w:start w:val="1"/>
      <w:numFmt w:val="bullet"/>
      <w:lvlText w:val=""/>
      <w:lvlJc w:val="left"/>
      <w:pPr>
        <w:ind w:left="2160" w:hanging="360"/>
      </w:pPr>
      <w:rPr>
        <w:rFonts w:ascii="Wingdings" w:hAnsi="Wingdings" w:hint="default"/>
      </w:rPr>
    </w:lvl>
    <w:lvl w:ilvl="3" w:tplc="62DE63E0">
      <w:start w:val="1"/>
      <w:numFmt w:val="bullet"/>
      <w:lvlText w:val=""/>
      <w:lvlJc w:val="left"/>
      <w:pPr>
        <w:ind w:left="2880" w:hanging="360"/>
      </w:pPr>
      <w:rPr>
        <w:rFonts w:ascii="Symbol" w:hAnsi="Symbol" w:hint="default"/>
      </w:rPr>
    </w:lvl>
    <w:lvl w:ilvl="4" w:tplc="170CA964">
      <w:start w:val="1"/>
      <w:numFmt w:val="bullet"/>
      <w:lvlText w:val="o"/>
      <w:lvlJc w:val="left"/>
      <w:pPr>
        <w:ind w:left="3600" w:hanging="360"/>
      </w:pPr>
      <w:rPr>
        <w:rFonts w:ascii="Courier New" w:hAnsi="Courier New" w:hint="default"/>
      </w:rPr>
    </w:lvl>
    <w:lvl w:ilvl="5" w:tplc="F13E8BBC">
      <w:start w:val="1"/>
      <w:numFmt w:val="bullet"/>
      <w:lvlText w:val=""/>
      <w:lvlJc w:val="left"/>
      <w:pPr>
        <w:ind w:left="4320" w:hanging="360"/>
      </w:pPr>
      <w:rPr>
        <w:rFonts w:ascii="Wingdings" w:hAnsi="Wingdings" w:hint="default"/>
      </w:rPr>
    </w:lvl>
    <w:lvl w:ilvl="6" w:tplc="49A24ED0">
      <w:start w:val="1"/>
      <w:numFmt w:val="bullet"/>
      <w:lvlText w:val=""/>
      <w:lvlJc w:val="left"/>
      <w:pPr>
        <w:ind w:left="5040" w:hanging="360"/>
      </w:pPr>
      <w:rPr>
        <w:rFonts w:ascii="Symbol" w:hAnsi="Symbol" w:hint="default"/>
      </w:rPr>
    </w:lvl>
    <w:lvl w:ilvl="7" w:tplc="FD08CBA0">
      <w:start w:val="1"/>
      <w:numFmt w:val="bullet"/>
      <w:lvlText w:val="o"/>
      <w:lvlJc w:val="left"/>
      <w:pPr>
        <w:ind w:left="5760" w:hanging="360"/>
      </w:pPr>
      <w:rPr>
        <w:rFonts w:ascii="Courier New" w:hAnsi="Courier New" w:hint="default"/>
      </w:rPr>
    </w:lvl>
    <w:lvl w:ilvl="8" w:tplc="76980B34">
      <w:start w:val="1"/>
      <w:numFmt w:val="bullet"/>
      <w:lvlText w:val=""/>
      <w:lvlJc w:val="left"/>
      <w:pPr>
        <w:ind w:left="6480" w:hanging="360"/>
      </w:pPr>
      <w:rPr>
        <w:rFonts w:ascii="Wingdings" w:hAnsi="Wingdings" w:hint="default"/>
      </w:rPr>
    </w:lvl>
  </w:abstractNum>
  <w:abstractNum w:abstractNumId="26" w15:restartNumberingAfterBreak="0">
    <w:nsid w:val="40A12628"/>
    <w:multiLevelType w:val="hybridMultilevel"/>
    <w:tmpl w:val="1FDEE8F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7" w15:restartNumberingAfterBreak="0">
    <w:nsid w:val="44A12476"/>
    <w:multiLevelType w:val="multilevel"/>
    <w:tmpl w:val="65E430C2"/>
    <w:lvl w:ilvl="0">
      <w:start w:val="1"/>
      <w:numFmt w:val="decimal"/>
      <w:lvlText w:val="%1."/>
      <w:lvlJc w:val="left"/>
      <w:pPr>
        <w:ind w:left="567" w:hanging="567"/>
      </w:pPr>
      <w:rPr>
        <w:rFonts w:hint="default"/>
      </w:rPr>
    </w:lvl>
    <w:lvl w:ilvl="1">
      <w:start w:val="1"/>
      <w:numFmt w:val="decimal"/>
      <w:lvlText w:val="%1.%2."/>
      <w:lvlJc w:val="left"/>
      <w:pPr>
        <w:ind w:left="1134" w:hanging="567"/>
      </w:pPr>
      <w:rPr>
        <w:rFonts w:hint="default"/>
      </w:rPr>
    </w:lvl>
    <w:lvl w:ilvl="2">
      <w:start w:val="1"/>
      <w:numFmt w:val="decimal"/>
      <w:lvlText w:val="%1.%2.%3."/>
      <w:lvlJc w:val="left"/>
      <w:pPr>
        <w:ind w:left="1021" w:hanging="1021"/>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28" w15:restartNumberingAfterBreak="0">
    <w:nsid w:val="457431D5"/>
    <w:multiLevelType w:val="hybridMultilevel"/>
    <w:tmpl w:val="8678405E"/>
    <w:lvl w:ilvl="0" w:tplc="08090001">
      <w:start w:val="1"/>
      <w:numFmt w:val="bullet"/>
      <w:lvlText w:val=""/>
      <w:lvlJc w:val="left"/>
      <w:pPr>
        <w:ind w:left="1854" w:hanging="360"/>
      </w:pPr>
      <w:rPr>
        <w:rFonts w:ascii="Symbol" w:hAnsi="Symbol" w:hint="default"/>
      </w:rPr>
    </w:lvl>
    <w:lvl w:ilvl="1" w:tplc="08090003">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9" w15:restartNumberingAfterBreak="0">
    <w:nsid w:val="56E30F60"/>
    <w:multiLevelType w:val="hybridMultilevel"/>
    <w:tmpl w:val="002857CA"/>
    <w:lvl w:ilvl="0" w:tplc="99EEB07C">
      <w:start w:val="1"/>
      <w:numFmt w:val="lowerLetter"/>
      <w:lvlText w:val="(%1.)"/>
      <w:lvlJc w:val="right"/>
      <w:pPr>
        <w:ind w:left="1854" w:hanging="360"/>
      </w:pPr>
      <w:rPr>
        <w:rFonts w:hint="default"/>
        <w:b w:val="0"/>
        <w:color w:val="auto"/>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0" w15:restartNumberingAfterBreak="0">
    <w:nsid w:val="572331DA"/>
    <w:multiLevelType w:val="hybridMultilevel"/>
    <w:tmpl w:val="61324B9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594E3E5D"/>
    <w:multiLevelType w:val="hybridMultilevel"/>
    <w:tmpl w:val="002857CA"/>
    <w:lvl w:ilvl="0" w:tplc="99EEB07C">
      <w:start w:val="1"/>
      <w:numFmt w:val="lowerLetter"/>
      <w:lvlText w:val="(%1.)"/>
      <w:lvlJc w:val="right"/>
      <w:pPr>
        <w:ind w:left="1854" w:hanging="360"/>
      </w:pPr>
      <w:rPr>
        <w:rFonts w:hint="default"/>
        <w:b w:val="0"/>
        <w:color w:val="auto"/>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2" w15:restartNumberingAfterBreak="0">
    <w:nsid w:val="59B240A1"/>
    <w:multiLevelType w:val="hybridMultilevel"/>
    <w:tmpl w:val="860870CE"/>
    <w:lvl w:ilvl="0" w:tplc="D6622680">
      <w:start w:val="1"/>
      <w:numFmt w:val="lowerLetter"/>
      <w:lvlText w:val="(%1.)"/>
      <w:lvlJc w:val="right"/>
      <w:pPr>
        <w:tabs>
          <w:tab w:val="num" w:pos="1307"/>
        </w:tabs>
        <w:ind w:left="1707" w:hanging="400"/>
      </w:pPr>
      <w:rPr>
        <w:rFonts w:hint="default"/>
        <w:b w:val="0"/>
        <w:color w:val="auto"/>
      </w:rPr>
    </w:lvl>
    <w:lvl w:ilvl="1" w:tplc="08090019" w:tentative="1">
      <w:start w:val="1"/>
      <w:numFmt w:val="lowerLetter"/>
      <w:lvlText w:val="%2."/>
      <w:lvlJc w:val="left"/>
      <w:pPr>
        <w:tabs>
          <w:tab w:val="num" w:pos="2067"/>
        </w:tabs>
        <w:ind w:left="2067" w:hanging="360"/>
      </w:pPr>
    </w:lvl>
    <w:lvl w:ilvl="2" w:tplc="0809001B" w:tentative="1">
      <w:start w:val="1"/>
      <w:numFmt w:val="lowerRoman"/>
      <w:lvlText w:val="%3."/>
      <w:lvlJc w:val="right"/>
      <w:pPr>
        <w:tabs>
          <w:tab w:val="num" w:pos="2787"/>
        </w:tabs>
        <w:ind w:left="2787" w:hanging="180"/>
      </w:pPr>
    </w:lvl>
    <w:lvl w:ilvl="3" w:tplc="0809000F" w:tentative="1">
      <w:start w:val="1"/>
      <w:numFmt w:val="decimal"/>
      <w:lvlText w:val="%4."/>
      <w:lvlJc w:val="left"/>
      <w:pPr>
        <w:tabs>
          <w:tab w:val="num" w:pos="3507"/>
        </w:tabs>
        <w:ind w:left="3507" w:hanging="360"/>
      </w:pPr>
    </w:lvl>
    <w:lvl w:ilvl="4" w:tplc="08090019" w:tentative="1">
      <w:start w:val="1"/>
      <w:numFmt w:val="lowerLetter"/>
      <w:lvlText w:val="%5."/>
      <w:lvlJc w:val="left"/>
      <w:pPr>
        <w:tabs>
          <w:tab w:val="num" w:pos="4227"/>
        </w:tabs>
        <w:ind w:left="4227" w:hanging="360"/>
      </w:pPr>
    </w:lvl>
    <w:lvl w:ilvl="5" w:tplc="0809001B" w:tentative="1">
      <w:start w:val="1"/>
      <w:numFmt w:val="lowerRoman"/>
      <w:lvlText w:val="%6."/>
      <w:lvlJc w:val="right"/>
      <w:pPr>
        <w:tabs>
          <w:tab w:val="num" w:pos="4947"/>
        </w:tabs>
        <w:ind w:left="4947" w:hanging="180"/>
      </w:pPr>
    </w:lvl>
    <w:lvl w:ilvl="6" w:tplc="0809000F" w:tentative="1">
      <w:start w:val="1"/>
      <w:numFmt w:val="decimal"/>
      <w:lvlText w:val="%7."/>
      <w:lvlJc w:val="left"/>
      <w:pPr>
        <w:tabs>
          <w:tab w:val="num" w:pos="5667"/>
        </w:tabs>
        <w:ind w:left="5667" w:hanging="360"/>
      </w:pPr>
    </w:lvl>
    <w:lvl w:ilvl="7" w:tplc="08090019" w:tentative="1">
      <w:start w:val="1"/>
      <w:numFmt w:val="lowerLetter"/>
      <w:lvlText w:val="%8."/>
      <w:lvlJc w:val="left"/>
      <w:pPr>
        <w:tabs>
          <w:tab w:val="num" w:pos="6387"/>
        </w:tabs>
        <w:ind w:left="6387" w:hanging="360"/>
      </w:pPr>
    </w:lvl>
    <w:lvl w:ilvl="8" w:tplc="0809001B" w:tentative="1">
      <w:start w:val="1"/>
      <w:numFmt w:val="lowerRoman"/>
      <w:lvlText w:val="%9."/>
      <w:lvlJc w:val="right"/>
      <w:pPr>
        <w:tabs>
          <w:tab w:val="num" w:pos="7107"/>
        </w:tabs>
        <w:ind w:left="7107" w:hanging="180"/>
      </w:pPr>
    </w:lvl>
  </w:abstractNum>
  <w:abstractNum w:abstractNumId="33" w15:restartNumberingAfterBreak="0">
    <w:nsid w:val="5B341FAA"/>
    <w:multiLevelType w:val="hybridMultilevel"/>
    <w:tmpl w:val="CB8EC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C7B1821"/>
    <w:multiLevelType w:val="hybridMultilevel"/>
    <w:tmpl w:val="002857CA"/>
    <w:lvl w:ilvl="0" w:tplc="99EEB07C">
      <w:start w:val="1"/>
      <w:numFmt w:val="lowerLetter"/>
      <w:lvlText w:val="(%1.)"/>
      <w:lvlJc w:val="right"/>
      <w:pPr>
        <w:ind w:left="1854" w:hanging="360"/>
      </w:pPr>
      <w:rPr>
        <w:rFonts w:hint="default"/>
        <w:b w:val="0"/>
        <w:color w:val="auto"/>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5" w15:restartNumberingAfterBreak="0">
    <w:nsid w:val="61C34898"/>
    <w:multiLevelType w:val="multilevel"/>
    <w:tmpl w:val="EB2ED5A2"/>
    <w:lvl w:ilvl="0">
      <w:start w:val="1"/>
      <w:numFmt w:val="decimal"/>
      <w:lvlText w:val="%1."/>
      <w:lvlJc w:val="left"/>
      <w:pPr>
        <w:ind w:left="720" w:hanging="360"/>
      </w:pPr>
    </w:lvl>
    <w:lvl w:ilvl="1">
      <w:start w:val="4"/>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45F656A"/>
    <w:multiLevelType w:val="hybridMultilevel"/>
    <w:tmpl w:val="BF98B912"/>
    <w:lvl w:ilvl="0" w:tplc="08090001">
      <w:start w:val="1"/>
      <w:numFmt w:val="bullet"/>
      <w:lvlText w:val=""/>
      <w:lvlJc w:val="left"/>
      <w:pPr>
        <w:ind w:left="2214" w:hanging="360"/>
      </w:pPr>
      <w:rPr>
        <w:rFonts w:ascii="Symbol" w:hAnsi="Symbol" w:hint="default"/>
      </w:rPr>
    </w:lvl>
    <w:lvl w:ilvl="1" w:tplc="08090003" w:tentative="1">
      <w:start w:val="1"/>
      <w:numFmt w:val="bullet"/>
      <w:lvlText w:val="o"/>
      <w:lvlJc w:val="left"/>
      <w:pPr>
        <w:ind w:left="2934" w:hanging="360"/>
      </w:pPr>
      <w:rPr>
        <w:rFonts w:ascii="Courier New" w:hAnsi="Courier New" w:cs="Courier New" w:hint="default"/>
      </w:rPr>
    </w:lvl>
    <w:lvl w:ilvl="2" w:tplc="08090005" w:tentative="1">
      <w:start w:val="1"/>
      <w:numFmt w:val="bullet"/>
      <w:lvlText w:val=""/>
      <w:lvlJc w:val="left"/>
      <w:pPr>
        <w:ind w:left="3654" w:hanging="360"/>
      </w:pPr>
      <w:rPr>
        <w:rFonts w:ascii="Wingdings" w:hAnsi="Wingdings" w:hint="default"/>
      </w:rPr>
    </w:lvl>
    <w:lvl w:ilvl="3" w:tplc="08090001" w:tentative="1">
      <w:start w:val="1"/>
      <w:numFmt w:val="bullet"/>
      <w:lvlText w:val=""/>
      <w:lvlJc w:val="left"/>
      <w:pPr>
        <w:ind w:left="4374" w:hanging="360"/>
      </w:pPr>
      <w:rPr>
        <w:rFonts w:ascii="Symbol" w:hAnsi="Symbol" w:hint="default"/>
      </w:rPr>
    </w:lvl>
    <w:lvl w:ilvl="4" w:tplc="08090003" w:tentative="1">
      <w:start w:val="1"/>
      <w:numFmt w:val="bullet"/>
      <w:lvlText w:val="o"/>
      <w:lvlJc w:val="left"/>
      <w:pPr>
        <w:ind w:left="5094" w:hanging="360"/>
      </w:pPr>
      <w:rPr>
        <w:rFonts w:ascii="Courier New" w:hAnsi="Courier New" w:cs="Courier New" w:hint="default"/>
      </w:rPr>
    </w:lvl>
    <w:lvl w:ilvl="5" w:tplc="08090005" w:tentative="1">
      <w:start w:val="1"/>
      <w:numFmt w:val="bullet"/>
      <w:lvlText w:val=""/>
      <w:lvlJc w:val="left"/>
      <w:pPr>
        <w:ind w:left="5814" w:hanging="360"/>
      </w:pPr>
      <w:rPr>
        <w:rFonts w:ascii="Wingdings" w:hAnsi="Wingdings" w:hint="default"/>
      </w:rPr>
    </w:lvl>
    <w:lvl w:ilvl="6" w:tplc="08090001" w:tentative="1">
      <w:start w:val="1"/>
      <w:numFmt w:val="bullet"/>
      <w:lvlText w:val=""/>
      <w:lvlJc w:val="left"/>
      <w:pPr>
        <w:ind w:left="6534" w:hanging="360"/>
      </w:pPr>
      <w:rPr>
        <w:rFonts w:ascii="Symbol" w:hAnsi="Symbol" w:hint="default"/>
      </w:rPr>
    </w:lvl>
    <w:lvl w:ilvl="7" w:tplc="08090003" w:tentative="1">
      <w:start w:val="1"/>
      <w:numFmt w:val="bullet"/>
      <w:lvlText w:val="o"/>
      <w:lvlJc w:val="left"/>
      <w:pPr>
        <w:ind w:left="7254" w:hanging="360"/>
      </w:pPr>
      <w:rPr>
        <w:rFonts w:ascii="Courier New" w:hAnsi="Courier New" w:cs="Courier New" w:hint="default"/>
      </w:rPr>
    </w:lvl>
    <w:lvl w:ilvl="8" w:tplc="08090005" w:tentative="1">
      <w:start w:val="1"/>
      <w:numFmt w:val="bullet"/>
      <w:lvlText w:val=""/>
      <w:lvlJc w:val="left"/>
      <w:pPr>
        <w:ind w:left="7974" w:hanging="360"/>
      </w:pPr>
      <w:rPr>
        <w:rFonts w:ascii="Wingdings" w:hAnsi="Wingdings" w:hint="default"/>
      </w:rPr>
    </w:lvl>
  </w:abstractNum>
  <w:abstractNum w:abstractNumId="37" w15:restartNumberingAfterBreak="0">
    <w:nsid w:val="652C1161"/>
    <w:multiLevelType w:val="hybridMultilevel"/>
    <w:tmpl w:val="8946CF6E"/>
    <w:lvl w:ilvl="0" w:tplc="27180C0C">
      <w:start w:val="1"/>
      <w:numFmt w:val="bullet"/>
      <w:pStyle w:val="Bulletted"/>
      <w:lvlText w:val=""/>
      <w:lvlJc w:val="left"/>
      <w:pPr>
        <w:tabs>
          <w:tab w:val="num" w:pos="360"/>
        </w:tabs>
        <w:ind w:left="360" w:hanging="360"/>
      </w:pPr>
      <w:rPr>
        <w:rFonts w:ascii="Symbol" w:hAnsi="Symbol" w:hint="default"/>
      </w:rPr>
    </w:lvl>
    <w:lvl w:ilvl="1" w:tplc="70FCD5AE">
      <w:numFmt w:val="decimal"/>
      <w:lvlText w:val=""/>
      <w:lvlJc w:val="left"/>
    </w:lvl>
    <w:lvl w:ilvl="2" w:tplc="2040C3AA">
      <w:numFmt w:val="decimal"/>
      <w:lvlText w:val=""/>
      <w:lvlJc w:val="left"/>
    </w:lvl>
    <w:lvl w:ilvl="3" w:tplc="D71CF734">
      <w:numFmt w:val="decimal"/>
      <w:lvlText w:val=""/>
      <w:lvlJc w:val="left"/>
    </w:lvl>
    <w:lvl w:ilvl="4" w:tplc="3EDE43D6">
      <w:numFmt w:val="decimal"/>
      <w:lvlText w:val=""/>
      <w:lvlJc w:val="left"/>
    </w:lvl>
    <w:lvl w:ilvl="5" w:tplc="EA0EA1AA">
      <w:numFmt w:val="decimal"/>
      <w:lvlText w:val=""/>
      <w:lvlJc w:val="left"/>
    </w:lvl>
    <w:lvl w:ilvl="6" w:tplc="A180558E">
      <w:numFmt w:val="decimal"/>
      <w:lvlText w:val=""/>
      <w:lvlJc w:val="left"/>
    </w:lvl>
    <w:lvl w:ilvl="7" w:tplc="7CF07954">
      <w:numFmt w:val="decimal"/>
      <w:lvlText w:val=""/>
      <w:lvlJc w:val="left"/>
    </w:lvl>
    <w:lvl w:ilvl="8" w:tplc="2A964A44">
      <w:numFmt w:val="decimal"/>
      <w:lvlText w:val=""/>
      <w:lvlJc w:val="left"/>
    </w:lvl>
  </w:abstractNum>
  <w:abstractNum w:abstractNumId="38" w15:restartNumberingAfterBreak="0">
    <w:nsid w:val="65AC35DB"/>
    <w:multiLevelType w:val="hybridMultilevel"/>
    <w:tmpl w:val="AC6C34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7822A52"/>
    <w:multiLevelType w:val="multilevel"/>
    <w:tmpl w:val="047C6E10"/>
    <w:lvl w:ilvl="0">
      <w:start w:val="1"/>
      <w:numFmt w:val="decimal"/>
      <w:lvlText w:val="%1."/>
      <w:lvlJc w:val="left"/>
      <w:pPr>
        <w:ind w:left="567" w:hanging="567"/>
      </w:pPr>
      <w:rPr>
        <w:rFonts w:hint="default"/>
      </w:rPr>
    </w:lvl>
    <w:lvl w:ilvl="1">
      <w:start w:val="1"/>
      <w:numFmt w:val="bullet"/>
      <w:lvlText w:val=""/>
      <w:lvlJc w:val="left"/>
      <w:pPr>
        <w:ind w:left="1134" w:hanging="567"/>
      </w:pPr>
      <w:rPr>
        <w:rFonts w:ascii="Symbol" w:hAnsi="Symbol" w:hint="default"/>
      </w:rPr>
    </w:lvl>
    <w:lvl w:ilvl="2">
      <w:start w:val="1"/>
      <w:numFmt w:val="decimal"/>
      <w:lvlText w:val="%1.%2.%3."/>
      <w:lvlJc w:val="left"/>
      <w:pPr>
        <w:ind w:left="1021" w:hanging="1021"/>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40" w15:restartNumberingAfterBreak="0">
    <w:nsid w:val="695C336E"/>
    <w:multiLevelType w:val="hybridMultilevel"/>
    <w:tmpl w:val="79C28CFE"/>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9634EB2"/>
    <w:multiLevelType w:val="hybridMultilevel"/>
    <w:tmpl w:val="AC5E454E"/>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42" w15:restartNumberingAfterBreak="0">
    <w:nsid w:val="69C207F8"/>
    <w:multiLevelType w:val="multilevel"/>
    <w:tmpl w:val="B11E469C"/>
    <w:lvl w:ilvl="0">
      <w:start w:val="1"/>
      <w:numFmt w:val="decimal"/>
      <w:lvlText w:val="%1."/>
      <w:lvlJc w:val="left"/>
      <w:pPr>
        <w:ind w:left="720" w:hanging="360"/>
      </w:pPr>
    </w:lvl>
    <w:lvl w:ilvl="1">
      <w:start w:val="4"/>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1A10097"/>
    <w:multiLevelType w:val="hybridMultilevel"/>
    <w:tmpl w:val="002857CA"/>
    <w:lvl w:ilvl="0" w:tplc="99EEB07C">
      <w:start w:val="1"/>
      <w:numFmt w:val="lowerLetter"/>
      <w:lvlText w:val="(%1.)"/>
      <w:lvlJc w:val="right"/>
      <w:pPr>
        <w:ind w:left="1854" w:hanging="360"/>
      </w:pPr>
      <w:rPr>
        <w:rFonts w:hint="default"/>
        <w:b w:val="0"/>
        <w:color w:val="auto"/>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4" w15:restartNumberingAfterBreak="0">
    <w:nsid w:val="72C36F29"/>
    <w:multiLevelType w:val="hybridMultilevel"/>
    <w:tmpl w:val="901862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6F91156"/>
    <w:multiLevelType w:val="hybridMultilevel"/>
    <w:tmpl w:val="80F4880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6" w15:restartNumberingAfterBreak="0">
    <w:nsid w:val="77170E0F"/>
    <w:multiLevelType w:val="hybridMultilevel"/>
    <w:tmpl w:val="A70E412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A13087D"/>
    <w:multiLevelType w:val="hybridMultilevel"/>
    <w:tmpl w:val="889C6FB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8" w15:restartNumberingAfterBreak="0">
    <w:nsid w:val="7DD640B6"/>
    <w:multiLevelType w:val="hybridMultilevel"/>
    <w:tmpl w:val="760ADBC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9" w15:restartNumberingAfterBreak="0">
    <w:nsid w:val="7FD30B11"/>
    <w:multiLevelType w:val="hybridMultilevel"/>
    <w:tmpl w:val="002857CA"/>
    <w:lvl w:ilvl="0" w:tplc="99EEB07C">
      <w:start w:val="1"/>
      <w:numFmt w:val="lowerLetter"/>
      <w:lvlText w:val="(%1.)"/>
      <w:lvlJc w:val="right"/>
      <w:pPr>
        <w:ind w:left="1854" w:hanging="360"/>
      </w:pPr>
      <w:rPr>
        <w:rFonts w:hint="default"/>
        <w:b w:val="0"/>
        <w:color w:val="auto"/>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num w:numId="1">
    <w:abstractNumId w:val="8"/>
  </w:num>
  <w:num w:numId="2">
    <w:abstractNumId w:val="35"/>
  </w:num>
  <w:num w:numId="3">
    <w:abstractNumId w:val="25"/>
  </w:num>
  <w:num w:numId="4">
    <w:abstractNumId w:val="37"/>
  </w:num>
  <w:num w:numId="5">
    <w:abstractNumId w:val="0"/>
  </w:num>
  <w:num w:numId="6">
    <w:abstractNumId w:val="13"/>
  </w:num>
  <w:num w:numId="7">
    <w:abstractNumId w:val="14"/>
  </w:num>
  <w:num w:numId="8">
    <w:abstractNumId w:val="32"/>
  </w:num>
  <w:num w:numId="9">
    <w:abstractNumId w:val="45"/>
  </w:num>
  <w:num w:numId="10">
    <w:abstractNumId w:val="44"/>
  </w:num>
  <w:num w:numId="11">
    <w:abstractNumId w:val="48"/>
  </w:num>
  <w:num w:numId="12">
    <w:abstractNumId w:val="40"/>
  </w:num>
  <w:num w:numId="13">
    <w:abstractNumId w:val="38"/>
  </w:num>
  <w:num w:numId="14">
    <w:abstractNumId w:val="47"/>
  </w:num>
  <w:num w:numId="15">
    <w:abstractNumId w:val="21"/>
  </w:num>
  <w:num w:numId="16">
    <w:abstractNumId w:val="31"/>
  </w:num>
  <w:num w:numId="17">
    <w:abstractNumId w:val="7"/>
  </w:num>
  <w:num w:numId="18">
    <w:abstractNumId w:val="19"/>
  </w:num>
  <w:num w:numId="19">
    <w:abstractNumId w:val="22"/>
  </w:num>
  <w:num w:numId="20">
    <w:abstractNumId w:val="4"/>
  </w:num>
  <w:num w:numId="21">
    <w:abstractNumId w:val="49"/>
  </w:num>
  <w:num w:numId="22">
    <w:abstractNumId w:val="36"/>
  </w:num>
  <w:num w:numId="23">
    <w:abstractNumId w:val="29"/>
  </w:num>
  <w:num w:numId="24">
    <w:abstractNumId w:val="26"/>
  </w:num>
  <w:num w:numId="25">
    <w:abstractNumId w:val="41"/>
  </w:num>
  <w:num w:numId="26">
    <w:abstractNumId w:val="34"/>
  </w:num>
  <w:num w:numId="27">
    <w:abstractNumId w:val="43"/>
  </w:num>
  <w:num w:numId="28">
    <w:abstractNumId w:val="9"/>
  </w:num>
  <w:num w:numId="29">
    <w:abstractNumId w:val="15"/>
  </w:num>
  <w:num w:numId="30">
    <w:abstractNumId w:val="6"/>
  </w:num>
  <w:num w:numId="31">
    <w:abstractNumId w:val="11"/>
  </w:num>
  <w:num w:numId="32">
    <w:abstractNumId w:val="2"/>
  </w:num>
  <w:num w:numId="33">
    <w:abstractNumId w:val="39"/>
  </w:num>
  <w:num w:numId="34">
    <w:abstractNumId w:val="28"/>
  </w:num>
  <w:num w:numId="35">
    <w:abstractNumId w:val="27"/>
  </w:num>
  <w:num w:numId="36">
    <w:abstractNumId w:val="18"/>
  </w:num>
  <w:num w:numId="37">
    <w:abstractNumId w:val="20"/>
  </w:num>
  <w:num w:numId="38">
    <w:abstractNumId w:val="12"/>
  </w:num>
  <w:num w:numId="39">
    <w:abstractNumId w:val="23"/>
  </w:num>
  <w:num w:numId="40">
    <w:abstractNumId w:val="24"/>
  </w:num>
  <w:num w:numId="41">
    <w:abstractNumId w:val="46"/>
  </w:num>
  <w:num w:numId="42">
    <w:abstractNumId w:val="3"/>
  </w:num>
  <w:num w:numId="43">
    <w:abstractNumId w:val="16"/>
  </w:num>
  <w:num w:numId="44">
    <w:abstractNumId w:val="1"/>
  </w:num>
  <w:num w:numId="45">
    <w:abstractNumId w:val="5"/>
  </w:num>
  <w:num w:numId="46">
    <w:abstractNumId w:val="33"/>
  </w:num>
  <w:num w:numId="47">
    <w:abstractNumId w:val="10"/>
  </w:num>
  <w:num w:numId="48">
    <w:abstractNumId w:val="30"/>
  </w:num>
  <w:num w:numId="49">
    <w:abstractNumId w:val="17"/>
  </w:num>
  <w:num w:numId="50">
    <w:abstractNumId w:val="4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303A"/>
    <w:rsid w:val="00001124"/>
    <w:rsid w:val="000017B5"/>
    <w:rsid w:val="00001DAC"/>
    <w:rsid w:val="00002DB8"/>
    <w:rsid w:val="00002E71"/>
    <w:rsid w:val="00003ED0"/>
    <w:rsid w:val="00007760"/>
    <w:rsid w:val="00011384"/>
    <w:rsid w:val="0001368B"/>
    <w:rsid w:val="000144AA"/>
    <w:rsid w:val="00014BD3"/>
    <w:rsid w:val="00017832"/>
    <w:rsid w:val="00017CF9"/>
    <w:rsid w:val="0002323C"/>
    <w:rsid w:val="00027357"/>
    <w:rsid w:val="00032519"/>
    <w:rsid w:val="000328A8"/>
    <w:rsid w:val="00032DAD"/>
    <w:rsid w:val="0003303A"/>
    <w:rsid w:val="00033295"/>
    <w:rsid w:val="00033D4C"/>
    <w:rsid w:val="000342B0"/>
    <w:rsid w:val="00035EE9"/>
    <w:rsid w:val="0004239F"/>
    <w:rsid w:val="000444E4"/>
    <w:rsid w:val="00045888"/>
    <w:rsid w:val="000473A2"/>
    <w:rsid w:val="00047C3F"/>
    <w:rsid w:val="00050917"/>
    <w:rsid w:val="00050E97"/>
    <w:rsid w:val="00055608"/>
    <w:rsid w:val="00055B44"/>
    <w:rsid w:val="00056A28"/>
    <w:rsid w:val="00057984"/>
    <w:rsid w:val="00063397"/>
    <w:rsid w:val="000642E1"/>
    <w:rsid w:val="00066DD8"/>
    <w:rsid w:val="000723E3"/>
    <w:rsid w:val="000729A2"/>
    <w:rsid w:val="00073203"/>
    <w:rsid w:val="000732EA"/>
    <w:rsid w:val="00074EC5"/>
    <w:rsid w:val="00075FB4"/>
    <w:rsid w:val="00077425"/>
    <w:rsid w:val="000774D8"/>
    <w:rsid w:val="000776D1"/>
    <w:rsid w:val="000804D0"/>
    <w:rsid w:val="000816AF"/>
    <w:rsid w:val="00083772"/>
    <w:rsid w:val="00084456"/>
    <w:rsid w:val="00085C0B"/>
    <w:rsid w:val="000863C5"/>
    <w:rsid w:val="00086785"/>
    <w:rsid w:val="00092E74"/>
    <w:rsid w:val="0009335E"/>
    <w:rsid w:val="00094780"/>
    <w:rsid w:val="00094F2E"/>
    <w:rsid w:val="0009586D"/>
    <w:rsid w:val="000A0036"/>
    <w:rsid w:val="000A071C"/>
    <w:rsid w:val="000A4060"/>
    <w:rsid w:val="000A52BA"/>
    <w:rsid w:val="000A5C85"/>
    <w:rsid w:val="000A5D2F"/>
    <w:rsid w:val="000A61FA"/>
    <w:rsid w:val="000A66CA"/>
    <w:rsid w:val="000A6754"/>
    <w:rsid w:val="000A6A97"/>
    <w:rsid w:val="000B2FF5"/>
    <w:rsid w:val="000B394F"/>
    <w:rsid w:val="000B621A"/>
    <w:rsid w:val="000B6C10"/>
    <w:rsid w:val="000B7353"/>
    <w:rsid w:val="000C0FA1"/>
    <w:rsid w:val="000C4016"/>
    <w:rsid w:val="000C43D8"/>
    <w:rsid w:val="000C4C3F"/>
    <w:rsid w:val="000C5834"/>
    <w:rsid w:val="000C7D7E"/>
    <w:rsid w:val="000D0436"/>
    <w:rsid w:val="000D0497"/>
    <w:rsid w:val="000D2B0F"/>
    <w:rsid w:val="000D7D49"/>
    <w:rsid w:val="000E125C"/>
    <w:rsid w:val="000E1826"/>
    <w:rsid w:val="000E29C6"/>
    <w:rsid w:val="000E4115"/>
    <w:rsid w:val="000E4D57"/>
    <w:rsid w:val="000E617B"/>
    <w:rsid w:val="000F04E0"/>
    <w:rsid w:val="000F39EC"/>
    <w:rsid w:val="000F3E33"/>
    <w:rsid w:val="000F507F"/>
    <w:rsid w:val="000F6243"/>
    <w:rsid w:val="00100021"/>
    <w:rsid w:val="0010253F"/>
    <w:rsid w:val="00102B39"/>
    <w:rsid w:val="00102BC7"/>
    <w:rsid w:val="001040B2"/>
    <w:rsid w:val="001047E4"/>
    <w:rsid w:val="001054CD"/>
    <w:rsid w:val="001074C0"/>
    <w:rsid w:val="00107EA5"/>
    <w:rsid w:val="00107EC3"/>
    <w:rsid w:val="00110321"/>
    <w:rsid w:val="00110643"/>
    <w:rsid w:val="001119F8"/>
    <w:rsid w:val="00112A8A"/>
    <w:rsid w:val="001136F7"/>
    <w:rsid w:val="00113F67"/>
    <w:rsid w:val="001152F5"/>
    <w:rsid w:val="00115888"/>
    <w:rsid w:val="00116A21"/>
    <w:rsid w:val="00116AE6"/>
    <w:rsid w:val="001176D7"/>
    <w:rsid w:val="00117D9B"/>
    <w:rsid w:val="00121369"/>
    <w:rsid w:val="001222FB"/>
    <w:rsid w:val="00124BB7"/>
    <w:rsid w:val="00125E6E"/>
    <w:rsid w:val="001267F7"/>
    <w:rsid w:val="00126EF6"/>
    <w:rsid w:val="00131F9E"/>
    <w:rsid w:val="00132A12"/>
    <w:rsid w:val="001347BE"/>
    <w:rsid w:val="00135418"/>
    <w:rsid w:val="001366B5"/>
    <w:rsid w:val="0013701F"/>
    <w:rsid w:val="001370F7"/>
    <w:rsid w:val="00137CBF"/>
    <w:rsid w:val="00142280"/>
    <w:rsid w:val="00142C5A"/>
    <w:rsid w:val="0014378E"/>
    <w:rsid w:val="0014665B"/>
    <w:rsid w:val="00150A27"/>
    <w:rsid w:val="00150DCC"/>
    <w:rsid w:val="001527E1"/>
    <w:rsid w:val="001532C7"/>
    <w:rsid w:val="00155DE7"/>
    <w:rsid w:val="00157346"/>
    <w:rsid w:val="001608B2"/>
    <w:rsid w:val="00160B97"/>
    <w:rsid w:val="00161C57"/>
    <w:rsid w:val="00161E1C"/>
    <w:rsid w:val="0016202E"/>
    <w:rsid w:val="00162A34"/>
    <w:rsid w:val="00162C7E"/>
    <w:rsid w:val="001635F5"/>
    <w:rsid w:val="0016537A"/>
    <w:rsid w:val="00165EC4"/>
    <w:rsid w:val="001661CC"/>
    <w:rsid w:val="00167869"/>
    <w:rsid w:val="00170109"/>
    <w:rsid w:val="001715D4"/>
    <w:rsid w:val="001718B6"/>
    <w:rsid w:val="00171ACB"/>
    <w:rsid w:val="001735DD"/>
    <w:rsid w:val="00173DA6"/>
    <w:rsid w:val="001838B3"/>
    <w:rsid w:val="00186973"/>
    <w:rsid w:val="00190001"/>
    <w:rsid w:val="00192DC7"/>
    <w:rsid w:val="001955DA"/>
    <w:rsid w:val="001A09FC"/>
    <w:rsid w:val="001A2761"/>
    <w:rsid w:val="001A2A96"/>
    <w:rsid w:val="001A47D0"/>
    <w:rsid w:val="001A4A04"/>
    <w:rsid w:val="001A6FCC"/>
    <w:rsid w:val="001A7C18"/>
    <w:rsid w:val="001B4053"/>
    <w:rsid w:val="001B4549"/>
    <w:rsid w:val="001B4608"/>
    <w:rsid w:val="001B50D0"/>
    <w:rsid w:val="001C1902"/>
    <w:rsid w:val="001C20CD"/>
    <w:rsid w:val="001C2DC7"/>
    <w:rsid w:val="001C5F46"/>
    <w:rsid w:val="001C6A87"/>
    <w:rsid w:val="001C7139"/>
    <w:rsid w:val="001D0F24"/>
    <w:rsid w:val="001D251F"/>
    <w:rsid w:val="001D36BC"/>
    <w:rsid w:val="001E0226"/>
    <w:rsid w:val="001E09EE"/>
    <w:rsid w:val="001E0CB1"/>
    <w:rsid w:val="001E1577"/>
    <w:rsid w:val="001E2FED"/>
    <w:rsid w:val="001E518C"/>
    <w:rsid w:val="001E5201"/>
    <w:rsid w:val="001E56D1"/>
    <w:rsid w:val="001E6312"/>
    <w:rsid w:val="001E7FCC"/>
    <w:rsid w:val="001F0FB5"/>
    <w:rsid w:val="001F1663"/>
    <w:rsid w:val="001F20D2"/>
    <w:rsid w:val="001F3D75"/>
    <w:rsid w:val="001F45E0"/>
    <w:rsid w:val="001F650D"/>
    <w:rsid w:val="002022F0"/>
    <w:rsid w:val="00204A7E"/>
    <w:rsid w:val="0020535E"/>
    <w:rsid w:val="002077F6"/>
    <w:rsid w:val="0021443E"/>
    <w:rsid w:val="00215180"/>
    <w:rsid w:val="002159C6"/>
    <w:rsid w:val="00216C7D"/>
    <w:rsid w:val="00216F15"/>
    <w:rsid w:val="00216F2D"/>
    <w:rsid w:val="00217028"/>
    <w:rsid w:val="00217241"/>
    <w:rsid w:val="002179F4"/>
    <w:rsid w:val="00217FA6"/>
    <w:rsid w:val="00220336"/>
    <w:rsid w:val="00220D13"/>
    <w:rsid w:val="00222845"/>
    <w:rsid w:val="00222E24"/>
    <w:rsid w:val="002266F0"/>
    <w:rsid w:val="00230A05"/>
    <w:rsid w:val="0023186D"/>
    <w:rsid w:val="00232247"/>
    <w:rsid w:val="00232CCE"/>
    <w:rsid w:val="002343AB"/>
    <w:rsid w:val="00234C9C"/>
    <w:rsid w:val="00234F44"/>
    <w:rsid w:val="00241E6A"/>
    <w:rsid w:val="0024216A"/>
    <w:rsid w:val="0024293A"/>
    <w:rsid w:val="00243582"/>
    <w:rsid w:val="00245237"/>
    <w:rsid w:val="0024545B"/>
    <w:rsid w:val="00246AB3"/>
    <w:rsid w:val="0025035E"/>
    <w:rsid w:val="00250D35"/>
    <w:rsid w:val="0025185B"/>
    <w:rsid w:val="00254477"/>
    <w:rsid w:val="002555B6"/>
    <w:rsid w:val="0025725F"/>
    <w:rsid w:val="00260FBC"/>
    <w:rsid w:val="002613E1"/>
    <w:rsid w:val="00262501"/>
    <w:rsid w:val="00262913"/>
    <w:rsid w:val="00263900"/>
    <w:rsid w:val="00265515"/>
    <w:rsid w:val="00265DA6"/>
    <w:rsid w:val="00267467"/>
    <w:rsid w:val="00267725"/>
    <w:rsid w:val="002677BD"/>
    <w:rsid w:val="0027098C"/>
    <w:rsid w:val="002723A8"/>
    <w:rsid w:val="00273353"/>
    <w:rsid w:val="00275BE8"/>
    <w:rsid w:val="00277C5F"/>
    <w:rsid w:val="002824D0"/>
    <w:rsid w:val="002833BC"/>
    <w:rsid w:val="00283A3E"/>
    <w:rsid w:val="0028772F"/>
    <w:rsid w:val="00290958"/>
    <w:rsid w:val="00291F4F"/>
    <w:rsid w:val="002A14B0"/>
    <w:rsid w:val="002A1A94"/>
    <w:rsid w:val="002A4D6E"/>
    <w:rsid w:val="002A74C7"/>
    <w:rsid w:val="002A754B"/>
    <w:rsid w:val="002B1186"/>
    <w:rsid w:val="002B123B"/>
    <w:rsid w:val="002B26C3"/>
    <w:rsid w:val="002B2F50"/>
    <w:rsid w:val="002B5FAA"/>
    <w:rsid w:val="002B65EE"/>
    <w:rsid w:val="002C023C"/>
    <w:rsid w:val="002C1711"/>
    <w:rsid w:val="002C38E4"/>
    <w:rsid w:val="002C4467"/>
    <w:rsid w:val="002C583B"/>
    <w:rsid w:val="002C6EEA"/>
    <w:rsid w:val="002D0410"/>
    <w:rsid w:val="002D154B"/>
    <w:rsid w:val="002D1970"/>
    <w:rsid w:val="002D3794"/>
    <w:rsid w:val="002E10C8"/>
    <w:rsid w:val="002E1817"/>
    <w:rsid w:val="002E34D6"/>
    <w:rsid w:val="002E52B2"/>
    <w:rsid w:val="002F1877"/>
    <w:rsid w:val="002F20E1"/>
    <w:rsid w:val="002F3688"/>
    <w:rsid w:val="002F6504"/>
    <w:rsid w:val="002F7128"/>
    <w:rsid w:val="00303B64"/>
    <w:rsid w:val="00303C01"/>
    <w:rsid w:val="00306E5D"/>
    <w:rsid w:val="003077EF"/>
    <w:rsid w:val="00307B17"/>
    <w:rsid w:val="00312106"/>
    <w:rsid w:val="00312A0A"/>
    <w:rsid w:val="0031377D"/>
    <w:rsid w:val="0031711B"/>
    <w:rsid w:val="00317E95"/>
    <w:rsid w:val="003216E1"/>
    <w:rsid w:val="00321AAB"/>
    <w:rsid w:val="00323523"/>
    <w:rsid w:val="00324257"/>
    <w:rsid w:val="00324EFA"/>
    <w:rsid w:val="00326324"/>
    <w:rsid w:val="0032691B"/>
    <w:rsid w:val="00330B91"/>
    <w:rsid w:val="00331038"/>
    <w:rsid w:val="003316CD"/>
    <w:rsid w:val="00332D5C"/>
    <w:rsid w:val="00333603"/>
    <w:rsid w:val="00334C6F"/>
    <w:rsid w:val="003359AE"/>
    <w:rsid w:val="00341517"/>
    <w:rsid w:val="0034292F"/>
    <w:rsid w:val="003452F2"/>
    <w:rsid w:val="00347877"/>
    <w:rsid w:val="003479E6"/>
    <w:rsid w:val="00347FEC"/>
    <w:rsid w:val="00351156"/>
    <w:rsid w:val="00352148"/>
    <w:rsid w:val="003525E1"/>
    <w:rsid w:val="00360C45"/>
    <w:rsid w:val="00360FDC"/>
    <w:rsid w:val="0036225C"/>
    <w:rsid w:val="00364312"/>
    <w:rsid w:val="00364C6C"/>
    <w:rsid w:val="00366F5C"/>
    <w:rsid w:val="003701B6"/>
    <w:rsid w:val="00372058"/>
    <w:rsid w:val="0037277B"/>
    <w:rsid w:val="00372BDC"/>
    <w:rsid w:val="00372C7F"/>
    <w:rsid w:val="00375548"/>
    <w:rsid w:val="003760B8"/>
    <w:rsid w:val="00377F8F"/>
    <w:rsid w:val="0038112F"/>
    <w:rsid w:val="0038172A"/>
    <w:rsid w:val="00383148"/>
    <w:rsid w:val="0038649F"/>
    <w:rsid w:val="003864CA"/>
    <w:rsid w:val="00386C3E"/>
    <w:rsid w:val="003917EA"/>
    <w:rsid w:val="003943D7"/>
    <w:rsid w:val="00394CC9"/>
    <w:rsid w:val="003976C3"/>
    <w:rsid w:val="003A48A3"/>
    <w:rsid w:val="003A4A40"/>
    <w:rsid w:val="003A7B66"/>
    <w:rsid w:val="003B0E7F"/>
    <w:rsid w:val="003B0F48"/>
    <w:rsid w:val="003B331B"/>
    <w:rsid w:val="003B3508"/>
    <w:rsid w:val="003B5214"/>
    <w:rsid w:val="003B7085"/>
    <w:rsid w:val="003C436D"/>
    <w:rsid w:val="003C5035"/>
    <w:rsid w:val="003C5A61"/>
    <w:rsid w:val="003C61A2"/>
    <w:rsid w:val="003D004A"/>
    <w:rsid w:val="003D1713"/>
    <w:rsid w:val="003D311C"/>
    <w:rsid w:val="003D3724"/>
    <w:rsid w:val="003D4AB6"/>
    <w:rsid w:val="003D7AAB"/>
    <w:rsid w:val="003E2A13"/>
    <w:rsid w:val="003E660E"/>
    <w:rsid w:val="003E68E4"/>
    <w:rsid w:val="003F04A3"/>
    <w:rsid w:val="003F05F8"/>
    <w:rsid w:val="003F0F36"/>
    <w:rsid w:val="003F1177"/>
    <w:rsid w:val="003F1445"/>
    <w:rsid w:val="003F2479"/>
    <w:rsid w:val="003F2ED4"/>
    <w:rsid w:val="003F2F4F"/>
    <w:rsid w:val="003F54D0"/>
    <w:rsid w:val="003F54F7"/>
    <w:rsid w:val="003F7381"/>
    <w:rsid w:val="003F79E3"/>
    <w:rsid w:val="003F7F46"/>
    <w:rsid w:val="0040428A"/>
    <w:rsid w:val="00404B1A"/>
    <w:rsid w:val="00405A50"/>
    <w:rsid w:val="00407DE0"/>
    <w:rsid w:val="00410388"/>
    <w:rsid w:val="004105A0"/>
    <w:rsid w:val="00410BC3"/>
    <w:rsid w:val="00411368"/>
    <w:rsid w:val="00411B0A"/>
    <w:rsid w:val="00411D54"/>
    <w:rsid w:val="00411FC4"/>
    <w:rsid w:val="00413035"/>
    <w:rsid w:val="00415C14"/>
    <w:rsid w:val="004165DC"/>
    <w:rsid w:val="00416F4C"/>
    <w:rsid w:val="00416FB9"/>
    <w:rsid w:val="0041747E"/>
    <w:rsid w:val="00417EFF"/>
    <w:rsid w:val="0042217D"/>
    <w:rsid w:val="004259B6"/>
    <w:rsid w:val="00425BD3"/>
    <w:rsid w:val="0043030F"/>
    <w:rsid w:val="0043042F"/>
    <w:rsid w:val="0043332F"/>
    <w:rsid w:val="00433500"/>
    <w:rsid w:val="00433DDD"/>
    <w:rsid w:val="004352F3"/>
    <w:rsid w:val="00436151"/>
    <w:rsid w:val="0043790C"/>
    <w:rsid w:val="00442CA5"/>
    <w:rsid w:val="0044300E"/>
    <w:rsid w:val="0044427F"/>
    <w:rsid w:val="0044758C"/>
    <w:rsid w:val="00447C7D"/>
    <w:rsid w:val="00450B66"/>
    <w:rsid w:val="004530BF"/>
    <w:rsid w:val="0045342F"/>
    <w:rsid w:val="00454435"/>
    <w:rsid w:val="004553BF"/>
    <w:rsid w:val="00456B1B"/>
    <w:rsid w:val="00460F73"/>
    <w:rsid w:val="00461291"/>
    <w:rsid w:val="0046282A"/>
    <w:rsid w:val="004664A3"/>
    <w:rsid w:val="00472A88"/>
    <w:rsid w:val="00472BAA"/>
    <w:rsid w:val="00472BAB"/>
    <w:rsid w:val="00473400"/>
    <w:rsid w:val="0047383B"/>
    <w:rsid w:val="00473A67"/>
    <w:rsid w:val="00475F6F"/>
    <w:rsid w:val="00481FE5"/>
    <w:rsid w:val="00482572"/>
    <w:rsid w:val="004825D6"/>
    <w:rsid w:val="00490754"/>
    <w:rsid w:val="00492C0C"/>
    <w:rsid w:val="0049347B"/>
    <w:rsid w:val="00495206"/>
    <w:rsid w:val="0049525D"/>
    <w:rsid w:val="0049657E"/>
    <w:rsid w:val="00497F4C"/>
    <w:rsid w:val="004A0519"/>
    <w:rsid w:val="004A0882"/>
    <w:rsid w:val="004A1F82"/>
    <w:rsid w:val="004A2298"/>
    <w:rsid w:val="004A25D0"/>
    <w:rsid w:val="004A4081"/>
    <w:rsid w:val="004A4583"/>
    <w:rsid w:val="004B04AB"/>
    <w:rsid w:val="004B1C67"/>
    <w:rsid w:val="004B21F1"/>
    <w:rsid w:val="004B23AD"/>
    <w:rsid w:val="004B39E8"/>
    <w:rsid w:val="004B40CC"/>
    <w:rsid w:val="004B55ED"/>
    <w:rsid w:val="004B5E38"/>
    <w:rsid w:val="004C0B2D"/>
    <w:rsid w:val="004C1787"/>
    <w:rsid w:val="004C20CD"/>
    <w:rsid w:val="004C22E9"/>
    <w:rsid w:val="004C4CB4"/>
    <w:rsid w:val="004C53D7"/>
    <w:rsid w:val="004C64A2"/>
    <w:rsid w:val="004C6AFF"/>
    <w:rsid w:val="004D2266"/>
    <w:rsid w:val="004D3BB5"/>
    <w:rsid w:val="004D3DA9"/>
    <w:rsid w:val="004D41C4"/>
    <w:rsid w:val="004D5818"/>
    <w:rsid w:val="004D5CCE"/>
    <w:rsid w:val="004D5D8A"/>
    <w:rsid w:val="004D66E8"/>
    <w:rsid w:val="004D6FC2"/>
    <w:rsid w:val="004D7320"/>
    <w:rsid w:val="004E0B9D"/>
    <w:rsid w:val="004E1053"/>
    <w:rsid w:val="004E38C9"/>
    <w:rsid w:val="004E3CF4"/>
    <w:rsid w:val="004E451D"/>
    <w:rsid w:val="004E5F67"/>
    <w:rsid w:val="004E60B2"/>
    <w:rsid w:val="004E7770"/>
    <w:rsid w:val="004E7BE5"/>
    <w:rsid w:val="004F1032"/>
    <w:rsid w:val="004F15F5"/>
    <w:rsid w:val="004F2A4A"/>
    <w:rsid w:val="004F4093"/>
    <w:rsid w:val="004F6764"/>
    <w:rsid w:val="004F6821"/>
    <w:rsid w:val="004F6CF3"/>
    <w:rsid w:val="004F6E3B"/>
    <w:rsid w:val="005015F4"/>
    <w:rsid w:val="00501B6B"/>
    <w:rsid w:val="00504E26"/>
    <w:rsid w:val="0051025C"/>
    <w:rsid w:val="00511E48"/>
    <w:rsid w:val="00513E7A"/>
    <w:rsid w:val="00514AF5"/>
    <w:rsid w:val="00515075"/>
    <w:rsid w:val="0051760A"/>
    <w:rsid w:val="0052045C"/>
    <w:rsid w:val="00520539"/>
    <w:rsid w:val="00520A1C"/>
    <w:rsid w:val="0052184B"/>
    <w:rsid w:val="0052223D"/>
    <w:rsid w:val="0052237C"/>
    <w:rsid w:val="00523EAA"/>
    <w:rsid w:val="00525184"/>
    <w:rsid w:val="00525F70"/>
    <w:rsid w:val="00526C66"/>
    <w:rsid w:val="0052746A"/>
    <w:rsid w:val="005279AC"/>
    <w:rsid w:val="005328C8"/>
    <w:rsid w:val="00532DEB"/>
    <w:rsid w:val="00533CF9"/>
    <w:rsid w:val="00533D91"/>
    <w:rsid w:val="00534318"/>
    <w:rsid w:val="005433D3"/>
    <w:rsid w:val="00543E75"/>
    <w:rsid w:val="0054534B"/>
    <w:rsid w:val="005468CF"/>
    <w:rsid w:val="005474D5"/>
    <w:rsid w:val="00547CB8"/>
    <w:rsid w:val="00551E03"/>
    <w:rsid w:val="00553942"/>
    <w:rsid w:val="00553957"/>
    <w:rsid w:val="0055495D"/>
    <w:rsid w:val="00554ECB"/>
    <w:rsid w:val="0055585A"/>
    <w:rsid w:val="00556D4D"/>
    <w:rsid w:val="005612EA"/>
    <w:rsid w:val="00562C92"/>
    <w:rsid w:val="005641D4"/>
    <w:rsid w:val="00565F1B"/>
    <w:rsid w:val="00566690"/>
    <w:rsid w:val="00567C2D"/>
    <w:rsid w:val="0057069B"/>
    <w:rsid w:val="0057071A"/>
    <w:rsid w:val="00572E03"/>
    <w:rsid w:val="005735F6"/>
    <w:rsid w:val="00577A18"/>
    <w:rsid w:val="00581A89"/>
    <w:rsid w:val="005822A9"/>
    <w:rsid w:val="00582FF8"/>
    <w:rsid w:val="0058416C"/>
    <w:rsid w:val="005843F8"/>
    <w:rsid w:val="00584761"/>
    <w:rsid w:val="00586795"/>
    <w:rsid w:val="00586DCC"/>
    <w:rsid w:val="0058705A"/>
    <w:rsid w:val="00587E67"/>
    <w:rsid w:val="005922A8"/>
    <w:rsid w:val="005934AD"/>
    <w:rsid w:val="00595B5B"/>
    <w:rsid w:val="00595C7E"/>
    <w:rsid w:val="00597617"/>
    <w:rsid w:val="005A03AA"/>
    <w:rsid w:val="005A1978"/>
    <w:rsid w:val="005A3880"/>
    <w:rsid w:val="005A3CF4"/>
    <w:rsid w:val="005A3CFD"/>
    <w:rsid w:val="005A5D6C"/>
    <w:rsid w:val="005B01C2"/>
    <w:rsid w:val="005B191A"/>
    <w:rsid w:val="005B3756"/>
    <w:rsid w:val="005B51D9"/>
    <w:rsid w:val="005B6A69"/>
    <w:rsid w:val="005B779C"/>
    <w:rsid w:val="005B7CA7"/>
    <w:rsid w:val="005C01E6"/>
    <w:rsid w:val="005C1C86"/>
    <w:rsid w:val="005C4573"/>
    <w:rsid w:val="005C60EF"/>
    <w:rsid w:val="005C7ACC"/>
    <w:rsid w:val="005C7C83"/>
    <w:rsid w:val="005C7EBF"/>
    <w:rsid w:val="005D12E9"/>
    <w:rsid w:val="005D2105"/>
    <w:rsid w:val="005D26DE"/>
    <w:rsid w:val="005D4154"/>
    <w:rsid w:val="005D5F27"/>
    <w:rsid w:val="005E0394"/>
    <w:rsid w:val="005E17CC"/>
    <w:rsid w:val="005E237F"/>
    <w:rsid w:val="005E55D0"/>
    <w:rsid w:val="005E64DF"/>
    <w:rsid w:val="005E7797"/>
    <w:rsid w:val="005E7935"/>
    <w:rsid w:val="005F22E2"/>
    <w:rsid w:val="005F2FB1"/>
    <w:rsid w:val="005F306F"/>
    <w:rsid w:val="005F3C42"/>
    <w:rsid w:val="005F43DA"/>
    <w:rsid w:val="005F4AA7"/>
    <w:rsid w:val="005F4E87"/>
    <w:rsid w:val="005F50A7"/>
    <w:rsid w:val="005F61BF"/>
    <w:rsid w:val="005F7393"/>
    <w:rsid w:val="005F7822"/>
    <w:rsid w:val="005F7B64"/>
    <w:rsid w:val="00600925"/>
    <w:rsid w:val="00601EBA"/>
    <w:rsid w:val="0060322D"/>
    <w:rsid w:val="00603E84"/>
    <w:rsid w:val="00604DB6"/>
    <w:rsid w:val="00606234"/>
    <w:rsid w:val="00606A4B"/>
    <w:rsid w:val="0060710E"/>
    <w:rsid w:val="00610E68"/>
    <w:rsid w:val="00611467"/>
    <w:rsid w:val="00613E9F"/>
    <w:rsid w:val="00615FB2"/>
    <w:rsid w:val="00617EEB"/>
    <w:rsid w:val="0062189B"/>
    <w:rsid w:val="006225EB"/>
    <w:rsid w:val="00625444"/>
    <w:rsid w:val="006308E5"/>
    <w:rsid w:val="006308FC"/>
    <w:rsid w:val="00630AFD"/>
    <w:rsid w:val="006318EE"/>
    <w:rsid w:val="0063203B"/>
    <w:rsid w:val="00636559"/>
    <w:rsid w:val="00636920"/>
    <w:rsid w:val="00640506"/>
    <w:rsid w:val="0064177D"/>
    <w:rsid w:val="00645FDF"/>
    <w:rsid w:val="006461D5"/>
    <w:rsid w:val="00646217"/>
    <w:rsid w:val="00646DA5"/>
    <w:rsid w:val="006473D2"/>
    <w:rsid w:val="00647709"/>
    <w:rsid w:val="00651A85"/>
    <w:rsid w:val="006531A3"/>
    <w:rsid w:val="00654866"/>
    <w:rsid w:val="00656429"/>
    <w:rsid w:val="006565A5"/>
    <w:rsid w:val="006571C3"/>
    <w:rsid w:val="00660193"/>
    <w:rsid w:val="00660A78"/>
    <w:rsid w:val="00660B6F"/>
    <w:rsid w:val="00660F8D"/>
    <w:rsid w:val="00663A31"/>
    <w:rsid w:val="006642D8"/>
    <w:rsid w:val="006653E5"/>
    <w:rsid w:val="00665468"/>
    <w:rsid w:val="00665CBE"/>
    <w:rsid w:val="006712EF"/>
    <w:rsid w:val="0067141E"/>
    <w:rsid w:val="00671D63"/>
    <w:rsid w:val="00674788"/>
    <w:rsid w:val="0067486A"/>
    <w:rsid w:val="00676C22"/>
    <w:rsid w:val="00676EBA"/>
    <w:rsid w:val="0067784F"/>
    <w:rsid w:val="006805E1"/>
    <w:rsid w:val="0068193C"/>
    <w:rsid w:val="00683CEA"/>
    <w:rsid w:val="00683D38"/>
    <w:rsid w:val="006842D1"/>
    <w:rsid w:val="0068765E"/>
    <w:rsid w:val="00690B18"/>
    <w:rsid w:val="00691216"/>
    <w:rsid w:val="00691485"/>
    <w:rsid w:val="006925E5"/>
    <w:rsid w:val="00693A60"/>
    <w:rsid w:val="006942E4"/>
    <w:rsid w:val="00696140"/>
    <w:rsid w:val="0069743B"/>
    <w:rsid w:val="00697DBD"/>
    <w:rsid w:val="006A1470"/>
    <w:rsid w:val="006A2D84"/>
    <w:rsid w:val="006A3A6E"/>
    <w:rsid w:val="006A3E2A"/>
    <w:rsid w:val="006A58D4"/>
    <w:rsid w:val="006A65B3"/>
    <w:rsid w:val="006A65BE"/>
    <w:rsid w:val="006B0154"/>
    <w:rsid w:val="006B1AA3"/>
    <w:rsid w:val="006B2AC6"/>
    <w:rsid w:val="006B2D77"/>
    <w:rsid w:val="006B3E50"/>
    <w:rsid w:val="006B7378"/>
    <w:rsid w:val="006B77C6"/>
    <w:rsid w:val="006C0EDA"/>
    <w:rsid w:val="006C1EC0"/>
    <w:rsid w:val="006C4767"/>
    <w:rsid w:val="006D0DFF"/>
    <w:rsid w:val="006D1089"/>
    <w:rsid w:val="006D258F"/>
    <w:rsid w:val="006D26F7"/>
    <w:rsid w:val="006D3D7D"/>
    <w:rsid w:val="006E0617"/>
    <w:rsid w:val="006E0749"/>
    <w:rsid w:val="006E0756"/>
    <w:rsid w:val="006E0933"/>
    <w:rsid w:val="006E2FA9"/>
    <w:rsid w:val="006E3B56"/>
    <w:rsid w:val="006E51DA"/>
    <w:rsid w:val="006E591C"/>
    <w:rsid w:val="006E6DD8"/>
    <w:rsid w:val="006E7D82"/>
    <w:rsid w:val="006F04A5"/>
    <w:rsid w:val="006F33FE"/>
    <w:rsid w:val="006F3644"/>
    <w:rsid w:val="006F3FBA"/>
    <w:rsid w:val="006F614A"/>
    <w:rsid w:val="00700475"/>
    <w:rsid w:val="007016B4"/>
    <w:rsid w:val="00703E19"/>
    <w:rsid w:val="007054E6"/>
    <w:rsid w:val="00705C84"/>
    <w:rsid w:val="0071044E"/>
    <w:rsid w:val="00715363"/>
    <w:rsid w:val="0071568B"/>
    <w:rsid w:val="00715F6F"/>
    <w:rsid w:val="007177EE"/>
    <w:rsid w:val="007206EC"/>
    <w:rsid w:val="00720CF7"/>
    <w:rsid w:val="00721D88"/>
    <w:rsid w:val="007223D5"/>
    <w:rsid w:val="0072276C"/>
    <w:rsid w:val="00723562"/>
    <w:rsid w:val="00723699"/>
    <w:rsid w:val="007260FF"/>
    <w:rsid w:val="007265F8"/>
    <w:rsid w:val="00726E1E"/>
    <w:rsid w:val="00727E5E"/>
    <w:rsid w:val="00731B0D"/>
    <w:rsid w:val="007322AE"/>
    <w:rsid w:val="00732332"/>
    <w:rsid w:val="00735B61"/>
    <w:rsid w:val="007406E6"/>
    <w:rsid w:val="00741693"/>
    <w:rsid w:val="007427AE"/>
    <w:rsid w:val="0074442C"/>
    <w:rsid w:val="007519E8"/>
    <w:rsid w:val="007524B7"/>
    <w:rsid w:val="00756D19"/>
    <w:rsid w:val="0076033D"/>
    <w:rsid w:val="007606CA"/>
    <w:rsid w:val="00761317"/>
    <w:rsid w:val="00762F7A"/>
    <w:rsid w:val="0076659B"/>
    <w:rsid w:val="00767DD4"/>
    <w:rsid w:val="00770499"/>
    <w:rsid w:val="007726EE"/>
    <w:rsid w:val="00774112"/>
    <w:rsid w:val="0077764E"/>
    <w:rsid w:val="007800C6"/>
    <w:rsid w:val="007816B1"/>
    <w:rsid w:val="00781EC2"/>
    <w:rsid w:val="007826F8"/>
    <w:rsid w:val="00782E31"/>
    <w:rsid w:val="0078374A"/>
    <w:rsid w:val="00784CCE"/>
    <w:rsid w:val="0078570C"/>
    <w:rsid w:val="00786985"/>
    <w:rsid w:val="00786D86"/>
    <w:rsid w:val="0079280F"/>
    <w:rsid w:val="00792D41"/>
    <w:rsid w:val="00792E91"/>
    <w:rsid w:val="007950D5"/>
    <w:rsid w:val="00795877"/>
    <w:rsid w:val="007969B3"/>
    <w:rsid w:val="007972E8"/>
    <w:rsid w:val="00797FB5"/>
    <w:rsid w:val="007A120D"/>
    <w:rsid w:val="007A127E"/>
    <w:rsid w:val="007A130B"/>
    <w:rsid w:val="007A2267"/>
    <w:rsid w:val="007A3F83"/>
    <w:rsid w:val="007A4225"/>
    <w:rsid w:val="007A4274"/>
    <w:rsid w:val="007A7041"/>
    <w:rsid w:val="007B394D"/>
    <w:rsid w:val="007B6673"/>
    <w:rsid w:val="007B7920"/>
    <w:rsid w:val="007B7AA8"/>
    <w:rsid w:val="007C1AFB"/>
    <w:rsid w:val="007C239C"/>
    <w:rsid w:val="007C4CF8"/>
    <w:rsid w:val="007C4E43"/>
    <w:rsid w:val="007C57CF"/>
    <w:rsid w:val="007C7760"/>
    <w:rsid w:val="007C7FDF"/>
    <w:rsid w:val="007D0775"/>
    <w:rsid w:val="007D0949"/>
    <w:rsid w:val="007D2939"/>
    <w:rsid w:val="007D3093"/>
    <w:rsid w:val="007D4042"/>
    <w:rsid w:val="007D43DE"/>
    <w:rsid w:val="007D4B08"/>
    <w:rsid w:val="007D51E9"/>
    <w:rsid w:val="007D55A5"/>
    <w:rsid w:val="007D6108"/>
    <w:rsid w:val="007D6D20"/>
    <w:rsid w:val="007D6DA9"/>
    <w:rsid w:val="007D6EB8"/>
    <w:rsid w:val="007D7018"/>
    <w:rsid w:val="007E01B7"/>
    <w:rsid w:val="007E2155"/>
    <w:rsid w:val="007E25EC"/>
    <w:rsid w:val="007E2F24"/>
    <w:rsid w:val="007E3C05"/>
    <w:rsid w:val="007E4999"/>
    <w:rsid w:val="007E5761"/>
    <w:rsid w:val="007E703D"/>
    <w:rsid w:val="007E71DB"/>
    <w:rsid w:val="007F24F4"/>
    <w:rsid w:val="007F42AC"/>
    <w:rsid w:val="007F78D8"/>
    <w:rsid w:val="00800677"/>
    <w:rsid w:val="0080482B"/>
    <w:rsid w:val="0080489D"/>
    <w:rsid w:val="008050DD"/>
    <w:rsid w:val="008125E0"/>
    <w:rsid w:val="00813FF8"/>
    <w:rsid w:val="00814266"/>
    <w:rsid w:val="00815653"/>
    <w:rsid w:val="0081668B"/>
    <w:rsid w:val="00820745"/>
    <w:rsid w:val="008219FB"/>
    <w:rsid w:val="008223EB"/>
    <w:rsid w:val="00822DD7"/>
    <w:rsid w:val="00825303"/>
    <w:rsid w:val="00826CE0"/>
    <w:rsid w:val="008301F0"/>
    <w:rsid w:val="008303A8"/>
    <w:rsid w:val="00832837"/>
    <w:rsid w:val="00832E0B"/>
    <w:rsid w:val="008367D1"/>
    <w:rsid w:val="00840C2C"/>
    <w:rsid w:val="0084243D"/>
    <w:rsid w:val="008443E5"/>
    <w:rsid w:val="0084499F"/>
    <w:rsid w:val="0084715B"/>
    <w:rsid w:val="0084758D"/>
    <w:rsid w:val="0084785F"/>
    <w:rsid w:val="00850509"/>
    <w:rsid w:val="008532A5"/>
    <w:rsid w:val="00854409"/>
    <w:rsid w:val="00855217"/>
    <w:rsid w:val="00857A0D"/>
    <w:rsid w:val="00861F17"/>
    <w:rsid w:val="00865208"/>
    <w:rsid w:val="00873670"/>
    <w:rsid w:val="00873FF6"/>
    <w:rsid w:val="00876634"/>
    <w:rsid w:val="008800BB"/>
    <w:rsid w:val="00880EB2"/>
    <w:rsid w:val="008828AC"/>
    <w:rsid w:val="008846BB"/>
    <w:rsid w:val="008856D4"/>
    <w:rsid w:val="00887AA1"/>
    <w:rsid w:val="00890624"/>
    <w:rsid w:val="00891C61"/>
    <w:rsid w:val="00892BFF"/>
    <w:rsid w:val="00892ECF"/>
    <w:rsid w:val="00896A4D"/>
    <w:rsid w:val="00897731"/>
    <w:rsid w:val="008978EF"/>
    <w:rsid w:val="008A00EB"/>
    <w:rsid w:val="008A06AE"/>
    <w:rsid w:val="008A25D1"/>
    <w:rsid w:val="008A4942"/>
    <w:rsid w:val="008A71A5"/>
    <w:rsid w:val="008B36F3"/>
    <w:rsid w:val="008B3A2E"/>
    <w:rsid w:val="008C04F4"/>
    <w:rsid w:val="008C0A6E"/>
    <w:rsid w:val="008C1EC7"/>
    <w:rsid w:val="008C421E"/>
    <w:rsid w:val="008C47EA"/>
    <w:rsid w:val="008C4EBE"/>
    <w:rsid w:val="008C5A24"/>
    <w:rsid w:val="008C7719"/>
    <w:rsid w:val="008C7A8A"/>
    <w:rsid w:val="008C7B17"/>
    <w:rsid w:val="008C7ECE"/>
    <w:rsid w:val="008D1C99"/>
    <w:rsid w:val="008D1CD2"/>
    <w:rsid w:val="008D2EE0"/>
    <w:rsid w:val="008D526B"/>
    <w:rsid w:val="008D6BE7"/>
    <w:rsid w:val="008D711B"/>
    <w:rsid w:val="008D78CB"/>
    <w:rsid w:val="008D7BA7"/>
    <w:rsid w:val="008E0014"/>
    <w:rsid w:val="008E2C08"/>
    <w:rsid w:val="008E70F9"/>
    <w:rsid w:val="008F0ED2"/>
    <w:rsid w:val="008F1945"/>
    <w:rsid w:val="008F1979"/>
    <w:rsid w:val="008F2566"/>
    <w:rsid w:val="008F3FA5"/>
    <w:rsid w:val="008F6BE8"/>
    <w:rsid w:val="008F70B7"/>
    <w:rsid w:val="00900449"/>
    <w:rsid w:val="009048EF"/>
    <w:rsid w:val="00905C68"/>
    <w:rsid w:val="009066D3"/>
    <w:rsid w:val="009073D2"/>
    <w:rsid w:val="00910B76"/>
    <w:rsid w:val="009110CF"/>
    <w:rsid w:val="0091175D"/>
    <w:rsid w:val="009117EB"/>
    <w:rsid w:val="00911F01"/>
    <w:rsid w:val="00912479"/>
    <w:rsid w:val="00913581"/>
    <w:rsid w:val="0091374C"/>
    <w:rsid w:val="00913D88"/>
    <w:rsid w:val="00920C79"/>
    <w:rsid w:val="00920D86"/>
    <w:rsid w:val="00925BE2"/>
    <w:rsid w:val="00926371"/>
    <w:rsid w:val="009266B2"/>
    <w:rsid w:val="00926845"/>
    <w:rsid w:val="009300F4"/>
    <w:rsid w:val="00930189"/>
    <w:rsid w:val="00930D7B"/>
    <w:rsid w:val="00932915"/>
    <w:rsid w:val="00936A02"/>
    <w:rsid w:val="0093710D"/>
    <w:rsid w:val="00940402"/>
    <w:rsid w:val="009412E8"/>
    <w:rsid w:val="0094140F"/>
    <w:rsid w:val="0094145D"/>
    <w:rsid w:val="00941784"/>
    <w:rsid w:val="009421DF"/>
    <w:rsid w:val="00942EF5"/>
    <w:rsid w:val="0094367A"/>
    <w:rsid w:val="00944F10"/>
    <w:rsid w:val="0094503D"/>
    <w:rsid w:val="00947EE4"/>
    <w:rsid w:val="009506A4"/>
    <w:rsid w:val="009523E0"/>
    <w:rsid w:val="00952710"/>
    <w:rsid w:val="00954765"/>
    <w:rsid w:val="00954DB7"/>
    <w:rsid w:val="0095648B"/>
    <w:rsid w:val="0096099E"/>
    <w:rsid w:val="00965B49"/>
    <w:rsid w:val="00967230"/>
    <w:rsid w:val="00970DAB"/>
    <w:rsid w:val="0097255B"/>
    <w:rsid w:val="009726A4"/>
    <w:rsid w:val="00973336"/>
    <w:rsid w:val="009758F2"/>
    <w:rsid w:val="0097751F"/>
    <w:rsid w:val="00977946"/>
    <w:rsid w:val="00977D0E"/>
    <w:rsid w:val="00980614"/>
    <w:rsid w:val="00983602"/>
    <w:rsid w:val="00983F26"/>
    <w:rsid w:val="00985AD0"/>
    <w:rsid w:val="0098675F"/>
    <w:rsid w:val="00987E06"/>
    <w:rsid w:val="00991E49"/>
    <w:rsid w:val="00991ED6"/>
    <w:rsid w:val="00993872"/>
    <w:rsid w:val="00994E77"/>
    <w:rsid w:val="009951E3"/>
    <w:rsid w:val="009A1261"/>
    <w:rsid w:val="009A14C4"/>
    <w:rsid w:val="009A2827"/>
    <w:rsid w:val="009A306C"/>
    <w:rsid w:val="009A357D"/>
    <w:rsid w:val="009A35BC"/>
    <w:rsid w:val="009A406E"/>
    <w:rsid w:val="009A443B"/>
    <w:rsid w:val="009A4ECB"/>
    <w:rsid w:val="009B2233"/>
    <w:rsid w:val="009B3B05"/>
    <w:rsid w:val="009B4C8F"/>
    <w:rsid w:val="009B681C"/>
    <w:rsid w:val="009B75C2"/>
    <w:rsid w:val="009C197C"/>
    <w:rsid w:val="009C2C79"/>
    <w:rsid w:val="009C39BB"/>
    <w:rsid w:val="009C3B66"/>
    <w:rsid w:val="009C53E4"/>
    <w:rsid w:val="009D0117"/>
    <w:rsid w:val="009D1B34"/>
    <w:rsid w:val="009D4B9D"/>
    <w:rsid w:val="009D4C81"/>
    <w:rsid w:val="009D511A"/>
    <w:rsid w:val="009D7057"/>
    <w:rsid w:val="009D765B"/>
    <w:rsid w:val="009E13B2"/>
    <w:rsid w:val="009E3EA7"/>
    <w:rsid w:val="009E7B0D"/>
    <w:rsid w:val="009F0123"/>
    <w:rsid w:val="009F14B0"/>
    <w:rsid w:val="009F2F44"/>
    <w:rsid w:val="009F3354"/>
    <w:rsid w:val="009F341C"/>
    <w:rsid w:val="009F4128"/>
    <w:rsid w:val="009F4DBD"/>
    <w:rsid w:val="009F54F3"/>
    <w:rsid w:val="009F71B8"/>
    <w:rsid w:val="00A02F89"/>
    <w:rsid w:val="00A039C8"/>
    <w:rsid w:val="00A049AC"/>
    <w:rsid w:val="00A04BD0"/>
    <w:rsid w:val="00A076D5"/>
    <w:rsid w:val="00A10399"/>
    <w:rsid w:val="00A10921"/>
    <w:rsid w:val="00A10922"/>
    <w:rsid w:val="00A111A1"/>
    <w:rsid w:val="00A122D3"/>
    <w:rsid w:val="00A13145"/>
    <w:rsid w:val="00A1654D"/>
    <w:rsid w:val="00A212AD"/>
    <w:rsid w:val="00A22036"/>
    <w:rsid w:val="00A234FC"/>
    <w:rsid w:val="00A259F9"/>
    <w:rsid w:val="00A27E3E"/>
    <w:rsid w:val="00A3069E"/>
    <w:rsid w:val="00A32DCA"/>
    <w:rsid w:val="00A357AD"/>
    <w:rsid w:val="00A3682B"/>
    <w:rsid w:val="00A4234D"/>
    <w:rsid w:val="00A4508C"/>
    <w:rsid w:val="00A50036"/>
    <w:rsid w:val="00A56EBA"/>
    <w:rsid w:val="00A5BCDE"/>
    <w:rsid w:val="00A61F3E"/>
    <w:rsid w:val="00A63879"/>
    <w:rsid w:val="00A65EC9"/>
    <w:rsid w:val="00A65FA7"/>
    <w:rsid w:val="00A66010"/>
    <w:rsid w:val="00A672D0"/>
    <w:rsid w:val="00A6786F"/>
    <w:rsid w:val="00A70696"/>
    <w:rsid w:val="00A711AF"/>
    <w:rsid w:val="00A713F0"/>
    <w:rsid w:val="00A71EDA"/>
    <w:rsid w:val="00A726E2"/>
    <w:rsid w:val="00A73DE8"/>
    <w:rsid w:val="00A75F5F"/>
    <w:rsid w:val="00A76ECF"/>
    <w:rsid w:val="00A77695"/>
    <w:rsid w:val="00A832DE"/>
    <w:rsid w:val="00A8381D"/>
    <w:rsid w:val="00A83E20"/>
    <w:rsid w:val="00A8671D"/>
    <w:rsid w:val="00A86E77"/>
    <w:rsid w:val="00A879FA"/>
    <w:rsid w:val="00A9004B"/>
    <w:rsid w:val="00A90A53"/>
    <w:rsid w:val="00A90A8F"/>
    <w:rsid w:val="00A91E37"/>
    <w:rsid w:val="00A97FDD"/>
    <w:rsid w:val="00AA0070"/>
    <w:rsid w:val="00AA007D"/>
    <w:rsid w:val="00AA0779"/>
    <w:rsid w:val="00AA1CB4"/>
    <w:rsid w:val="00AA4595"/>
    <w:rsid w:val="00AA4CBE"/>
    <w:rsid w:val="00AA5FC0"/>
    <w:rsid w:val="00AA6F62"/>
    <w:rsid w:val="00AB3012"/>
    <w:rsid w:val="00AB34CB"/>
    <w:rsid w:val="00AB3D6E"/>
    <w:rsid w:val="00AB54FF"/>
    <w:rsid w:val="00AB75CE"/>
    <w:rsid w:val="00AB77D3"/>
    <w:rsid w:val="00AC0302"/>
    <w:rsid w:val="00AC05D1"/>
    <w:rsid w:val="00AC0A88"/>
    <w:rsid w:val="00AC1ECD"/>
    <w:rsid w:val="00AC1F0D"/>
    <w:rsid w:val="00AC2913"/>
    <w:rsid w:val="00AC310B"/>
    <w:rsid w:val="00AC5164"/>
    <w:rsid w:val="00AC6DD5"/>
    <w:rsid w:val="00AC770D"/>
    <w:rsid w:val="00AD184F"/>
    <w:rsid w:val="00AD23F8"/>
    <w:rsid w:val="00AD391D"/>
    <w:rsid w:val="00AD47E0"/>
    <w:rsid w:val="00AD4A9D"/>
    <w:rsid w:val="00AD4C5C"/>
    <w:rsid w:val="00AD4F09"/>
    <w:rsid w:val="00AD5517"/>
    <w:rsid w:val="00AD630F"/>
    <w:rsid w:val="00AD6B8A"/>
    <w:rsid w:val="00AE01CB"/>
    <w:rsid w:val="00AE0533"/>
    <w:rsid w:val="00AE344B"/>
    <w:rsid w:val="00AE44C9"/>
    <w:rsid w:val="00AE5BC0"/>
    <w:rsid w:val="00AE7DD8"/>
    <w:rsid w:val="00AF03E7"/>
    <w:rsid w:val="00AF06DE"/>
    <w:rsid w:val="00AF14DA"/>
    <w:rsid w:val="00AF1C02"/>
    <w:rsid w:val="00AF2CB8"/>
    <w:rsid w:val="00AF2CF1"/>
    <w:rsid w:val="00AF46BD"/>
    <w:rsid w:val="00AF51EA"/>
    <w:rsid w:val="00AF6A23"/>
    <w:rsid w:val="00AF7730"/>
    <w:rsid w:val="00B01C10"/>
    <w:rsid w:val="00B01DFB"/>
    <w:rsid w:val="00B0209B"/>
    <w:rsid w:val="00B0246E"/>
    <w:rsid w:val="00B0539B"/>
    <w:rsid w:val="00B065AD"/>
    <w:rsid w:val="00B0755B"/>
    <w:rsid w:val="00B07765"/>
    <w:rsid w:val="00B079D5"/>
    <w:rsid w:val="00B10DA3"/>
    <w:rsid w:val="00B1265A"/>
    <w:rsid w:val="00B13A81"/>
    <w:rsid w:val="00B1417B"/>
    <w:rsid w:val="00B155DB"/>
    <w:rsid w:val="00B16F5A"/>
    <w:rsid w:val="00B21A74"/>
    <w:rsid w:val="00B22178"/>
    <w:rsid w:val="00B246A4"/>
    <w:rsid w:val="00B24749"/>
    <w:rsid w:val="00B25368"/>
    <w:rsid w:val="00B265F5"/>
    <w:rsid w:val="00B314B1"/>
    <w:rsid w:val="00B319E2"/>
    <w:rsid w:val="00B321A7"/>
    <w:rsid w:val="00B32B73"/>
    <w:rsid w:val="00B33998"/>
    <w:rsid w:val="00B34742"/>
    <w:rsid w:val="00B35E33"/>
    <w:rsid w:val="00B36BE6"/>
    <w:rsid w:val="00B37840"/>
    <w:rsid w:val="00B37A3B"/>
    <w:rsid w:val="00B41CC7"/>
    <w:rsid w:val="00B42014"/>
    <w:rsid w:val="00B45745"/>
    <w:rsid w:val="00B46813"/>
    <w:rsid w:val="00B46F1B"/>
    <w:rsid w:val="00B50F2F"/>
    <w:rsid w:val="00B524AA"/>
    <w:rsid w:val="00B52A14"/>
    <w:rsid w:val="00B5399C"/>
    <w:rsid w:val="00B53A9F"/>
    <w:rsid w:val="00B55481"/>
    <w:rsid w:val="00B559BC"/>
    <w:rsid w:val="00B56725"/>
    <w:rsid w:val="00B56E3A"/>
    <w:rsid w:val="00B60014"/>
    <w:rsid w:val="00B64AC7"/>
    <w:rsid w:val="00B64D57"/>
    <w:rsid w:val="00B654B2"/>
    <w:rsid w:val="00B666F8"/>
    <w:rsid w:val="00B668D6"/>
    <w:rsid w:val="00B66BFB"/>
    <w:rsid w:val="00B76CC8"/>
    <w:rsid w:val="00B77754"/>
    <w:rsid w:val="00B778F1"/>
    <w:rsid w:val="00B804B6"/>
    <w:rsid w:val="00B838C3"/>
    <w:rsid w:val="00B8445B"/>
    <w:rsid w:val="00B846CE"/>
    <w:rsid w:val="00B86E1D"/>
    <w:rsid w:val="00B86F7D"/>
    <w:rsid w:val="00B8758A"/>
    <w:rsid w:val="00B95B3F"/>
    <w:rsid w:val="00B95F4E"/>
    <w:rsid w:val="00B95FB9"/>
    <w:rsid w:val="00B96321"/>
    <w:rsid w:val="00B97444"/>
    <w:rsid w:val="00B9789B"/>
    <w:rsid w:val="00BA2708"/>
    <w:rsid w:val="00BA277B"/>
    <w:rsid w:val="00BA3A23"/>
    <w:rsid w:val="00BA4F6F"/>
    <w:rsid w:val="00BA56E3"/>
    <w:rsid w:val="00BA6FE8"/>
    <w:rsid w:val="00BB2DBC"/>
    <w:rsid w:val="00BB39EA"/>
    <w:rsid w:val="00BB4CC6"/>
    <w:rsid w:val="00BB5C4C"/>
    <w:rsid w:val="00BB61FC"/>
    <w:rsid w:val="00BC3327"/>
    <w:rsid w:val="00BC3987"/>
    <w:rsid w:val="00BC7C11"/>
    <w:rsid w:val="00BD1062"/>
    <w:rsid w:val="00BD2EAC"/>
    <w:rsid w:val="00BD3E01"/>
    <w:rsid w:val="00BD4E44"/>
    <w:rsid w:val="00BD5415"/>
    <w:rsid w:val="00BD6574"/>
    <w:rsid w:val="00BD6DF3"/>
    <w:rsid w:val="00BE219D"/>
    <w:rsid w:val="00BE4A98"/>
    <w:rsid w:val="00BE5A55"/>
    <w:rsid w:val="00BE6A16"/>
    <w:rsid w:val="00BF6D73"/>
    <w:rsid w:val="00BF7D30"/>
    <w:rsid w:val="00C0279F"/>
    <w:rsid w:val="00C0535A"/>
    <w:rsid w:val="00C0663B"/>
    <w:rsid w:val="00C078CC"/>
    <w:rsid w:val="00C106A5"/>
    <w:rsid w:val="00C12367"/>
    <w:rsid w:val="00C1665F"/>
    <w:rsid w:val="00C16FDC"/>
    <w:rsid w:val="00C22D17"/>
    <w:rsid w:val="00C235EA"/>
    <w:rsid w:val="00C30274"/>
    <w:rsid w:val="00C31917"/>
    <w:rsid w:val="00C345B1"/>
    <w:rsid w:val="00C3461C"/>
    <w:rsid w:val="00C3521E"/>
    <w:rsid w:val="00C37F85"/>
    <w:rsid w:val="00C403FF"/>
    <w:rsid w:val="00C404A7"/>
    <w:rsid w:val="00C44D94"/>
    <w:rsid w:val="00C46D31"/>
    <w:rsid w:val="00C5568A"/>
    <w:rsid w:val="00C56EEB"/>
    <w:rsid w:val="00C613DF"/>
    <w:rsid w:val="00C62202"/>
    <w:rsid w:val="00C62CE0"/>
    <w:rsid w:val="00C67189"/>
    <w:rsid w:val="00C715E5"/>
    <w:rsid w:val="00C7192C"/>
    <w:rsid w:val="00C72F12"/>
    <w:rsid w:val="00C740CA"/>
    <w:rsid w:val="00C757F8"/>
    <w:rsid w:val="00C769F0"/>
    <w:rsid w:val="00C80DDB"/>
    <w:rsid w:val="00C8122B"/>
    <w:rsid w:val="00C81E78"/>
    <w:rsid w:val="00C82CC4"/>
    <w:rsid w:val="00C8308A"/>
    <w:rsid w:val="00C85079"/>
    <w:rsid w:val="00C85EC1"/>
    <w:rsid w:val="00C86F55"/>
    <w:rsid w:val="00C86FBA"/>
    <w:rsid w:val="00C873F2"/>
    <w:rsid w:val="00C906F7"/>
    <w:rsid w:val="00C907D4"/>
    <w:rsid w:val="00C92B94"/>
    <w:rsid w:val="00C9467C"/>
    <w:rsid w:val="00C959E4"/>
    <w:rsid w:val="00C96200"/>
    <w:rsid w:val="00C96575"/>
    <w:rsid w:val="00C965CF"/>
    <w:rsid w:val="00C96612"/>
    <w:rsid w:val="00CA2CCC"/>
    <w:rsid w:val="00CA2FAF"/>
    <w:rsid w:val="00CA61C4"/>
    <w:rsid w:val="00CB1200"/>
    <w:rsid w:val="00CB4CFE"/>
    <w:rsid w:val="00CB511E"/>
    <w:rsid w:val="00CB5C39"/>
    <w:rsid w:val="00CB6317"/>
    <w:rsid w:val="00CC045C"/>
    <w:rsid w:val="00CC2464"/>
    <w:rsid w:val="00CC5942"/>
    <w:rsid w:val="00CC62D8"/>
    <w:rsid w:val="00CD1C2D"/>
    <w:rsid w:val="00CD25EF"/>
    <w:rsid w:val="00CD2FC5"/>
    <w:rsid w:val="00CD3D32"/>
    <w:rsid w:val="00CD41A0"/>
    <w:rsid w:val="00CD4528"/>
    <w:rsid w:val="00CE1EC5"/>
    <w:rsid w:val="00CE6576"/>
    <w:rsid w:val="00CF1E0A"/>
    <w:rsid w:val="00CF2071"/>
    <w:rsid w:val="00CF5422"/>
    <w:rsid w:val="00CF69A5"/>
    <w:rsid w:val="00CF7D04"/>
    <w:rsid w:val="00D00C7E"/>
    <w:rsid w:val="00D00E41"/>
    <w:rsid w:val="00D01009"/>
    <w:rsid w:val="00D01DEE"/>
    <w:rsid w:val="00D02D6C"/>
    <w:rsid w:val="00D035F2"/>
    <w:rsid w:val="00D03BB7"/>
    <w:rsid w:val="00D05079"/>
    <w:rsid w:val="00D10163"/>
    <w:rsid w:val="00D14545"/>
    <w:rsid w:val="00D1536E"/>
    <w:rsid w:val="00D16125"/>
    <w:rsid w:val="00D20D1E"/>
    <w:rsid w:val="00D214BF"/>
    <w:rsid w:val="00D219FF"/>
    <w:rsid w:val="00D241C0"/>
    <w:rsid w:val="00D24F66"/>
    <w:rsid w:val="00D25171"/>
    <w:rsid w:val="00D25E32"/>
    <w:rsid w:val="00D265DF"/>
    <w:rsid w:val="00D302C3"/>
    <w:rsid w:val="00D32034"/>
    <w:rsid w:val="00D329BC"/>
    <w:rsid w:val="00D344F5"/>
    <w:rsid w:val="00D34B2F"/>
    <w:rsid w:val="00D373F1"/>
    <w:rsid w:val="00D41A23"/>
    <w:rsid w:val="00D42D4D"/>
    <w:rsid w:val="00D4392B"/>
    <w:rsid w:val="00D43EBC"/>
    <w:rsid w:val="00D4567C"/>
    <w:rsid w:val="00D461DD"/>
    <w:rsid w:val="00D5066A"/>
    <w:rsid w:val="00D509C2"/>
    <w:rsid w:val="00D51822"/>
    <w:rsid w:val="00D5588D"/>
    <w:rsid w:val="00D56740"/>
    <w:rsid w:val="00D60DC0"/>
    <w:rsid w:val="00D60F99"/>
    <w:rsid w:val="00D61F08"/>
    <w:rsid w:val="00D6396E"/>
    <w:rsid w:val="00D64056"/>
    <w:rsid w:val="00D6412B"/>
    <w:rsid w:val="00D65280"/>
    <w:rsid w:val="00D66262"/>
    <w:rsid w:val="00D665D1"/>
    <w:rsid w:val="00D70DBD"/>
    <w:rsid w:val="00D71120"/>
    <w:rsid w:val="00D73498"/>
    <w:rsid w:val="00D75FD9"/>
    <w:rsid w:val="00D76C11"/>
    <w:rsid w:val="00D82333"/>
    <w:rsid w:val="00D82500"/>
    <w:rsid w:val="00D82D88"/>
    <w:rsid w:val="00D841CA"/>
    <w:rsid w:val="00D84F21"/>
    <w:rsid w:val="00D879FA"/>
    <w:rsid w:val="00D90DFD"/>
    <w:rsid w:val="00D958BC"/>
    <w:rsid w:val="00D95BC2"/>
    <w:rsid w:val="00D96F2A"/>
    <w:rsid w:val="00DA1EED"/>
    <w:rsid w:val="00DA2733"/>
    <w:rsid w:val="00DA2F70"/>
    <w:rsid w:val="00DA37AC"/>
    <w:rsid w:val="00DA43EA"/>
    <w:rsid w:val="00DA59E3"/>
    <w:rsid w:val="00DA64FA"/>
    <w:rsid w:val="00DA737C"/>
    <w:rsid w:val="00DA7907"/>
    <w:rsid w:val="00DA7A89"/>
    <w:rsid w:val="00DB1BA7"/>
    <w:rsid w:val="00DB2778"/>
    <w:rsid w:val="00DB4AFB"/>
    <w:rsid w:val="00DB5245"/>
    <w:rsid w:val="00DB6742"/>
    <w:rsid w:val="00DB7B7D"/>
    <w:rsid w:val="00DC076D"/>
    <w:rsid w:val="00DC109A"/>
    <w:rsid w:val="00DC1787"/>
    <w:rsid w:val="00DC4230"/>
    <w:rsid w:val="00DC4BD3"/>
    <w:rsid w:val="00DC570A"/>
    <w:rsid w:val="00DC77EC"/>
    <w:rsid w:val="00DD667E"/>
    <w:rsid w:val="00DD78C8"/>
    <w:rsid w:val="00DD7F21"/>
    <w:rsid w:val="00DE06E8"/>
    <w:rsid w:val="00DE1642"/>
    <w:rsid w:val="00DE2EF6"/>
    <w:rsid w:val="00DE2FF3"/>
    <w:rsid w:val="00DE37A0"/>
    <w:rsid w:val="00DE3844"/>
    <w:rsid w:val="00DE3E3A"/>
    <w:rsid w:val="00DE3E7C"/>
    <w:rsid w:val="00DE428A"/>
    <w:rsid w:val="00DE6222"/>
    <w:rsid w:val="00DE64D9"/>
    <w:rsid w:val="00DE7899"/>
    <w:rsid w:val="00DF02E8"/>
    <w:rsid w:val="00DF05C0"/>
    <w:rsid w:val="00DF089D"/>
    <w:rsid w:val="00DF2027"/>
    <w:rsid w:val="00DF221A"/>
    <w:rsid w:val="00DF3280"/>
    <w:rsid w:val="00DF50BD"/>
    <w:rsid w:val="00DF5940"/>
    <w:rsid w:val="00E00C73"/>
    <w:rsid w:val="00E01221"/>
    <w:rsid w:val="00E013B2"/>
    <w:rsid w:val="00E02054"/>
    <w:rsid w:val="00E025AF"/>
    <w:rsid w:val="00E04677"/>
    <w:rsid w:val="00E04805"/>
    <w:rsid w:val="00E0520B"/>
    <w:rsid w:val="00E06952"/>
    <w:rsid w:val="00E0727D"/>
    <w:rsid w:val="00E10861"/>
    <w:rsid w:val="00E11611"/>
    <w:rsid w:val="00E1430E"/>
    <w:rsid w:val="00E177F4"/>
    <w:rsid w:val="00E234C8"/>
    <w:rsid w:val="00E24207"/>
    <w:rsid w:val="00E25970"/>
    <w:rsid w:val="00E2796C"/>
    <w:rsid w:val="00E3012A"/>
    <w:rsid w:val="00E30301"/>
    <w:rsid w:val="00E305B5"/>
    <w:rsid w:val="00E3118F"/>
    <w:rsid w:val="00E32FBC"/>
    <w:rsid w:val="00E33361"/>
    <w:rsid w:val="00E339FE"/>
    <w:rsid w:val="00E35425"/>
    <w:rsid w:val="00E3599D"/>
    <w:rsid w:val="00E36759"/>
    <w:rsid w:val="00E36FC7"/>
    <w:rsid w:val="00E37521"/>
    <w:rsid w:val="00E404A0"/>
    <w:rsid w:val="00E42A26"/>
    <w:rsid w:val="00E42F60"/>
    <w:rsid w:val="00E4342C"/>
    <w:rsid w:val="00E4351C"/>
    <w:rsid w:val="00E445A5"/>
    <w:rsid w:val="00E44BAE"/>
    <w:rsid w:val="00E44F45"/>
    <w:rsid w:val="00E45254"/>
    <w:rsid w:val="00E45656"/>
    <w:rsid w:val="00E47A74"/>
    <w:rsid w:val="00E50C3D"/>
    <w:rsid w:val="00E5248B"/>
    <w:rsid w:val="00E557BF"/>
    <w:rsid w:val="00E557D3"/>
    <w:rsid w:val="00E566B0"/>
    <w:rsid w:val="00E56A7B"/>
    <w:rsid w:val="00E6016B"/>
    <w:rsid w:val="00E6049D"/>
    <w:rsid w:val="00E606B3"/>
    <w:rsid w:val="00E6293B"/>
    <w:rsid w:val="00E65200"/>
    <w:rsid w:val="00E65393"/>
    <w:rsid w:val="00E663C5"/>
    <w:rsid w:val="00E67B4E"/>
    <w:rsid w:val="00E67EDC"/>
    <w:rsid w:val="00E70DC9"/>
    <w:rsid w:val="00E759CC"/>
    <w:rsid w:val="00E76713"/>
    <w:rsid w:val="00E82896"/>
    <w:rsid w:val="00E85D4B"/>
    <w:rsid w:val="00E86292"/>
    <w:rsid w:val="00E864A0"/>
    <w:rsid w:val="00E86AFA"/>
    <w:rsid w:val="00E8727B"/>
    <w:rsid w:val="00E91221"/>
    <w:rsid w:val="00E92036"/>
    <w:rsid w:val="00E92671"/>
    <w:rsid w:val="00E9357E"/>
    <w:rsid w:val="00E9461E"/>
    <w:rsid w:val="00E94C77"/>
    <w:rsid w:val="00E95B3F"/>
    <w:rsid w:val="00EA049E"/>
    <w:rsid w:val="00EA08E4"/>
    <w:rsid w:val="00EA0AC4"/>
    <w:rsid w:val="00EA10D2"/>
    <w:rsid w:val="00EA26EA"/>
    <w:rsid w:val="00EA2B39"/>
    <w:rsid w:val="00EA31FC"/>
    <w:rsid w:val="00EA3701"/>
    <w:rsid w:val="00EA5013"/>
    <w:rsid w:val="00EA59CE"/>
    <w:rsid w:val="00EB3377"/>
    <w:rsid w:val="00EB3B59"/>
    <w:rsid w:val="00EB5544"/>
    <w:rsid w:val="00EB6EAD"/>
    <w:rsid w:val="00EB7F77"/>
    <w:rsid w:val="00EC0442"/>
    <w:rsid w:val="00EC0525"/>
    <w:rsid w:val="00EC1B45"/>
    <w:rsid w:val="00EC2607"/>
    <w:rsid w:val="00EC3279"/>
    <w:rsid w:val="00EC3C0A"/>
    <w:rsid w:val="00EC60AB"/>
    <w:rsid w:val="00EC651F"/>
    <w:rsid w:val="00ED0111"/>
    <w:rsid w:val="00ED1970"/>
    <w:rsid w:val="00ED1C38"/>
    <w:rsid w:val="00ED2B49"/>
    <w:rsid w:val="00ED2CE1"/>
    <w:rsid w:val="00ED2E92"/>
    <w:rsid w:val="00ED35D9"/>
    <w:rsid w:val="00EE0BAB"/>
    <w:rsid w:val="00EE15C8"/>
    <w:rsid w:val="00EE1A45"/>
    <w:rsid w:val="00EE2680"/>
    <w:rsid w:val="00EE2702"/>
    <w:rsid w:val="00EE386C"/>
    <w:rsid w:val="00EE3FB7"/>
    <w:rsid w:val="00EE5901"/>
    <w:rsid w:val="00EE5C23"/>
    <w:rsid w:val="00EE77A5"/>
    <w:rsid w:val="00EF0FD7"/>
    <w:rsid w:val="00EF280C"/>
    <w:rsid w:val="00EF33C4"/>
    <w:rsid w:val="00EF3D10"/>
    <w:rsid w:val="00EF588E"/>
    <w:rsid w:val="00EF78B3"/>
    <w:rsid w:val="00F017E3"/>
    <w:rsid w:val="00F02AED"/>
    <w:rsid w:val="00F04A5E"/>
    <w:rsid w:val="00F0500B"/>
    <w:rsid w:val="00F05175"/>
    <w:rsid w:val="00F057DD"/>
    <w:rsid w:val="00F068AE"/>
    <w:rsid w:val="00F06C3D"/>
    <w:rsid w:val="00F07210"/>
    <w:rsid w:val="00F079A7"/>
    <w:rsid w:val="00F07B39"/>
    <w:rsid w:val="00F10389"/>
    <w:rsid w:val="00F113BF"/>
    <w:rsid w:val="00F115FB"/>
    <w:rsid w:val="00F141F4"/>
    <w:rsid w:val="00F15524"/>
    <w:rsid w:val="00F16533"/>
    <w:rsid w:val="00F16E9F"/>
    <w:rsid w:val="00F2018B"/>
    <w:rsid w:val="00F2022C"/>
    <w:rsid w:val="00F20F3B"/>
    <w:rsid w:val="00F21459"/>
    <w:rsid w:val="00F23D2C"/>
    <w:rsid w:val="00F257B3"/>
    <w:rsid w:val="00F25C6E"/>
    <w:rsid w:val="00F25C7E"/>
    <w:rsid w:val="00F26BFF"/>
    <w:rsid w:val="00F34A48"/>
    <w:rsid w:val="00F36222"/>
    <w:rsid w:val="00F428E3"/>
    <w:rsid w:val="00F44F1D"/>
    <w:rsid w:val="00F47B01"/>
    <w:rsid w:val="00F52E04"/>
    <w:rsid w:val="00F544AB"/>
    <w:rsid w:val="00F546A4"/>
    <w:rsid w:val="00F56019"/>
    <w:rsid w:val="00F56DE5"/>
    <w:rsid w:val="00F56E2F"/>
    <w:rsid w:val="00F5709E"/>
    <w:rsid w:val="00F61081"/>
    <w:rsid w:val="00F63617"/>
    <w:rsid w:val="00F63A06"/>
    <w:rsid w:val="00F644E2"/>
    <w:rsid w:val="00F6556F"/>
    <w:rsid w:val="00F6641F"/>
    <w:rsid w:val="00F771DD"/>
    <w:rsid w:val="00F805C5"/>
    <w:rsid w:val="00F808D7"/>
    <w:rsid w:val="00F831C0"/>
    <w:rsid w:val="00F85195"/>
    <w:rsid w:val="00F85D04"/>
    <w:rsid w:val="00F85FCE"/>
    <w:rsid w:val="00F8650E"/>
    <w:rsid w:val="00F91AC8"/>
    <w:rsid w:val="00F921DB"/>
    <w:rsid w:val="00F92F7E"/>
    <w:rsid w:val="00F94A57"/>
    <w:rsid w:val="00F96DA6"/>
    <w:rsid w:val="00FA0D05"/>
    <w:rsid w:val="00FA1E34"/>
    <w:rsid w:val="00FA2E54"/>
    <w:rsid w:val="00FA3A3C"/>
    <w:rsid w:val="00FA499F"/>
    <w:rsid w:val="00FA4D10"/>
    <w:rsid w:val="00FA56AF"/>
    <w:rsid w:val="00FA61BC"/>
    <w:rsid w:val="00FA79D2"/>
    <w:rsid w:val="00FA7FE5"/>
    <w:rsid w:val="00FB1B8D"/>
    <w:rsid w:val="00FB22BF"/>
    <w:rsid w:val="00FB398D"/>
    <w:rsid w:val="00FB3F58"/>
    <w:rsid w:val="00FB4B83"/>
    <w:rsid w:val="00FB5AB0"/>
    <w:rsid w:val="00FB66DE"/>
    <w:rsid w:val="00FC01DC"/>
    <w:rsid w:val="00FC4CDE"/>
    <w:rsid w:val="00FC77E5"/>
    <w:rsid w:val="00FD455B"/>
    <w:rsid w:val="00FE022D"/>
    <w:rsid w:val="00FE0E52"/>
    <w:rsid w:val="00FE21AF"/>
    <w:rsid w:val="00FE2331"/>
    <w:rsid w:val="00FE428D"/>
    <w:rsid w:val="00FE5697"/>
    <w:rsid w:val="00FE65FE"/>
    <w:rsid w:val="00FE7CFC"/>
    <w:rsid w:val="00FF3C9D"/>
    <w:rsid w:val="00FF6525"/>
    <w:rsid w:val="01BFEE3A"/>
    <w:rsid w:val="02F7887D"/>
    <w:rsid w:val="0348676A"/>
    <w:rsid w:val="03717C7C"/>
    <w:rsid w:val="03F0D6F0"/>
    <w:rsid w:val="04083BA6"/>
    <w:rsid w:val="04C7896F"/>
    <w:rsid w:val="05278B6F"/>
    <w:rsid w:val="054374F3"/>
    <w:rsid w:val="06263727"/>
    <w:rsid w:val="062E8276"/>
    <w:rsid w:val="063B854E"/>
    <w:rsid w:val="063EDDFF"/>
    <w:rsid w:val="06C296F8"/>
    <w:rsid w:val="06E44CD2"/>
    <w:rsid w:val="07CD561B"/>
    <w:rsid w:val="086DBF14"/>
    <w:rsid w:val="092E75A9"/>
    <w:rsid w:val="09B1E6A9"/>
    <w:rsid w:val="0A2B1EDF"/>
    <w:rsid w:val="0A5C18D1"/>
    <w:rsid w:val="0AEF62EB"/>
    <w:rsid w:val="0B04F6DD"/>
    <w:rsid w:val="0B2D0993"/>
    <w:rsid w:val="0B45BB98"/>
    <w:rsid w:val="0B648187"/>
    <w:rsid w:val="0B898397"/>
    <w:rsid w:val="0B9DA661"/>
    <w:rsid w:val="0BC5DA2C"/>
    <w:rsid w:val="0C134D8B"/>
    <w:rsid w:val="0C1D1338"/>
    <w:rsid w:val="0C5CFF3F"/>
    <w:rsid w:val="0C961030"/>
    <w:rsid w:val="0D561020"/>
    <w:rsid w:val="0DB17E86"/>
    <w:rsid w:val="0DD323DD"/>
    <w:rsid w:val="0DE33318"/>
    <w:rsid w:val="0E054873"/>
    <w:rsid w:val="0E34AA19"/>
    <w:rsid w:val="0F54C243"/>
    <w:rsid w:val="0FBAD40C"/>
    <w:rsid w:val="10B683D3"/>
    <w:rsid w:val="10BF223E"/>
    <w:rsid w:val="10D91B0D"/>
    <w:rsid w:val="11212319"/>
    <w:rsid w:val="1194DDD9"/>
    <w:rsid w:val="12298143"/>
    <w:rsid w:val="1243B057"/>
    <w:rsid w:val="138F3BFB"/>
    <w:rsid w:val="140AFA53"/>
    <w:rsid w:val="14180710"/>
    <w:rsid w:val="14E02E6F"/>
    <w:rsid w:val="15007279"/>
    <w:rsid w:val="1505F811"/>
    <w:rsid w:val="1533DBCA"/>
    <w:rsid w:val="1533F69B"/>
    <w:rsid w:val="15376FAB"/>
    <w:rsid w:val="154907B2"/>
    <w:rsid w:val="15B66244"/>
    <w:rsid w:val="15F40EA5"/>
    <w:rsid w:val="161E8327"/>
    <w:rsid w:val="162C18AF"/>
    <w:rsid w:val="16AB8F8C"/>
    <w:rsid w:val="16E5D776"/>
    <w:rsid w:val="17E379E5"/>
    <w:rsid w:val="17E9B676"/>
    <w:rsid w:val="18460F29"/>
    <w:rsid w:val="1908BEFA"/>
    <w:rsid w:val="190CE99E"/>
    <w:rsid w:val="192C0890"/>
    <w:rsid w:val="193B8247"/>
    <w:rsid w:val="1998A1B1"/>
    <w:rsid w:val="1A39FEE4"/>
    <w:rsid w:val="1A9EFE5D"/>
    <w:rsid w:val="1AB3AA2F"/>
    <w:rsid w:val="1AB44F81"/>
    <w:rsid w:val="1B718A9F"/>
    <w:rsid w:val="1C09F1E2"/>
    <w:rsid w:val="1C4FE4CE"/>
    <w:rsid w:val="1CC043EC"/>
    <w:rsid w:val="1DAC1959"/>
    <w:rsid w:val="1EF4D3C0"/>
    <w:rsid w:val="1EFCF0C2"/>
    <w:rsid w:val="2033E760"/>
    <w:rsid w:val="20708413"/>
    <w:rsid w:val="207F9810"/>
    <w:rsid w:val="20F49DAC"/>
    <w:rsid w:val="2152A404"/>
    <w:rsid w:val="220722F8"/>
    <w:rsid w:val="22F90984"/>
    <w:rsid w:val="2314500A"/>
    <w:rsid w:val="23FEBF79"/>
    <w:rsid w:val="25821292"/>
    <w:rsid w:val="259C9783"/>
    <w:rsid w:val="25AA0A09"/>
    <w:rsid w:val="261DE029"/>
    <w:rsid w:val="2636FE85"/>
    <w:rsid w:val="264A29FF"/>
    <w:rsid w:val="26C77E9E"/>
    <w:rsid w:val="2745E321"/>
    <w:rsid w:val="27F99DAF"/>
    <w:rsid w:val="282F7430"/>
    <w:rsid w:val="2859E3BB"/>
    <w:rsid w:val="28A875D9"/>
    <w:rsid w:val="28B28684"/>
    <w:rsid w:val="294099BC"/>
    <w:rsid w:val="29C4F7F4"/>
    <w:rsid w:val="2A79618A"/>
    <w:rsid w:val="2A855EB0"/>
    <w:rsid w:val="2ADB91A7"/>
    <w:rsid w:val="2B11EE3A"/>
    <w:rsid w:val="2B68B4E0"/>
    <w:rsid w:val="2C175AF8"/>
    <w:rsid w:val="2C2501CB"/>
    <w:rsid w:val="2CCB4516"/>
    <w:rsid w:val="2D5E02FA"/>
    <w:rsid w:val="2E98B082"/>
    <w:rsid w:val="2F6FB456"/>
    <w:rsid w:val="302B2BE9"/>
    <w:rsid w:val="307B04BB"/>
    <w:rsid w:val="3099BE23"/>
    <w:rsid w:val="30E5C021"/>
    <w:rsid w:val="31875798"/>
    <w:rsid w:val="31C57DF2"/>
    <w:rsid w:val="31E5DB8B"/>
    <w:rsid w:val="3270E3DB"/>
    <w:rsid w:val="33018781"/>
    <w:rsid w:val="336C7506"/>
    <w:rsid w:val="33F74555"/>
    <w:rsid w:val="342F3CE0"/>
    <w:rsid w:val="347C9245"/>
    <w:rsid w:val="3518D5FF"/>
    <w:rsid w:val="35535F25"/>
    <w:rsid w:val="3633B1A7"/>
    <w:rsid w:val="3658FEFF"/>
    <w:rsid w:val="36F174DD"/>
    <w:rsid w:val="36FD14AD"/>
    <w:rsid w:val="375B627B"/>
    <w:rsid w:val="376ED2F9"/>
    <w:rsid w:val="37A09D60"/>
    <w:rsid w:val="37A5A7EA"/>
    <w:rsid w:val="37C2091E"/>
    <w:rsid w:val="37E6DB42"/>
    <w:rsid w:val="381C9B9A"/>
    <w:rsid w:val="38BCDD83"/>
    <w:rsid w:val="38CD7133"/>
    <w:rsid w:val="38FD88E9"/>
    <w:rsid w:val="39E777E6"/>
    <w:rsid w:val="3A79DAE0"/>
    <w:rsid w:val="3AAA6532"/>
    <w:rsid w:val="3BD247E9"/>
    <w:rsid w:val="3CC448C3"/>
    <w:rsid w:val="3CF9D770"/>
    <w:rsid w:val="3D7F908A"/>
    <w:rsid w:val="3DF543A1"/>
    <w:rsid w:val="3DFB14CD"/>
    <w:rsid w:val="3E1E0873"/>
    <w:rsid w:val="3F320311"/>
    <w:rsid w:val="3F8C2ABB"/>
    <w:rsid w:val="400FDDCE"/>
    <w:rsid w:val="401FA40E"/>
    <w:rsid w:val="414BDD23"/>
    <w:rsid w:val="4226F377"/>
    <w:rsid w:val="43203409"/>
    <w:rsid w:val="435FECFD"/>
    <w:rsid w:val="43861CA6"/>
    <w:rsid w:val="450D92FF"/>
    <w:rsid w:val="4533FE83"/>
    <w:rsid w:val="46B5BCA3"/>
    <w:rsid w:val="46CB6D90"/>
    <w:rsid w:val="46EA8CC5"/>
    <w:rsid w:val="46FC26AC"/>
    <w:rsid w:val="472C72A3"/>
    <w:rsid w:val="4743741B"/>
    <w:rsid w:val="47510C29"/>
    <w:rsid w:val="47DEF278"/>
    <w:rsid w:val="47EA36BE"/>
    <w:rsid w:val="47FB820F"/>
    <w:rsid w:val="48283A57"/>
    <w:rsid w:val="483AAD2A"/>
    <w:rsid w:val="4868905F"/>
    <w:rsid w:val="486CA88E"/>
    <w:rsid w:val="49076D34"/>
    <w:rsid w:val="499168BB"/>
    <w:rsid w:val="49E0E2C5"/>
    <w:rsid w:val="49E47353"/>
    <w:rsid w:val="4A48FE0C"/>
    <w:rsid w:val="4A6237DA"/>
    <w:rsid w:val="4A97EC30"/>
    <w:rsid w:val="4B1C77B9"/>
    <w:rsid w:val="4B75A3E8"/>
    <w:rsid w:val="4BAEC6E1"/>
    <w:rsid w:val="4C6E1980"/>
    <w:rsid w:val="4DC2B625"/>
    <w:rsid w:val="4DCF8CF2"/>
    <w:rsid w:val="4E0A9E99"/>
    <w:rsid w:val="4E5D1491"/>
    <w:rsid w:val="4E5E0FD6"/>
    <w:rsid w:val="4F64ED4D"/>
    <w:rsid w:val="4F7C9B7E"/>
    <w:rsid w:val="4FB1441B"/>
    <w:rsid w:val="4FB905CA"/>
    <w:rsid w:val="501052E7"/>
    <w:rsid w:val="50A8DFE6"/>
    <w:rsid w:val="50F2CAF7"/>
    <w:rsid w:val="51072DB4"/>
    <w:rsid w:val="5149A0D7"/>
    <w:rsid w:val="5178CBB9"/>
    <w:rsid w:val="51D1EE39"/>
    <w:rsid w:val="5261AEDE"/>
    <w:rsid w:val="5272CF41"/>
    <w:rsid w:val="52CF3518"/>
    <w:rsid w:val="52E78A67"/>
    <w:rsid w:val="52F57925"/>
    <w:rsid w:val="5343F0E4"/>
    <w:rsid w:val="5365F1AF"/>
    <w:rsid w:val="5371E8DB"/>
    <w:rsid w:val="53D1FE9D"/>
    <w:rsid w:val="53F19441"/>
    <w:rsid w:val="542C0DF4"/>
    <w:rsid w:val="5452FCBD"/>
    <w:rsid w:val="547F188C"/>
    <w:rsid w:val="548FA96F"/>
    <w:rsid w:val="5558B7CC"/>
    <w:rsid w:val="558F3428"/>
    <w:rsid w:val="5639667D"/>
    <w:rsid w:val="56FDDA13"/>
    <w:rsid w:val="57D9B5A1"/>
    <w:rsid w:val="585D5B5E"/>
    <w:rsid w:val="5878845C"/>
    <w:rsid w:val="58883932"/>
    <w:rsid w:val="58E9D7F7"/>
    <w:rsid w:val="59526559"/>
    <w:rsid w:val="595289AF"/>
    <w:rsid w:val="5A08072D"/>
    <w:rsid w:val="5A0DB19D"/>
    <w:rsid w:val="5AEA2DE7"/>
    <w:rsid w:val="5AEE5A10"/>
    <w:rsid w:val="5B217418"/>
    <w:rsid w:val="5B42C56E"/>
    <w:rsid w:val="5B8189CA"/>
    <w:rsid w:val="5BB70B21"/>
    <w:rsid w:val="5BC1A35D"/>
    <w:rsid w:val="5C633C91"/>
    <w:rsid w:val="5C9042A8"/>
    <w:rsid w:val="5D00315C"/>
    <w:rsid w:val="5E0B6717"/>
    <w:rsid w:val="5EC9CB74"/>
    <w:rsid w:val="5F24F568"/>
    <w:rsid w:val="5F2E2F15"/>
    <w:rsid w:val="60B7F10D"/>
    <w:rsid w:val="60D05216"/>
    <w:rsid w:val="617F0A8B"/>
    <w:rsid w:val="61B8FBE3"/>
    <w:rsid w:val="61D88190"/>
    <w:rsid w:val="62139879"/>
    <w:rsid w:val="629322B5"/>
    <w:rsid w:val="62F0CC7E"/>
    <w:rsid w:val="65D6AD0C"/>
    <w:rsid w:val="666D0F69"/>
    <w:rsid w:val="66741162"/>
    <w:rsid w:val="674DC236"/>
    <w:rsid w:val="6789DE67"/>
    <w:rsid w:val="680E3C16"/>
    <w:rsid w:val="685A56CB"/>
    <w:rsid w:val="685BCF46"/>
    <w:rsid w:val="689E1ECA"/>
    <w:rsid w:val="68B2F277"/>
    <w:rsid w:val="69463894"/>
    <w:rsid w:val="698DF046"/>
    <w:rsid w:val="6A774973"/>
    <w:rsid w:val="6AA3B9A8"/>
    <w:rsid w:val="6B44065F"/>
    <w:rsid w:val="6BBFB939"/>
    <w:rsid w:val="6C358082"/>
    <w:rsid w:val="6C3F8A09"/>
    <w:rsid w:val="6C795BC2"/>
    <w:rsid w:val="6C7B8230"/>
    <w:rsid w:val="6CD71748"/>
    <w:rsid w:val="6D930C7A"/>
    <w:rsid w:val="6DB8AE97"/>
    <w:rsid w:val="6E62C39B"/>
    <w:rsid w:val="6E987780"/>
    <w:rsid w:val="6F124A90"/>
    <w:rsid w:val="6F2688AB"/>
    <w:rsid w:val="703A757B"/>
    <w:rsid w:val="708223ED"/>
    <w:rsid w:val="70841C64"/>
    <w:rsid w:val="70E7F9A8"/>
    <w:rsid w:val="710B5E29"/>
    <w:rsid w:val="713A5269"/>
    <w:rsid w:val="71400346"/>
    <w:rsid w:val="718212B2"/>
    <w:rsid w:val="71A68C06"/>
    <w:rsid w:val="71D4CFB3"/>
    <w:rsid w:val="728BA67E"/>
    <w:rsid w:val="72A21D02"/>
    <w:rsid w:val="72AD9D48"/>
    <w:rsid w:val="72D1D37F"/>
    <w:rsid w:val="7347CC87"/>
    <w:rsid w:val="740B10D6"/>
    <w:rsid w:val="74FFDFC6"/>
    <w:rsid w:val="750121AC"/>
    <w:rsid w:val="76042315"/>
    <w:rsid w:val="773338A4"/>
    <w:rsid w:val="777F3F39"/>
    <w:rsid w:val="78646EA3"/>
    <w:rsid w:val="78C83CE4"/>
    <w:rsid w:val="79A459DF"/>
    <w:rsid w:val="79F8A7A7"/>
    <w:rsid w:val="7A4C052A"/>
    <w:rsid w:val="7AE6E4E6"/>
    <w:rsid w:val="7B5CD731"/>
    <w:rsid w:val="7B96E080"/>
    <w:rsid w:val="7C3EC779"/>
    <w:rsid w:val="7C649888"/>
    <w:rsid w:val="7CD1F747"/>
    <w:rsid w:val="7CDCCAD2"/>
    <w:rsid w:val="7DC65BFE"/>
    <w:rsid w:val="7DF3E6AC"/>
    <w:rsid w:val="7F29B434"/>
    <w:rsid w:val="7F2CDCFC"/>
    <w:rsid w:val="7F53D888"/>
    <w:rsid w:val="7F53EDD6"/>
    <w:rsid w:val="7F624E9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D2B7990"/>
  <w15:docId w15:val="{D3BB47FD-6C5B-4461-A171-F6B6F3654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sz w:val="24"/>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54FF"/>
    <w:pPr>
      <w:tabs>
        <w:tab w:val="left" w:pos="720"/>
        <w:tab w:val="left" w:pos="1440"/>
        <w:tab w:val="left" w:pos="2160"/>
        <w:tab w:val="left" w:pos="2880"/>
        <w:tab w:val="left" w:pos="4680"/>
        <w:tab w:val="left" w:pos="5400"/>
        <w:tab w:val="right" w:pos="9000"/>
      </w:tabs>
      <w:spacing w:line="240" w:lineRule="atLeast"/>
      <w:jc w:val="both"/>
    </w:pPr>
    <w:rPr>
      <w:lang w:eastAsia="en-US"/>
    </w:rPr>
  </w:style>
  <w:style w:type="paragraph" w:styleId="Heading1">
    <w:name w:val="heading 1"/>
    <w:aliases w:val="Outline1"/>
    <w:basedOn w:val="Normal"/>
    <w:next w:val="Normal"/>
    <w:qFormat/>
    <w:rsid w:val="00157346"/>
    <w:pPr>
      <w:numPr>
        <w:numId w:val="5"/>
      </w:numPr>
      <w:outlineLvl w:val="0"/>
    </w:pPr>
    <w:rPr>
      <w:kern w:val="24"/>
    </w:rPr>
  </w:style>
  <w:style w:type="paragraph" w:styleId="Heading2">
    <w:name w:val="heading 2"/>
    <w:aliases w:val="Outline2"/>
    <w:basedOn w:val="Normal"/>
    <w:next w:val="Normal"/>
    <w:qFormat/>
    <w:rsid w:val="00157346"/>
    <w:pPr>
      <w:numPr>
        <w:ilvl w:val="1"/>
        <w:numId w:val="5"/>
      </w:numPr>
      <w:ind w:left="720"/>
      <w:outlineLvl w:val="1"/>
    </w:pPr>
    <w:rPr>
      <w:kern w:val="24"/>
    </w:rPr>
  </w:style>
  <w:style w:type="paragraph" w:styleId="Heading3">
    <w:name w:val="heading 3"/>
    <w:aliases w:val="Outline3"/>
    <w:basedOn w:val="Normal"/>
    <w:next w:val="Normal"/>
    <w:qFormat/>
    <w:rsid w:val="00157346"/>
    <w:pPr>
      <w:numPr>
        <w:ilvl w:val="2"/>
        <w:numId w:val="5"/>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4"/>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link w:val="HeaderChar"/>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link w:val="FooterChar"/>
    <w:uiPriority w:val="99"/>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noteText">
    <w:name w:val="footnote text"/>
    <w:basedOn w:val="Normal"/>
    <w:link w:val="FootnoteTextChar"/>
    <w:rsid w:val="00CD41A0"/>
    <w:rPr>
      <w:rFonts w:ascii="Times New Roman" w:hAnsi="Times New Roman"/>
      <w:sz w:val="20"/>
      <w:lang w:eastAsia="en-GB"/>
    </w:rPr>
  </w:style>
  <w:style w:type="character" w:customStyle="1" w:styleId="FootnoteTextChar">
    <w:name w:val="Footnote Text Char"/>
    <w:basedOn w:val="DefaultParagraphFont"/>
    <w:link w:val="FootnoteText"/>
    <w:rsid w:val="00CD41A0"/>
    <w:rPr>
      <w:rFonts w:ascii="Times New Roman" w:hAnsi="Times New Roman"/>
      <w:sz w:val="20"/>
    </w:rPr>
  </w:style>
  <w:style w:type="character" w:styleId="FootnoteReference">
    <w:name w:val="footnote reference"/>
    <w:uiPriority w:val="99"/>
    <w:rsid w:val="00CD41A0"/>
    <w:rPr>
      <w:vertAlign w:val="superscript"/>
    </w:rPr>
  </w:style>
  <w:style w:type="paragraph" w:styleId="ListParagraph">
    <w:name w:val="List Paragraph"/>
    <w:aliases w:val="Dot pt,No Spacing1,List Paragraph Char Char Char,Indicator Text,Numbered Para 1,Bullet 1,List Paragraph1,Bullet Points,MAIN CONTENT,List Paragraph12,F5 List Paragraph,OBC Bullet,Colorful List - Accent 11,Normal numbered,List Paragraph11"/>
    <w:basedOn w:val="Normal"/>
    <w:link w:val="ListParagraphChar"/>
    <w:uiPriority w:val="34"/>
    <w:qFormat/>
    <w:rsid w:val="00CD41A0"/>
    <w:pPr>
      <w:ind w:left="720"/>
    </w:pPr>
    <w:rPr>
      <w:rFonts w:ascii="Times New Roman" w:hAnsi="Times New Roman"/>
      <w:lang w:eastAsia="en-GB"/>
    </w:rPr>
  </w:style>
  <w:style w:type="character" w:customStyle="1" w:styleId="ListParagraphChar">
    <w:name w:val="List Paragraph Char"/>
    <w:aliases w:val="Dot pt Char,No Spacing1 Char,List Paragraph Char Char Char Char,Indicator Text Char,Numbered Para 1 Char,Bullet 1 Char,List Paragraph1 Char,Bullet Points Char,MAIN CONTENT Char,List Paragraph12 Char,F5 List Paragraph Char"/>
    <w:link w:val="ListParagraph"/>
    <w:uiPriority w:val="34"/>
    <w:qFormat/>
    <w:locked/>
    <w:rsid w:val="00CD41A0"/>
    <w:rPr>
      <w:rFonts w:ascii="Times New Roman" w:hAnsi="Times New Roman"/>
    </w:rPr>
  </w:style>
  <w:style w:type="paragraph" w:customStyle="1" w:styleId="Body">
    <w:name w:val="Body"/>
    <w:basedOn w:val="Normal"/>
    <w:rsid w:val="00CD41A0"/>
    <w:pPr>
      <w:tabs>
        <w:tab w:val="clear" w:pos="720"/>
        <w:tab w:val="clear" w:pos="1440"/>
        <w:tab w:val="clear" w:pos="2160"/>
        <w:tab w:val="clear" w:pos="2880"/>
        <w:tab w:val="clear" w:pos="4680"/>
        <w:tab w:val="clear" w:pos="5400"/>
        <w:tab w:val="clear" w:pos="9000"/>
        <w:tab w:val="left" w:pos="851"/>
        <w:tab w:val="left" w:pos="1701"/>
        <w:tab w:val="left" w:pos="2835"/>
        <w:tab w:val="left" w:pos="4253"/>
      </w:tabs>
      <w:spacing w:after="240" w:line="312" w:lineRule="auto"/>
    </w:pPr>
    <w:rPr>
      <w:rFonts w:ascii="Times New Roman" w:hAnsi="Times New Roman"/>
      <w:lang w:eastAsia="en-GB"/>
    </w:rPr>
  </w:style>
  <w:style w:type="table" w:styleId="TableGrid">
    <w:name w:val="Table Grid"/>
    <w:basedOn w:val="TableNormal"/>
    <w:uiPriority w:val="39"/>
    <w:rsid w:val="00E052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B3756"/>
    <w:pPr>
      <w:autoSpaceDE w:val="0"/>
      <w:autoSpaceDN w:val="0"/>
      <w:adjustRightInd w:val="0"/>
    </w:pPr>
    <w:rPr>
      <w:rFonts w:ascii="Calibri" w:hAnsi="Calibri" w:cs="Calibri"/>
      <w:color w:val="000000"/>
      <w:szCs w:val="24"/>
    </w:rPr>
  </w:style>
  <w:style w:type="character" w:customStyle="1" w:styleId="FooterChar">
    <w:name w:val="Footer Char"/>
    <w:basedOn w:val="DefaultParagraphFont"/>
    <w:link w:val="Footer"/>
    <w:uiPriority w:val="99"/>
    <w:rsid w:val="005A3CFD"/>
    <w:rPr>
      <w:lang w:eastAsia="en-US"/>
    </w:rPr>
  </w:style>
  <w:style w:type="character" w:customStyle="1" w:styleId="HeaderChar">
    <w:name w:val="Header Char"/>
    <w:link w:val="Header"/>
    <w:locked/>
    <w:rsid w:val="00413035"/>
    <w:rPr>
      <w:lang w:eastAsia="en-US"/>
    </w:rPr>
  </w:style>
  <w:style w:type="paragraph" w:styleId="BalloonText">
    <w:name w:val="Balloon Text"/>
    <w:basedOn w:val="Normal"/>
    <w:link w:val="BalloonTextChar"/>
    <w:uiPriority w:val="99"/>
    <w:semiHidden/>
    <w:unhideWhenUsed/>
    <w:rsid w:val="0041303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3035"/>
    <w:rPr>
      <w:rFonts w:ascii="Tahoma" w:hAnsi="Tahoma" w:cs="Tahoma"/>
      <w:sz w:val="16"/>
      <w:szCs w:val="16"/>
      <w:lang w:eastAsia="en-US"/>
    </w:rPr>
  </w:style>
  <w:style w:type="character" w:styleId="Hyperlink">
    <w:name w:val="Hyperlink"/>
    <w:rsid w:val="008D711B"/>
    <w:rPr>
      <w:color w:val="0000FF"/>
      <w:u w:val="single"/>
    </w:rPr>
  </w:style>
  <w:style w:type="character" w:styleId="CommentReference">
    <w:name w:val="annotation reference"/>
    <w:basedOn w:val="DefaultParagraphFont"/>
    <w:uiPriority w:val="99"/>
    <w:semiHidden/>
    <w:unhideWhenUsed/>
    <w:rsid w:val="003F2F4F"/>
    <w:rPr>
      <w:sz w:val="16"/>
      <w:szCs w:val="16"/>
    </w:rPr>
  </w:style>
  <w:style w:type="paragraph" w:styleId="CommentText">
    <w:name w:val="annotation text"/>
    <w:basedOn w:val="Normal"/>
    <w:link w:val="CommentTextChar"/>
    <w:uiPriority w:val="99"/>
    <w:semiHidden/>
    <w:unhideWhenUsed/>
    <w:rsid w:val="003F2F4F"/>
    <w:pPr>
      <w:spacing w:line="240" w:lineRule="auto"/>
    </w:pPr>
    <w:rPr>
      <w:sz w:val="20"/>
    </w:rPr>
  </w:style>
  <w:style w:type="character" w:customStyle="1" w:styleId="CommentTextChar">
    <w:name w:val="Comment Text Char"/>
    <w:basedOn w:val="DefaultParagraphFont"/>
    <w:link w:val="CommentText"/>
    <w:uiPriority w:val="99"/>
    <w:semiHidden/>
    <w:rsid w:val="003F2F4F"/>
    <w:rPr>
      <w:sz w:val="20"/>
      <w:lang w:eastAsia="en-US"/>
    </w:rPr>
  </w:style>
  <w:style w:type="paragraph" w:styleId="CommentSubject">
    <w:name w:val="annotation subject"/>
    <w:basedOn w:val="CommentText"/>
    <w:next w:val="CommentText"/>
    <w:link w:val="CommentSubjectChar"/>
    <w:uiPriority w:val="99"/>
    <w:semiHidden/>
    <w:unhideWhenUsed/>
    <w:rsid w:val="003F2F4F"/>
    <w:rPr>
      <w:b/>
      <w:bCs/>
    </w:rPr>
  </w:style>
  <w:style w:type="character" w:customStyle="1" w:styleId="CommentSubjectChar">
    <w:name w:val="Comment Subject Char"/>
    <w:basedOn w:val="CommentTextChar"/>
    <w:link w:val="CommentSubject"/>
    <w:uiPriority w:val="99"/>
    <w:semiHidden/>
    <w:rsid w:val="003F2F4F"/>
    <w:rPr>
      <w:b/>
      <w:bCs/>
      <w:sz w:val="20"/>
      <w:lang w:eastAsia="en-US"/>
    </w:rPr>
  </w:style>
  <w:style w:type="paragraph" w:styleId="Revision">
    <w:name w:val="Revision"/>
    <w:hidden/>
    <w:uiPriority w:val="99"/>
    <w:semiHidden/>
    <w:rsid w:val="00EA59CE"/>
    <w:rPr>
      <w:lang w:eastAsia="en-US"/>
    </w:rPr>
  </w:style>
  <w:style w:type="character" w:styleId="Emphasis">
    <w:name w:val="Emphasis"/>
    <w:basedOn w:val="DefaultParagraphFont"/>
    <w:uiPriority w:val="20"/>
    <w:qFormat/>
    <w:rsid w:val="0052223D"/>
    <w:rPr>
      <w:b/>
      <w:bCs/>
      <w:i w:val="0"/>
      <w:iCs w:val="0"/>
    </w:rPr>
  </w:style>
  <w:style w:type="paragraph" w:styleId="EndnoteText">
    <w:name w:val="endnote text"/>
    <w:basedOn w:val="Normal"/>
    <w:link w:val="EndnoteTextChar"/>
    <w:uiPriority w:val="99"/>
    <w:semiHidden/>
    <w:unhideWhenUsed/>
    <w:rsid w:val="004664A3"/>
    <w:pPr>
      <w:spacing w:line="240" w:lineRule="auto"/>
    </w:pPr>
    <w:rPr>
      <w:sz w:val="20"/>
    </w:rPr>
  </w:style>
  <w:style w:type="character" w:customStyle="1" w:styleId="EndnoteTextChar">
    <w:name w:val="Endnote Text Char"/>
    <w:basedOn w:val="DefaultParagraphFont"/>
    <w:link w:val="EndnoteText"/>
    <w:uiPriority w:val="99"/>
    <w:semiHidden/>
    <w:rsid w:val="004664A3"/>
    <w:rPr>
      <w:sz w:val="20"/>
      <w:lang w:eastAsia="en-US"/>
    </w:rPr>
  </w:style>
  <w:style w:type="character" w:styleId="EndnoteReference">
    <w:name w:val="endnote reference"/>
    <w:basedOn w:val="DefaultParagraphFont"/>
    <w:uiPriority w:val="99"/>
    <w:semiHidden/>
    <w:unhideWhenUsed/>
    <w:rsid w:val="004664A3"/>
    <w:rPr>
      <w:vertAlign w:val="superscript"/>
    </w:rPr>
  </w:style>
  <w:style w:type="character" w:customStyle="1" w:styleId="normaltextrun">
    <w:name w:val="normaltextrun"/>
    <w:basedOn w:val="DefaultParagraphFont"/>
    <w:rsid w:val="00B37840"/>
  </w:style>
  <w:style w:type="character" w:customStyle="1" w:styleId="eop">
    <w:name w:val="eop"/>
    <w:basedOn w:val="DefaultParagraphFont"/>
    <w:rsid w:val="00DC109A"/>
  </w:style>
  <w:style w:type="paragraph" w:customStyle="1" w:styleId="paragraph">
    <w:name w:val="paragraph"/>
    <w:basedOn w:val="Normal"/>
    <w:rsid w:val="00DC109A"/>
    <w:pPr>
      <w:tabs>
        <w:tab w:val="clear" w:pos="720"/>
        <w:tab w:val="clear" w:pos="1440"/>
        <w:tab w:val="clear" w:pos="2160"/>
        <w:tab w:val="clear" w:pos="2880"/>
        <w:tab w:val="clear" w:pos="4680"/>
        <w:tab w:val="clear" w:pos="5400"/>
        <w:tab w:val="clear" w:pos="9000"/>
      </w:tabs>
      <w:spacing w:before="100" w:beforeAutospacing="1" w:after="100" w:afterAutospacing="1" w:line="240" w:lineRule="auto"/>
      <w:jc w:val="left"/>
    </w:pPr>
    <w:rPr>
      <w:rFonts w:ascii="Times New Roman" w:hAnsi="Times New Roman"/>
      <w:szCs w:val="24"/>
      <w:lang w:eastAsia="en-GB"/>
    </w:rPr>
  </w:style>
  <w:style w:type="character" w:customStyle="1" w:styleId="Mention1">
    <w:name w:val="Mention1"/>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042319">
      <w:bodyDiv w:val="1"/>
      <w:marLeft w:val="0"/>
      <w:marRight w:val="0"/>
      <w:marTop w:val="0"/>
      <w:marBottom w:val="0"/>
      <w:divBdr>
        <w:top w:val="none" w:sz="0" w:space="0" w:color="auto"/>
        <w:left w:val="none" w:sz="0" w:space="0" w:color="auto"/>
        <w:bottom w:val="none" w:sz="0" w:space="0" w:color="auto"/>
        <w:right w:val="none" w:sz="0" w:space="0" w:color="auto"/>
      </w:divBdr>
    </w:div>
    <w:div w:id="191770258">
      <w:bodyDiv w:val="1"/>
      <w:marLeft w:val="0"/>
      <w:marRight w:val="0"/>
      <w:marTop w:val="0"/>
      <w:marBottom w:val="0"/>
      <w:divBdr>
        <w:top w:val="none" w:sz="0" w:space="0" w:color="auto"/>
        <w:left w:val="none" w:sz="0" w:space="0" w:color="auto"/>
        <w:bottom w:val="none" w:sz="0" w:space="0" w:color="auto"/>
        <w:right w:val="none" w:sz="0" w:space="0" w:color="auto"/>
      </w:divBdr>
    </w:div>
    <w:div w:id="258951810">
      <w:bodyDiv w:val="1"/>
      <w:marLeft w:val="0"/>
      <w:marRight w:val="0"/>
      <w:marTop w:val="0"/>
      <w:marBottom w:val="0"/>
      <w:divBdr>
        <w:top w:val="none" w:sz="0" w:space="0" w:color="auto"/>
        <w:left w:val="none" w:sz="0" w:space="0" w:color="auto"/>
        <w:bottom w:val="none" w:sz="0" w:space="0" w:color="auto"/>
        <w:right w:val="none" w:sz="0" w:space="0" w:color="auto"/>
      </w:divBdr>
    </w:div>
    <w:div w:id="382483069">
      <w:bodyDiv w:val="1"/>
      <w:marLeft w:val="0"/>
      <w:marRight w:val="0"/>
      <w:marTop w:val="0"/>
      <w:marBottom w:val="0"/>
      <w:divBdr>
        <w:top w:val="none" w:sz="0" w:space="0" w:color="auto"/>
        <w:left w:val="none" w:sz="0" w:space="0" w:color="auto"/>
        <w:bottom w:val="none" w:sz="0" w:space="0" w:color="auto"/>
        <w:right w:val="none" w:sz="0" w:space="0" w:color="auto"/>
      </w:divBdr>
    </w:div>
    <w:div w:id="394664554">
      <w:bodyDiv w:val="1"/>
      <w:marLeft w:val="0"/>
      <w:marRight w:val="0"/>
      <w:marTop w:val="0"/>
      <w:marBottom w:val="0"/>
      <w:divBdr>
        <w:top w:val="none" w:sz="0" w:space="0" w:color="auto"/>
        <w:left w:val="none" w:sz="0" w:space="0" w:color="auto"/>
        <w:bottom w:val="none" w:sz="0" w:space="0" w:color="auto"/>
        <w:right w:val="none" w:sz="0" w:space="0" w:color="auto"/>
      </w:divBdr>
    </w:div>
    <w:div w:id="611864833">
      <w:bodyDiv w:val="1"/>
      <w:marLeft w:val="0"/>
      <w:marRight w:val="0"/>
      <w:marTop w:val="0"/>
      <w:marBottom w:val="0"/>
      <w:divBdr>
        <w:top w:val="none" w:sz="0" w:space="0" w:color="auto"/>
        <w:left w:val="none" w:sz="0" w:space="0" w:color="auto"/>
        <w:bottom w:val="none" w:sz="0" w:space="0" w:color="auto"/>
        <w:right w:val="none" w:sz="0" w:space="0" w:color="auto"/>
      </w:divBdr>
    </w:div>
    <w:div w:id="669059614">
      <w:bodyDiv w:val="1"/>
      <w:marLeft w:val="0"/>
      <w:marRight w:val="0"/>
      <w:marTop w:val="0"/>
      <w:marBottom w:val="0"/>
      <w:divBdr>
        <w:top w:val="none" w:sz="0" w:space="0" w:color="auto"/>
        <w:left w:val="none" w:sz="0" w:space="0" w:color="auto"/>
        <w:bottom w:val="none" w:sz="0" w:space="0" w:color="auto"/>
        <w:right w:val="none" w:sz="0" w:space="0" w:color="auto"/>
      </w:divBdr>
    </w:div>
    <w:div w:id="954752132">
      <w:bodyDiv w:val="1"/>
      <w:marLeft w:val="0"/>
      <w:marRight w:val="0"/>
      <w:marTop w:val="0"/>
      <w:marBottom w:val="0"/>
      <w:divBdr>
        <w:top w:val="none" w:sz="0" w:space="0" w:color="auto"/>
        <w:left w:val="none" w:sz="0" w:space="0" w:color="auto"/>
        <w:bottom w:val="none" w:sz="0" w:space="0" w:color="auto"/>
        <w:right w:val="none" w:sz="0" w:space="0" w:color="auto"/>
      </w:divBdr>
    </w:div>
    <w:div w:id="1102803870">
      <w:bodyDiv w:val="1"/>
      <w:marLeft w:val="0"/>
      <w:marRight w:val="0"/>
      <w:marTop w:val="0"/>
      <w:marBottom w:val="0"/>
      <w:divBdr>
        <w:top w:val="none" w:sz="0" w:space="0" w:color="auto"/>
        <w:left w:val="none" w:sz="0" w:space="0" w:color="auto"/>
        <w:bottom w:val="none" w:sz="0" w:space="0" w:color="auto"/>
        <w:right w:val="none" w:sz="0" w:space="0" w:color="auto"/>
      </w:divBdr>
    </w:div>
    <w:div w:id="1257402400">
      <w:bodyDiv w:val="1"/>
      <w:marLeft w:val="0"/>
      <w:marRight w:val="0"/>
      <w:marTop w:val="0"/>
      <w:marBottom w:val="0"/>
      <w:divBdr>
        <w:top w:val="none" w:sz="0" w:space="0" w:color="auto"/>
        <w:left w:val="none" w:sz="0" w:space="0" w:color="auto"/>
        <w:bottom w:val="none" w:sz="0" w:space="0" w:color="auto"/>
        <w:right w:val="none" w:sz="0" w:space="0" w:color="auto"/>
      </w:divBdr>
      <w:divsChild>
        <w:div w:id="1540507585">
          <w:marLeft w:val="0"/>
          <w:marRight w:val="0"/>
          <w:marTop w:val="0"/>
          <w:marBottom w:val="0"/>
          <w:divBdr>
            <w:top w:val="none" w:sz="0" w:space="0" w:color="auto"/>
            <w:left w:val="none" w:sz="0" w:space="0" w:color="auto"/>
            <w:bottom w:val="none" w:sz="0" w:space="0" w:color="auto"/>
            <w:right w:val="none" w:sz="0" w:space="0" w:color="auto"/>
          </w:divBdr>
          <w:divsChild>
            <w:div w:id="1980576841">
              <w:marLeft w:val="0"/>
              <w:marRight w:val="0"/>
              <w:marTop w:val="0"/>
              <w:marBottom w:val="0"/>
              <w:divBdr>
                <w:top w:val="none" w:sz="0" w:space="0" w:color="auto"/>
                <w:left w:val="none" w:sz="0" w:space="0" w:color="auto"/>
                <w:bottom w:val="none" w:sz="0" w:space="0" w:color="auto"/>
                <w:right w:val="none" w:sz="0" w:space="0" w:color="auto"/>
              </w:divBdr>
              <w:divsChild>
                <w:div w:id="1959337832">
                  <w:marLeft w:val="2835"/>
                  <w:marRight w:val="0"/>
                  <w:marTop w:val="0"/>
                  <w:marBottom w:val="0"/>
                  <w:divBdr>
                    <w:top w:val="none" w:sz="0" w:space="0" w:color="auto"/>
                    <w:left w:val="none" w:sz="0" w:space="0" w:color="auto"/>
                    <w:bottom w:val="none" w:sz="0" w:space="0" w:color="auto"/>
                    <w:right w:val="none" w:sz="0" w:space="0" w:color="auto"/>
                  </w:divBdr>
                  <w:divsChild>
                    <w:div w:id="1880894003">
                      <w:marLeft w:val="0"/>
                      <w:marRight w:val="0"/>
                      <w:marTop w:val="0"/>
                      <w:marBottom w:val="264"/>
                      <w:divBdr>
                        <w:top w:val="none" w:sz="0" w:space="0" w:color="auto"/>
                        <w:left w:val="none" w:sz="0" w:space="0" w:color="auto"/>
                        <w:bottom w:val="none" w:sz="0" w:space="0" w:color="auto"/>
                        <w:right w:val="none" w:sz="0" w:space="0" w:color="auto"/>
                      </w:divBdr>
                      <w:divsChild>
                        <w:div w:id="1203591891">
                          <w:marLeft w:val="0"/>
                          <w:marRight w:val="0"/>
                          <w:marTop w:val="0"/>
                          <w:marBottom w:val="0"/>
                          <w:divBdr>
                            <w:top w:val="none" w:sz="0" w:space="0" w:color="auto"/>
                            <w:left w:val="none" w:sz="0" w:space="0" w:color="auto"/>
                            <w:bottom w:val="none" w:sz="0" w:space="0" w:color="auto"/>
                            <w:right w:val="none" w:sz="0" w:space="0" w:color="auto"/>
                          </w:divBdr>
                          <w:divsChild>
                            <w:div w:id="166751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6818853">
      <w:bodyDiv w:val="1"/>
      <w:marLeft w:val="0"/>
      <w:marRight w:val="0"/>
      <w:marTop w:val="0"/>
      <w:marBottom w:val="0"/>
      <w:divBdr>
        <w:top w:val="none" w:sz="0" w:space="0" w:color="auto"/>
        <w:left w:val="none" w:sz="0" w:space="0" w:color="auto"/>
        <w:bottom w:val="none" w:sz="0" w:space="0" w:color="auto"/>
        <w:right w:val="none" w:sz="0" w:space="0" w:color="auto"/>
      </w:divBdr>
    </w:div>
    <w:div w:id="1886285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B67AE13FBD584ABEFCF026840CED6F" ma:contentTypeVersion="12" ma:contentTypeDescription="Create a new document." ma:contentTypeScope="" ma:versionID="ce1b19aeef6afbb2cc3f53b3ecc97212">
  <xsd:schema xmlns:xsd="http://www.w3.org/2001/XMLSchema" xmlns:xs="http://www.w3.org/2001/XMLSchema" xmlns:p="http://schemas.microsoft.com/office/2006/metadata/properties" xmlns:ns2="d56b9130-d22a-480d-bb83-f34040f04d96" xmlns:ns3="dd8606a3-d959-45f7-996e-3c98d970357c" targetNamespace="http://schemas.microsoft.com/office/2006/metadata/properties" ma:root="true" ma:fieldsID="56eb57938ebbdcbfca925926715647c6" ns2:_="" ns3:_="">
    <xsd:import namespace="d56b9130-d22a-480d-bb83-f34040f04d96"/>
    <xsd:import namespace="dd8606a3-d959-45f7-996e-3c98d970357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6b9130-d22a-480d-bb83-f34040f04d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8606a3-d959-45f7-996e-3c98d970357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AF98E9-B1BF-4ECC-88CE-BA708A80A0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6b9130-d22a-480d-bb83-f34040f04d96"/>
    <ds:schemaRef ds:uri="dd8606a3-d959-45f7-996e-3c98d97035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D72501-3874-4EB7-8E85-1806FA39D48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5753490-6EE7-4094-911E-27CA61883DCB}">
  <ds:schemaRefs>
    <ds:schemaRef ds:uri="http://schemas.microsoft.com/sharepoint/v3/contenttype/forms"/>
  </ds:schemaRefs>
</ds:datastoreItem>
</file>

<file path=customXml/itemProps4.xml><?xml version="1.0" encoding="utf-8"?>
<ds:datastoreItem xmlns:ds="http://schemas.openxmlformats.org/officeDocument/2006/customXml" ds:itemID="{4977A737-3014-4C6F-A6E5-542A07A57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15</Pages>
  <Words>5702</Words>
  <Characters>32508</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Watson</dc:creator>
  <cp:keywords/>
  <cp:lastModifiedBy>John Calwell</cp:lastModifiedBy>
  <cp:revision>9</cp:revision>
  <dcterms:created xsi:type="dcterms:W3CDTF">2021-03-08T13:56:00Z</dcterms:created>
  <dcterms:modified xsi:type="dcterms:W3CDTF">2021-03-09T18:42:00Z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62705617.2</vt:lpwstr>
  </property>
  <property fmtid="{D5CDD505-2E9C-101B-9397-08002B2CF9AE}" pid="3" name="ContentTypeId">
    <vt:lpwstr>0x01010026B67AE13FBD584ABEFCF026840CED6F</vt:lpwstr>
  </property>
</Properties>
</file>