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EA98" w14:textId="77777777" w:rsidR="004E6FFA" w:rsidRPr="004E6FFA" w:rsidRDefault="004E6FFA" w:rsidP="004E6FFA">
      <w:pPr>
        <w:shd w:val="clear" w:color="auto" w:fill="FFFFFF"/>
        <w:spacing w:after="0" w:line="240" w:lineRule="auto"/>
        <w:textAlignment w:val="baseline"/>
        <w:outlineLvl w:val="0"/>
        <w:rPr>
          <w:rFonts w:ascii="Arial" w:eastAsia="Times New Roman" w:hAnsi="Arial" w:cs="Arial"/>
          <w:b/>
          <w:bCs/>
          <w:color w:val="000000"/>
          <w:kern w:val="36"/>
          <w:sz w:val="48"/>
          <w:szCs w:val="48"/>
          <w:lang w:eastAsia="en-GB"/>
        </w:rPr>
      </w:pPr>
      <w:r w:rsidRPr="004E6FFA">
        <w:rPr>
          <w:rFonts w:ascii="inherit" w:eastAsia="Times New Roman" w:hAnsi="inherit" w:cs="Arial"/>
          <w:b/>
          <w:bCs/>
          <w:color w:val="000000"/>
          <w:kern w:val="36"/>
          <w:sz w:val="28"/>
          <w:szCs w:val="28"/>
          <w:bdr w:val="none" w:sz="0" w:space="0" w:color="auto" w:frame="1"/>
          <w:lang w:eastAsia="en-GB"/>
        </w:rPr>
        <w:t>Viewing the Details/Documents</w:t>
      </w:r>
    </w:p>
    <w:p w14:paraId="307EAB14" w14:textId="77777777" w:rsidR="004E6FFA" w:rsidRPr="004E6FFA" w:rsidRDefault="004E6FFA" w:rsidP="004E6FFA">
      <w:pPr>
        <w:shd w:val="clear" w:color="auto" w:fill="FFFFFF"/>
        <w:spacing w:after="0" w:line="240" w:lineRule="auto"/>
        <w:textAlignment w:val="baseline"/>
        <w:outlineLvl w:val="1"/>
        <w:rPr>
          <w:rFonts w:ascii="Arial" w:eastAsia="Times New Roman" w:hAnsi="Arial" w:cs="Arial"/>
          <w:b/>
          <w:bCs/>
          <w:color w:val="000000"/>
          <w:sz w:val="36"/>
          <w:szCs w:val="36"/>
          <w:lang w:eastAsia="en-GB"/>
        </w:rPr>
      </w:pPr>
      <w:r w:rsidRPr="004E6FFA">
        <w:rPr>
          <w:rFonts w:ascii="Arial" w:eastAsia="Times New Roman" w:hAnsi="Arial" w:cs="Arial"/>
          <w:color w:val="000000"/>
          <w:sz w:val="20"/>
          <w:szCs w:val="20"/>
          <w:bdr w:val="none" w:sz="0" w:space="0" w:color="auto" w:frame="1"/>
          <w:lang w:eastAsia="en-GB"/>
        </w:rPr>
        <w:br/>
      </w:r>
    </w:p>
    <w:p w14:paraId="0675DA49"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Login to the system and then it will take you to your homepage.</w:t>
      </w:r>
    </w:p>
    <w:p w14:paraId="7243E8F3"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324CA897"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noProof/>
          <w:color w:val="000000"/>
          <w:sz w:val="20"/>
          <w:szCs w:val="20"/>
          <w:lang w:eastAsia="en-GB"/>
        </w:rPr>
        <w:drawing>
          <wp:inline distT="0" distB="0" distL="0" distR="0" wp14:anchorId="05A798C4" wp14:editId="099C57DF">
            <wp:extent cx="6065520" cy="3476625"/>
            <wp:effectExtent l="0" t="0" r="0" b="9525"/>
            <wp:docPr id="7" name="Picture 7" descr="https://supplierhelp.due-north.com/lib/NewItem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lierhelp.due-north.com/lib/NewItem2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5520" cy="3476625"/>
                    </a:xfrm>
                    <a:prstGeom prst="rect">
                      <a:avLst/>
                    </a:prstGeom>
                    <a:noFill/>
                    <a:ln>
                      <a:noFill/>
                    </a:ln>
                  </pic:spPr>
                </pic:pic>
              </a:graphicData>
            </a:graphic>
          </wp:inline>
        </w:drawing>
      </w:r>
    </w:p>
    <w:p w14:paraId="41EC7B80"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284AC4C1"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From here to view your current activities that you are working on, from the </w:t>
      </w:r>
      <w:r w:rsidRPr="004E6FFA">
        <w:rPr>
          <w:rFonts w:ascii="inherit" w:eastAsia="Times New Roman" w:hAnsi="inherit" w:cs="Arial"/>
          <w:b/>
          <w:bCs/>
          <w:color w:val="000000"/>
          <w:sz w:val="20"/>
          <w:szCs w:val="20"/>
          <w:bdr w:val="none" w:sz="0" w:space="0" w:color="auto" w:frame="1"/>
          <w:lang w:eastAsia="en-GB"/>
        </w:rPr>
        <w:t>Activities</w:t>
      </w:r>
      <w:r w:rsidRPr="004E6FFA">
        <w:rPr>
          <w:rFonts w:ascii="Arial" w:eastAsia="Times New Roman" w:hAnsi="Arial" w:cs="Arial"/>
          <w:color w:val="000000"/>
          <w:sz w:val="20"/>
          <w:szCs w:val="20"/>
          <w:bdr w:val="none" w:sz="0" w:space="0" w:color="auto" w:frame="1"/>
          <w:lang w:eastAsia="en-GB"/>
        </w:rPr>
        <w:t> section click on the title of the Activity you wish to work on.</w:t>
      </w:r>
    </w:p>
    <w:p w14:paraId="576ADF20"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The </w:t>
      </w:r>
      <w:r w:rsidRPr="004E6FFA">
        <w:rPr>
          <w:rFonts w:ascii="inherit" w:eastAsia="Times New Roman" w:hAnsi="inherit" w:cs="Arial"/>
          <w:b/>
          <w:bCs/>
          <w:color w:val="000000"/>
          <w:sz w:val="20"/>
          <w:szCs w:val="20"/>
          <w:bdr w:val="none" w:sz="0" w:space="0" w:color="auto" w:frame="1"/>
          <w:lang w:eastAsia="en-GB"/>
        </w:rPr>
        <w:t>Activities</w:t>
      </w:r>
      <w:r w:rsidRPr="004E6FFA">
        <w:rPr>
          <w:rFonts w:ascii="Arial" w:eastAsia="Times New Roman" w:hAnsi="Arial" w:cs="Arial"/>
          <w:color w:val="000000"/>
          <w:sz w:val="20"/>
          <w:szCs w:val="20"/>
          <w:bdr w:val="none" w:sz="0" w:space="0" w:color="auto" w:frame="1"/>
          <w:lang w:eastAsia="en-GB"/>
        </w:rPr>
        <w:t xml:space="preserve"> area shows all the various tenders that you have registered with, this can be an ITT (Invitation to </w:t>
      </w:r>
      <w:proofErr w:type="gramStart"/>
      <w:r w:rsidRPr="004E6FFA">
        <w:rPr>
          <w:rFonts w:ascii="Arial" w:eastAsia="Times New Roman" w:hAnsi="Arial" w:cs="Arial"/>
          <w:color w:val="000000"/>
          <w:sz w:val="20"/>
          <w:szCs w:val="20"/>
          <w:bdr w:val="none" w:sz="0" w:space="0" w:color="auto" w:frame="1"/>
          <w:lang w:eastAsia="en-GB"/>
        </w:rPr>
        <w:t>Tender</w:t>
      </w:r>
      <w:proofErr w:type="gramEnd"/>
      <w:r w:rsidRPr="004E6FFA">
        <w:rPr>
          <w:rFonts w:ascii="Arial" w:eastAsia="Times New Roman" w:hAnsi="Arial" w:cs="Arial"/>
          <w:color w:val="000000"/>
          <w:sz w:val="20"/>
          <w:szCs w:val="20"/>
          <w:bdr w:val="none" w:sz="0" w:space="0" w:color="auto" w:frame="1"/>
          <w:lang w:eastAsia="en-GB"/>
        </w:rPr>
        <w:t>), RFQ (Request for Quotation), a PQQ (Pre-Qualification Questionnaire) etc.</w:t>
      </w:r>
    </w:p>
    <w:p w14:paraId="39FEC59D"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7DEFDC97"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b/>
          <w:bCs/>
          <w:color w:val="000000"/>
          <w:sz w:val="20"/>
          <w:szCs w:val="20"/>
          <w:bdr w:val="none" w:sz="0" w:space="0" w:color="auto" w:frame="1"/>
          <w:lang w:eastAsia="en-GB"/>
        </w:rPr>
        <w:t>Note:</w:t>
      </w:r>
      <w:r w:rsidRPr="004E6FFA">
        <w:rPr>
          <w:rFonts w:ascii="Arial" w:eastAsia="Times New Roman" w:hAnsi="Arial" w:cs="Arial"/>
          <w:color w:val="000000"/>
          <w:sz w:val="20"/>
          <w:szCs w:val="20"/>
          <w:bdr w:val="none" w:sz="0" w:space="0" w:color="auto" w:frame="1"/>
          <w:lang w:eastAsia="en-GB"/>
        </w:rPr>
        <w:t> The process is the same in the system for all types of tender opportunity, PQQ, ITT and RFQ’s, etc. however, in this case the ITT has been chosen to look through, and ITT will be referred to at various points. If you are completing a PQQ or Quotation (using attachments) then the screens will remain the same, it is only the terminology that will change. Online responses to online evaluations are covered in a separate guide/help section.</w:t>
      </w:r>
    </w:p>
    <w:p w14:paraId="75EE94C6"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As you can see above, the Buyer, Title of the project, current event and event deadline is shown. In this case it shows a </w:t>
      </w:r>
      <w:r w:rsidRPr="004E6FFA">
        <w:rPr>
          <w:rFonts w:ascii="Arial" w:eastAsia="Times New Roman" w:hAnsi="Arial" w:cs="Arial"/>
          <w:noProof/>
          <w:color w:val="000000"/>
          <w:sz w:val="20"/>
          <w:szCs w:val="20"/>
          <w:lang w:eastAsia="en-GB"/>
        </w:rPr>
        <w:drawing>
          <wp:inline distT="0" distB="0" distL="0" distR="0" wp14:anchorId="4DE3B01F" wp14:editId="32E87240">
            <wp:extent cx="325755" cy="217170"/>
            <wp:effectExtent l="0" t="0" r="0" b="0"/>
            <wp:docPr id="6" name="Picture 6" descr="https://supplierhelp.due-north.com/lib/NewItem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lierhelp.due-north.com/lib/NewItem2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 cy="217170"/>
                    </a:xfrm>
                    <a:prstGeom prst="rect">
                      <a:avLst/>
                    </a:prstGeom>
                    <a:noFill/>
                    <a:ln>
                      <a:noFill/>
                    </a:ln>
                  </pic:spPr>
                </pic:pic>
              </a:graphicData>
            </a:graphic>
          </wp:inline>
        </w:drawing>
      </w:r>
      <w:r w:rsidRPr="004E6FFA">
        <w:rPr>
          <w:rFonts w:ascii="Arial" w:eastAsia="Times New Roman" w:hAnsi="Arial" w:cs="Arial"/>
          <w:color w:val="000000"/>
          <w:sz w:val="20"/>
          <w:szCs w:val="20"/>
          <w:bdr w:val="none" w:sz="0" w:space="0" w:color="auto" w:frame="1"/>
          <w:lang w:eastAsia="en-GB"/>
        </w:rPr>
        <w:t> symbol to reflect it is new and it has not yet been viewed or worked upon yet.</w:t>
      </w:r>
    </w:p>
    <w:p w14:paraId="5CCE5CF3"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73D0BB34"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By clicking on the title in blue, further information is now shown. From this screen all aspects of this project can be dealt with; the tender can be viewed, questions can be asked and answers received, additional information can be issued and your response can be put together and sent to the contracting organisation. Each stage of the procurement process will be seen as its own section.</w:t>
      </w:r>
    </w:p>
    <w:p w14:paraId="29AAAD6F"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To view the relevant stage of the project click </w:t>
      </w:r>
      <w:r w:rsidRPr="004E6FFA">
        <w:rPr>
          <w:rFonts w:ascii="inherit" w:eastAsia="Times New Roman" w:hAnsi="inherit" w:cs="Arial"/>
          <w:b/>
          <w:bCs/>
          <w:color w:val="000000"/>
          <w:sz w:val="20"/>
          <w:szCs w:val="20"/>
          <w:bdr w:val="none" w:sz="0" w:space="0" w:color="auto" w:frame="1"/>
          <w:lang w:eastAsia="en-GB"/>
        </w:rPr>
        <w:t>Open Event </w:t>
      </w:r>
      <w:r w:rsidRPr="004E6FFA">
        <w:rPr>
          <w:rFonts w:ascii="Arial" w:eastAsia="Times New Roman" w:hAnsi="Arial" w:cs="Arial"/>
          <w:color w:val="000000"/>
          <w:sz w:val="20"/>
          <w:szCs w:val="20"/>
          <w:bdr w:val="none" w:sz="0" w:space="0" w:color="auto" w:frame="1"/>
          <w:lang w:eastAsia="en-GB"/>
        </w:rPr>
        <w:t>within the relevant stage, in this instance ‘Example ITT’.</w:t>
      </w:r>
    </w:p>
    <w:p w14:paraId="13CC3266"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1BB639F0"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noProof/>
          <w:color w:val="000000"/>
          <w:sz w:val="20"/>
          <w:szCs w:val="20"/>
          <w:lang w:eastAsia="en-GB"/>
        </w:rPr>
        <w:lastRenderedPageBreak/>
        <w:drawing>
          <wp:inline distT="0" distB="0" distL="0" distR="0" wp14:anchorId="1A73C4B0" wp14:editId="664D59B2">
            <wp:extent cx="5925185" cy="1869440"/>
            <wp:effectExtent l="0" t="0" r="0" b="0"/>
            <wp:docPr id="5" name="Picture 5" descr="https://supplierhelp.due-north.com/lib/NewItem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lierhelp.due-north.com/lib/NewItem2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185" cy="1869440"/>
                    </a:xfrm>
                    <a:prstGeom prst="rect">
                      <a:avLst/>
                    </a:prstGeom>
                    <a:noFill/>
                    <a:ln>
                      <a:noFill/>
                    </a:ln>
                  </pic:spPr>
                </pic:pic>
              </a:graphicData>
            </a:graphic>
          </wp:inline>
        </w:drawing>
      </w:r>
    </w:p>
    <w:p w14:paraId="38D97F95"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0B005757"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This will open the tender screen. This is broken up into different sections; Main details, Public attachments, Terms &amp; Conditions, Item breakdown and Messaging. </w:t>
      </w:r>
      <w:r w:rsidRPr="004E6FFA">
        <w:rPr>
          <w:rFonts w:ascii="inherit" w:eastAsia="Times New Roman" w:hAnsi="inherit" w:cs="Arial"/>
          <w:b/>
          <w:bCs/>
          <w:color w:val="000000"/>
          <w:sz w:val="20"/>
          <w:szCs w:val="20"/>
          <w:bdr w:val="none" w:sz="0" w:space="0" w:color="auto" w:frame="1"/>
          <w:lang w:eastAsia="en-GB"/>
        </w:rPr>
        <w:t>Note: </w:t>
      </w:r>
      <w:r w:rsidRPr="004E6FFA">
        <w:rPr>
          <w:rFonts w:ascii="Arial" w:eastAsia="Times New Roman" w:hAnsi="Arial" w:cs="Arial"/>
          <w:color w:val="000000"/>
          <w:sz w:val="20"/>
          <w:szCs w:val="20"/>
          <w:bdr w:val="none" w:sz="0" w:space="0" w:color="auto" w:frame="1"/>
          <w:lang w:eastAsia="en-GB"/>
        </w:rPr>
        <w:t>There is also a </w:t>
      </w:r>
      <w:r w:rsidRPr="004E6FFA">
        <w:rPr>
          <w:rFonts w:ascii="inherit" w:eastAsia="Times New Roman" w:hAnsi="inherit" w:cs="Arial"/>
          <w:b/>
          <w:bCs/>
          <w:color w:val="000000"/>
          <w:sz w:val="20"/>
          <w:szCs w:val="20"/>
          <w:bdr w:val="none" w:sz="0" w:space="0" w:color="auto" w:frame="1"/>
          <w:lang w:eastAsia="en-GB"/>
        </w:rPr>
        <w:t>countdown timer</w:t>
      </w:r>
      <w:r w:rsidRPr="004E6FFA">
        <w:rPr>
          <w:rFonts w:ascii="Arial" w:eastAsia="Times New Roman" w:hAnsi="Arial" w:cs="Arial"/>
          <w:color w:val="000000"/>
          <w:sz w:val="20"/>
          <w:szCs w:val="20"/>
          <w:bdr w:val="none" w:sz="0" w:space="0" w:color="auto" w:frame="1"/>
          <w:lang w:eastAsia="en-GB"/>
        </w:rPr>
        <w:t> in the top right indicating the time left until the submission deadline.</w:t>
      </w:r>
    </w:p>
    <w:p w14:paraId="272360C6"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1344604D"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noProof/>
          <w:color w:val="000000"/>
          <w:sz w:val="20"/>
          <w:szCs w:val="20"/>
          <w:lang w:eastAsia="en-GB"/>
        </w:rPr>
        <w:drawing>
          <wp:inline distT="0" distB="0" distL="0" distR="0" wp14:anchorId="4076DFA0" wp14:editId="2B6DCE6C">
            <wp:extent cx="5925185" cy="4418330"/>
            <wp:effectExtent l="0" t="0" r="0" b="1270"/>
            <wp:docPr id="4" name="Picture 4" descr="https://supplierhelp.due-north.com/lib/NewItem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lierhelp.due-north.com/lib/NewItem2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185" cy="4418330"/>
                    </a:xfrm>
                    <a:prstGeom prst="rect">
                      <a:avLst/>
                    </a:prstGeom>
                    <a:noFill/>
                    <a:ln>
                      <a:noFill/>
                    </a:ln>
                  </pic:spPr>
                </pic:pic>
              </a:graphicData>
            </a:graphic>
          </wp:inline>
        </w:drawing>
      </w:r>
    </w:p>
    <w:p w14:paraId="412F31AE"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4A91B388"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The different sections are explained below;</w:t>
      </w:r>
    </w:p>
    <w:p w14:paraId="52A141A5"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color w:val="000000"/>
          <w:bdr w:val="none" w:sz="0" w:space="0" w:color="auto" w:frame="1"/>
          <w:lang w:eastAsia="en-GB"/>
        </w:rPr>
        <w:br/>
      </w:r>
    </w:p>
    <w:p w14:paraId="0F603D99"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b/>
          <w:bCs/>
          <w:color w:val="000000"/>
          <w:sz w:val="20"/>
          <w:szCs w:val="20"/>
          <w:u w:val="single"/>
          <w:bdr w:val="none" w:sz="0" w:space="0" w:color="auto" w:frame="1"/>
          <w:lang w:eastAsia="en-GB"/>
        </w:rPr>
        <w:t>Main details</w:t>
      </w:r>
    </w:p>
    <w:p w14:paraId="7A27C436"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629F3D35"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This section shows the title, description and date and time the completed tender must be returned by.</w:t>
      </w:r>
    </w:p>
    <w:p w14:paraId="11FC022F"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b/>
          <w:bCs/>
          <w:color w:val="000000"/>
          <w:sz w:val="20"/>
          <w:szCs w:val="20"/>
          <w:u w:val="single"/>
          <w:bdr w:val="none" w:sz="0" w:space="0" w:color="auto" w:frame="1"/>
          <w:lang w:eastAsia="en-GB"/>
        </w:rPr>
        <w:br/>
      </w:r>
    </w:p>
    <w:p w14:paraId="0BEC7615"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b/>
          <w:bCs/>
          <w:color w:val="000000"/>
          <w:sz w:val="20"/>
          <w:szCs w:val="20"/>
          <w:u w:val="single"/>
          <w:bdr w:val="none" w:sz="0" w:space="0" w:color="auto" w:frame="1"/>
          <w:lang w:eastAsia="en-GB"/>
        </w:rPr>
        <w:t>Public attachments</w:t>
      </w:r>
    </w:p>
    <w:p w14:paraId="097AAF2A"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429EA630"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This section shows the attachments that have been published by the organisation. To download click on the title of the attachment.</w:t>
      </w:r>
    </w:p>
    <w:p w14:paraId="5B5A67A9"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b/>
          <w:bCs/>
          <w:color w:val="000000"/>
          <w:sz w:val="20"/>
          <w:szCs w:val="20"/>
          <w:bdr w:val="none" w:sz="0" w:space="0" w:color="auto" w:frame="1"/>
          <w:lang w:eastAsia="en-GB"/>
        </w:rPr>
        <w:t>Note:</w:t>
      </w:r>
      <w:r w:rsidRPr="004E6FFA">
        <w:rPr>
          <w:rFonts w:ascii="Arial" w:eastAsia="Times New Roman" w:hAnsi="Arial" w:cs="Arial"/>
          <w:color w:val="000000"/>
          <w:sz w:val="20"/>
          <w:szCs w:val="20"/>
          <w:bdr w:val="none" w:sz="0" w:space="0" w:color="auto" w:frame="1"/>
          <w:lang w:eastAsia="en-GB"/>
        </w:rPr>
        <w:t> There may be no attachments here, however in the majority of cases there will be. Where there are documents, they should be </w:t>
      </w:r>
      <w:r w:rsidRPr="004E6FFA">
        <w:rPr>
          <w:rFonts w:ascii="inherit" w:eastAsia="Times New Roman" w:hAnsi="inherit" w:cs="Arial"/>
          <w:b/>
          <w:bCs/>
          <w:color w:val="000000"/>
          <w:bdr w:val="none" w:sz="0" w:space="0" w:color="auto" w:frame="1"/>
          <w:lang w:eastAsia="en-GB"/>
        </w:rPr>
        <w:t>downloaded and saved</w:t>
      </w:r>
      <w:r w:rsidRPr="004E6FFA">
        <w:rPr>
          <w:rFonts w:ascii="inherit" w:eastAsia="Times New Roman" w:hAnsi="inherit" w:cs="Arial"/>
          <w:b/>
          <w:bCs/>
          <w:color w:val="000000"/>
          <w:sz w:val="20"/>
          <w:szCs w:val="20"/>
          <w:bdr w:val="none" w:sz="0" w:space="0" w:color="auto" w:frame="1"/>
          <w:lang w:eastAsia="en-GB"/>
        </w:rPr>
        <w:t> </w:t>
      </w:r>
      <w:r w:rsidRPr="004E6FFA">
        <w:rPr>
          <w:rFonts w:ascii="Arial" w:eastAsia="Times New Roman" w:hAnsi="Arial" w:cs="Arial"/>
          <w:color w:val="000000"/>
          <w:sz w:val="20"/>
          <w:szCs w:val="20"/>
          <w:bdr w:val="none" w:sz="0" w:space="0" w:color="auto" w:frame="1"/>
          <w:lang w:eastAsia="en-GB"/>
        </w:rPr>
        <w:t>to your own network or desktop before working on them.</w:t>
      </w:r>
    </w:p>
    <w:p w14:paraId="3647B1A3"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b/>
          <w:bCs/>
          <w:color w:val="000000"/>
          <w:sz w:val="20"/>
          <w:szCs w:val="20"/>
          <w:u w:val="single"/>
          <w:bdr w:val="none" w:sz="0" w:space="0" w:color="auto" w:frame="1"/>
          <w:lang w:eastAsia="en-GB"/>
        </w:rPr>
        <w:br/>
      </w:r>
    </w:p>
    <w:p w14:paraId="77767BA0"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b/>
          <w:bCs/>
          <w:color w:val="000000"/>
          <w:sz w:val="20"/>
          <w:szCs w:val="20"/>
          <w:u w:val="single"/>
          <w:bdr w:val="none" w:sz="0" w:space="0" w:color="auto" w:frame="1"/>
          <w:lang w:eastAsia="en-GB"/>
        </w:rPr>
        <w:t>Item Breakdown</w:t>
      </w:r>
    </w:p>
    <w:p w14:paraId="177198EC"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7C044982"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This section is the item breakdown for the tender used for pricing, if one has been created by the organisation.</w:t>
      </w:r>
    </w:p>
    <w:p w14:paraId="4B84EDC5"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45A28DFC"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b/>
          <w:bCs/>
          <w:color w:val="000000"/>
          <w:sz w:val="20"/>
          <w:szCs w:val="20"/>
          <w:bdr w:val="none" w:sz="0" w:space="0" w:color="auto" w:frame="1"/>
          <w:lang w:eastAsia="en-GB"/>
        </w:rPr>
        <w:t>Note:</w:t>
      </w:r>
      <w:r w:rsidRPr="004E6FFA">
        <w:rPr>
          <w:rFonts w:ascii="Arial" w:eastAsia="Times New Roman" w:hAnsi="Arial" w:cs="Arial"/>
          <w:color w:val="000000"/>
          <w:sz w:val="20"/>
          <w:szCs w:val="20"/>
          <w:bdr w:val="none" w:sz="0" w:space="0" w:color="auto" w:frame="1"/>
          <w:lang w:eastAsia="en-GB"/>
        </w:rPr>
        <w:t> This is an optional section and there may not be one included with an exercise.</w:t>
      </w:r>
    </w:p>
    <w:p w14:paraId="082DDA36"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6218FF0A"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This shows the description of the group/line item, the unit the item is measured in, the quantity of these units required and any additional comments regarding the line item (shown by hovering over the </w:t>
      </w:r>
      <w:r w:rsidRPr="004E6FFA">
        <w:rPr>
          <w:rFonts w:ascii="Arial" w:eastAsia="Times New Roman" w:hAnsi="Arial" w:cs="Arial"/>
          <w:noProof/>
          <w:color w:val="000000"/>
          <w:sz w:val="20"/>
          <w:szCs w:val="20"/>
          <w:lang w:eastAsia="en-GB"/>
        </w:rPr>
        <w:drawing>
          <wp:inline distT="0" distB="0" distL="0" distR="0" wp14:anchorId="2E94E226" wp14:editId="20B48846">
            <wp:extent cx="276225" cy="267335"/>
            <wp:effectExtent l="0" t="0" r="9525" b="0"/>
            <wp:docPr id="3" name="Picture 3" descr="https://supplierhelp.due-north.com/lib/NewItem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lierhelp.due-north.com/lib/NewItem2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4E6FFA">
        <w:rPr>
          <w:rFonts w:ascii="Arial" w:eastAsia="Times New Roman" w:hAnsi="Arial" w:cs="Arial"/>
          <w:color w:val="000000"/>
          <w:sz w:val="20"/>
          <w:szCs w:val="20"/>
          <w:bdr w:val="none" w:sz="0" w:space="0" w:color="auto" w:frame="1"/>
          <w:lang w:eastAsia="en-GB"/>
        </w:rPr>
        <w:t> icon.) An example of one is shown below.</w:t>
      </w:r>
    </w:p>
    <w:p w14:paraId="73FD1006"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4E5CBDE0"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noProof/>
          <w:color w:val="000000"/>
          <w:sz w:val="20"/>
          <w:szCs w:val="20"/>
          <w:lang w:eastAsia="en-GB"/>
        </w:rPr>
        <w:drawing>
          <wp:inline distT="0" distB="0" distL="0" distR="0" wp14:anchorId="48DCAF4F" wp14:editId="553E4749">
            <wp:extent cx="5260340" cy="1847215"/>
            <wp:effectExtent l="0" t="0" r="0" b="635"/>
            <wp:docPr id="2" name="Picture 2" descr="https://supplierhelp.due-north.com/lib/NewItem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lierhelp.due-north.com/lib/NewItem2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0340" cy="1847215"/>
                    </a:xfrm>
                    <a:prstGeom prst="rect">
                      <a:avLst/>
                    </a:prstGeom>
                    <a:noFill/>
                    <a:ln>
                      <a:noFill/>
                    </a:ln>
                  </pic:spPr>
                </pic:pic>
              </a:graphicData>
            </a:graphic>
          </wp:inline>
        </w:drawing>
      </w:r>
    </w:p>
    <w:p w14:paraId="56ED126A"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This can also be exported if required, by clicking </w:t>
      </w:r>
      <w:r w:rsidRPr="004E6FFA">
        <w:rPr>
          <w:rFonts w:ascii="inherit" w:eastAsia="Times New Roman" w:hAnsi="inherit" w:cs="Arial"/>
          <w:b/>
          <w:bCs/>
          <w:color w:val="000000"/>
          <w:sz w:val="20"/>
          <w:szCs w:val="20"/>
          <w:bdr w:val="none" w:sz="0" w:space="0" w:color="auto" w:frame="1"/>
          <w:lang w:eastAsia="en-GB"/>
        </w:rPr>
        <w:t>Export</w:t>
      </w:r>
      <w:r w:rsidRPr="004E6FFA">
        <w:rPr>
          <w:rFonts w:ascii="Arial" w:eastAsia="Times New Roman" w:hAnsi="Arial" w:cs="Arial"/>
          <w:color w:val="000000"/>
          <w:sz w:val="20"/>
          <w:szCs w:val="20"/>
          <w:bdr w:val="none" w:sz="0" w:space="0" w:color="auto" w:frame="1"/>
          <w:lang w:eastAsia="en-GB"/>
        </w:rPr>
        <w:t>.</w:t>
      </w:r>
    </w:p>
    <w:p w14:paraId="5FE856C1" w14:textId="77777777" w:rsidR="004E6FFA" w:rsidRPr="004E6FFA" w:rsidRDefault="004E6FFA" w:rsidP="004E6FFA">
      <w:pPr>
        <w:shd w:val="clear" w:color="auto" w:fill="FFFFFF"/>
        <w:spacing w:after="0" w:line="240" w:lineRule="auto"/>
        <w:textAlignment w:val="baseline"/>
        <w:outlineLvl w:val="1"/>
        <w:rPr>
          <w:rFonts w:ascii="Arial" w:eastAsia="Times New Roman" w:hAnsi="Arial" w:cs="Arial"/>
          <w:b/>
          <w:bCs/>
          <w:color w:val="000000"/>
          <w:sz w:val="36"/>
          <w:szCs w:val="36"/>
          <w:lang w:eastAsia="en-GB"/>
        </w:rPr>
      </w:pPr>
      <w:r w:rsidRPr="004E6FFA">
        <w:rPr>
          <w:rFonts w:ascii="Arial" w:eastAsia="Times New Roman" w:hAnsi="Arial" w:cs="Arial"/>
          <w:color w:val="000000"/>
          <w:sz w:val="20"/>
          <w:szCs w:val="20"/>
          <w:bdr w:val="none" w:sz="0" w:space="0" w:color="auto" w:frame="1"/>
          <w:lang w:eastAsia="en-GB"/>
        </w:rPr>
        <w:br/>
      </w:r>
    </w:p>
    <w:p w14:paraId="6F5519AE"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inherit" w:eastAsia="Times New Roman" w:hAnsi="inherit" w:cs="Arial"/>
          <w:b/>
          <w:bCs/>
          <w:color w:val="000000"/>
          <w:sz w:val="20"/>
          <w:szCs w:val="20"/>
          <w:u w:val="single"/>
          <w:bdr w:val="none" w:sz="0" w:space="0" w:color="auto" w:frame="1"/>
          <w:lang w:eastAsia="en-GB"/>
        </w:rPr>
        <w:t>Terms and Conditions</w:t>
      </w:r>
    </w:p>
    <w:p w14:paraId="2EC713CF"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p>
    <w:p w14:paraId="264FBFBF"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color w:val="000000"/>
          <w:sz w:val="20"/>
          <w:szCs w:val="20"/>
          <w:bdr w:val="none" w:sz="0" w:space="0" w:color="auto" w:frame="1"/>
          <w:lang w:eastAsia="en-GB"/>
        </w:rPr>
        <w:t>The Terms and conditions section shows the terms that have been used with this tender. To view them click on the Terms &amp; Conditions title, shown in blue. There will be at least one set of terms here and there can be more depending what the procuring organisation have set up.</w:t>
      </w:r>
    </w:p>
    <w:p w14:paraId="5C7BCA2B" w14:textId="77777777" w:rsidR="004E6FFA" w:rsidRPr="004E6FFA" w:rsidRDefault="004E6FFA" w:rsidP="004E6FFA">
      <w:pPr>
        <w:shd w:val="clear" w:color="auto" w:fill="FFFFFF"/>
        <w:spacing w:after="0" w:line="240" w:lineRule="auto"/>
        <w:textAlignment w:val="baseline"/>
        <w:rPr>
          <w:rFonts w:ascii="Arial" w:eastAsia="Times New Roman" w:hAnsi="Arial" w:cs="Arial"/>
          <w:color w:val="000000"/>
          <w:sz w:val="20"/>
          <w:szCs w:val="20"/>
          <w:lang w:eastAsia="en-GB"/>
        </w:rPr>
      </w:pPr>
      <w:r w:rsidRPr="004E6FFA">
        <w:rPr>
          <w:rFonts w:ascii="Arial" w:eastAsia="Times New Roman" w:hAnsi="Arial" w:cs="Arial"/>
          <w:noProof/>
          <w:color w:val="000000"/>
          <w:sz w:val="20"/>
          <w:szCs w:val="20"/>
          <w:lang w:eastAsia="en-GB"/>
        </w:rPr>
        <w:drawing>
          <wp:inline distT="0" distB="0" distL="0" distR="0" wp14:anchorId="51419056" wp14:editId="5B4B24C2">
            <wp:extent cx="5260340" cy="973455"/>
            <wp:effectExtent l="0" t="0" r="0" b="0"/>
            <wp:docPr id="1" name="Picture 1" descr="https://supplierhelp.due-north.com/lib/NewItem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lierhelp.due-north.com/lib/NewItem2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0340" cy="973455"/>
                    </a:xfrm>
                    <a:prstGeom prst="rect">
                      <a:avLst/>
                    </a:prstGeom>
                    <a:noFill/>
                    <a:ln>
                      <a:noFill/>
                    </a:ln>
                  </pic:spPr>
                </pic:pic>
              </a:graphicData>
            </a:graphic>
          </wp:inline>
        </w:drawing>
      </w:r>
    </w:p>
    <w:p w14:paraId="1407ADEA" w14:textId="77777777" w:rsidR="00F5717A" w:rsidRDefault="00F5717A">
      <w:bookmarkStart w:id="0" w:name="_GoBack"/>
      <w:bookmarkEnd w:id="0"/>
    </w:p>
    <w:sectPr w:rsidR="00F57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FA"/>
    <w:rsid w:val="004E6FFA"/>
    <w:rsid w:val="00F5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08C6"/>
  <w15:chartTrackingRefBased/>
  <w15:docId w15:val="{B69FAB5D-818B-468D-A0F0-B6FDCB6B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6F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F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6FFA"/>
    <w:rPr>
      <w:rFonts w:ascii="Times New Roman" w:eastAsia="Times New Roman" w:hAnsi="Times New Roman" w:cs="Times New Roman"/>
      <w:b/>
      <w:bCs/>
      <w:sz w:val="36"/>
      <w:szCs w:val="36"/>
      <w:lang w:eastAsia="en-GB"/>
    </w:rPr>
  </w:style>
  <w:style w:type="character" w:customStyle="1" w:styleId="rvts18">
    <w:name w:val="rvts18"/>
    <w:basedOn w:val="DefaultParagraphFont"/>
    <w:rsid w:val="004E6FFA"/>
  </w:style>
  <w:style w:type="character" w:customStyle="1" w:styleId="rvts6">
    <w:name w:val="rvts6"/>
    <w:basedOn w:val="DefaultParagraphFont"/>
    <w:rsid w:val="004E6FFA"/>
  </w:style>
  <w:style w:type="paragraph" w:customStyle="1" w:styleId="rvps2">
    <w:name w:val="rvps2"/>
    <w:basedOn w:val="Normal"/>
    <w:rsid w:val="004E6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vts13">
    <w:name w:val="rvts13"/>
    <w:basedOn w:val="DefaultParagraphFont"/>
    <w:rsid w:val="004E6FFA"/>
  </w:style>
  <w:style w:type="character" w:customStyle="1" w:styleId="rvts34">
    <w:name w:val="rvts34"/>
    <w:basedOn w:val="DefaultParagraphFont"/>
    <w:rsid w:val="004E6FFA"/>
  </w:style>
  <w:style w:type="character" w:customStyle="1" w:styleId="rvts24">
    <w:name w:val="rvts24"/>
    <w:basedOn w:val="DefaultParagraphFont"/>
    <w:rsid w:val="004E6FFA"/>
  </w:style>
  <w:style w:type="character" w:customStyle="1" w:styleId="rvts40">
    <w:name w:val="rvts40"/>
    <w:basedOn w:val="DefaultParagraphFont"/>
    <w:rsid w:val="004E6FFA"/>
  </w:style>
  <w:style w:type="character" w:customStyle="1" w:styleId="rvts39">
    <w:name w:val="rvts39"/>
    <w:basedOn w:val="DefaultParagraphFont"/>
    <w:rsid w:val="004E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A478E9EADE74498A56C2596DCD4A0" ma:contentTypeVersion="11" ma:contentTypeDescription="Create a new document." ma:contentTypeScope="" ma:versionID="e4963e551112c58e312c6b87cd6a9996">
  <xsd:schema xmlns:xsd="http://www.w3.org/2001/XMLSchema" xmlns:xs="http://www.w3.org/2001/XMLSchema" xmlns:p="http://schemas.microsoft.com/office/2006/metadata/properties" xmlns:ns3="f6616d94-e54f-4483-bd1e-bb92b8a94c31" xmlns:ns4="9f0b1c04-b67c-4bbe-83b4-e2ae13d15cbb" targetNamespace="http://schemas.microsoft.com/office/2006/metadata/properties" ma:root="true" ma:fieldsID="3d38da39dabcc208b00dc292451354f4" ns3:_="" ns4:_="">
    <xsd:import namespace="f6616d94-e54f-4483-bd1e-bb92b8a94c31"/>
    <xsd:import namespace="9f0b1c04-b67c-4bbe-83b4-e2ae13d15c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6d94-e54f-4483-bd1e-bb92b8a94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b1c04-b67c-4bbe-83b4-e2ae13d15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D8350-7013-425F-870A-B62A67BE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6d94-e54f-4483-bd1e-bb92b8a94c31"/>
    <ds:schemaRef ds:uri="9f0b1c04-b67c-4bbe-83b4-e2ae13d1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D5EC6-F97C-4832-B535-4878E9BB7DA8}">
  <ds:schemaRefs>
    <ds:schemaRef ds:uri="http://schemas.microsoft.com/sharepoint/v3/contenttype/forms"/>
  </ds:schemaRefs>
</ds:datastoreItem>
</file>

<file path=customXml/itemProps3.xml><?xml version="1.0" encoding="utf-8"?>
<ds:datastoreItem xmlns:ds="http://schemas.openxmlformats.org/officeDocument/2006/customXml" ds:itemID="{812386C7-D364-4073-973E-4DDC25CB99A6}">
  <ds:schemaRefs>
    <ds:schemaRef ds:uri="http://purl.org/dc/dcmitype/"/>
    <ds:schemaRef ds:uri="http://schemas.microsoft.com/office/infopath/2007/PartnerControls"/>
    <ds:schemaRef ds:uri="http://purl.org/dc/elements/1.1/"/>
    <ds:schemaRef ds:uri="http://schemas.microsoft.com/office/2006/metadata/properties"/>
    <ds:schemaRef ds:uri="f6616d94-e54f-4483-bd1e-bb92b8a94c31"/>
    <ds:schemaRef ds:uri="9f0b1c04-b67c-4bbe-83b4-e2ae13d15cbb"/>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Viewing the Details/Documents</vt:lpstr>
      <vt:lpstr>    </vt:lpstr>
      <vt:lpstr>    </vt:lpstr>
    </vt:vector>
  </TitlesOfParts>
  <Company>Blackpool Council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Bradley</dc:creator>
  <cp:keywords/>
  <dc:description/>
  <cp:lastModifiedBy>Janine Bradley</cp:lastModifiedBy>
  <cp:revision>1</cp:revision>
  <dcterms:created xsi:type="dcterms:W3CDTF">2021-07-15T10:14:00Z</dcterms:created>
  <dcterms:modified xsi:type="dcterms:W3CDTF">2021-07-15T10:15:00Z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0x01010010EA478E9EADE74498A56C2596DCD4A0</vt:lpwstr>
  </property>
</Properties>
</file>