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E0E6" w14:textId="77777777" w:rsidR="004170BC" w:rsidRPr="004170BC" w:rsidRDefault="004170BC" w:rsidP="004170B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bookmarkStart w:id="0" w:name="_GoBack"/>
      <w:bookmarkEnd w:id="0"/>
      <w:r w:rsidRPr="004170BC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14:paraId="475A9585" w14:textId="77777777" w:rsidR="004170BC" w:rsidRPr="004170BC" w:rsidRDefault="004170BC" w:rsidP="004170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252525"/>
          <w:sz w:val="20"/>
          <w:szCs w:val="20"/>
          <w:lang w:eastAsia="en-GB"/>
        </w:rPr>
      </w:pP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t>UK-BEXLEYHEATH: Health and social work services.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Section I: Contracting Authority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I.1) Name and addresses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       London Borough Of Bexley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       LONDON BOROUGH OF BEXLEY, CIVIC OFFICES, WATLING STREET, BEXLEYHEATH, DA6 7AT, United Kingdom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       Tel. +44 2030455137, Email: procurement@bexley.gov.uk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       Contact: PROCUREMENT SUPPORT TEAM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       Main Address: https://www.bexley.gov.uk/, Address of the buyer profile: WWW.BEXLEY.GOV.UK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       NUTS Code: UKI51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I.2) Joint procurement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The contract involves joint procurement: No.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In the case of joint procurement involving different countries, state applicable national procurement law: Not provided 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The contract is awarded by a central purchasing body: No.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I.3) Communication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The procurement documents are available for unrestricted and full direct access, free of charge, at: https://procontract.due-north.com/Home/About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Additional information can be obtained from: the abovementioned address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Tenders or requests to participate must be sent to the abovementioned address 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Electronic communication requires the use of tools and devices that are not generally available. Unrestricted and full direct access to these tools and devices is possible, free of charge, at: Not provided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I.4) Type of the contracting authority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      Regional or local authority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I.5) Main activity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      General public services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Section II: Object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II.1) Scope of the procurement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II.1.1) Title: Provision of Blue Badge, Freedom Pass and Taxi Card Service 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Reference Number: 5360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II.1.2) Main CPV Code: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85000000 - Health and social work services.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II.1.3) Type of contract: SERVICES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II.1.4) Short description: The London Borough of Bexley is seeking a provider to deliver a service for three concessionary travel schemes: Blue Badge parking, Disabled Person’s Freedom Pass and Taxi-card applications.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The aim of this contract is to help people with severe mobility problems caused by visible and non-visible (‘hidden’) disabilities to access goods and services, by allowing them to park close to their destination, travel free on London’s public transport, and in licensed taxis at subsidised rates.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The service outcomes required are: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•fair and consistent treatment of Blue Badge, Freedom Pass and Taxi - card applicants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•customer-friendly and clear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•timely and cost-efficient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•resistant to abuse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To facilitate these outcomes, a case management system will be needed that takes advantage of digital opportunities allowing the pathway for automatically eligible clients to be completed in a seamless and timely manner. For non-automatic eligibility the intervention of a mobility expert maybe required 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II.1.5) Estimated total value: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Value excluding VAT: 1,225,000 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Currency: GBP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II.1.6) Information about lots: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This contract is divided into lots: No 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II.2) Description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II.2.2) Additional CPV codes: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lastRenderedPageBreak/>
        <w:t>      Not Provided 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II.2.3) Place of performance: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UKI51 Bexley and Greenwich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II.2.4) Description of procurement: The London Borough of Bexley is seeking a provider to deliver a service for three concessionary travel schemes: Blue Badge parking, Disabled Person’s Freedom Pass and Taxi-card applications.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The aim of this contract is to help people with severe mobility problems caused by visible and non-visible (‘hidden’) disabilities to access goods and services, by allowing them to park close to their destination, travel free on London’s public transport, and in licensed taxis at subsidised rates.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The service outcomes required are: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•fair and consistent treatment of Blue Badge, Freedom Pass and Taxi - card applicants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•customer-friendly and clear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•timely and cost-efficient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•resistant to abuse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To facilitate these outcomes, a case management system will be needed that takes advantage of digital opportunities allowing the pathway for automatically eligible clients to be completed in a seamless and timely manner. For non-automatic eligibility the intervention of a mobility expert will be required only when the evidence provided is unclear.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II.2.5) Award criteria: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      Price is not the only award criterion and all criteria are stated only in the procurement documents      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II.2.6) Estimated value: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Value excluding VAT: 1,255,000 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Currency: GBP 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II.2.7) Duration of the contract, framework agreement or dynamic purchasing system: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Start: 11/04/2022 / End: 09/04/2027 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This contract is subject to renewal: Yes 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Description of renewals: extend for period or periods of up to 24 months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II.2.9) Information about the limits on the number of candidates to be invited: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       Envisaged minimum number: 1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 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Objective criteria for choosing the limited number of candidates: Not provided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II.2.10) Information about variants: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Variants will be accepted: No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II.2.11) Information about options: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Options:       No       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Description of options: Not provided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II.2.12) Information about electronic catalogues: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Tenders must be presented in the form of electronic catalogues or include an electronic catalogue: No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II.2.13) Information about European Union funds: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The procurement is related to a project and/or programme financed by European Union funds: No 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Identification of the project: Not provided       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II.2.14) Additional information: Not provided 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Section III: Legal, Economic, Financial And Technical Information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III.1) Conditions for participation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III.1.1) Suitability to pursue the professional activity, including requirements relating to enrolment on professional or trade registers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List and brief description of conditions:    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Not Provided 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III.1.2) Economic and financial standing    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Selection criteria as stated in the procurement documents 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List and brief description of selection criteria: 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Not Provided 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Minimum level(s) of standards possibly required (if applicable) : 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lastRenderedPageBreak/>
        <w:t>      Not Provided 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III.1.3) Technical and professional ability 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Selection criteria as stated in the procurement documents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List and brief description of selection criteria: 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Not Provided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Minimum level(s) of standards possibly required (if applicable) :    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Not Provided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III.1.5) Information about reserved contracts (if applicable)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The contract is reserved to sheltered workshops and economic operators aiming at the social and professional integration of disabled or disadvantaged persons: No 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The execution of the contract is restricted to the framework of sheltered employment programmes: No 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III.2) Conditions related to the contract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III.2.1) Information about a particular profession 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Reference to the relevant law, regulation or administrative provision:    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Not Provided 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III.2.2) Contract performance conditions    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Not Provided    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III.2.3) Information about staff responsible for the performance of the contract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Obligation to indicate the names and professional qualifications of the staff assigned to performing the contract: No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Section IV: Procedure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IV.1) Description RESTRICTED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IV.1.1) Type of procedure: Restricted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IV.1.3) Information about a framework agreement or a dynamic purchasing system 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   The procurement involves the establishment of a framework agreement - NO     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   The procurement involves the setting up of a dynamic purchasing system - NO 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   In the case of framework agreements justification for any duration exceeding 4 years: Not Provided 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IV.1.6) Information about electronic auction: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An electronic auction will be used: No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Additional information about electronic auction: Not provided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IV.1.8) Information about the Government Procurement Agreement (GPA)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The procurement is covered by the Government Procurement Agreement: No 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IV.2) Administrative information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IV.2.1) Previous publication concerning this procedure: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   Notice number in the OJ S: Not provided 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IV.2.2) Time limit for receipt of tenders or requests to participate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 Date: 09/12/2021 Time: 17:00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IV.2.3) Estimated date of dispatch of invitations to tender or to participate to selected candidates: Not Provided 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IV.2.4) Languages in which tenders or requests to participate may be submitted: English, 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IV.2.6) Minimum time frame during which the tenderer must maintain the tender: Not Provided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Section VI: Complementary Information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VI.1) Information about recurrence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This is a recurrent procurement: No 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Estimated timing for further notices to be published: Not provided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VI.2) Information about electronic workflows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Electronic ordering will be used No 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Electronic invoicing will be accepted No 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Electronic payment will be used No    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 xml:space="preserve">   VI.3) Additional Information: The contracting authority considers that this contract may be suitable for economic operators that are small or medium enterprises (SMEs). However, any selection of tenderers 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lastRenderedPageBreak/>
        <w:t>will be based solely on the criteria set out for the procurement.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To view this notice, please click here: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https://www.delta-esourcing.com/delta/viewNotice.html?noticeId=638880758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VI.4) Procedures for review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VI.4.1) Review body: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 xml:space="preserve">             London Borough </w:t>
      </w:r>
      <w:proofErr w:type="gramStart"/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t>Of</w:t>
      </w:r>
      <w:proofErr w:type="gramEnd"/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t xml:space="preserve"> Bexley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 LONDON BOROUGH OF BEXLEY, CIVIC OFFICES, WATLING STREET, KENT, BEXLEYHEATH, DA6 7AT, United Kingdom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 Tel. +44 2030455137, Fax. +44 2082946385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VI.4.2) Body responsible for mediation procedures: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       London Borough Of Bexley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    CIVIC OFFICES, WATLING STREET, BEXLEYHEATH, DA6 7AT, United Kingdom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    Email: PROCUREMENT@BEXLEY.GOV.UK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VI.4.3) Review procedure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Precise information on deadline(s) for review procedures: 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 Not Provided    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VI.4.4) Service from which information about the lodging of appeals may be obtained: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    London Borough Of Bexley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 LONDON BOROUGH OF BEXLEY, CIVIC OFFICES, WATLING STREET, KENT, BEXLEYHEATH, DA6 7LB, United Kingdom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       Tel. +44 2030455137, Fax. +44 2082946835, Email: PROCUREMENT@BEXLEY.GOV.UK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 xml:space="preserve">   VI.5) Date </w:t>
      </w:r>
      <w:proofErr w:type="gramStart"/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t>Of</w:t>
      </w:r>
      <w:proofErr w:type="gramEnd"/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t xml:space="preserve"> Dispatch Of This Notice: 28/10/2021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  <w:t>Annex A</w:t>
      </w:r>
      <w:r w:rsidRPr="004170BC">
        <w:rPr>
          <w:rFonts w:ascii="inherit" w:eastAsia="Times New Roman" w:hAnsi="inherit" w:cs="Arial"/>
          <w:color w:val="252525"/>
          <w:sz w:val="20"/>
          <w:szCs w:val="20"/>
          <w:lang w:eastAsia="en-GB"/>
        </w:rPr>
        <w:br/>
      </w:r>
    </w:p>
    <w:p w14:paraId="7926F178" w14:textId="77777777" w:rsidR="004170BC" w:rsidRPr="004170BC" w:rsidRDefault="004170BC" w:rsidP="004170B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170BC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7E12924E" w14:textId="77777777" w:rsidR="001114E6" w:rsidRPr="001114E6" w:rsidRDefault="001114E6" w:rsidP="001114E6"/>
    <w:sectPr w:rsidR="001114E6" w:rsidRPr="00111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Black">
    <w:altName w:val="Calibri"/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BC"/>
    <w:rsid w:val="000752C2"/>
    <w:rsid w:val="000E4042"/>
    <w:rsid w:val="001114E6"/>
    <w:rsid w:val="00194FEA"/>
    <w:rsid w:val="00346651"/>
    <w:rsid w:val="00384286"/>
    <w:rsid w:val="004170BC"/>
    <w:rsid w:val="00420799"/>
    <w:rsid w:val="00582D03"/>
    <w:rsid w:val="006234FD"/>
    <w:rsid w:val="006E2D0D"/>
    <w:rsid w:val="00852E62"/>
    <w:rsid w:val="00894773"/>
    <w:rsid w:val="00AA641A"/>
    <w:rsid w:val="00C73CBB"/>
    <w:rsid w:val="00D47CEE"/>
    <w:rsid w:val="00DA722A"/>
    <w:rsid w:val="00DC4A43"/>
    <w:rsid w:val="00DC6704"/>
    <w:rsid w:val="00E44534"/>
    <w:rsid w:val="00E63000"/>
    <w:rsid w:val="00E75524"/>
    <w:rsid w:val="00E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4196"/>
  <w15:chartTrackingRefBased/>
  <w15:docId w15:val="{73CC185B-379E-48E3-BE49-451181F0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5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775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775"/>
    <w:pPr>
      <w:keepNext/>
      <w:keepLines/>
      <w:spacing w:after="240"/>
      <w:outlineLvl w:val="0"/>
    </w:pPr>
    <w:rPr>
      <w:rFonts w:ascii="Lato Black" w:eastAsiaTheme="majorEastAsia" w:hAnsi="Lato Black" w:cstheme="majorBidi"/>
      <w:b/>
      <w:bCs/>
      <w:color w:val="1C1C1C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775"/>
    <w:pPr>
      <w:spacing w:before="190" w:after="57"/>
      <w:outlineLvl w:val="1"/>
    </w:pPr>
    <w:rPr>
      <w:rFonts w:ascii="Lato Black" w:hAnsi="Lato Black"/>
      <w:sz w:val="40"/>
      <w:szCs w:val="6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E4775"/>
    <w:pPr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2D03"/>
    <w:pPr>
      <w:spacing w:before="190" w:after="57"/>
      <w:outlineLvl w:val="3"/>
    </w:pPr>
    <w:rPr>
      <w:rFonts w:ascii="Lato Black" w:hAnsi="Lato Black"/>
      <w:sz w:val="28"/>
      <w:szCs w:val="32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EE4775"/>
    <w:pPr>
      <w:outlineLvl w:val="4"/>
    </w:pPr>
    <w:rPr>
      <w:sz w:val="2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EE4775"/>
    <w:pPr>
      <w:outlineLvl w:val="5"/>
    </w:pPr>
    <w:rPr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2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2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7EC0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2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775"/>
    <w:rPr>
      <w:rFonts w:ascii="Lato Black" w:eastAsiaTheme="majorEastAsia" w:hAnsi="Lato Black" w:cstheme="majorBidi"/>
      <w:b/>
      <w:bCs/>
      <w:color w:val="1C1C1C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EE4775"/>
    <w:rPr>
      <w:rFonts w:ascii="Lato Black" w:hAnsi="Lato Black"/>
      <w:sz w:val="40"/>
      <w:szCs w:val="66"/>
    </w:rPr>
  </w:style>
  <w:style w:type="character" w:customStyle="1" w:styleId="Heading3Char">
    <w:name w:val="Heading 3 Char"/>
    <w:basedOn w:val="DefaultParagraphFont"/>
    <w:link w:val="Heading3"/>
    <w:uiPriority w:val="9"/>
    <w:rsid w:val="00EE4775"/>
    <w:rPr>
      <w:rFonts w:ascii="Lato Black" w:hAnsi="Lato Black"/>
      <w:sz w:val="32"/>
      <w:szCs w:val="66"/>
    </w:rPr>
  </w:style>
  <w:style w:type="character" w:customStyle="1" w:styleId="Heading4Char">
    <w:name w:val="Heading 4 Char"/>
    <w:basedOn w:val="DefaultParagraphFont"/>
    <w:link w:val="Heading4"/>
    <w:uiPriority w:val="9"/>
    <w:rsid w:val="00582D03"/>
    <w:rPr>
      <w:rFonts w:ascii="Lato Black" w:hAnsi="Lato Black"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E4775"/>
    <w:rPr>
      <w:rFonts w:ascii="Lato Black" w:hAnsi="Lato Black"/>
      <w:sz w:val="24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EE4775"/>
    <w:rPr>
      <w:rFonts w:ascii="Lato Black" w:hAnsi="Lato Black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22A"/>
    <w:rPr>
      <w:rFonts w:asciiTheme="majorHAnsi" w:eastAsiaTheme="majorEastAsia" w:hAnsiTheme="majorHAnsi" w:cstheme="majorBidi"/>
      <w:color w:val="F7EC0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22A"/>
    <w:pPr>
      <w:pBdr>
        <w:bottom w:val="single" w:sz="8" w:space="4" w:color="F7EC09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22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22A"/>
    <w:pPr>
      <w:numPr>
        <w:ilvl w:val="1"/>
      </w:numPr>
    </w:pPr>
    <w:rPr>
      <w:rFonts w:asciiTheme="majorHAnsi" w:eastAsiaTheme="majorEastAsia" w:hAnsiTheme="majorHAnsi" w:cstheme="majorBidi"/>
      <w:i/>
      <w:iCs/>
      <w:color w:val="F7EC0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722A"/>
    <w:rPr>
      <w:rFonts w:asciiTheme="majorHAnsi" w:eastAsiaTheme="majorEastAsia" w:hAnsiTheme="majorHAnsi" w:cstheme="majorBidi"/>
      <w:i/>
      <w:iCs/>
      <w:color w:val="F7EC09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722A"/>
    <w:rPr>
      <w:b/>
      <w:bCs/>
    </w:rPr>
  </w:style>
  <w:style w:type="character" w:styleId="Emphasis">
    <w:name w:val="Emphasis"/>
    <w:basedOn w:val="DefaultParagraphFont"/>
    <w:uiPriority w:val="20"/>
    <w:qFormat/>
    <w:rsid w:val="00DA722A"/>
    <w:rPr>
      <w:i/>
      <w:iCs/>
    </w:rPr>
  </w:style>
  <w:style w:type="paragraph" w:styleId="NoSpacing">
    <w:name w:val="No Spacing"/>
    <w:uiPriority w:val="1"/>
    <w:qFormat/>
    <w:rsid w:val="00DA722A"/>
  </w:style>
  <w:style w:type="paragraph" w:styleId="ListParagraph">
    <w:name w:val="List Paragraph"/>
    <w:basedOn w:val="Normal"/>
    <w:uiPriority w:val="34"/>
    <w:qFormat/>
    <w:rsid w:val="00DA72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2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72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22A"/>
    <w:pPr>
      <w:pBdr>
        <w:bottom w:val="single" w:sz="4" w:space="4" w:color="F7EC09" w:themeColor="accent1"/>
      </w:pBdr>
      <w:spacing w:before="200" w:after="280"/>
      <w:ind w:left="936" w:right="936"/>
    </w:pPr>
    <w:rPr>
      <w:b/>
      <w:bCs/>
      <w:i/>
      <w:iCs/>
      <w:color w:val="F7EC0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22A"/>
    <w:rPr>
      <w:b/>
      <w:bCs/>
      <w:i/>
      <w:iCs/>
      <w:color w:val="F7EC09" w:themeColor="accent1"/>
    </w:rPr>
  </w:style>
  <w:style w:type="character" w:styleId="SubtleEmphasis">
    <w:name w:val="Subtle Emphasis"/>
    <w:basedOn w:val="DefaultParagraphFont"/>
    <w:uiPriority w:val="19"/>
    <w:qFormat/>
    <w:rsid w:val="00DA72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722A"/>
    <w:rPr>
      <w:b/>
      <w:bCs/>
      <w:i/>
      <w:iCs/>
      <w:color w:val="F7EC09" w:themeColor="accent1"/>
    </w:rPr>
  </w:style>
  <w:style w:type="character" w:styleId="SubtleReference">
    <w:name w:val="Subtle Reference"/>
    <w:basedOn w:val="DefaultParagraphFont"/>
    <w:uiPriority w:val="31"/>
    <w:qFormat/>
    <w:rsid w:val="00DA722A"/>
    <w:rPr>
      <w:smallCaps/>
      <w:color w:val="00206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722A"/>
    <w:rPr>
      <w:b/>
      <w:bCs/>
      <w:smallCaps/>
      <w:color w:val="00206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72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22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A722A"/>
    <w:rPr>
      <w:b/>
      <w:bCs/>
      <w:color w:val="F7EC09" w:themeColor="accent1"/>
      <w:sz w:val="18"/>
      <w:szCs w:val="18"/>
    </w:rPr>
  </w:style>
  <w:style w:type="table" w:customStyle="1" w:styleId="BexleyTable">
    <w:name w:val="Bexley Table"/>
    <w:basedOn w:val="TableNormal"/>
    <w:uiPriority w:val="99"/>
    <w:rsid w:val="00C73CBB"/>
    <w:pPr>
      <w:spacing w:after="0" w:line="240" w:lineRule="auto"/>
    </w:pPr>
    <w:rPr>
      <w:rFonts w:ascii="Lato" w:hAnsi="Lato" w:cs="Times New Roman"/>
      <w:color w:val="FFFFFF"/>
      <w:sz w:val="20"/>
    </w:rPr>
    <w:tblPr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13" w:type="dxa"/>
        <w:bottom w:w="113" w:type="dxa"/>
      </w:tblCellMar>
    </w:tblPr>
    <w:trPr>
      <w:hidden/>
    </w:trPr>
    <w:tcPr>
      <w:shd w:val="clear" w:color="auto" w:fill="E1FBFF"/>
      <w:tcMar>
        <w:top w:w="85" w:type="dxa"/>
      </w:tcMar>
    </w:tcPr>
    <w:tblStylePr w:type="firstRow">
      <w:pPr>
        <w:jc w:val="left"/>
      </w:pPr>
      <w:rPr>
        <w:rFonts w:ascii="Lato Black" w:hAnsi="Lato Black"/>
        <w:b/>
        <w:color w:val="D82A91"/>
        <w:sz w:val="20"/>
      </w:rPr>
      <w:tblPr/>
      <w:trPr>
        <w:hidden/>
      </w:trPr>
      <w:tcPr>
        <w:shd w:val="clear" w:color="auto" w:fill="00BDD6"/>
      </w:tcPr>
    </w:tblStylePr>
  </w:style>
  <w:style w:type="table" w:styleId="TableGrid">
    <w:name w:val="Table Grid"/>
    <w:basedOn w:val="TableNormal"/>
    <w:uiPriority w:val="59"/>
    <w:rsid w:val="00AA641A"/>
    <w:pPr>
      <w:spacing w:after="0" w:line="240" w:lineRule="auto"/>
    </w:pPr>
    <w:rPr>
      <w:rFonts w:ascii="Lato" w:hAnsi="Lato"/>
      <w:sz w:val="20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rPr>
      <w:hidden/>
    </w:trPr>
    <w:tcPr>
      <w:shd w:val="clear" w:color="auto" w:fill="C0F8FF" w:themeFill="accent4" w:themeFillTint="33"/>
    </w:tcPr>
    <w:tblStylePr w:type="firstRow">
      <w:rPr>
        <w:rFonts w:ascii="Lato Black" w:hAnsi="Lato Black"/>
        <w:b/>
        <w:sz w:val="20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single" w:sz="12" w:space="0" w:color="F8F8F8" w:themeColor="background2"/>
          <w:tl2br w:val="nil"/>
          <w:tr2bl w:val="nil"/>
        </w:tcBorders>
        <w:shd w:val="clear" w:color="auto" w:fill="00BDD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1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28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exley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F7EC09"/>
      </a:accent1>
      <a:accent2>
        <a:srgbClr val="002060"/>
      </a:accent2>
      <a:accent3>
        <a:srgbClr val="92278F"/>
      </a:accent3>
      <a:accent4>
        <a:srgbClr val="00AEC3"/>
      </a:accent4>
      <a:accent5>
        <a:srgbClr val="D82A91"/>
      </a:accent5>
      <a:accent6>
        <a:srgbClr val="8DC63F"/>
      </a:accent6>
      <a:hlink>
        <a:srgbClr val="0042C7"/>
      </a:hlink>
      <a:folHlink>
        <a:srgbClr val="92278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F3045-6DB4-4EA0-93DE-91F4BF0C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</Words>
  <Characters>9057</Characters>
  <Application>Microsoft Office Word</Application>
  <DocSecurity>0</DocSecurity>
  <Lines>75</Lines>
  <Paragraphs>21</Paragraphs>
  <ScaleCrop>false</ScaleCrop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Shahzad, Amir</dc:creator>
  <cp:keywords/>
  <dc:description/>
  <cp:lastModifiedBy>Shahzad, Amir</cp:lastModifiedBy>
  <cp:revision>1</cp:revision>
  <dcterms:created xsi:type="dcterms:W3CDTF">2021-10-28T10:02:00Z</dcterms:created>
  <dcterms:modified xsi:type="dcterms:W3CDTF">2021-10-28T10:02:00Z</dcterms:modified>
</cp:coreProperties>
</file>