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33" w:rsidRPr="00D45333" w:rsidRDefault="00D45333" w:rsidP="00D45333">
      <w:pPr>
        <w:rPr>
          <w:rFonts w:cs="Arial"/>
        </w:rPr>
      </w:pPr>
    </w:p>
    <w:tbl>
      <w:tblPr>
        <w:tblStyle w:val="TableGrid"/>
        <w:tblW w:w="0" w:type="auto"/>
        <w:tblLook w:val="04A0"/>
      </w:tblPr>
      <w:tblGrid>
        <w:gridCol w:w="9854"/>
      </w:tblGrid>
      <w:tr w:rsidR="00D45333" w:rsidTr="00D45333">
        <w:tc>
          <w:tcPr>
            <w:tcW w:w="9854" w:type="dxa"/>
            <w:tcBorders>
              <w:top w:val="nil"/>
              <w:left w:val="nil"/>
              <w:bottom w:val="single" w:sz="12" w:space="0" w:color="17365D" w:themeColor="text2" w:themeShade="BF"/>
              <w:right w:val="nil"/>
            </w:tcBorders>
            <w:shd w:val="clear" w:color="auto" w:fill="auto"/>
            <w:vAlign w:val="center"/>
          </w:tcPr>
          <w:p w:rsidR="00D45333" w:rsidRPr="00D97E43" w:rsidRDefault="00D45333" w:rsidP="008B4DE5">
            <w:pPr>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extent cx="2076450" cy="866775"/>
                  <wp:effectExtent l="19050" t="0" r="0" b="0"/>
                  <wp:docPr id="7" name="Picture 4" descr="torbaycouncil"/>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p>
        </w:tc>
      </w:tr>
      <w:tr w:rsidR="00D45333" w:rsidTr="008B4DE5">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D45333" w:rsidRPr="00D97E43" w:rsidRDefault="00D45333" w:rsidP="00D45333">
            <w:pPr>
              <w:spacing w:before="240"/>
              <w:jc w:val="center"/>
              <w:rPr>
                <w:rFonts w:cs="Arial"/>
                <w:b/>
                <w:color w:val="FFFFFF" w:themeColor="background1"/>
                <w:sz w:val="56"/>
                <w:szCs w:val="56"/>
              </w:rPr>
            </w:pPr>
            <w:r w:rsidRPr="00D97E43">
              <w:rPr>
                <w:rFonts w:cs="Arial"/>
                <w:b/>
                <w:color w:val="FFFFFF" w:themeColor="background1"/>
                <w:sz w:val="56"/>
                <w:szCs w:val="56"/>
              </w:rPr>
              <w:t xml:space="preserve">Volume </w:t>
            </w:r>
            <w:r>
              <w:rPr>
                <w:rFonts w:cs="Arial"/>
                <w:b/>
                <w:color w:val="FFFFFF" w:themeColor="background1"/>
                <w:sz w:val="56"/>
                <w:szCs w:val="56"/>
              </w:rPr>
              <w:t>Two</w:t>
            </w:r>
            <w:r w:rsidRPr="00D97E43">
              <w:rPr>
                <w:rFonts w:cs="Arial"/>
                <w:b/>
                <w:color w:val="FFFFFF" w:themeColor="background1"/>
                <w:sz w:val="56"/>
                <w:szCs w:val="56"/>
              </w:rPr>
              <w:t xml:space="preserve"> (</w:t>
            </w:r>
            <w:r>
              <w:rPr>
                <w:rFonts w:cs="Arial"/>
                <w:b/>
                <w:color w:val="FFFFFF" w:themeColor="background1"/>
                <w:sz w:val="56"/>
                <w:szCs w:val="56"/>
              </w:rPr>
              <w:t>2</w:t>
            </w:r>
            <w:r w:rsidRPr="00D97E43">
              <w:rPr>
                <w:rFonts w:cs="Arial"/>
                <w:b/>
                <w:color w:val="FFFFFF" w:themeColor="background1"/>
                <w:sz w:val="56"/>
                <w:szCs w:val="56"/>
              </w:rPr>
              <w:t xml:space="preserve">) - </w:t>
            </w:r>
            <w:r>
              <w:rPr>
                <w:rFonts w:cs="Arial"/>
                <w:b/>
                <w:color w:val="FFFFFF" w:themeColor="background1"/>
                <w:sz w:val="56"/>
                <w:szCs w:val="56"/>
              </w:rPr>
              <w:t>Information</w:t>
            </w:r>
          </w:p>
        </w:tc>
      </w:tr>
      <w:tr w:rsidR="00D45333" w:rsidTr="008B4DE5">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D45333" w:rsidRPr="00D97E43" w:rsidRDefault="00D45333" w:rsidP="008B4DE5">
            <w:pPr>
              <w:spacing w:before="120" w:after="120"/>
              <w:jc w:val="center"/>
              <w:rPr>
                <w:rFonts w:cs="Arial"/>
                <w:b/>
                <w:color w:val="000000"/>
                <w:sz w:val="48"/>
                <w:szCs w:val="48"/>
              </w:rPr>
            </w:pPr>
            <w:r w:rsidRPr="00D97E43">
              <w:rPr>
                <w:rFonts w:cs="Arial"/>
                <w:b/>
                <w:color w:val="000000"/>
                <w:sz w:val="40"/>
                <w:szCs w:val="40"/>
              </w:rPr>
              <w:t>Contract Reference</w:t>
            </w:r>
          </w:p>
        </w:tc>
      </w:tr>
      <w:tr w:rsidR="00D45333" w:rsidTr="008B4DE5">
        <w:tc>
          <w:tcPr>
            <w:tcW w:w="9854" w:type="dxa"/>
            <w:tcBorders>
              <w:top w:val="nil"/>
              <w:left w:val="single" w:sz="12" w:space="0" w:color="17365D" w:themeColor="text2" w:themeShade="BF"/>
              <w:bottom w:val="single" w:sz="8" w:space="0" w:color="17365D" w:themeColor="text2" w:themeShade="BF"/>
              <w:right w:val="single" w:sz="12" w:space="0" w:color="17365D" w:themeColor="text2" w:themeShade="BF"/>
            </w:tcBorders>
            <w:vAlign w:val="center"/>
          </w:tcPr>
          <w:p w:rsidR="00D45333" w:rsidRPr="00980E95" w:rsidRDefault="007630B9" w:rsidP="00553218">
            <w:pPr>
              <w:spacing w:before="120" w:after="120"/>
              <w:jc w:val="center"/>
              <w:rPr>
                <w:b/>
                <w:color w:val="0070C0"/>
                <w:sz w:val="48"/>
                <w:szCs w:val="48"/>
              </w:rPr>
            </w:pPr>
            <w:r w:rsidRPr="00980E95">
              <w:rPr>
                <w:b/>
                <w:color w:val="0070C0"/>
                <w:sz w:val="48"/>
                <w:szCs w:val="48"/>
              </w:rPr>
              <w:t>T</w:t>
            </w:r>
            <w:r w:rsidR="00553218" w:rsidRPr="00980E95">
              <w:rPr>
                <w:b/>
                <w:color w:val="0070C0"/>
                <w:sz w:val="48"/>
                <w:szCs w:val="48"/>
              </w:rPr>
              <w:t>01016</w:t>
            </w:r>
            <w:r w:rsidR="00ED0FBD" w:rsidRPr="00980E95">
              <w:rPr>
                <w:b/>
                <w:color w:val="0070C0"/>
                <w:sz w:val="48"/>
                <w:szCs w:val="48"/>
              </w:rPr>
              <w:t>CS</w:t>
            </w:r>
          </w:p>
        </w:tc>
      </w:tr>
      <w:tr w:rsidR="00D45333" w:rsidTr="008B4DE5">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D45333" w:rsidRPr="00980E95" w:rsidRDefault="00C00F03" w:rsidP="00FC3287">
            <w:pPr>
              <w:spacing w:before="120" w:after="120"/>
              <w:jc w:val="center"/>
              <w:rPr>
                <w:rFonts w:cs="Arial"/>
                <w:color w:val="0070C0"/>
                <w:sz w:val="44"/>
                <w:szCs w:val="44"/>
              </w:rPr>
            </w:pPr>
            <w:r w:rsidRPr="00980E95">
              <w:rPr>
                <w:rFonts w:cs="Arial"/>
                <w:b/>
                <w:color w:val="0070C0"/>
                <w:sz w:val="44"/>
                <w:szCs w:val="44"/>
              </w:rPr>
              <w:t>Safeguarding Children Foundation</w:t>
            </w:r>
            <w:r w:rsidR="007630B9" w:rsidRPr="00980E95">
              <w:rPr>
                <w:rFonts w:cs="Arial"/>
                <w:b/>
                <w:color w:val="0070C0"/>
                <w:sz w:val="44"/>
                <w:szCs w:val="44"/>
              </w:rPr>
              <w:t xml:space="preserve"> Training Course</w:t>
            </w:r>
            <w:r w:rsidR="005158FA" w:rsidRPr="00980E95">
              <w:rPr>
                <w:rFonts w:cs="Arial"/>
                <w:b/>
                <w:color w:val="0070C0"/>
                <w:sz w:val="44"/>
                <w:szCs w:val="44"/>
              </w:rPr>
              <w:t xml:space="preserve"> 2016-201</w:t>
            </w:r>
            <w:r w:rsidR="00FC3287" w:rsidRPr="00980E95">
              <w:rPr>
                <w:rFonts w:cs="Arial"/>
                <w:b/>
                <w:color w:val="0070C0"/>
                <w:sz w:val="44"/>
                <w:szCs w:val="44"/>
              </w:rPr>
              <w:t>8</w:t>
            </w:r>
          </w:p>
        </w:tc>
      </w:tr>
      <w:tr w:rsidR="00D45333" w:rsidTr="00D45333">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D45333" w:rsidRPr="00AB07A3" w:rsidRDefault="00D45333" w:rsidP="00AB07A3">
            <w:pPr>
              <w:spacing w:before="120" w:after="120"/>
              <w:jc w:val="center"/>
              <w:rPr>
                <w:b/>
                <w:color w:val="0070C0"/>
                <w:sz w:val="48"/>
                <w:szCs w:val="48"/>
              </w:rPr>
            </w:pPr>
          </w:p>
        </w:tc>
      </w:tr>
    </w:tbl>
    <w:p w:rsidR="00D45333" w:rsidRPr="00D45333" w:rsidRDefault="00D45333" w:rsidP="00D45333">
      <w:pPr>
        <w:rPr>
          <w:rFonts w:cs="Arial"/>
        </w:rPr>
      </w:pPr>
    </w:p>
    <w:p w:rsidR="00D45333" w:rsidRPr="00D45333" w:rsidRDefault="00D45333" w:rsidP="00D45333">
      <w:pPr>
        <w:rPr>
          <w:rFonts w:cs="Arial"/>
        </w:rPr>
      </w:pPr>
    </w:p>
    <w:p w:rsidR="00D45333" w:rsidRPr="00D45333" w:rsidRDefault="00D45333" w:rsidP="00D45333">
      <w:pPr>
        <w:rPr>
          <w:rFonts w:cs="Arial"/>
        </w:rPr>
      </w:pPr>
    </w:p>
    <w:p w:rsidR="00D45333" w:rsidRDefault="00D45333" w:rsidP="009D2A1B">
      <w:pPr>
        <w:rPr>
          <w:rFonts w:cs="Arial"/>
          <w:sz w:val="72"/>
          <w:szCs w:val="72"/>
        </w:rPr>
        <w:sectPr w:rsidR="00D45333" w:rsidSect="00D45333">
          <w:headerReference w:type="default" r:id="rId9"/>
          <w:footerReference w:type="default" r:id="rId10"/>
          <w:headerReference w:type="first" r:id="rId11"/>
          <w:footerReference w:type="first" r:id="rId12"/>
          <w:pgSz w:w="11907" w:h="16840" w:code="9"/>
          <w:pgMar w:top="1134" w:right="1134" w:bottom="1134" w:left="1134" w:header="992" w:footer="0" w:gutter="0"/>
          <w:pgNumType w:start="1"/>
          <w:cols w:space="720"/>
          <w:titlePg/>
          <w:docGrid w:linePitch="299"/>
        </w:sectPr>
      </w:pPr>
    </w:p>
    <w:p w:rsidR="00C6711B" w:rsidRPr="009D2A1B" w:rsidRDefault="009D2A1B" w:rsidP="009D2A1B">
      <w:pPr>
        <w:shd w:val="clear" w:color="auto" w:fill="17365D" w:themeFill="text2" w:themeFillShade="BF"/>
        <w:rPr>
          <w:rFonts w:cs="Arial"/>
          <w:b/>
          <w:sz w:val="48"/>
          <w:szCs w:val="48"/>
        </w:rPr>
      </w:pPr>
      <w:r w:rsidRPr="009D2A1B">
        <w:rPr>
          <w:rFonts w:cs="Arial"/>
          <w:b/>
          <w:sz w:val="48"/>
          <w:szCs w:val="48"/>
        </w:rPr>
        <w:lastRenderedPageBreak/>
        <w:t>Contents</w:t>
      </w:r>
    </w:p>
    <w:p w:rsidR="00877032" w:rsidRDefault="009850D8" w:rsidP="00877032">
      <w:pPr>
        <w:pStyle w:val="TOC1"/>
        <w:spacing w:before="120" w:after="120"/>
        <w:rPr>
          <w:rFonts w:asciiTheme="minorHAnsi" w:eastAsiaTheme="minorEastAsia" w:hAnsiTheme="minorHAnsi" w:cstheme="minorBidi"/>
          <w:noProof/>
          <w:lang w:eastAsia="en-GB"/>
        </w:rPr>
      </w:pPr>
      <w:r>
        <w:fldChar w:fldCharType="begin"/>
      </w:r>
      <w:r w:rsidR="009D2A1B">
        <w:instrText xml:space="preserve"> TOC \o "1-2" \h \z \u </w:instrText>
      </w:r>
      <w:r>
        <w:fldChar w:fldCharType="separate"/>
      </w:r>
      <w:hyperlink w:anchor="_Toc384126978" w:history="1">
        <w:r w:rsidR="00877032" w:rsidRPr="008577B7">
          <w:rPr>
            <w:rStyle w:val="Hyperlink"/>
            <w:noProof/>
          </w:rPr>
          <w:t>1</w:t>
        </w:r>
        <w:r w:rsidR="00877032">
          <w:rPr>
            <w:rFonts w:asciiTheme="minorHAnsi" w:eastAsiaTheme="minorEastAsia" w:hAnsiTheme="minorHAnsi" w:cstheme="minorBidi"/>
            <w:noProof/>
            <w:lang w:eastAsia="en-GB"/>
          </w:rPr>
          <w:tab/>
        </w:r>
        <w:r w:rsidR="00877032" w:rsidRPr="008577B7">
          <w:rPr>
            <w:rStyle w:val="Hyperlink"/>
            <w:noProof/>
          </w:rPr>
          <w:t>Background Information</w:t>
        </w:r>
        <w:r w:rsidR="00877032">
          <w:rPr>
            <w:noProof/>
            <w:webHidden/>
          </w:rPr>
          <w:tab/>
        </w:r>
        <w:r w:rsidR="009B780B">
          <w:rPr>
            <w:noProof/>
            <w:webHidden/>
          </w:rPr>
          <w:t>3</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6979" w:history="1">
        <w:r w:rsidR="00877032" w:rsidRPr="008577B7">
          <w:rPr>
            <w:rStyle w:val="Hyperlink"/>
            <w:noProof/>
          </w:rPr>
          <w:t>2</w:t>
        </w:r>
        <w:r w:rsidR="00877032">
          <w:rPr>
            <w:rFonts w:asciiTheme="minorHAnsi" w:eastAsiaTheme="minorEastAsia" w:hAnsiTheme="minorHAnsi" w:cstheme="minorBidi"/>
            <w:noProof/>
            <w:lang w:eastAsia="en-GB"/>
          </w:rPr>
          <w:tab/>
        </w:r>
        <w:r w:rsidR="00877032" w:rsidRPr="008577B7">
          <w:rPr>
            <w:rStyle w:val="Hyperlink"/>
            <w:noProof/>
          </w:rPr>
          <w:t>Procurement Information</w:t>
        </w:r>
        <w:r w:rsidR="00877032">
          <w:rPr>
            <w:noProof/>
            <w:webHidden/>
          </w:rPr>
          <w:tab/>
        </w:r>
        <w:r w:rsidR="00222AC5">
          <w:rPr>
            <w:noProof/>
            <w:webHidden/>
          </w:rPr>
          <w:t>4</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6980" w:history="1">
        <w:r w:rsidR="00877032" w:rsidRPr="008577B7">
          <w:rPr>
            <w:rStyle w:val="Hyperlink"/>
            <w:noProof/>
          </w:rPr>
          <w:t>2.1</w:t>
        </w:r>
        <w:r w:rsidR="00877032">
          <w:rPr>
            <w:rFonts w:asciiTheme="minorHAnsi" w:eastAsiaTheme="minorEastAsia" w:hAnsiTheme="minorHAnsi" w:cstheme="minorBidi"/>
            <w:noProof/>
            <w:lang w:eastAsia="en-GB"/>
          </w:rPr>
          <w:tab/>
        </w:r>
        <w:r w:rsidR="00877032" w:rsidRPr="008577B7">
          <w:rPr>
            <w:rStyle w:val="Hyperlink"/>
            <w:noProof/>
          </w:rPr>
          <w:t>Procurement Procedure</w:t>
        </w:r>
        <w:r w:rsidR="00877032">
          <w:rPr>
            <w:noProof/>
            <w:webHidden/>
          </w:rPr>
          <w:tab/>
        </w:r>
        <w:r w:rsidR="00222AC5">
          <w:rPr>
            <w:noProof/>
            <w:webHidden/>
          </w:rPr>
          <w:t>4</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6981" w:history="1">
        <w:r w:rsidR="00877032" w:rsidRPr="008577B7">
          <w:rPr>
            <w:rStyle w:val="Hyperlink"/>
            <w:noProof/>
          </w:rPr>
          <w:t>2.2</w:t>
        </w:r>
        <w:r w:rsidR="00877032">
          <w:rPr>
            <w:rFonts w:asciiTheme="minorHAnsi" w:eastAsiaTheme="minorEastAsia" w:hAnsiTheme="minorHAnsi" w:cstheme="minorBidi"/>
            <w:noProof/>
            <w:lang w:eastAsia="en-GB"/>
          </w:rPr>
          <w:tab/>
        </w:r>
        <w:r w:rsidR="00877032" w:rsidRPr="008577B7">
          <w:rPr>
            <w:rStyle w:val="Hyperlink"/>
            <w:noProof/>
          </w:rPr>
          <w:t>Procurement Timetable</w:t>
        </w:r>
        <w:r w:rsidR="00877032">
          <w:rPr>
            <w:noProof/>
            <w:webHidden/>
          </w:rPr>
          <w:tab/>
        </w:r>
        <w:r w:rsidR="00222AC5">
          <w:rPr>
            <w:noProof/>
            <w:webHidden/>
          </w:rPr>
          <w:t>4</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6982" w:history="1">
        <w:r w:rsidR="00877032" w:rsidRPr="008577B7">
          <w:rPr>
            <w:rStyle w:val="Hyperlink"/>
            <w:noProof/>
          </w:rPr>
          <w:t>2.3</w:t>
        </w:r>
        <w:r w:rsidR="00877032">
          <w:rPr>
            <w:rFonts w:asciiTheme="minorHAnsi" w:eastAsiaTheme="minorEastAsia" w:hAnsiTheme="minorHAnsi" w:cstheme="minorBidi"/>
            <w:noProof/>
            <w:lang w:eastAsia="en-GB"/>
          </w:rPr>
          <w:tab/>
        </w:r>
        <w:r w:rsidR="00877032" w:rsidRPr="008577B7">
          <w:rPr>
            <w:rStyle w:val="Hyperlink"/>
            <w:noProof/>
          </w:rPr>
          <w:t>Authority Representatives</w:t>
        </w:r>
        <w:r w:rsidR="00877032">
          <w:rPr>
            <w:noProof/>
            <w:webHidden/>
          </w:rPr>
          <w:tab/>
        </w:r>
        <w:r w:rsidR="00222AC5">
          <w:rPr>
            <w:noProof/>
            <w:webHidden/>
          </w:rPr>
          <w:t>4</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6983" w:history="1">
        <w:r w:rsidR="00877032" w:rsidRPr="008577B7">
          <w:rPr>
            <w:rStyle w:val="Hyperlink"/>
            <w:noProof/>
          </w:rPr>
          <w:t>3</w:t>
        </w:r>
        <w:r w:rsidR="00877032">
          <w:rPr>
            <w:rFonts w:asciiTheme="minorHAnsi" w:eastAsiaTheme="minorEastAsia" w:hAnsiTheme="minorHAnsi" w:cstheme="minorBidi"/>
            <w:noProof/>
            <w:lang w:eastAsia="en-GB"/>
          </w:rPr>
          <w:tab/>
        </w:r>
        <w:r w:rsidR="00877032" w:rsidRPr="008577B7">
          <w:rPr>
            <w:rStyle w:val="Hyperlink"/>
            <w:noProof/>
          </w:rPr>
          <w:t>Evaluation Information</w:t>
        </w:r>
        <w:r w:rsidR="00877032">
          <w:rPr>
            <w:noProof/>
            <w:webHidden/>
          </w:rPr>
          <w:tab/>
        </w:r>
        <w:r w:rsidR="00222AC5">
          <w:rPr>
            <w:noProof/>
            <w:webHidden/>
          </w:rPr>
          <w:t>5</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6984" w:history="1">
        <w:r w:rsidR="00877032" w:rsidRPr="008577B7">
          <w:rPr>
            <w:rStyle w:val="Hyperlink"/>
            <w:noProof/>
          </w:rPr>
          <w:t>3.1</w:t>
        </w:r>
        <w:r w:rsidR="00877032">
          <w:rPr>
            <w:rFonts w:asciiTheme="minorHAnsi" w:eastAsiaTheme="minorEastAsia" w:hAnsiTheme="minorHAnsi" w:cstheme="minorBidi"/>
            <w:noProof/>
            <w:lang w:eastAsia="en-GB"/>
          </w:rPr>
          <w:tab/>
        </w:r>
        <w:r w:rsidR="00877032" w:rsidRPr="008577B7">
          <w:rPr>
            <w:rStyle w:val="Hyperlink"/>
            <w:noProof/>
          </w:rPr>
          <w:t>Evaluation Criteria</w:t>
        </w:r>
        <w:r w:rsidR="00877032">
          <w:rPr>
            <w:noProof/>
            <w:webHidden/>
          </w:rPr>
          <w:tab/>
        </w:r>
        <w:r w:rsidR="00222AC5">
          <w:rPr>
            <w:noProof/>
            <w:webHidden/>
          </w:rPr>
          <w:t>5</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6985" w:history="1">
        <w:r w:rsidR="00877032" w:rsidRPr="008577B7">
          <w:rPr>
            <w:rStyle w:val="Hyperlink"/>
            <w:noProof/>
          </w:rPr>
          <w:t>3.2</w:t>
        </w:r>
        <w:r w:rsidR="00877032">
          <w:rPr>
            <w:rFonts w:asciiTheme="minorHAnsi" w:eastAsiaTheme="minorEastAsia" w:hAnsiTheme="minorHAnsi" w:cstheme="minorBidi"/>
            <w:noProof/>
            <w:lang w:eastAsia="en-GB"/>
          </w:rPr>
          <w:tab/>
        </w:r>
        <w:r w:rsidR="00877032" w:rsidRPr="008577B7">
          <w:rPr>
            <w:rStyle w:val="Hyperlink"/>
            <w:noProof/>
          </w:rPr>
          <w:t>Scoring Guidelines</w:t>
        </w:r>
        <w:r w:rsidR="00877032">
          <w:rPr>
            <w:noProof/>
            <w:webHidden/>
          </w:rPr>
          <w:tab/>
        </w:r>
        <w:r w:rsidR="00222AC5">
          <w:rPr>
            <w:noProof/>
            <w:webHidden/>
          </w:rPr>
          <w:t>5</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6986" w:history="1">
        <w:r w:rsidR="00877032" w:rsidRPr="008577B7">
          <w:rPr>
            <w:rStyle w:val="Hyperlink"/>
            <w:noProof/>
          </w:rPr>
          <w:t>3.3</w:t>
        </w:r>
        <w:r w:rsidR="00877032">
          <w:rPr>
            <w:rFonts w:asciiTheme="minorHAnsi" w:eastAsiaTheme="minorEastAsia" w:hAnsiTheme="minorHAnsi" w:cstheme="minorBidi"/>
            <w:noProof/>
            <w:lang w:eastAsia="en-GB"/>
          </w:rPr>
          <w:tab/>
        </w:r>
        <w:r w:rsidR="00277489" w:rsidRPr="00277489">
          <w:rPr>
            <w:rStyle w:val="Hyperlink"/>
            <w:noProof/>
          </w:rPr>
          <w:t>Award</w:t>
        </w:r>
        <w:r w:rsidR="00877032">
          <w:rPr>
            <w:noProof/>
            <w:webHidden/>
          </w:rPr>
          <w:tab/>
        </w:r>
        <w:r w:rsidR="00222AC5">
          <w:rPr>
            <w:noProof/>
            <w:webHidden/>
          </w:rPr>
          <w:t>7</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6988" w:history="1">
        <w:r w:rsidR="00877032" w:rsidRPr="008577B7">
          <w:rPr>
            <w:rStyle w:val="Hyperlink"/>
            <w:noProof/>
          </w:rPr>
          <w:t>3.</w:t>
        </w:r>
        <w:r w:rsidR="00277489">
          <w:rPr>
            <w:rStyle w:val="Hyperlink"/>
            <w:noProof/>
          </w:rPr>
          <w:t>4</w:t>
        </w:r>
        <w:r w:rsidR="00877032">
          <w:rPr>
            <w:rFonts w:asciiTheme="minorHAnsi" w:eastAsiaTheme="minorEastAsia" w:hAnsiTheme="minorHAnsi" w:cstheme="minorBidi"/>
            <w:noProof/>
            <w:lang w:eastAsia="en-GB"/>
          </w:rPr>
          <w:tab/>
        </w:r>
        <w:r w:rsidR="00877032" w:rsidRPr="008577B7">
          <w:rPr>
            <w:rStyle w:val="Hyperlink"/>
            <w:noProof/>
          </w:rPr>
          <w:t>Word Limits</w:t>
        </w:r>
        <w:r w:rsidR="00877032">
          <w:rPr>
            <w:noProof/>
            <w:webHidden/>
          </w:rPr>
          <w:tab/>
        </w:r>
        <w:r w:rsidR="00222AC5">
          <w:rPr>
            <w:noProof/>
            <w:webHidden/>
          </w:rPr>
          <w:t>8</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6989" w:history="1">
        <w:r w:rsidR="00877032" w:rsidRPr="008577B7">
          <w:rPr>
            <w:rStyle w:val="Hyperlink"/>
            <w:rFonts w:cs="Arial"/>
            <w:noProof/>
          </w:rPr>
          <w:t>4</w:t>
        </w:r>
        <w:r w:rsidR="00877032">
          <w:rPr>
            <w:rFonts w:asciiTheme="minorHAnsi" w:eastAsiaTheme="minorEastAsia" w:hAnsiTheme="minorHAnsi" w:cstheme="minorBidi"/>
            <w:noProof/>
            <w:lang w:eastAsia="en-GB"/>
          </w:rPr>
          <w:tab/>
        </w:r>
        <w:r w:rsidR="00877032" w:rsidRPr="008577B7">
          <w:rPr>
            <w:rStyle w:val="Hyperlink"/>
            <w:noProof/>
          </w:rPr>
          <w:t>Contract Information</w:t>
        </w:r>
        <w:r w:rsidR="00877032">
          <w:rPr>
            <w:noProof/>
            <w:webHidden/>
          </w:rPr>
          <w:tab/>
        </w:r>
        <w:r w:rsidR="00222AC5">
          <w:rPr>
            <w:noProof/>
            <w:webHidden/>
          </w:rPr>
          <w:t>9</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6990" w:history="1">
        <w:r w:rsidR="00877032" w:rsidRPr="008577B7">
          <w:rPr>
            <w:rStyle w:val="Hyperlink"/>
            <w:noProof/>
          </w:rPr>
          <w:t>4.1</w:t>
        </w:r>
        <w:r w:rsidR="00877032">
          <w:rPr>
            <w:rFonts w:asciiTheme="minorHAnsi" w:eastAsiaTheme="minorEastAsia" w:hAnsiTheme="minorHAnsi" w:cstheme="minorBidi"/>
            <w:noProof/>
            <w:lang w:eastAsia="en-GB"/>
          </w:rPr>
          <w:tab/>
        </w:r>
        <w:r w:rsidR="00877032" w:rsidRPr="008577B7">
          <w:rPr>
            <w:rStyle w:val="Hyperlink"/>
            <w:noProof/>
          </w:rPr>
          <w:t>Contract Period</w:t>
        </w:r>
        <w:r w:rsidR="00877032">
          <w:rPr>
            <w:noProof/>
            <w:webHidden/>
          </w:rPr>
          <w:tab/>
        </w:r>
        <w:r w:rsidR="00222AC5">
          <w:rPr>
            <w:noProof/>
            <w:webHidden/>
          </w:rPr>
          <w:t>9</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6991" w:history="1">
        <w:r w:rsidR="00877032" w:rsidRPr="008577B7">
          <w:rPr>
            <w:rStyle w:val="Hyperlink"/>
            <w:noProof/>
          </w:rPr>
          <w:t>4.2</w:t>
        </w:r>
        <w:r w:rsidR="00877032">
          <w:rPr>
            <w:rFonts w:asciiTheme="minorHAnsi" w:eastAsiaTheme="minorEastAsia" w:hAnsiTheme="minorHAnsi" w:cstheme="minorBidi"/>
            <w:noProof/>
            <w:lang w:eastAsia="en-GB"/>
          </w:rPr>
          <w:tab/>
        </w:r>
        <w:r w:rsidR="00877032" w:rsidRPr="008577B7">
          <w:rPr>
            <w:rStyle w:val="Hyperlink"/>
            <w:noProof/>
          </w:rPr>
          <w:t>Contract Price</w:t>
        </w:r>
        <w:r w:rsidR="00877032">
          <w:rPr>
            <w:noProof/>
            <w:webHidden/>
          </w:rPr>
          <w:tab/>
        </w:r>
        <w:r w:rsidR="00222AC5">
          <w:rPr>
            <w:noProof/>
            <w:webHidden/>
          </w:rPr>
          <w:t>9</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6993" w:history="1">
        <w:r w:rsidR="00877032" w:rsidRPr="008577B7">
          <w:rPr>
            <w:rStyle w:val="Hyperlink"/>
            <w:noProof/>
          </w:rPr>
          <w:t>4.</w:t>
        </w:r>
        <w:r w:rsidR="00277489">
          <w:rPr>
            <w:rStyle w:val="Hyperlink"/>
            <w:noProof/>
          </w:rPr>
          <w:t>3</w:t>
        </w:r>
        <w:r w:rsidR="00877032">
          <w:rPr>
            <w:rFonts w:asciiTheme="minorHAnsi" w:eastAsiaTheme="minorEastAsia" w:hAnsiTheme="minorHAnsi" w:cstheme="minorBidi"/>
            <w:noProof/>
            <w:lang w:eastAsia="en-GB"/>
          </w:rPr>
          <w:tab/>
        </w:r>
        <w:r w:rsidR="00877032" w:rsidRPr="008577B7">
          <w:rPr>
            <w:rStyle w:val="Hyperlink"/>
            <w:noProof/>
          </w:rPr>
          <w:t>Performance Management</w:t>
        </w:r>
        <w:r w:rsidR="00877032">
          <w:rPr>
            <w:noProof/>
            <w:webHidden/>
          </w:rPr>
          <w:tab/>
        </w:r>
        <w:r w:rsidR="00222AC5">
          <w:rPr>
            <w:noProof/>
            <w:webHidden/>
          </w:rPr>
          <w:t>10</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6994" w:history="1">
        <w:r w:rsidR="00877032" w:rsidRPr="008577B7">
          <w:rPr>
            <w:rStyle w:val="Hyperlink"/>
            <w:noProof/>
          </w:rPr>
          <w:t>4.</w:t>
        </w:r>
        <w:r w:rsidR="00277489">
          <w:rPr>
            <w:rStyle w:val="Hyperlink"/>
            <w:noProof/>
          </w:rPr>
          <w:t>4</w:t>
        </w:r>
        <w:r w:rsidR="00877032">
          <w:rPr>
            <w:rFonts w:asciiTheme="minorHAnsi" w:eastAsiaTheme="minorEastAsia" w:hAnsiTheme="minorHAnsi" w:cstheme="minorBidi"/>
            <w:noProof/>
            <w:lang w:eastAsia="en-GB"/>
          </w:rPr>
          <w:tab/>
        </w:r>
        <w:r w:rsidR="00877032" w:rsidRPr="008577B7">
          <w:rPr>
            <w:rStyle w:val="Hyperlink"/>
            <w:noProof/>
          </w:rPr>
          <w:t>Management Information</w:t>
        </w:r>
        <w:r w:rsidR="00877032">
          <w:rPr>
            <w:noProof/>
            <w:webHidden/>
          </w:rPr>
          <w:tab/>
        </w:r>
        <w:r w:rsidR="00222AC5">
          <w:rPr>
            <w:noProof/>
            <w:webHidden/>
          </w:rPr>
          <w:t>11</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6995" w:history="1">
        <w:r w:rsidR="00877032" w:rsidRPr="008577B7">
          <w:rPr>
            <w:rStyle w:val="Hyperlink"/>
            <w:noProof/>
          </w:rPr>
          <w:t>4.</w:t>
        </w:r>
        <w:r w:rsidR="00277489">
          <w:rPr>
            <w:rStyle w:val="Hyperlink"/>
            <w:noProof/>
          </w:rPr>
          <w:t>5</w:t>
        </w:r>
        <w:r w:rsidR="00877032">
          <w:rPr>
            <w:rFonts w:asciiTheme="minorHAnsi" w:eastAsiaTheme="minorEastAsia" w:hAnsiTheme="minorHAnsi" w:cstheme="minorBidi"/>
            <w:noProof/>
            <w:lang w:eastAsia="en-GB"/>
          </w:rPr>
          <w:tab/>
        </w:r>
        <w:r w:rsidR="00877032" w:rsidRPr="008577B7">
          <w:rPr>
            <w:rStyle w:val="Hyperlink"/>
            <w:noProof/>
          </w:rPr>
          <w:t>Eligible Users</w:t>
        </w:r>
        <w:r w:rsidR="00877032">
          <w:rPr>
            <w:noProof/>
            <w:webHidden/>
          </w:rPr>
          <w:tab/>
        </w:r>
        <w:r w:rsidR="00222AC5">
          <w:rPr>
            <w:noProof/>
            <w:webHidden/>
          </w:rPr>
          <w:t>11</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7001" w:history="1">
        <w:r w:rsidR="00277489">
          <w:rPr>
            <w:rStyle w:val="Hyperlink"/>
            <w:noProof/>
          </w:rPr>
          <w:t>5</w:t>
        </w:r>
        <w:r w:rsidR="00877032">
          <w:rPr>
            <w:rFonts w:asciiTheme="minorHAnsi" w:eastAsiaTheme="minorEastAsia" w:hAnsiTheme="minorHAnsi" w:cstheme="minorBidi"/>
            <w:noProof/>
            <w:lang w:eastAsia="en-GB"/>
          </w:rPr>
          <w:tab/>
        </w:r>
        <w:r w:rsidR="00877032" w:rsidRPr="008577B7">
          <w:rPr>
            <w:rStyle w:val="Hyperlink"/>
            <w:noProof/>
          </w:rPr>
          <w:t>Glossary</w:t>
        </w:r>
        <w:r w:rsidR="00877032">
          <w:rPr>
            <w:noProof/>
            <w:webHidden/>
          </w:rPr>
          <w:tab/>
        </w:r>
        <w:r w:rsidR="00222AC5">
          <w:rPr>
            <w:noProof/>
            <w:webHidden/>
          </w:rPr>
          <w:t>12</w:t>
        </w:r>
      </w:hyperlink>
    </w:p>
    <w:p w:rsidR="00877032" w:rsidRDefault="009850D8" w:rsidP="00877032">
      <w:pPr>
        <w:pStyle w:val="TOC1"/>
        <w:spacing w:before="120" w:after="120"/>
        <w:rPr>
          <w:rFonts w:asciiTheme="minorHAnsi" w:eastAsiaTheme="minorEastAsia" w:hAnsiTheme="minorHAnsi" w:cstheme="minorBidi"/>
          <w:noProof/>
          <w:lang w:eastAsia="en-GB"/>
        </w:rPr>
      </w:pPr>
      <w:hyperlink w:anchor="_Toc384127002" w:history="1">
        <w:r w:rsidR="00FB1473">
          <w:rPr>
            <w:rStyle w:val="Hyperlink"/>
            <w:noProof/>
          </w:rPr>
          <w:t>5</w:t>
        </w:r>
        <w:r w:rsidR="00877032" w:rsidRPr="008577B7">
          <w:rPr>
            <w:rStyle w:val="Hyperlink"/>
            <w:noProof/>
          </w:rPr>
          <w:t>.1</w:t>
        </w:r>
        <w:r w:rsidR="00877032">
          <w:rPr>
            <w:rFonts w:asciiTheme="minorHAnsi" w:eastAsiaTheme="minorEastAsia" w:hAnsiTheme="minorHAnsi" w:cstheme="minorBidi"/>
            <w:noProof/>
            <w:lang w:eastAsia="en-GB"/>
          </w:rPr>
          <w:tab/>
        </w:r>
        <w:r w:rsidR="00877032" w:rsidRPr="008577B7">
          <w:rPr>
            <w:rStyle w:val="Hyperlink"/>
            <w:noProof/>
          </w:rPr>
          <w:t>Definitions</w:t>
        </w:r>
        <w:r w:rsidR="00877032">
          <w:rPr>
            <w:noProof/>
            <w:webHidden/>
          </w:rPr>
          <w:tab/>
        </w:r>
        <w:r w:rsidR="00222AC5">
          <w:rPr>
            <w:noProof/>
            <w:webHidden/>
          </w:rPr>
          <w:t>12</w:t>
        </w:r>
      </w:hyperlink>
    </w:p>
    <w:p w:rsidR="009E6F75" w:rsidRDefault="009850D8" w:rsidP="00F20A2B">
      <w:pPr>
        <w:sectPr w:rsidR="009E6F75" w:rsidSect="00636E6D">
          <w:pgSz w:w="11907" w:h="16840" w:code="9"/>
          <w:pgMar w:top="1134" w:right="1134" w:bottom="1134" w:left="1134" w:header="992" w:footer="0" w:gutter="0"/>
          <w:pgNumType w:start="2"/>
          <w:cols w:space="720"/>
          <w:docGrid w:linePitch="299"/>
        </w:sectPr>
      </w:pPr>
      <w:r>
        <w:fldChar w:fldCharType="end"/>
      </w:r>
    </w:p>
    <w:p w:rsidR="005C5318" w:rsidRPr="000E1FF2" w:rsidRDefault="005C5318" w:rsidP="005C5318">
      <w:pPr>
        <w:pStyle w:val="Tendertemplate"/>
        <w:numPr>
          <w:ilvl w:val="0"/>
          <w:numId w:val="9"/>
        </w:numPr>
        <w:shd w:val="clear" w:color="auto" w:fill="17365D" w:themeFill="text2" w:themeFillShade="BF"/>
        <w:tabs>
          <w:tab w:val="num" w:pos="851"/>
        </w:tabs>
        <w:ind w:left="851" w:hanging="851"/>
        <w:jc w:val="left"/>
        <w:rPr>
          <w:rStyle w:val="Heading2Char"/>
          <w:sz w:val="48"/>
          <w:szCs w:val="48"/>
        </w:rPr>
      </w:pPr>
      <w:bookmarkStart w:id="0" w:name="_Toc384126978"/>
      <w:r>
        <w:rPr>
          <w:rStyle w:val="Heading2Char"/>
          <w:sz w:val="48"/>
          <w:szCs w:val="48"/>
        </w:rPr>
        <w:t>Background</w:t>
      </w:r>
      <w:r w:rsidRPr="000E1FF2">
        <w:rPr>
          <w:rStyle w:val="Heading2Char"/>
          <w:sz w:val="48"/>
          <w:szCs w:val="48"/>
        </w:rPr>
        <w:t xml:space="preserve"> Information</w:t>
      </w:r>
      <w:bookmarkEnd w:id="0"/>
    </w:p>
    <w:p w:rsidR="007630B9" w:rsidRPr="00980E95" w:rsidRDefault="007630B9" w:rsidP="007630B9">
      <w:pPr>
        <w:widowControl w:val="0"/>
        <w:rPr>
          <w:rFonts w:cs="Arial"/>
        </w:rPr>
      </w:pPr>
      <w:r w:rsidRPr="00980E95">
        <w:rPr>
          <w:rFonts w:cs="Arial"/>
        </w:rPr>
        <w:t xml:space="preserve">This Further Competition process for the Safeguarding Children Foundation Training </w:t>
      </w:r>
      <w:r w:rsidR="00FC3287" w:rsidRPr="00980E95">
        <w:rPr>
          <w:rFonts w:cs="Arial"/>
        </w:rPr>
        <w:t>Course</w:t>
      </w:r>
      <w:r w:rsidRPr="00980E95">
        <w:rPr>
          <w:rFonts w:cs="Arial"/>
        </w:rPr>
        <w:t xml:space="preserve"> is the </w:t>
      </w:r>
      <w:r w:rsidR="005158FA" w:rsidRPr="00980E95">
        <w:rPr>
          <w:rFonts w:cs="Arial"/>
        </w:rPr>
        <w:t>fifth</w:t>
      </w:r>
      <w:r w:rsidRPr="00980E95">
        <w:rPr>
          <w:rFonts w:cs="Arial"/>
        </w:rPr>
        <w:t xml:space="preserve"> ‘</w:t>
      </w:r>
      <w:r w:rsidR="00237FBE" w:rsidRPr="00980E95">
        <w:rPr>
          <w:rFonts w:cs="Arial"/>
        </w:rPr>
        <w:t>Further Competit</w:t>
      </w:r>
      <w:r w:rsidR="004B4E13" w:rsidRPr="00980E95">
        <w:rPr>
          <w:rFonts w:cs="Arial"/>
        </w:rPr>
        <w:t>i</w:t>
      </w:r>
      <w:r w:rsidR="00237FBE" w:rsidRPr="00980E95">
        <w:rPr>
          <w:rFonts w:cs="Arial"/>
        </w:rPr>
        <w:t>on/</w:t>
      </w:r>
      <w:r w:rsidRPr="00980E95">
        <w:rPr>
          <w:rFonts w:cs="Arial"/>
        </w:rPr>
        <w:t xml:space="preserve">Call-Off’ utilising the Standing List of Training Providers of Safeguarding Children Training (Reference: T23714CS). The first places onto the List were awarded in February 2015. </w:t>
      </w:r>
    </w:p>
    <w:p w:rsidR="005C5318" w:rsidRPr="00980E95" w:rsidRDefault="00C00F03" w:rsidP="00C6711B">
      <w:pPr>
        <w:spacing w:after="0" w:line="240" w:lineRule="auto"/>
        <w:rPr>
          <w:rFonts w:cs="Arial"/>
        </w:rPr>
      </w:pPr>
      <w:r w:rsidRPr="00980E95">
        <w:rPr>
          <w:rFonts w:cs="Arial"/>
        </w:rPr>
        <w:t>This contract is for the Safeguardi</w:t>
      </w:r>
      <w:r w:rsidR="00B46771" w:rsidRPr="00980E95">
        <w:rPr>
          <w:rFonts w:cs="Arial"/>
        </w:rPr>
        <w:t>ng Children Foundation course</w:t>
      </w:r>
      <w:r w:rsidR="005158FA" w:rsidRPr="00980E95">
        <w:rPr>
          <w:rFonts w:cs="Arial"/>
        </w:rPr>
        <w:t xml:space="preserve"> 2016 - 201</w:t>
      </w:r>
      <w:r w:rsidR="00980E95" w:rsidRPr="00980E95">
        <w:rPr>
          <w:rFonts w:cs="Arial"/>
        </w:rPr>
        <w:t>8</w:t>
      </w:r>
      <w:r w:rsidR="00B46771" w:rsidRPr="00980E95">
        <w:rPr>
          <w:rFonts w:cs="Arial"/>
        </w:rPr>
        <w:t xml:space="preserve">. </w:t>
      </w:r>
      <w:r w:rsidRPr="00980E95">
        <w:rPr>
          <w:rFonts w:cs="Arial"/>
        </w:rPr>
        <w:t xml:space="preserve">This course has three aspects to it.  </w:t>
      </w:r>
    </w:p>
    <w:p w:rsidR="00C00F03" w:rsidRPr="00980E95" w:rsidRDefault="00C00F03" w:rsidP="00C6711B">
      <w:pPr>
        <w:spacing w:after="0" w:line="240" w:lineRule="auto"/>
        <w:rPr>
          <w:rFonts w:cs="Arial"/>
        </w:rPr>
      </w:pPr>
    </w:p>
    <w:p w:rsidR="00C00F03" w:rsidRPr="00980E95" w:rsidRDefault="00C00F03" w:rsidP="00C00F03">
      <w:pPr>
        <w:pStyle w:val="ListParagraph"/>
        <w:numPr>
          <w:ilvl w:val="0"/>
          <w:numId w:val="13"/>
        </w:numPr>
        <w:spacing w:after="0" w:line="240" w:lineRule="auto"/>
        <w:rPr>
          <w:rFonts w:cs="Arial"/>
        </w:rPr>
      </w:pPr>
      <w:r w:rsidRPr="00980E95">
        <w:rPr>
          <w:rFonts w:cs="Arial"/>
        </w:rPr>
        <w:t>I-learn module</w:t>
      </w:r>
    </w:p>
    <w:p w:rsidR="00E22511" w:rsidRPr="00980E95" w:rsidRDefault="00E22511" w:rsidP="00C00F03">
      <w:pPr>
        <w:pStyle w:val="ListParagraph"/>
        <w:numPr>
          <w:ilvl w:val="0"/>
          <w:numId w:val="13"/>
        </w:numPr>
        <w:spacing w:after="0" w:line="240" w:lineRule="auto"/>
        <w:rPr>
          <w:rFonts w:cs="Arial"/>
        </w:rPr>
      </w:pPr>
      <w:r w:rsidRPr="00980E95">
        <w:rPr>
          <w:rFonts w:cs="Arial"/>
        </w:rPr>
        <w:t>Class-based course</w:t>
      </w:r>
    </w:p>
    <w:p w:rsidR="00E22511" w:rsidRPr="00980E95" w:rsidRDefault="00E22511" w:rsidP="00E22511">
      <w:pPr>
        <w:pStyle w:val="ListParagraph"/>
        <w:numPr>
          <w:ilvl w:val="1"/>
          <w:numId w:val="13"/>
        </w:numPr>
        <w:spacing w:after="0" w:line="240" w:lineRule="auto"/>
        <w:rPr>
          <w:rFonts w:cs="Arial"/>
        </w:rPr>
      </w:pPr>
      <w:r w:rsidRPr="00980E95">
        <w:rPr>
          <w:rFonts w:cs="Arial"/>
        </w:rPr>
        <w:t>Theatre aspect</w:t>
      </w:r>
    </w:p>
    <w:p w:rsidR="00E22511" w:rsidRPr="00980E95" w:rsidRDefault="00E22511" w:rsidP="00E22511">
      <w:pPr>
        <w:pStyle w:val="ListParagraph"/>
        <w:numPr>
          <w:ilvl w:val="1"/>
          <w:numId w:val="13"/>
        </w:numPr>
        <w:spacing w:after="0" w:line="240" w:lineRule="auto"/>
        <w:rPr>
          <w:rFonts w:cs="Arial"/>
        </w:rPr>
      </w:pPr>
      <w:r w:rsidRPr="00980E95">
        <w:rPr>
          <w:rFonts w:cs="Arial"/>
        </w:rPr>
        <w:t>Supporting Trainer</w:t>
      </w:r>
    </w:p>
    <w:p w:rsidR="00E22511" w:rsidRPr="00980E95" w:rsidRDefault="00E22511" w:rsidP="00E22511">
      <w:pPr>
        <w:spacing w:after="0" w:line="240" w:lineRule="auto"/>
        <w:rPr>
          <w:rFonts w:cs="Arial"/>
        </w:rPr>
      </w:pPr>
    </w:p>
    <w:p w:rsidR="00BB7193" w:rsidRPr="00980E95" w:rsidRDefault="00E22511" w:rsidP="0077639F">
      <w:pPr>
        <w:spacing w:after="0" w:line="240" w:lineRule="auto"/>
        <w:rPr>
          <w:rFonts w:cs="Arial"/>
        </w:rPr>
      </w:pPr>
      <w:r w:rsidRPr="00980E95">
        <w:rPr>
          <w:rFonts w:cs="Arial"/>
        </w:rPr>
        <w:t>The i-learn module provides the pre-course learning; the knowledge part of t</w:t>
      </w:r>
      <w:r w:rsidR="00D3326B" w:rsidRPr="00980E95">
        <w:rPr>
          <w:rFonts w:cs="Arial"/>
        </w:rPr>
        <w:t>he course.  This is pre-written.</w:t>
      </w:r>
    </w:p>
    <w:p w:rsidR="00BB7193" w:rsidRPr="00980E95" w:rsidRDefault="00BB7193" w:rsidP="00BB7193">
      <w:pPr>
        <w:spacing w:after="0" w:line="240" w:lineRule="auto"/>
        <w:rPr>
          <w:rFonts w:cs="Arial"/>
        </w:rPr>
      </w:pPr>
    </w:p>
    <w:p w:rsidR="00BB7193" w:rsidRPr="00980E95" w:rsidRDefault="00BB7193" w:rsidP="00BB7193">
      <w:pPr>
        <w:spacing w:after="0" w:line="240" w:lineRule="auto"/>
        <w:rPr>
          <w:rFonts w:cs="Arial"/>
        </w:rPr>
      </w:pPr>
      <w:r w:rsidRPr="00980E95">
        <w:rPr>
          <w:rFonts w:cs="Arial"/>
        </w:rPr>
        <w:t xml:space="preserve">The class based aspect of this course needs to refer to </w:t>
      </w:r>
      <w:r w:rsidR="0077639F" w:rsidRPr="00980E95">
        <w:rPr>
          <w:rFonts w:cs="Arial"/>
        </w:rPr>
        <w:t>the pre-course learning (knowledge)</w:t>
      </w:r>
      <w:r w:rsidRPr="00980E95">
        <w:rPr>
          <w:rFonts w:cs="Arial"/>
        </w:rPr>
        <w:t xml:space="preserve"> issues within the training but also cover </w:t>
      </w:r>
      <w:r w:rsidR="0077639F" w:rsidRPr="00980E95">
        <w:rPr>
          <w:rFonts w:cs="Arial"/>
        </w:rPr>
        <w:t>additional learning outcomes.</w:t>
      </w:r>
    </w:p>
    <w:p w:rsidR="0077639F" w:rsidRPr="00980E95" w:rsidRDefault="0077639F" w:rsidP="00BB7193">
      <w:pPr>
        <w:spacing w:after="0" w:line="240" w:lineRule="auto"/>
        <w:rPr>
          <w:rFonts w:cs="Arial"/>
        </w:rPr>
      </w:pPr>
    </w:p>
    <w:p w:rsidR="00D115CA" w:rsidRPr="00980E95" w:rsidRDefault="0077639F" w:rsidP="00D115CA">
      <w:pPr>
        <w:spacing w:after="0" w:line="240" w:lineRule="auto"/>
        <w:rPr>
          <w:rFonts w:cs="Arial"/>
        </w:rPr>
      </w:pPr>
      <w:r w:rsidRPr="00980E95">
        <w:rPr>
          <w:rFonts w:cs="Arial"/>
        </w:rPr>
        <w:t>Full details of both the i-learn module pre-course learning (knowledge part of the course) and class based additional learning outcomes, are available within Volume Three (3) Specification.</w:t>
      </w:r>
    </w:p>
    <w:p w:rsidR="008442F5" w:rsidRPr="00980E95" w:rsidRDefault="008442F5" w:rsidP="00D115CA">
      <w:pPr>
        <w:spacing w:after="0" w:line="240" w:lineRule="auto"/>
        <w:rPr>
          <w:rFonts w:cs="Arial"/>
        </w:rPr>
      </w:pPr>
    </w:p>
    <w:p w:rsidR="008442F5" w:rsidRPr="00980E95" w:rsidRDefault="00B46771" w:rsidP="00D115CA">
      <w:pPr>
        <w:spacing w:after="0" w:line="240" w:lineRule="auto"/>
        <w:rPr>
          <w:rFonts w:cs="Arial"/>
        </w:rPr>
      </w:pPr>
      <w:r w:rsidRPr="00980E95">
        <w:rPr>
          <w:rFonts w:cs="Arial"/>
        </w:rPr>
        <w:t>There is 1</w:t>
      </w:r>
      <w:r w:rsidR="005158FA" w:rsidRPr="00980E95">
        <w:rPr>
          <w:rFonts w:cs="Arial"/>
        </w:rPr>
        <w:t>0</w:t>
      </w:r>
      <w:r w:rsidRPr="00980E95">
        <w:rPr>
          <w:rFonts w:cs="Arial"/>
        </w:rPr>
        <w:t xml:space="preserve"> (</w:t>
      </w:r>
      <w:r w:rsidR="00D3326B" w:rsidRPr="00980E95">
        <w:rPr>
          <w:rFonts w:cs="Arial"/>
        </w:rPr>
        <w:t>te</w:t>
      </w:r>
      <w:r w:rsidR="005158FA" w:rsidRPr="00980E95">
        <w:rPr>
          <w:rFonts w:cs="Arial"/>
        </w:rPr>
        <w:t>n</w:t>
      </w:r>
      <w:r w:rsidRPr="00980E95">
        <w:rPr>
          <w:rFonts w:cs="Arial"/>
        </w:rPr>
        <w:t>) course dates</w:t>
      </w:r>
      <w:r w:rsidR="008442F5" w:rsidRPr="00980E95">
        <w:rPr>
          <w:rFonts w:cs="Arial"/>
        </w:rPr>
        <w:t xml:space="preserve"> for 201</w:t>
      </w:r>
      <w:r w:rsidR="00D3326B" w:rsidRPr="00980E95">
        <w:rPr>
          <w:rFonts w:cs="Arial"/>
        </w:rPr>
        <w:t>6/17 currently set</w:t>
      </w:r>
      <w:r w:rsidR="008442F5" w:rsidRPr="00980E95">
        <w:rPr>
          <w:rFonts w:cs="Arial"/>
        </w:rPr>
        <w:t>.  However the Torbay Safeguarding Children Board is currently completing the Training Needs Analysis and therefore this number of courses is subject to change.</w:t>
      </w:r>
      <w:r w:rsidR="00B9654B" w:rsidRPr="00980E95">
        <w:rPr>
          <w:rFonts w:cs="Arial"/>
        </w:rPr>
        <w:t xml:space="preserve"> Please refer to section 1.2.5 in Volume Three (3) Specification. </w:t>
      </w:r>
      <w:r w:rsidR="008442F5" w:rsidRPr="00980E95">
        <w:rPr>
          <w:rFonts w:cs="Arial"/>
        </w:rPr>
        <w:t xml:space="preserve">  </w:t>
      </w:r>
    </w:p>
    <w:p w:rsidR="008442F5" w:rsidRPr="00980E95" w:rsidRDefault="008442F5" w:rsidP="00D115CA">
      <w:pPr>
        <w:spacing w:after="0" w:line="240" w:lineRule="auto"/>
        <w:rPr>
          <w:rFonts w:cs="Arial"/>
        </w:rPr>
      </w:pPr>
    </w:p>
    <w:p w:rsidR="008442F5" w:rsidRPr="00980E95" w:rsidRDefault="008442F5" w:rsidP="00D115CA">
      <w:pPr>
        <w:spacing w:after="0" w:line="240" w:lineRule="auto"/>
        <w:rPr>
          <w:rFonts w:cs="Arial"/>
        </w:rPr>
      </w:pPr>
      <w:r w:rsidRPr="00980E95">
        <w:rPr>
          <w:rFonts w:cs="Arial"/>
        </w:rPr>
        <w:t xml:space="preserve">Dates confirmed with the Theatre </w:t>
      </w:r>
      <w:r w:rsidR="00FB1473" w:rsidRPr="00980E95">
        <w:rPr>
          <w:rFonts w:cs="Arial"/>
        </w:rPr>
        <w:t>Company</w:t>
      </w:r>
      <w:r w:rsidRPr="00980E95">
        <w:rPr>
          <w:rFonts w:cs="Arial"/>
        </w:rPr>
        <w:t xml:space="preserve"> and the venue (Torquay venue) are:</w:t>
      </w:r>
    </w:p>
    <w:p w:rsidR="008442F5" w:rsidRPr="00496CFD" w:rsidRDefault="008442F5" w:rsidP="00D115CA">
      <w:pPr>
        <w:spacing w:after="0" w:line="240" w:lineRule="auto"/>
        <w:rPr>
          <w:rFonts w:cs="Arial"/>
        </w:rPr>
      </w:pPr>
    </w:p>
    <w:p w:rsidR="00D3326B" w:rsidRDefault="00D3326B" w:rsidP="00D115CA">
      <w:pPr>
        <w:spacing w:after="0" w:line="240" w:lineRule="auto"/>
        <w:rPr>
          <w:rFonts w:cs="Arial"/>
        </w:rPr>
      </w:pPr>
      <w:r>
        <w:rPr>
          <w:rFonts w:cs="Arial"/>
        </w:rPr>
        <w:t>14</w:t>
      </w:r>
      <w:r w:rsidRPr="00D3326B">
        <w:rPr>
          <w:rFonts w:cs="Arial"/>
          <w:vertAlign w:val="superscript"/>
        </w:rPr>
        <w:t>th</w:t>
      </w:r>
      <w:r>
        <w:rPr>
          <w:rFonts w:cs="Arial"/>
        </w:rPr>
        <w:t xml:space="preserve"> June 2016</w:t>
      </w:r>
    </w:p>
    <w:p w:rsidR="00D3326B" w:rsidRDefault="00D3326B" w:rsidP="00D115CA">
      <w:pPr>
        <w:spacing w:after="0" w:line="240" w:lineRule="auto"/>
        <w:rPr>
          <w:rFonts w:cs="Arial"/>
        </w:rPr>
      </w:pPr>
      <w:r>
        <w:rPr>
          <w:rFonts w:cs="Arial"/>
        </w:rPr>
        <w:t>15</w:t>
      </w:r>
      <w:r w:rsidRPr="00D3326B">
        <w:rPr>
          <w:rFonts w:cs="Arial"/>
          <w:vertAlign w:val="superscript"/>
        </w:rPr>
        <w:t>th</w:t>
      </w:r>
      <w:r>
        <w:rPr>
          <w:rFonts w:cs="Arial"/>
        </w:rPr>
        <w:t xml:space="preserve"> June 2016</w:t>
      </w:r>
    </w:p>
    <w:p w:rsidR="00D3326B" w:rsidRDefault="00D3326B" w:rsidP="00D115CA">
      <w:pPr>
        <w:spacing w:after="0" w:line="240" w:lineRule="auto"/>
        <w:rPr>
          <w:rFonts w:cs="Arial"/>
        </w:rPr>
      </w:pPr>
      <w:r>
        <w:rPr>
          <w:rFonts w:cs="Arial"/>
        </w:rPr>
        <w:t>28</w:t>
      </w:r>
      <w:r w:rsidRPr="00D3326B">
        <w:rPr>
          <w:rFonts w:cs="Arial"/>
          <w:vertAlign w:val="superscript"/>
        </w:rPr>
        <w:t>th</w:t>
      </w:r>
      <w:r>
        <w:rPr>
          <w:rFonts w:cs="Arial"/>
        </w:rPr>
        <w:t xml:space="preserve"> September 2016</w:t>
      </w:r>
    </w:p>
    <w:p w:rsidR="00D3326B" w:rsidRDefault="00D3326B" w:rsidP="00D115CA">
      <w:pPr>
        <w:spacing w:after="0" w:line="240" w:lineRule="auto"/>
        <w:rPr>
          <w:rFonts w:cs="Arial"/>
        </w:rPr>
      </w:pPr>
      <w:r>
        <w:rPr>
          <w:rFonts w:cs="Arial"/>
        </w:rPr>
        <w:t>29</w:t>
      </w:r>
      <w:r w:rsidRPr="00D3326B">
        <w:rPr>
          <w:rFonts w:cs="Arial"/>
          <w:vertAlign w:val="superscript"/>
        </w:rPr>
        <w:t>th</w:t>
      </w:r>
      <w:r>
        <w:rPr>
          <w:rFonts w:cs="Arial"/>
        </w:rPr>
        <w:t xml:space="preserve"> September 2016</w:t>
      </w:r>
    </w:p>
    <w:p w:rsidR="00D3326B" w:rsidRDefault="00D3326B" w:rsidP="00D115CA">
      <w:pPr>
        <w:spacing w:after="0" w:line="240" w:lineRule="auto"/>
        <w:rPr>
          <w:rFonts w:cs="Arial"/>
        </w:rPr>
      </w:pPr>
      <w:r>
        <w:rPr>
          <w:rFonts w:cs="Arial"/>
        </w:rPr>
        <w:t>15</w:t>
      </w:r>
      <w:r w:rsidRPr="00D3326B">
        <w:rPr>
          <w:rFonts w:cs="Arial"/>
          <w:vertAlign w:val="superscript"/>
        </w:rPr>
        <w:t>th</w:t>
      </w:r>
      <w:r>
        <w:rPr>
          <w:rFonts w:cs="Arial"/>
        </w:rPr>
        <w:t xml:space="preserve"> November 2016</w:t>
      </w:r>
    </w:p>
    <w:p w:rsidR="00D3326B" w:rsidRDefault="00D3326B" w:rsidP="00D115CA">
      <w:pPr>
        <w:spacing w:after="0" w:line="240" w:lineRule="auto"/>
        <w:rPr>
          <w:rFonts w:cs="Arial"/>
        </w:rPr>
      </w:pPr>
      <w:r>
        <w:rPr>
          <w:rFonts w:cs="Arial"/>
        </w:rPr>
        <w:t>16</w:t>
      </w:r>
      <w:r w:rsidRPr="00D3326B">
        <w:rPr>
          <w:rFonts w:cs="Arial"/>
          <w:vertAlign w:val="superscript"/>
        </w:rPr>
        <w:t>th</w:t>
      </w:r>
      <w:r>
        <w:rPr>
          <w:rFonts w:cs="Arial"/>
        </w:rPr>
        <w:t xml:space="preserve"> November 2016</w:t>
      </w:r>
    </w:p>
    <w:p w:rsidR="00D3326B" w:rsidRDefault="00D3326B" w:rsidP="00D115CA">
      <w:pPr>
        <w:spacing w:after="0" w:line="240" w:lineRule="auto"/>
        <w:rPr>
          <w:rFonts w:cs="Arial"/>
        </w:rPr>
      </w:pPr>
      <w:r>
        <w:rPr>
          <w:rFonts w:cs="Arial"/>
        </w:rPr>
        <w:t>31</w:t>
      </w:r>
      <w:r w:rsidRPr="00D3326B">
        <w:rPr>
          <w:rFonts w:cs="Arial"/>
          <w:vertAlign w:val="superscript"/>
        </w:rPr>
        <w:t>st</w:t>
      </w:r>
      <w:r>
        <w:rPr>
          <w:rFonts w:cs="Arial"/>
        </w:rPr>
        <w:t xml:space="preserve"> January 201</w:t>
      </w:r>
      <w:r w:rsidR="005158FA">
        <w:rPr>
          <w:rFonts w:cs="Arial"/>
        </w:rPr>
        <w:t>7</w:t>
      </w:r>
    </w:p>
    <w:p w:rsidR="00D3326B" w:rsidRDefault="00D3326B" w:rsidP="00D115CA">
      <w:pPr>
        <w:spacing w:after="0" w:line="240" w:lineRule="auto"/>
        <w:rPr>
          <w:rFonts w:cs="Arial"/>
        </w:rPr>
      </w:pPr>
      <w:r>
        <w:rPr>
          <w:rFonts w:cs="Arial"/>
        </w:rPr>
        <w:t>1</w:t>
      </w:r>
      <w:r w:rsidRPr="00D3326B">
        <w:rPr>
          <w:rFonts w:cs="Arial"/>
          <w:vertAlign w:val="superscript"/>
        </w:rPr>
        <w:t>st</w:t>
      </w:r>
      <w:r>
        <w:rPr>
          <w:rFonts w:cs="Arial"/>
        </w:rPr>
        <w:t xml:space="preserve"> February 201</w:t>
      </w:r>
      <w:r w:rsidR="005158FA">
        <w:rPr>
          <w:rFonts w:cs="Arial"/>
        </w:rPr>
        <w:t>7</w:t>
      </w:r>
    </w:p>
    <w:p w:rsidR="00D3326B" w:rsidRDefault="00D3326B" w:rsidP="00D115CA">
      <w:pPr>
        <w:spacing w:after="0" w:line="240" w:lineRule="auto"/>
        <w:rPr>
          <w:rFonts w:cs="Arial"/>
        </w:rPr>
      </w:pPr>
      <w:r>
        <w:rPr>
          <w:rFonts w:cs="Arial"/>
        </w:rPr>
        <w:t>8</w:t>
      </w:r>
      <w:r w:rsidRPr="00D3326B">
        <w:rPr>
          <w:rFonts w:cs="Arial"/>
          <w:vertAlign w:val="superscript"/>
        </w:rPr>
        <w:t>th</w:t>
      </w:r>
      <w:r>
        <w:rPr>
          <w:rFonts w:cs="Arial"/>
        </w:rPr>
        <w:t xml:space="preserve"> March 201</w:t>
      </w:r>
      <w:r w:rsidR="005158FA">
        <w:rPr>
          <w:rFonts w:cs="Arial"/>
        </w:rPr>
        <w:t>7</w:t>
      </w:r>
    </w:p>
    <w:p w:rsidR="00D3326B" w:rsidRPr="00496CFD" w:rsidRDefault="00D3326B" w:rsidP="00D115CA">
      <w:pPr>
        <w:spacing w:after="0" w:line="240" w:lineRule="auto"/>
        <w:rPr>
          <w:rFonts w:cs="Arial"/>
        </w:rPr>
      </w:pPr>
      <w:r>
        <w:rPr>
          <w:rFonts w:cs="Arial"/>
        </w:rPr>
        <w:t>9</w:t>
      </w:r>
      <w:r w:rsidRPr="00D3326B">
        <w:rPr>
          <w:rFonts w:cs="Arial"/>
          <w:vertAlign w:val="superscript"/>
        </w:rPr>
        <w:t>th</w:t>
      </w:r>
      <w:r>
        <w:rPr>
          <w:rFonts w:cs="Arial"/>
        </w:rPr>
        <w:t xml:space="preserve"> March 201</w:t>
      </w:r>
      <w:r w:rsidR="005158FA">
        <w:rPr>
          <w:rFonts w:cs="Arial"/>
        </w:rPr>
        <w:t>7</w:t>
      </w:r>
    </w:p>
    <w:p w:rsidR="008442F5" w:rsidRPr="00496CFD" w:rsidRDefault="008442F5" w:rsidP="00D115CA">
      <w:pPr>
        <w:spacing w:after="0" w:line="240" w:lineRule="auto"/>
        <w:rPr>
          <w:rFonts w:cs="Arial"/>
        </w:rPr>
      </w:pPr>
    </w:p>
    <w:p w:rsidR="009F687F" w:rsidRPr="00496CFD" w:rsidRDefault="009F687F" w:rsidP="00D115CA">
      <w:pPr>
        <w:spacing w:after="0" w:line="240" w:lineRule="auto"/>
        <w:rPr>
          <w:rFonts w:cs="Arial"/>
        </w:rPr>
      </w:pPr>
    </w:p>
    <w:p w:rsidR="008442F5" w:rsidRPr="00F36ED6" w:rsidRDefault="009F687F" w:rsidP="00D115CA">
      <w:pPr>
        <w:spacing w:after="0" w:line="240" w:lineRule="auto"/>
        <w:rPr>
          <w:rFonts w:cs="Arial"/>
          <w:b/>
          <w:sz w:val="24"/>
          <w:szCs w:val="48"/>
        </w:rPr>
      </w:pPr>
      <w:r w:rsidRPr="00496CFD">
        <w:rPr>
          <w:rFonts w:cs="Arial"/>
        </w:rPr>
        <w:t>There will be further awards for</w:t>
      </w:r>
      <w:r w:rsidR="00237FBE" w:rsidRPr="00496CFD">
        <w:rPr>
          <w:rFonts w:cs="Arial"/>
        </w:rPr>
        <w:t xml:space="preserve"> other</w:t>
      </w:r>
      <w:r w:rsidRPr="00496CFD">
        <w:rPr>
          <w:rFonts w:cs="Arial"/>
        </w:rPr>
        <w:t xml:space="preserve"> training packages; these will </w:t>
      </w:r>
      <w:r w:rsidR="00237FBE" w:rsidRPr="00496CFD">
        <w:rPr>
          <w:rFonts w:cs="Arial"/>
        </w:rPr>
        <w:t>be determined by F</w:t>
      </w:r>
      <w:r w:rsidRPr="00496CFD">
        <w:rPr>
          <w:rFonts w:cs="Arial"/>
        </w:rPr>
        <w:t xml:space="preserve">urther </w:t>
      </w:r>
      <w:r w:rsidR="00237FBE" w:rsidRPr="00496CFD">
        <w:rPr>
          <w:rFonts w:cs="Arial"/>
        </w:rPr>
        <w:t>C</w:t>
      </w:r>
      <w:r w:rsidRPr="00496CFD">
        <w:rPr>
          <w:rFonts w:cs="Arial"/>
        </w:rPr>
        <w:t>ompetitions</w:t>
      </w:r>
      <w:r w:rsidR="00237FBE" w:rsidRPr="00496CFD">
        <w:rPr>
          <w:rFonts w:cs="Arial"/>
        </w:rPr>
        <w:t>/Call-Offs utilising the Standing List of Training Providers of Safeguarding Children Training</w:t>
      </w:r>
      <w:r w:rsidRPr="00496CFD">
        <w:rPr>
          <w:rFonts w:cs="Arial"/>
        </w:rPr>
        <w:t>.</w:t>
      </w:r>
    </w:p>
    <w:p w:rsidR="00797378" w:rsidRPr="00797378" w:rsidRDefault="00797378" w:rsidP="00797378">
      <w:pPr>
        <w:spacing w:after="0" w:line="240" w:lineRule="auto"/>
        <w:rPr>
          <w:rFonts w:cs="Arial"/>
          <w:sz w:val="24"/>
          <w:szCs w:val="48"/>
        </w:rPr>
      </w:pPr>
    </w:p>
    <w:p w:rsidR="000E1FF2" w:rsidRPr="000E1FF2" w:rsidRDefault="00D76D6D" w:rsidP="000E1FF2">
      <w:pPr>
        <w:pStyle w:val="Tendertemplate"/>
        <w:numPr>
          <w:ilvl w:val="0"/>
          <w:numId w:val="9"/>
        </w:numPr>
        <w:shd w:val="clear" w:color="auto" w:fill="17365D" w:themeFill="text2" w:themeFillShade="BF"/>
        <w:tabs>
          <w:tab w:val="num" w:pos="851"/>
        </w:tabs>
        <w:ind w:left="851" w:hanging="851"/>
        <w:jc w:val="left"/>
        <w:rPr>
          <w:rStyle w:val="Heading2Char"/>
          <w:sz w:val="48"/>
          <w:szCs w:val="48"/>
        </w:rPr>
      </w:pPr>
      <w:bookmarkStart w:id="1" w:name="_DV_M321"/>
      <w:bookmarkStart w:id="2" w:name="_Toc384126979"/>
      <w:bookmarkStart w:id="3" w:name="_Ref295395105"/>
      <w:bookmarkEnd w:id="1"/>
      <w:r>
        <w:rPr>
          <w:rStyle w:val="Heading2Char"/>
          <w:sz w:val="48"/>
          <w:szCs w:val="48"/>
        </w:rPr>
        <w:t>Procurement</w:t>
      </w:r>
      <w:r w:rsidR="000E1FF2" w:rsidRPr="000E1FF2">
        <w:rPr>
          <w:rStyle w:val="Heading2Char"/>
          <w:sz w:val="48"/>
          <w:szCs w:val="48"/>
        </w:rPr>
        <w:t xml:space="preserve"> Information</w:t>
      </w:r>
      <w:bookmarkEnd w:id="2"/>
    </w:p>
    <w:p w:rsidR="00E9136F" w:rsidRPr="000E1FF2" w:rsidRDefault="00E9136F" w:rsidP="000E1FF2">
      <w:pPr>
        <w:pStyle w:val="Tendertemplate"/>
        <w:numPr>
          <w:ilvl w:val="1"/>
          <w:numId w:val="9"/>
        </w:numPr>
        <w:tabs>
          <w:tab w:val="num" w:pos="709"/>
        </w:tabs>
        <w:spacing w:before="60" w:after="120"/>
        <w:ind w:left="1145" w:hanging="1145"/>
        <w:jc w:val="left"/>
        <w:rPr>
          <w:b w:val="0"/>
          <w:bCs w:val="0"/>
          <w:color w:val="auto"/>
          <w:sz w:val="28"/>
          <w:szCs w:val="28"/>
        </w:rPr>
      </w:pPr>
      <w:bookmarkStart w:id="4" w:name="_Toc384126980"/>
      <w:r w:rsidRPr="000E1FF2">
        <w:rPr>
          <w:color w:val="auto"/>
          <w:sz w:val="28"/>
          <w:szCs w:val="28"/>
        </w:rPr>
        <w:t>Procurement Procedure</w:t>
      </w:r>
      <w:bookmarkEnd w:id="4"/>
    </w:p>
    <w:p w:rsidR="006A6A8A" w:rsidRPr="00980E95" w:rsidRDefault="006A6A8A" w:rsidP="006A6A8A">
      <w:pPr>
        <w:widowControl w:val="0"/>
        <w:rPr>
          <w:rFonts w:cs="Arial"/>
        </w:rPr>
      </w:pPr>
      <w:r w:rsidRPr="00980E95">
        <w:t xml:space="preserve">This Further Competition process for the </w:t>
      </w:r>
      <w:r w:rsidRPr="00980E95">
        <w:rPr>
          <w:rFonts w:cs="Arial"/>
        </w:rPr>
        <w:t>Safeguarding Children Foundation Training Course</w:t>
      </w:r>
      <w:r w:rsidRPr="00980E95">
        <w:t xml:space="preserve">, is the </w:t>
      </w:r>
      <w:r w:rsidR="005158FA" w:rsidRPr="00980E95">
        <w:t>fifth</w:t>
      </w:r>
      <w:r w:rsidRPr="00980E95">
        <w:t xml:space="preserve"> ‘Call-Off’ utilising the Standing List of Training Providers of Safeguarding Children Training</w:t>
      </w:r>
      <w:r w:rsidRPr="00980E95">
        <w:rPr>
          <w:rFonts w:cs="Arial"/>
        </w:rPr>
        <w:t xml:space="preserve"> (Reference: </w:t>
      </w:r>
      <w:r w:rsidRPr="00980E95">
        <w:t>T23714CS</w:t>
      </w:r>
      <w:r w:rsidRPr="00980E95">
        <w:rPr>
          <w:rFonts w:cs="Arial"/>
        </w:rPr>
        <w:t>). The first places onto the List were awarded in February 2015</w:t>
      </w:r>
      <w:r w:rsidR="00FB1473" w:rsidRPr="00980E95">
        <w:rPr>
          <w:rFonts w:cs="Arial"/>
        </w:rPr>
        <w:t>.</w:t>
      </w:r>
      <w:r w:rsidRPr="00980E95">
        <w:rPr>
          <w:rFonts w:cs="Arial"/>
        </w:rPr>
        <w:t xml:space="preserve"> </w:t>
      </w:r>
    </w:p>
    <w:p w:rsidR="006A6A8A" w:rsidRPr="00496CFD" w:rsidRDefault="006A6A8A" w:rsidP="006A6A8A">
      <w:pPr>
        <w:widowControl w:val="0"/>
        <w:rPr>
          <w:rFonts w:cs="Arial"/>
        </w:rPr>
      </w:pPr>
      <w:r w:rsidRPr="00496CFD">
        <w:rPr>
          <w:rFonts w:cs="Arial"/>
        </w:rPr>
        <w:t>Suppliers awarded a place on the Standing List are invited to participate in this Further Competition process.</w:t>
      </w:r>
    </w:p>
    <w:p w:rsidR="006A6A8A" w:rsidRPr="00496CFD" w:rsidRDefault="009F3622" w:rsidP="006A6A8A">
      <w:pPr>
        <w:widowControl w:val="0"/>
        <w:tabs>
          <w:tab w:val="left" w:pos="1080"/>
          <w:tab w:val="left" w:pos="1680"/>
          <w:tab w:val="left" w:pos="2280"/>
          <w:tab w:val="left" w:pos="2880"/>
          <w:tab w:val="left" w:pos="3480"/>
          <w:tab w:val="left" w:pos="4080"/>
          <w:tab w:val="left" w:pos="4680"/>
          <w:tab w:val="left" w:pos="5280"/>
          <w:tab w:val="left" w:pos="5880"/>
          <w:tab w:val="left" w:pos="6480"/>
          <w:tab w:val="left" w:pos="7080"/>
          <w:tab w:val="left" w:pos="7560"/>
          <w:tab w:val="left" w:pos="8280"/>
          <w:tab w:val="left" w:pos="8880"/>
        </w:tabs>
        <w:jc w:val="both"/>
        <w:rPr>
          <w:b/>
          <w:snapToGrid w:val="0"/>
        </w:rPr>
      </w:pPr>
      <w:r>
        <w:rPr>
          <w:b/>
          <w:snapToGrid w:val="0"/>
        </w:rPr>
        <w:t xml:space="preserve">2.1.1  </w:t>
      </w:r>
      <w:r w:rsidR="00F27149">
        <w:rPr>
          <w:b/>
          <w:snapToGrid w:val="0"/>
        </w:rPr>
        <w:t xml:space="preserve"> </w:t>
      </w:r>
      <w:r w:rsidR="006A6A8A" w:rsidRPr="00496CFD">
        <w:rPr>
          <w:b/>
          <w:snapToGrid w:val="0"/>
        </w:rPr>
        <w:t>Submission of the Further Competit</w:t>
      </w:r>
      <w:r w:rsidR="00237FBE" w:rsidRPr="00496CFD">
        <w:rPr>
          <w:b/>
          <w:snapToGrid w:val="0"/>
        </w:rPr>
        <w:t>i</w:t>
      </w:r>
      <w:r w:rsidR="006A6A8A" w:rsidRPr="00496CFD">
        <w:rPr>
          <w:b/>
          <w:snapToGrid w:val="0"/>
        </w:rPr>
        <w:t xml:space="preserve">on Documents </w:t>
      </w:r>
    </w:p>
    <w:p w:rsidR="00516B8D" w:rsidRPr="00237FBE" w:rsidRDefault="006A6A8A" w:rsidP="00237FBE">
      <w:pPr>
        <w:widowControl w:val="0"/>
        <w:tabs>
          <w:tab w:val="left" w:pos="1080"/>
          <w:tab w:val="left" w:pos="1680"/>
          <w:tab w:val="left" w:pos="2280"/>
          <w:tab w:val="left" w:pos="2880"/>
          <w:tab w:val="left" w:pos="3480"/>
          <w:tab w:val="left" w:pos="4080"/>
          <w:tab w:val="left" w:pos="4680"/>
          <w:tab w:val="left" w:pos="5280"/>
          <w:tab w:val="left" w:pos="5880"/>
          <w:tab w:val="left" w:pos="6480"/>
          <w:tab w:val="left" w:pos="7080"/>
          <w:tab w:val="left" w:pos="7560"/>
          <w:tab w:val="left" w:pos="8280"/>
          <w:tab w:val="left" w:pos="8880"/>
        </w:tabs>
        <w:jc w:val="both"/>
        <w:rPr>
          <w:snapToGrid w:val="0"/>
          <w:color w:val="FF0000"/>
        </w:rPr>
      </w:pPr>
      <w:r w:rsidRPr="00496CFD">
        <w:rPr>
          <w:snapToGrid w:val="0"/>
        </w:rPr>
        <w:t>All Tender documents must be submitted via the ProContract portal only. Questions, clarification requests and other queries must also be communicated solely through the “Discussions” facility on ProContract.</w:t>
      </w:r>
    </w:p>
    <w:p w:rsidR="00186BB0" w:rsidRPr="000E1FF2" w:rsidRDefault="00186BB0" w:rsidP="000E1FF2">
      <w:pPr>
        <w:pStyle w:val="Tendertemplate"/>
        <w:numPr>
          <w:ilvl w:val="1"/>
          <w:numId w:val="9"/>
        </w:numPr>
        <w:tabs>
          <w:tab w:val="num" w:pos="709"/>
        </w:tabs>
        <w:spacing w:before="60" w:after="120"/>
        <w:ind w:left="1145" w:hanging="1145"/>
        <w:jc w:val="left"/>
        <w:rPr>
          <w:color w:val="auto"/>
          <w:sz w:val="28"/>
          <w:szCs w:val="28"/>
        </w:rPr>
      </w:pPr>
      <w:bookmarkStart w:id="5" w:name="_Toc384126981"/>
      <w:r w:rsidRPr="000E1FF2">
        <w:rPr>
          <w:color w:val="auto"/>
          <w:sz w:val="28"/>
          <w:szCs w:val="28"/>
        </w:rPr>
        <w:t>Procurement Timetable</w:t>
      </w:r>
      <w:bookmarkStart w:id="6" w:name="_DV_M56"/>
      <w:bookmarkEnd w:id="3"/>
      <w:bookmarkEnd w:id="5"/>
      <w:bookmarkEnd w:id="6"/>
      <w:r w:rsidR="006A6A8A">
        <w:rPr>
          <w:color w:val="auto"/>
          <w:sz w:val="28"/>
          <w:szCs w:val="28"/>
        </w:rPr>
        <w:t xml:space="preserve"> </w:t>
      </w:r>
    </w:p>
    <w:p w:rsidR="00186BB0" w:rsidRDefault="00186BB0" w:rsidP="00186BB0">
      <w:pPr>
        <w:pStyle w:val="BodyTextIndent3"/>
        <w:ind w:left="0"/>
        <w:rPr>
          <w:rFonts w:ascii="Arial" w:hAnsi="Arial" w:cs="Arial"/>
          <w:sz w:val="22"/>
          <w:szCs w:val="22"/>
        </w:rPr>
      </w:pPr>
      <w:r>
        <w:rPr>
          <w:rFonts w:ascii="Arial" w:hAnsi="Arial" w:cs="Arial"/>
          <w:sz w:val="22"/>
          <w:szCs w:val="22"/>
        </w:rPr>
        <w:t xml:space="preserve">The Authority proposes the following timetable for the award of the Contract(s): </w:t>
      </w:r>
    </w:p>
    <w:tbl>
      <w:tblPr>
        <w:tblW w:w="8106" w:type="dxa"/>
        <w:tblInd w:w="812" w:type="dxa"/>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shd w:val="clear" w:color="auto" w:fill="FFFFFF"/>
        <w:tblLayout w:type="fixed"/>
        <w:tblLook w:val="0000"/>
      </w:tblPr>
      <w:tblGrid>
        <w:gridCol w:w="4632"/>
        <w:gridCol w:w="3474"/>
      </w:tblGrid>
      <w:tr w:rsidR="00794CE0" w:rsidTr="0097310B">
        <w:trPr>
          <w:cantSplit/>
          <w:trHeight w:val="284"/>
        </w:trPr>
        <w:tc>
          <w:tcPr>
            <w:tcW w:w="4632" w:type="dxa"/>
            <w:shd w:val="clear" w:color="auto" w:fill="548DD4" w:themeFill="text2" w:themeFillTint="99"/>
            <w:tcMar>
              <w:top w:w="28" w:type="dxa"/>
              <w:left w:w="57" w:type="dxa"/>
              <w:bottom w:w="0" w:type="dxa"/>
              <w:right w:w="0" w:type="dxa"/>
            </w:tcMar>
            <w:vAlign w:val="center"/>
          </w:tcPr>
          <w:p w:rsidR="00794CE0" w:rsidRPr="0097310B" w:rsidRDefault="00794CE0" w:rsidP="004B03C9">
            <w:pPr>
              <w:pStyle w:val="TableGrid1"/>
              <w:spacing w:after="0" w:line="240" w:lineRule="auto"/>
              <w:rPr>
                <w:rFonts w:ascii="Arial" w:hAnsi="Arial" w:cs="Arial"/>
                <w:b/>
                <w:color w:val="FFFFFF" w:themeColor="background1"/>
                <w:sz w:val="28"/>
                <w:szCs w:val="28"/>
              </w:rPr>
            </w:pPr>
            <w:r w:rsidRPr="0097310B">
              <w:rPr>
                <w:rFonts w:ascii="Arial" w:hAnsi="Arial" w:cs="Arial"/>
                <w:b/>
                <w:color w:val="FFFFFF" w:themeColor="background1"/>
                <w:sz w:val="28"/>
                <w:szCs w:val="28"/>
              </w:rPr>
              <w:t>Procurement Stage</w:t>
            </w:r>
          </w:p>
        </w:tc>
        <w:tc>
          <w:tcPr>
            <w:tcW w:w="3474" w:type="dxa"/>
            <w:shd w:val="clear" w:color="auto" w:fill="548DD4" w:themeFill="text2" w:themeFillTint="99"/>
            <w:tcMar>
              <w:top w:w="28" w:type="dxa"/>
              <w:left w:w="57" w:type="dxa"/>
              <w:bottom w:w="0" w:type="dxa"/>
              <w:right w:w="0" w:type="dxa"/>
            </w:tcMar>
            <w:vAlign w:val="center"/>
          </w:tcPr>
          <w:p w:rsidR="00794CE0" w:rsidRPr="0097310B" w:rsidRDefault="00794CE0" w:rsidP="00794CE0">
            <w:pPr>
              <w:pStyle w:val="TableGrid1"/>
              <w:spacing w:after="0" w:line="240" w:lineRule="auto"/>
              <w:jc w:val="center"/>
              <w:rPr>
                <w:rFonts w:ascii="Arial" w:hAnsi="Arial" w:cs="Arial"/>
                <w:b/>
                <w:color w:val="FFFFFF" w:themeColor="background1"/>
                <w:sz w:val="28"/>
                <w:szCs w:val="28"/>
              </w:rPr>
            </w:pPr>
            <w:r w:rsidRPr="0097310B">
              <w:rPr>
                <w:rFonts w:ascii="Arial" w:hAnsi="Arial" w:cs="Arial"/>
                <w:b/>
                <w:color w:val="FFFFFF" w:themeColor="background1"/>
                <w:sz w:val="28"/>
                <w:szCs w:val="28"/>
              </w:rPr>
              <w:t>Dates</w:t>
            </w:r>
          </w:p>
        </w:tc>
      </w:tr>
      <w:tr w:rsidR="00186BB0" w:rsidRPr="00684C36" w:rsidTr="0097310B">
        <w:trPr>
          <w:cantSplit/>
          <w:trHeight w:val="284"/>
        </w:trPr>
        <w:tc>
          <w:tcPr>
            <w:tcW w:w="4632" w:type="dxa"/>
            <w:shd w:val="clear" w:color="auto" w:fill="FFFFFF"/>
            <w:tcMar>
              <w:top w:w="28" w:type="dxa"/>
              <w:left w:w="57" w:type="dxa"/>
              <w:bottom w:w="0" w:type="dxa"/>
              <w:right w:w="0" w:type="dxa"/>
            </w:tcMar>
            <w:vAlign w:val="center"/>
          </w:tcPr>
          <w:p w:rsidR="00186BB0" w:rsidRPr="002B0C1D" w:rsidRDefault="004B4E13" w:rsidP="004B03C9">
            <w:pPr>
              <w:pStyle w:val="TableGrid1"/>
              <w:spacing w:after="0" w:line="240" w:lineRule="auto"/>
              <w:rPr>
                <w:rFonts w:ascii="Arial" w:hAnsi="Arial" w:cs="Arial"/>
                <w:color w:val="auto"/>
                <w:sz w:val="22"/>
                <w:szCs w:val="22"/>
              </w:rPr>
            </w:pPr>
            <w:r w:rsidRPr="002B0C1D">
              <w:rPr>
                <w:rFonts w:ascii="Arial" w:hAnsi="Arial" w:cs="Arial"/>
                <w:color w:val="auto"/>
                <w:sz w:val="22"/>
                <w:szCs w:val="22"/>
              </w:rPr>
              <w:t>Issue Further Competition documents</w:t>
            </w:r>
          </w:p>
        </w:tc>
        <w:tc>
          <w:tcPr>
            <w:tcW w:w="3474" w:type="dxa"/>
            <w:shd w:val="clear" w:color="auto" w:fill="FFFFFF"/>
            <w:tcMar>
              <w:top w:w="28" w:type="dxa"/>
              <w:left w:w="57" w:type="dxa"/>
              <w:bottom w:w="0" w:type="dxa"/>
              <w:right w:w="0" w:type="dxa"/>
            </w:tcMar>
            <w:vAlign w:val="center"/>
          </w:tcPr>
          <w:p w:rsidR="00186BB0" w:rsidRPr="00684C36" w:rsidRDefault="00684C36" w:rsidP="00015A80">
            <w:pPr>
              <w:pStyle w:val="TableGrid1"/>
              <w:spacing w:after="0" w:line="240" w:lineRule="auto"/>
              <w:jc w:val="center"/>
              <w:rPr>
                <w:rFonts w:ascii="Arial" w:hAnsi="Arial" w:cs="Arial"/>
                <w:color w:val="auto"/>
                <w:sz w:val="22"/>
                <w:szCs w:val="22"/>
              </w:rPr>
            </w:pPr>
            <w:r w:rsidRPr="00684C36">
              <w:rPr>
                <w:rFonts w:ascii="Arial" w:hAnsi="Arial" w:cs="Arial"/>
                <w:color w:val="auto"/>
                <w:sz w:val="22"/>
                <w:szCs w:val="22"/>
              </w:rPr>
              <w:t>Thursday 24 March</w:t>
            </w:r>
            <w:r w:rsidR="00015A80" w:rsidRPr="00684C36">
              <w:rPr>
                <w:rFonts w:ascii="Arial" w:hAnsi="Arial" w:cs="Arial"/>
                <w:color w:val="auto"/>
                <w:sz w:val="22"/>
                <w:szCs w:val="22"/>
              </w:rPr>
              <w:t xml:space="preserve"> 2016</w:t>
            </w:r>
          </w:p>
        </w:tc>
      </w:tr>
      <w:tr w:rsidR="00186BB0" w:rsidTr="0097310B">
        <w:trPr>
          <w:cantSplit/>
          <w:trHeight w:val="284"/>
        </w:trPr>
        <w:tc>
          <w:tcPr>
            <w:tcW w:w="4632" w:type="dxa"/>
            <w:shd w:val="clear" w:color="auto" w:fill="FFFFFF"/>
            <w:tcMar>
              <w:top w:w="28" w:type="dxa"/>
              <w:left w:w="57" w:type="dxa"/>
              <w:bottom w:w="0" w:type="dxa"/>
              <w:right w:w="0" w:type="dxa"/>
            </w:tcMar>
            <w:vAlign w:val="center"/>
          </w:tcPr>
          <w:p w:rsidR="00186BB0" w:rsidRPr="002B0C1D" w:rsidRDefault="004B4E13" w:rsidP="004B03C9">
            <w:pPr>
              <w:pStyle w:val="TableGrid1"/>
              <w:spacing w:after="0" w:line="240" w:lineRule="auto"/>
              <w:rPr>
                <w:rFonts w:ascii="Arial" w:hAnsi="Arial" w:cs="Arial"/>
                <w:color w:val="auto"/>
                <w:sz w:val="22"/>
                <w:szCs w:val="22"/>
              </w:rPr>
            </w:pPr>
            <w:r w:rsidRPr="002B0C1D">
              <w:rPr>
                <w:rFonts w:ascii="Arial" w:hAnsi="Arial" w:cs="Arial"/>
                <w:color w:val="auto"/>
                <w:sz w:val="22"/>
                <w:szCs w:val="22"/>
              </w:rPr>
              <w:t>Deadline for submitting Clarification Questions</w:t>
            </w:r>
          </w:p>
        </w:tc>
        <w:tc>
          <w:tcPr>
            <w:tcW w:w="3474" w:type="dxa"/>
            <w:shd w:val="clear" w:color="auto" w:fill="FFFFFF"/>
            <w:tcMar>
              <w:top w:w="28" w:type="dxa"/>
              <w:left w:w="57" w:type="dxa"/>
              <w:bottom w:w="0" w:type="dxa"/>
              <w:right w:w="0" w:type="dxa"/>
            </w:tcMar>
            <w:vAlign w:val="center"/>
          </w:tcPr>
          <w:p w:rsidR="00186BB0" w:rsidRPr="00980E95" w:rsidRDefault="002F35D9" w:rsidP="00015A80">
            <w:pPr>
              <w:pStyle w:val="TableGrid1"/>
              <w:spacing w:after="0" w:line="240" w:lineRule="auto"/>
              <w:jc w:val="center"/>
              <w:rPr>
                <w:rFonts w:ascii="Arial" w:hAnsi="Arial" w:cs="Arial"/>
                <w:color w:val="auto"/>
                <w:sz w:val="22"/>
                <w:szCs w:val="22"/>
              </w:rPr>
            </w:pPr>
            <w:r w:rsidRPr="00980E95">
              <w:rPr>
                <w:rFonts w:ascii="Arial" w:hAnsi="Arial" w:cs="Arial"/>
                <w:color w:val="auto"/>
                <w:sz w:val="22"/>
                <w:szCs w:val="22"/>
              </w:rPr>
              <w:t>Monday 18 April 2016 no later than 5:00pm</w:t>
            </w:r>
          </w:p>
        </w:tc>
      </w:tr>
      <w:tr w:rsidR="00186BB0" w:rsidTr="0097310B">
        <w:trPr>
          <w:cantSplit/>
          <w:trHeight w:val="284"/>
        </w:trPr>
        <w:tc>
          <w:tcPr>
            <w:tcW w:w="4632" w:type="dxa"/>
            <w:shd w:val="clear" w:color="auto" w:fill="FFFFFF"/>
            <w:tcMar>
              <w:top w:w="28" w:type="dxa"/>
              <w:left w:w="57" w:type="dxa"/>
              <w:bottom w:w="0" w:type="dxa"/>
              <w:right w:w="0" w:type="dxa"/>
            </w:tcMar>
            <w:vAlign w:val="center"/>
          </w:tcPr>
          <w:p w:rsidR="00186BB0" w:rsidRPr="002B0C1D" w:rsidRDefault="004B4E13" w:rsidP="004B03C9">
            <w:pPr>
              <w:pStyle w:val="TableGrid1"/>
              <w:spacing w:after="0" w:line="240" w:lineRule="auto"/>
              <w:rPr>
                <w:rFonts w:ascii="Arial" w:hAnsi="Arial" w:cs="Arial"/>
                <w:color w:val="auto"/>
                <w:sz w:val="22"/>
                <w:szCs w:val="22"/>
              </w:rPr>
            </w:pPr>
            <w:r w:rsidRPr="002B0C1D">
              <w:rPr>
                <w:rFonts w:ascii="Arial" w:hAnsi="Arial" w:cs="Arial"/>
                <w:color w:val="auto"/>
                <w:sz w:val="22"/>
                <w:szCs w:val="22"/>
              </w:rPr>
              <w:t>Deadline for Clarification Responses</w:t>
            </w:r>
          </w:p>
        </w:tc>
        <w:tc>
          <w:tcPr>
            <w:tcW w:w="3474" w:type="dxa"/>
            <w:shd w:val="clear" w:color="auto" w:fill="FFFFFF"/>
            <w:tcMar>
              <w:top w:w="28" w:type="dxa"/>
              <w:left w:w="57" w:type="dxa"/>
              <w:bottom w:w="0" w:type="dxa"/>
              <w:right w:w="0" w:type="dxa"/>
            </w:tcMar>
            <w:vAlign w:val="center"/>
          </w:tcPr>
          <w:p w:rsidR="00186BB0" w:rsidRPr="00980E95" w:rsidRDefault="002F35D9" w:rsidP="00015A80">
            <w:pPr>
              <w:pStyle w:val="TableGrid1"/>
              <w:spacing w:after="0" w:line="240" w:lineRule="auto"/>
              <w:jc w:val="center"/>
              <w:rPr>
                <w:rFonts w:ascii="Arial" w:hAnsi="Arial" w:cs="Arial"/>
                <w:color w:val="auto"/>
                <w:sz w:val="22"/>
                <w:szCs w:val="22"/>
              </w:rPr>
            </w:pPr>
            <w:r w:rsidRPr="00980E95">
              <w:rPr>
                <w:rFonts w:ascii="Arial" w:hAnsi="Arial" w:cs="Arial"/>
                <w:color w:val="auto"/>
                <w:sz w:val="22"/>
                <w:szCs w:val="22"/>
              </w:rPr>
              <w:t>Within five (5) working days</w:t>
            </w:r>
          </w:p>
        </w:tc>
      </w:tr>
      <w:tr w:rsidR="00186BB0" w:rsidTr="0097310B">
        <w:trPr>
          <w:cantSplit/>
          <w:trHeight w:val="284"/>
        </w:trPr>
        <w:tc>
          <w:tcPr>
            <w:tcW w:w="4632" w:type="dxa"/>
            <w:shd w:val="clear" w:color="auto" w:fill="FFFFFF"/>
            <w:tcMar>
              <w:top w:w="28" w:type="dxa"/>
              <w:left w:w="57" w:type="dxa"/>
              <w:bottom w:w="0" w:type="dxa"/>
              <w:right w:w="0" w:type="dxa"/>
            </w:tcMar>
            <w:vAlign w:val="center"/>
          </w:tcPr>
          <w:p w:rsidR="00186BB0" w:rsidRPr="002B0C1D" w:rsidRDefault="004B4E13" w:rsidP="004B03C9">
            <w:pPr>
              <w:pStyle w:val="TableGrid1"/>
              <w:spacing w:after="0" w:line="240" w:lineRule="auto"/>
              <w:rPr>
                <w:rFonts w:ascii="Arial" w:hAnsi="Arial" w:cs="Arial"/>
                <w:color w:val="auto"/>
                <w:sz w:val="22"/>
                <w:szCs w:val="22"/>
              </w:rPr>
            </w:pPr>
            <w:r w:rsidRPr="002B0C1D">
              <w:rPr>
                <w:rFonts w:ascii="Arial" w:hAnsi="Arial" w:cs="Arial"/>
                <w:color w:val="auto"/>
                <w:sz w:val="22"/>
                <w:szCs w:val="22"/>
              </w:rPr>
              <w:t>Further Competition Submission Deadline</w:t>
            </w:r>
          </w:p>
        </w:tc>
        <w:tc>
          <w:tcPr>
            <w:tcW w:w="3474" w:type="dxa"/>
            <w:shd w:val="clear" w:color="auto" w:fill="FFFFFF"/>
            <w:tcMar>
              <w:top w:w="28" w:type="dxa"/>
              <w:left w:w="57" w:type="dxa"/>
              <w:bottom w:w="0" w:type="dxa"/>
              <w:right w:w="0" w:type="dxa"/>
            </w:tcMar>
            <w:vAlign w:val="center"/>
          </w:tcPr>
          <w:p w:rsidR="00186BB0" w:rsidRPr="00980E95" w:rsidRDefault="00182C1F" w:rsidP="00015A80">
            <w:pPr>
              <w:pStyle w:val="TableGrid1"/>
              <w:spacing w:after="0" w:line="240" w:lineRule="auto"/>
              <w:jc w:val="center"/>
              <w:rPr>
                <w:rFonts w:ascii="Arial" w:hAnsi="Arial" w:cs="Arial"/>
                <w:color w:val="auto"/>
                <w:sz w:val="22"/>
                <w:szCs w:val="22"/>
              </w:rPr>
            </w:pPr>
            <w:r w:rsidRPr="00980E95">
              <w:rPr>
                <w:rFonts w:ascii="Arial" w:hAnsi="Arial" w:cs="Arial"/>
                <w:color w:val="auto"/>
                <w:sz w:val="22"/>
                <w:szCs w:val="22"/>
              </w:rPr>
              <w:t>Tuesday 03</w:t>
            </w:r>
            <w:r w:rsidR="00015A80" w:rsidRPr="00980E95">
              <w:rPr>
                <w:rFonts w:ascii="Arial" w:hAnsi="Arial" w:cs="Arial"/>
                <w:color w:val="auto"/>
                <w:sz w:val="22"/>
                <w:szCs w:val="22"/>
              </w:rPr>
              <w:t xml:space="preserve"> May 2016</w:t>
            </w:r>
            <w:r w:rsidR="002F35D9" w:rsidRPr="00980E95">
              <w:rPr>
                <w:rFonts w:ascii="Arial" w:hAnsi="Arial" w:cs="Arial"/>
                <w:color w:val="auto"/>
                <w:sz w:val="22"/>
                <w:szCs w:val="22"/>
              </w:rPr>
              <w:t xml:space="preserve"> no later than 12 noon</w:t>
            </w:r>
          </w:p>
        </w:tc>
      </w:tr>
      <w:tr w:rsidR="00186BB0" w:rsidTr="0097310B">
        <w:trPr>
          <w:cantSplit/>
          <w:trHeight w:val="284"/>
        </w:trPr>
        <w:tc>
          <w:tcPr>
            <w:tcW w:w="4632" w:type="dxa"/>
            <w:shd w:val="clear" w:color="auto" w:fill="FFFFFF"/>
            <w:tcMar>
              <w:top w:w="28" w:type="dxa"/>
              <w:left w:w="57" w:type="dxa"/>
              <w:bottom w:w="0" w:type="dxa"/>
              <w:right w:w="0" w:type="dxa"/>
            </w:tcMar>
            <w:vAlign w:val="center"/>
          </w:tcPr>
          <w:p w:rsidR="00186BB0" w:rsidRPr="002B0C1D" w:rsidRDefault="004B4E13" w:rsidP="004B03C9">
            <w:pPr>
              <w:pStyle w:val="TableGrid1"/>
              <w:spacing w:after="0" w:line="240" w:lineRule="auto"/>
              <w:rPr>
                <w:rFonts w:ascii="Arial" w:hAnsi="Arial" w:cs="Arial"/>
                <w:color w:val="auto"/>
                <w:sz w:val="22"/>
                <w:szCs w:val="22"/>
              </w:rPr>
            </w:pPr>
            <w:r w:rsidRPr="002B0C1D">
              <w:rPr>
                <w:rFonts w:ascii="Arial" w:hAnsi="Arial" w:cs="Arial"/>
                <w:color w:val="auto"/>
                <w:sz w:val="22"/>
                <w:szCs w:val="22"/>
              </w:rPr>
              <w:t xml:space="preserve">Further Competition </w:t>
            </w:r>
            <w:r w:rsidR="003B5E24" w:rsidRPr="002B0C1D">
              <w:rPr>
                <w:rFonts w:ascii="Arial" w:hAnsi="Arial" w:cs="Arial"/>
                <w:color w:val="auto"/>
                <w:sz w:val="22"/>
                <w:szCs w:val="22"/>
              </w:rPr>
              <w:t>Evaluation</w:t>
            </w:r>
            <w:r w:rsidRPr="002B0C1D">
              <w:rPr>
                <w:rFonts w:ascii="Arial" w:hAnsi="Arial" w:cs="Arial"/>
                <w:color w:val="auto"/>
                <w:sz w:val="22"/>
                <w:szCs w:val="22"/>
              </w:rPr>
              <w:t>s</w:t>
            </w:r>
          </w:p>
        </w:tc>
        <w:tc>
          <w:tcPr>
            <w:tcW w:w="3474" w:type="dxa"/>
            <w:shd w:val="clear" w:color="auto" w:fill="FFFFFF"/>
            <w:tcMar>
              <w:top w:w="28" w:type="dxa"/>
              <w:left w:w="57" w:type="dxa"/>
              <w:bottom w:w="0" w:type="dxa"/>
              <w:right w:w="0" w:type="dxa"/>
            </w:tcMar>
            <w:vAlign w:val="center"/>
          </w:tcPr>
          <w:p w:rsidR="00186BB0" w:rsidRPr="00980E95" w:rsidRDefault="00015A80" w:rsidP="00015A80">
            <w:pPr>
              <w:pStyle w:val="TableGrid1"/>
              <w:spacing w:after="0" w:line="240" w:lineRule="auto"/>
              <w:jc w:val="center"/>
              <w:rPr>
                <w:rFonts w:ascii="Arial" w:hAnsi="Arial" w:cs="Arial"/>
                <w:color w:val="auto"/>
                <w:sz w:val="22"/>
                <w:szCs w:val="22"/>
              </w:rPr>
            </w:pPr>
            <w:r w:rsidRPr="00980E95">
              <w:rPr>
                <w:rFonts w:ascii="Arial" w:hAnsi="Arial" w:cs="Arial"/>
                <w:color w:val="auto"/>
                <w:sz w:val="22"/>
                <w:szCs w:val="22"/>
              </w:rPr>
              <w:t xml:space="preserve">Tuesday 03 to </w:t>
            </w:r>
            <w:r w:rsidR="002F35D9" w:rsidRPr="00980E95">
              <w:rPr>
                <w:rFonts w:ascii="Arial" w:hAnsi="Arial" w:cs="Arial"/>
                <w:color w:val="auto"/>
                <w:sz w:val="22"/>
                <w:szCs w:val="22"/>
              </w:rPr>
              <w:t>Friday 20 May 2016</w:t>
            </w:r>
          </w:p>
        </w:tc>
      </w:tr>
      <w:tr w:rsidR="004B4E13" w:rsidTr="0097310B">
        <w:trPr>
          <w:cantSplit/>
          <w:trHeight w:val="284"/>
        </w:trPr>
        <w:tc>
          <w:tcPr>
            <w:tcW w:w="4632" w:type="dxa"/>
            <w:shd w:val="clear" w:color="auto" w:fill="FFFFFF"/>
            <w:tcMar>
              <w:top w:w="28" w:type="dxa"/>
              <w:left w:w="57" w:type="dxa"/>
              <w:bottom w:w="0" w:type="dxa"/>
              <w:right w:w="0" w:type="dxa"/>
            </w:tcMar>
            <w:vAlign w:val="center"/>
          </w:tcPr>
          <w:p w:rsidR="004B4E13" w:rsidRPr="002B0C1D" w:rsidRDefault="004B4E13" w:rsidP="00F36ED6">
            <w:pPr>
              <w:pStyle w:val="TableGrid1"/>
              <w:spacing w:after="0" w:line="240" w:lineRule="auto"/>
              <w:rPr>
                <w:rFonts w:ascii="Arial" w:hAnsi="Arial" w:cs="Arial"/>
                <w:color w:val="auto"/>
                <w:sz w:val="22"/>
                <w:szCs w:val="22"/>
              </w:rPr>
            </w:pPr>
            <w:r w:rsidRPr="002B0C1D">
              <w:rPr>
                <w:rFonts w:ascii="Arial" w:hAnsi="Arial" w:cs="Arial"/>
                <w:color w:val="auto"/>
                <w:sz w:val="22"/>
                <w:szCs w:val="22"/>
              </w:rPr>
              <w:t xml:space="preserve">Award </w:t>
            </w:r>
            <w:r w:rsidR="00962289">
              <w:rPr>
                <w:rFonts w:ascii="Arial" w:hAnsi="Arial" w:cs="Arial"/>
                <w:color w:val="auto"/>
                <w:sz w:val="22"/>
                <w:szCs w:val="22"/>
              </w:rPr>
              <w:t xml:space="preserve">Contract </w:t>
            </w:r>
            <w:r w:rsidR="00A149CA" w:rsidRPr="002B0C1D">
              <w:rPr>
                <w:rFonts w:ascii="Arial" w:hAnsi="Arial" w:cs="Arial"/>
                <w:color w:val="auto"/>
                <w:sz w:val="22"/>
                <w:szCs w:val="22"/>
              </w:rPr>
              <w:t xml:space="preserve">to successful </w:t>
            </w:r>
            <w:r w:rsidRPr="002B0C1D">
              <w:rPr>
                <w:rFonts w:ascii="Arial" w:hAnsi="Arial" w:cs="Arial"/>
                <w:color w:val="auto"/>
                <w:sz w:val="22"/>
                <w:szCs w:val="22"/>
              </w:rPr>
              <w:t>Provider</w:t>
            </w:r>
          </w:p>
        </w:tc>
        <w:tc>
          <w:tcPr>
            <w:tcW w:w="3474" w:type="dxa"/>
            <w:shd w:val="clear" w:color="auto" w:fill="FFFFFF"/>
            <w:tcMar>
              <w:top w:w="28" w:type="dxa"/>
              <w:left w:w="57" w:type="dxa"/>
              <w:bottom w:w="0" w:type="dxa"/>
              <w:right w:w="0" w:type="dxa"/>
            </w:tcMar>
            <w:vAlign w:val="center"/>
          </w:tcPr>
          <w:p w:rsidR="004B4E13" w:rsidRPr="00980E95" w:rsidRDefault="00015A80" w:rsidP="00015A80">
            <w:pPr>
              <w:pStyle w:val="TableGrid1"/>
              <w:spacing w:after="0" w:line="240" w:lineRule="auto"/>
              <w:jc w:val="center"/>
              <w:rPr>
                <w:rFonts w:ascii="Arial" w:hAnsi="Arial" w:cs="Arial"/>
                <w:color w:val="auto"/>
                <w:sz w:val="22"/>
                <w:szCs w:val="22"/>
              </w:rPr>
            </w:pPr>
            <w:r w:rsidRPr="00980E95">
              <w:rPr>
                <w:rFonts w:ascii="Arial" w:hAnsi="Arial" w:cs="Arial"/>
                <w:color w:val="auto"/>
                <w:sz w:val="22"/>
                <w:szCs w:val="22"/>
              </w:rPr>
              <w:t>Friday 27 May 2016</w:t>
            </w:r>
          </w:p>
        </w:tc>
      </w:tr>
      <w:tr w:rsidR="00A149CA" w:rsidTr="0097310B">
        <w:trPr>
          <w:cantSplit/>
          <w:trHeight w:val="284"/>
        </w:trPr>
        <w:tc>
          <w:tcPr>
            <w:tcW w:w="4632" w:type="dxa"/>
            <w:shd w:val="clear" w:color="auto" w:fill="FFFFFF"/>
            <w:tcMar>
              <w:top w:w="28" w:type="dxa"/>
              <w:left w:w="57" w:type="dxa"/>
              <w:bottom w:w="0" w:type="dxa"/>
              <w:right w:w="0" w:type="dxa"/>
            </w:tcMar>
            <w:vAlign w:val="center"/>
          </w:tcPr>
          <w:p w:rsidR="00A149CA" w:rsidRPr="002B0C1D" w:rsidRDefault="00A149CA" w:rsidP="00F36ED6">
            <w:pPr>
              <w:pStyle w:val="TableGrid1"/>
              <w:spacing w:after="0" w:line="240" w:lineRule="auto"/>
              <w:rPr>
                <w:rFonts w:ascii="Arial" w:hAnsi="Arial" w:cs="Arial"/>
                <w:color w:val="auto"/>
                <w:sz w:val="22"/>
                <w:szCs w:val="22"/>
              </w:rPr>
            </w:pPr>
            <w:r w:rsidRPr="002B0C1D">
              <w:rPr>
                <w:rFonts w:ascii="Arial" w:hAnsi="Arial" w:cs="Arial"/>
                <w:color w:val="auto"/>
                <w:sz w:val="22"/>
                <w:szCs w:val="22"/>
              </w:rPr>
              <w:t>Contract commencement</w:t>
            </w:r>
          </w:p>
        </w:tc>
        <w:tc>
          <w:tcPr>
            <w:tcW w:w="3474" w:type="dxa"/>
            <w:shd w:val="clear" w:color="auto" w:fill="FFFFFF"/>
            <w:tcMar>
              <w:top w:w="28" w:type="dxa"/>
              <w:left w:w="57" w:type="dxa"/>
              <w:bottom w:w="0" w:type="dxa"/>
              <w:right w:w="0" w:type="dxa"/>
            </w:tcMar>
            <w:vAlign w:val="center"/>
          </w:tcPr>
          <w:p w:rsidR="00A149CA" w:rsidRPr="00980E95" w:rsidRDefault="00015A80" w:rsidP="00015A80">
            <w:pPr>
              <w:pStyle w:val="TableGrid1"/>
              <w:spacing w:after="0" w:line="240" w:lineRule="auto"/>
              <w:jc w:val="center"/>
              <w:rPr>
                <w:rFonts w:ascii="Arial" w:hAnsi="Arial" w:cs="Arial"/>
                <w:color w:val="auto"/>
                <w:sz w:val="22"/>
                <w:szCs w:val="22"/>
              </w:rPr>
            </w:pPr>
            <w:r w:rsidRPr="00980E95">
              <w:rPr>
                <w:rFonts w:ascii="Arial" w:hAnsi="Arial" w:cs="Arial"/>
                <w:color w:val="auto"/>
                <w:sz w:val="22"/>
                <w:szCs w:val="22"/>
              </w:rPr>
              <w:t>Wednesday 1 June 2016</w:t>
            </w:r>
          </w:p>
        </w:tc>
      </w:tr>
      <w:tr w:rsidR="004B4E13" w:rsidTr="0097310B">
        <w:trPr>
          <w:cantSplit/>
          <w:trHeight w:val="284"/>
        </w:trPr>
        <w:tc>
          <w:tcPr>
            <w:tcW w:w="4632" w:type="dxa"/>
            <w:shd w:val="clear" w:color="auto" w:fill="FFFFFF"/>
            <w:tcMar>
              <w:top w:w="28" w:type="dxa"/>
              <w:left w:w="57" w:type="dxa"/>
              <w:bottom w:w="0" w:type="dxa"/>
              <w:right w:w="0" w:type="dxa"/>
            </w:tcMar>
            <w:vAlign w:val="center"/>
          </w:tcPr>
          <w:p w:rsidR="004B4E13" w:rsidRPr="002B0C1D" w:rsidRDefault="004B4E13" w:rsidP="004B4E13">
            <w:pPr>
              <w:pStyle w:val="TableGrid1"/>
              <w:spacing w:after="0" w:line="240" w:lineRule="auto"/>
              <w:rPr>
                <w:rFonts w:ascii="Arial" w:hAnsi="Arial" w:cs="Arial"/>
                <w:color w:val="auto"/>
                <w:sz w:val="22"/>
                <w:szCs w:val="22"/>
              </w:rPr>
            </w:pPr>
            <w:r w:rsidRPr="002B0C1D">
              <w:rPr>
                <w:rFonts w:ascii="Arial" w:hAnsi="Arial" w:cs="Arial"/>
                <w:color w:val="auto"/>
                <w:sz w:val="22"/>
                <w:szCs w:val="22"/>
              </w:rPr>
              <w:t>Provision of Safeguarding Children Foundation Training Course</w:t>
            </w:r>
            <w:r w:rsidR="008A70C2" w:rsidRPr="002B0C1D">
              <w:rPr>
                <w:rFonts w:ascii="Arial" w:hAnsi="Arial" w:cs="Arial"/>
                <w:color w:val="auto"/>
                <w:sz w:val="22"/>
                <w:szCs w:val="22"/>
              </w:rPr>
              <w:t xml:space="preserve"> days</w:t>
            </w:r>
            <w:r w:rsidRPr="002B0C1D">
              <w:rPr>
                <w:rFonts w:ascii="Arial" w:hAnsi="Arial" w:cs="Arial"/>
                <w:color w:val="auto"/>
                <w:sz w:val="22"/>
                <w:szCs w:val="22"/>
              </w:rPr>
              <w:t xml:space="preserve"> from</w:t>
            </w:r>
            <w:r w:rsidR="008A70C2" w:rsidRPr="002B0C1D">
              <w:rPr>
                <w:rFonts w:ascii="Arial" w:hAnsi="Arial" w:cs="Arial"/>
                <w:color w:val="auto"/>
                <w:sz w:val="22"/>
                <w:szCs w:val="22"/>
              </w:rPr>
              <w:t>:</w:t>
            </w:r>
          </w:p>
        </w:tc>
        <w:tc>
          <w:tcPr>
            <w:tcW w:w="3474" w:type="dxa"/>
            <w:shd w:val="clear" w:color="auto" w:fill="FFFFFF"/>
            <w:tcMar>
              <w:top w:w="28" w:type="dxa"/>
              <w:left w:w="57" w:type="dxa"/>
              <w:bottom w:w="0" w:type="dxa"/>
              <w:right w:w="0" w:type="dxa"/>
            </w:tcMar>
            <w:vAlign w:val="center"/>
          </w:tcPr>
          <w:p w:rsidR="00015A80" w:rsidRPr="00980E95" w:rsidRDefault="00015A80" w:rsidP="00015A80">
            <w:pPr>
              <w:spacing w:after="0" w:line="240" w:lineRule="auto"/>
              <w:jc w:val="center"/>
              <w:rPr>
                <w:rFonts w:cs="Arial"/>
              </w:rPr>
            </w:pPr>
            <w:r w:rsidRPr="00980E95">
              <w:rPr>
                <w:rFonts w:cs="Arial"/>
              </w:rPr>
              <w:t>Tuesday 14</w:t>
            </w:r>
            <w:r w:rsidRPr="00980E95">
              <w:rPr>
                <w:rFonts w:cs="Arial"/>
                <w:vertAlign w:val="superscript"/>
              </w:rPr>
              <w:t>th</w:t>
            </w:r>
            <w:r w:rsidRPr="00980E95">
              <w:rPr>
                <w:rFonts w:cs="Arial"/>
              </w:rPr>
              <w:t xml:space="preserve"> June 2016</w:t>
            </w:r>
          </w:p>
          <w:p w:rsidR="004B4E13" w:rsidRPr="00980E95" w:rsidRDefault="004B4E13" w:rsidP="00015A80">
            <w:pPr>
              <w:pStyle w:val="TableGrid1"/>
              <w:spacing w:after="0" w:line="240" w:lineRule="auto"/>
              <w:jc w:val="center"/>
              <w:rPr>
                <w:rFonts w:ascii="Arial" w:hAnsi="Arial" w:cs="Arial"/>
                <w:color w:val="auto"/>
                <w:sz w:val="22"/>
                <w:szCs w:val="22"/>
              </w:rPr>
            </w:pPr>
          </w:p>
        </w:tc>
      </w:tr>
    </w:tbl>
    <w:p w:rsidR="00186BB0" w:rsidRDefault="00186BB0" w:rsidP="00186BB0">
      <w:pPr>
        <w:pStyle w:val="BodyTextIndent3"/>
        <w:rPr>
          <w:rFonts w:ascii="Arial" w:hAnsi="Arial" w:cs="Arial"/>
          <w:sz w:val="22"/>
          <w:szCs w:val="22"/>
        </w:rPr>
      </w:pPr>
    </w:p>
    <w:p w:rsidR="00186BB0" w:rsidRDefault="00186BB0" w:rsidP="00186BB0">
      <w:r>
        <w:t>The Authority reserves the right to change the above timetable and Applicants will be notified accordingly if there is a change.</w:t>
      </w:r>
    </w:p>
    <w:p w:rsidR="00186BB0" w:rsidRPr="000E1FF2" w:rsidRDefault="00186BB0" w:rsidP="000E1FF2">
      <w:pPr>
        <w:pStyle w:val="Tendertemplate"/>
        <w:numPr>
          <w:ilvl w:val="1"/>
          <w:numId w:val="9"/>
        </w:numPr>
        <w:tabs>
          <w:tab w:val="num" w:pos="709"/>
        </w:tabs>
        <w:spacing w:before="60" w:after="120"/>
        <w:ind w:left="1145" w:hanging="1145"/>
        <w:jc w:val="left"/>
        <w:rPr>
          <w:color w:val="auto"/>
          <w:sz w:val="28"/>
          <w:szCs w:val="28"/>
        </w:rPr>
      </w:pPr>
      <w:bookmarkStart w:id="7" w:name="_Toc384126982"/>
      <w:r w:rsidRPr="000E1FF2">
        <w:rPr>
          <w:color w:val="auto"/>
          <w:sz w:val="28"/>
          <w:szCs w:val="28"/>
        </w:rPr>
        <w:t>Authority Representatives</w:t>
      </w:r>
      <w:bookmarkEnd w:id="7"/>
    </w:p>
    <w:p w:rsidR="00F276C5" w:rsidRDefault="00F276C5" w:rsidP="00F276C5">
      <w:r>
        <w:t>Applicants are advised that the Authority will only respond to queries or questions in relation to this tender opportunity via the Supplying the South West e-tendering portal and will not respond to any questions raised verbally or by email.</w:t>
      </w:r>
    </w:p>
    <w:p w:rsidR="00186BB0" w:rsidRDefault="00186BB0" w:rsidP="00186BB0">
      <w:r>
        <w:t>No person in the Authority’s employ or other agent, except as so authorised by the Authority Authorised Officer or Procurement Representative, has any authority to make any representation or explanation to Applicants as to the meaning of the Contract or any other document or as to anything to be done or not to be done by Applicants or the successful Applicant or as to these instructions or as to any other matter or thing so as to bind the Authority.</w:t>
      </w:r>
    </w:p>
    <w:p w:rsidR="006A6A8A" w:rsidRDefault="006A6A8A" w:rsidP="006A6A8A">
      <w:pPr>
        <w:pStyle w:val="Tendertemplate"/>
        <w:keepNext w:val="0"/>
        <w:widowControl w:val="0"/>
        <w:numPr>
          <w:ilvl w:val="2"/>
          <w:numId w:val="9"/>
        </w:numPr>
        <w:tabs>
          <w:tab w:val="clear" w:pos="1287"/>
          <w:tab w:val="num" w:pos="1276"/>
        </w:tabs>
        <w:spacing w:before="60" w:after="120"/>
        <w:ind w:hanging="1287"/>
        <w:jc w:val="left"/>
        <w:outlineLvl w:val="9"/>
        <w:rPr>
          <w:color w:val="auto"/>
          <w:sz w:val="22"/>
          <w:szCs w:val="22"/>
        </w:rPr>
      </w:pPr>
      <w:bookmarkStart w:id="8" w:name="_Toc384126983"/>
      <w:r w:rsidRPr="005C5318">
        <w:rPr>
          <w:color w:val="auto"/>
          <w:sz w:val="22"/>
          <w:szCs w:val="22"/>
        </w:rPr>
        <w:t>Authority Authorised Representative:</w:t>
      </w:r>
    </w:p>
    <w:p w:rsidR="006A6A8A" w:rsidRDefault="006A6A8A" w:rsidP="006A6A8A">
      <w:pPr>
        <w:pStyle w:val="Tendertemplate"/>
        <w:keepNext w:val="0"/>
        <w:widowControl w:val="0"/>
        <w:tabs>
          <w:tab w:val="clear" w:pos="1304"/>
        </w:tabs>
        <w:spacing w:before="60" w:after="120"/>
        <w:ind w:left="1287" w:firstLine="0"/>
        <w:jc w:val="left"/>
        <w:outlineLvl w:val="9"/>
        <w:rPr>
          <w:color w:val="auto"/>
          <w:sz w:val="22"/>
          <w:szCs w:val="22"/>
        </w:rPr>
      </w:pPr>
      <w:r>
        <w:rPr>
          <w:color w:val="auto"/>
          <w:sz w:val="22"/>
          <w:szCs w:val="22"/>
        </w:rPr>
        <w:t>Lucinda Wills</w:t>
      </w:r>
    </w:p>
    <w:p w:rsidR="006A6A8A" w:rsidRPr="009B604A" w:rsidRDefault="006A6A8A" w:rsidP="006A6A8A">
      <w:pPr>
        <w:pStyle w:val="Tendertemplate"/>
        <w:keepNext w:val="0"/>
        <w:widowControl w:val="0"/>
        <w:tabs>
          <w:tab w:val="clear" w:pos="1304"/>
        </w:tabs>
        <w:spacing w:before="60" w:after="120"/>
        <w:ind w:left="1287" w:firstLine="0"/>
        <w:jc w:val="left"/>
        <w:outlineLvl w:val="9"/>
        <w:rPr>
          <w:rFonts w:cs="Arial"/>
          <w:b w:val="0"/>
          <w:color w:val="000000"/>
          <w:sz w:val="22"/>
          <w:szCs w:val="22"/>
        </w:rPr>
      </w:pPr>
      <w:r w:rsidRPr="009B604A">
        <w:rPr>
          <w:rFonts w:cs="Arial"/>
          <w:b w:val="0"/>
          <w:color w:val="000000"/>
          <w:sz w:val="22"/>
          <w:szCs w:val="22"/>
        </w:rPr>
        <w:t>Workforce Development Officer</w:t>
      </w:r>
    </w:p>
    <w:p w:rsidR="006A6A8A" w:rsidRPr="009B604A" w:rsidRDefault="006A6A8A" w:rsidP="006A6A8A">
      <w:pPr>
        <w:pStyle w:val="Tendertemplate"/>
        <w:keepNext w:val="0"/>
        <w:widowControl w:val="0"/>
        <w:numPr>
          <w:ilvl w:val="2"/>
          <w:numId w:val="9"/>
        </w:numPr>
        <w:spacing w:before="60" w:after="120"/>
        <w:ind w:hanging="1287"/>
        <w:jc w:val="left"/>
        <w:outlineLvl w:val="9"/>
        <w:rPr>
          <w:color w:val="auto"/>
          <w:sz w:val="22"/>
          <w:szCs w:val="22"/>
        </w:rPr>
      </w:pPr>
      <w:r w:rsidRPr="005C5318">
        <w:rPr>
          <w:color w:val="auto"/>
          <w:sz w:val="22"/>
          <w:szCs w:val="22"/>
        </w:rPr>
        <w:t>Procurement Representative:</w:t>
      </w:r>
    </w:p>
    <w:p w:rsidR="006A6A8A" w:rsidRPr="008C77B2" w:rsidRDefault="006A6A8A" w:rsidP="006A6A8A">
      <w:pPr>
        <w:pStyle w:val="Tendertemplate"/>
        <w:keepNext w:val="0"/>
        <w:widowControl w:val="0"/>
        <w:tabs>
          <w:tab w:val="clear" w:pos="1304"/>
        </w:tabs>
        <w:spacing w:before="60" w:after="120"/>
        <w:ind w:left="1287" w:firstLine="0"/>
        <w:jc w:val="left"/>
        <w:outlineLvl w:val="9"/>
        <w:rPr>
          <w:color w:val="auto"/>
          <w:sz w:val="22"/>
          <w:szCs w:val="22"/>
        </w:rPr>
      </w:pPr>
      <w:r w:rsidRPr="008C77B2">
        <w:rPr>
          <w:color w:val="auto"/>
          <w:sz w:val="22"/>
          <w:szCs w:val="22"/>
        </w:rPr>
        <w:t>Lawrence Brown</w:t>
      </w:r>
    </w:p>
    <w:p w:rsidR="006A6A8A" w:rsidRPr="00533784" w:rsidRDefault="006A6A8A" w:rsidP="006A6A8A">
      <w:pPr>
        <w:pStyle w:val="Tendertemplate"/>
        <w:keepNext w:val="0"/>
        <w:widowControl w:val="0"/>
        <w:tabs>
          <w:tab w:val="clear" w:pos="1304"/>
        </w:tabs>
        <w:spacing w:before="60" w:after="120"/>
        <w:ind w:left="1287" w:firstLine="0"/>
        <w:jc w:val="left"/>
        <w:outlineLvl w:val="9"/>
        <w:rPr>
          <w:b w:val="0"/>
          <w:color w:val="auto"/>
          <w:sz w:val="22"/>
          <w:szCs w:val="22"/>
        </w:rPr>
      </w:pPr>
      <w:r w:rsidRPr="008C77B2">
        <w:rPr>
          <w:b w:val="0"/>
          <w:color w:val="auto"/>
          <w:sz w:val="22"/>
          <w:szCs w:val="22"/>
        </w:rPr>
        <w:t>Procurement Officer</w:t>
      </w:r>
    </w:p>
    <w:p w:rsidR="00186BB0" w:rsidRPr="000E1FF2" w:rsidRDefault="0018651A" w:rsidP="000E1FF2">
      <w:pPr>
        <w:pStyle w:val="Tendertemplate"/>
        <w:numPr>
          <w:ilvl w:val="0"/>
          <w:numId w:val="9"/>
        </w:numPr>
        <w:shd w:val="clear" w:color="auto" w:fill="17365D" w:themeFill="text2" w:themeFillShade="BF"/>
        <w:tabs>
          <w:tab w:val="num" w:pos="851"/>
        </w:tabs>
        <w:ind w:left="851" w:hanging="851"/>
        <w:jc w:val="left"/>
        <w:rPr>
          <w:rStyle w:val="Heading2Char"/>
          <w:sz w:val="48"/>
          <w:szCs w:val="48"/>
        </w:rPr>
      </w:pPr>
      <w:r w:rsidRPr="000E1FF2">
        <w:rPr>
          <w:rStyle w:val="Heading2Char"/>
          <w:sz w:val="48"/>
          <w:szCs w:val="48"/>
        </w:rPr>
        <w:t>Evaluation Information</w:t>
      </w:r>
      <w:bookmarkEnd w:id="8"/>
    </w:p>
    <w:p w:rsidR="00795591" w:rsidRPr="000E1FF2" w:rsidRDefault="00795591" w:rsidP="00795591">
      <w:pPr>
        <w:pStyle w:val="Tendertemplate"/>
        <w:numPr>
          <w:ilvl w:val="1"/>
          <w:numId w:val="9"/>
        </w:numPr>
        <w:tabs>
          <w:tab w:val="num" w:pos="709"/>
        </w:tabs>
        <w:spacing w:before="60" w:after="120"/>
        <w:ind w:left="1145" w:hanging="1145"/>
        <w:jc w:val="left"/>
        <w:rPr>
          <w:color w:val="auto"/>
          <w:sz w:val="28"/>
          <w:szCs w:val="28"/>
        </w:rPr>
      </w:pPr>
      <w:bookmarkStart w:id="9" w:name="_Ref378943583"/>
      <w:bookmarkStart w:id="10" w:name="_Toc384126984"/>
      <w:r w:rsidRPr="000E1FF2">
        <w:rPr>
          <w:color w:val="auto"/>
          <w:sz w:val="28"/>
          <w:szCs w:val="28"/>
        </w:rPr>
        <w:t>Evaluation Criteria</w:t>
      </w:r>
      <w:bookmarkEnd w:id="9"/>
      <w:bookmarkEnd w:id="10"/>
    </w:p>
    <w:p w:rsidR="00795591" w:rsidRDefault="00795591" w:rsidP="00795591">
      <w:pPr>
        <w:pStyle w:val="BodyText"/>
      </w:pPr>
      <w:r>
        <w:t xml:space="preserve">The evaluation process is a critical part of the procurement process and is the means by which the Authority is able to assess to whom the Authority wishes </w:t>
      </w:r>
      <w:r w:rsidRPr="00AB5BD9">
        <w:t>to select to progress to the next stage of this procurement process and/or award the Contract</w:t>
      </w:r>
      <w:r>
        <w:t>.</w:t>
      </w:r>
    </w:p>
    <w:p w:rsidR="00795591" w:rsidRDefault="00795591" w:rsidP="00795591">
      <w:pPr>
        <w:pStyle w:val="BodyText"/>
        <w:rPr>
          <w:rFonts w:cs="Arial"/>
          <w:color w:val="000000"/>
        </w:rPr>
      </w:pPr>
      <w:r>
        <w:t xml:space="preserve">The information disclosed by Applicants in its Bid will be used in this evaluation process and for evaluation purposes only, except where indicated </w:t>
      </w:r>
      <w:r>
        <w:rPr>
          <w:color w:val="000000"/>
        </w:rPr>
        <w:t>otherwise.</w:t>
      </w:r>
    </w:p>
    <w:p w:rsidR="00795591" w:rsidRDefault="00795591" w:rsidP="00795591">
      <w:pPr>
        <w:pStyle w:val="BodyText"/>
        <w:rPr>
          <w:rFonts w:cs="Arial"/>
        </w:rPr>
      </w:pPr>
      <w:r>
        <w:rPr>
          <w:rFonts w:cs="Arial"/>
          <w:color w:val="000000"/>
        </w:rPr>
        <w:t>The following criteria and weightings will be applied in the</w:t>
      </w:r>
      <w:r>
        <w:rPr>
          <w:rFonts w:cs="Arial"/>
        </w:rPr>
        <w:t xml:space="preserve"> evaluation of the submitted responses: </w:t>
      </w:r>
    </w:p>
    <w:tbl>
      <w:tblPr>
        <w:tblW w:w="8615" w:type="dxa"/>
        <w:jc w:val="center"/>
        <w:tblInd w:w="-1047"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CellMar>
          <w:left w:w="0" w:type="dxa"/>
          <w:right w:w="0" w:type="dxa"/>
        </w:tblCellMar>
        <w:tblLook w:val="0000"/>
      </w:tblPr>
      <w:tblGrid>
        <w:gridCol w:w="6143"/>
        <w:gridCol w:w="1197"/>
        <w:gridCol w:w="1275"/>
      </w:tblGrid>
      <w:tr w:rsidR="00B55FB7" w:rsidRPr="0097750F" w:rsidTr="00E00856">
        <w:trPr>
          <w:jc w:val="center"/>
        </w:trPr>
        <w:tc>
          <w:tcPr>
            <w:tcW w:w="6143" w:type="dxa"/>
            <w:shd w:val="clear" w:color="auto" w:fill="548DD4" w:themeFill="text2" w:themeFillTint="99"/>
            <w:tcMar>
              <w:top w:w="28" w:type="dxa"/>
              <w:left w:w="108" w:type="dxa"/>
              <w:bottom w:w="28" w:type="dxa"/>
              <w:right w:w="108" w:type="dxa"/>
            </w:tcMar>
            <w:vAlign w:val="center"/>
          </w:tcPr>
          <w:p w:rsidR="00B55FB7" w:rsidRPr="0018651A" w:rsidRDefault="00B55FB7" w:rsidP="00795591">
            <w:pPr>
              <w:spacing w:before="120" w:after="120"/>
              <w:rPr>
                <w:b/>
                <w:color w:val="FFFFFF" w:themeColor="background1"/>
                <w:sz w:val="28"/>
                <w:szCs w:val="28"/>
                <w:lang w:eastAsia="en-GB"/>
              </w:rPr>
            </w:pPr>
            <w:r w:rsidRPr="0018651A">
              <w:rPr>
                <w:b/>
                <w:color w:val="FFFFFF" w:themeColor="background1"/>
                <w:sz w:val="28"/>
                <w:szCs w:val="28"/>
                <w:lang w:eastAsia="en-GB"/>
              </w:rPr>
              <w:t>Evaluation Criteria Breakdown</w:t>
            </w:r>
          </w:p>
        </w:tc>
        <w:tc>
          <w:tcPr>
            <w:tcW w:w="1197" w:type="dxa"/>
            <w:shd w:val="clear" w:color="auto" w:fill="548DD4" w:themeFill="text2" w:themeFillTint="99"/>
            <w:tcMar>
              <w:top w:w="28" w:type="dxa"/>
              <w:left w:w="108" w:type="dxa"/>
              <w:bottom w:w="28" w:type="dxa"/>
              <w:right w:w="108" w:type="dxa"/>
            </w:tcMar>
            <w:vAlign w:val="center"/>
          </w:tcPr>
          <w:p w:rsidR="00B55FB7" w:rsidRPr="0018651A" w:rsidRDefault="00B55FB7" w:rsidP="00795591">
            <w:pPr>
              <w:spacing w:before="120" w:after="120"/>
              <w:jc w:val="center"/>
              <w:rPr>
                <w:b/>
                <w:color w:val="FFFFFF" w:themeColor="background1"/>
                <w:sz w:val="28"/>
                <w:szCs w:val="28"/>
                <w:lang w:eastAsia="en-GB"/>
              </w:rPr>
            </w:pPr>
            <w:r w:rsidRPr="0018651A">
              <w:rPr>
                <w:b/>
                <w:color w:val="FFFFFF" w:themeColor="background1"/>
                <w:sz w:val="28"/>
                <w:szCs w:val="28"/>
                <w:lang w:eastAsia="en-GB"/>
              </w:rPr>
              <w:t xml:space="preserve">Sub Criteria </w:t>
            </w:r>
          </w:p>
        </w:tc>
        <w:tc>
          <w:tcPr>
            <w:tcW w:w="1275" w:type="dxa"/>
            <w:shd w:val="clear" w:color="auto" w:fill="548DD4" w:themeFill="text2" w:themeFillTint="99"/>
            <w:tcMar>
              <w:top w:w="28" w:type="dxa"/>
              <w:left w:w="108" w:type="dxa"/>
              <w:bottom w:w="28" w:type="dxa"/>
              <w:right w:w="108" w:type="dxa"/>
            </w:tcMar>
            <w:vAlign w:val="center"/>
          </w:tcPr>
          <w:p w:rsidR="00B55FB7" w:rsidRPr="0018651A" w:rsidRDefault="00B55FB7" w:rsidP="00795591">
            <w:pPr>
              <w:spacing w:before="120" w:after="120"/>
              <w:jc w:val="center"/>
              <w:rPr>
                <w:b/>
                <w:color w:val="FFFFFF" w:themeColor="background1"/>
                <w:sz w:val="28"/>
                <w:szCs w:val="28"/>
                <w:lang w:eastAsia="en-GB"/>
              </w:rPr>
            </w:pPr>
            <w:r>
              <w:rPr>
                <w:b/>
                <w:color w:val="FFFFFF" w:themeColor="background1"/>
                <w:sz w:val="28"/>
                <w:szCs w:val="28"/>
                <w:lang w:eastAsia="en-GB"/>
              </w:rPr>
              <w:t>Main Criteria</w:t>
            </w:r>
          </w:p>
        </w:tc>
      </w:tr>
      <w:tr w:rsidR="00B55FB7" w:rsidTr="00E00856">
        <w:trPr>
          <w:jc w:val="center"/>
        </w:trPr>
        <w:tc>
          <w:tcPr>
            <w:tcW w:w="7340" w:type="dxa"/>
            <w:gridSpan w:val="2"/>
            <w:tcMar>
              <w:top w:w="28" w:type="dxa"/>
              <w:left w:w="108" w:type="dxa"/>
              <w:bottom w:w="28" w:type="dxa"/>
              <w:right w:w="108" w:type="dxa"/>
            </w:tcMar>
            <w:vAlign w:val="center"/>
          </w:tcPr>
          <w:p w:rsidR="00B55FB7" w:rsidRDefault="00B55FB7" w:rsidP="00674A4E">
            <w:pPr>
              <w:spacing w:before="60" w:after="60"/>
              <w:rPr>
                <w:b/>
                <w:lang w:eastAsia="en-GB"/>
              </w:rPr>
            </w:pPr>
            <w:r>
              <w:rPr>
                <w:b/>
                <w:lang w:eastAsia="en-GB"/>
              </w:rPr>
              <w:t xml:space="preserve">Award </w:t>
            </w:r>
          </w:p>
        </w:tc>
        <w:tc>
          <w:tcPr>
            <w:tcW w:w="1275" w:type="dxa"/>
            <w:tcMar>
              <w:top w:w="28" w:type="dxa"/>
              <w:left w:w="108" w:type="dxa"/>
              <w:bottom w:w="28" w:type="dxa"/>
              <w:right w:w="108" w:type="dxa"/>
            </w:tcMar>
            <w:vAlign w:val="center"/>
          </w:tcPr>
          <w:p w:rsidR="00B55FB7" w:rsidRDefault="00B55FB7" w:rsidP="00674A4E">
            <w:pPr>
              <w:spacing w:before="60" w:after="60"/>
              <w:jc w:val="center"/>
              <w:rPr>
                <w:b/>
                <w:lang w:eastAsia="en-GB"/>
              </w:rPr>
            </w:pPr>
            <w:r>
              <w:rPr>
                <w:b/>
                <w:lang w:eastAsia="en-GB"/>
              </w:rPr>
              <w:t>Pass</w:t>
            </w:r>
          </w:p>
        </w:tc>
      </w:tr>
      <w:tr w:rsidR="00B55FB7" w:rsidTr="00E00856">
        <w:trPr>
          <w:jc w:val="center"/>
        </w:trPr>
        <w:tc>
          <w:tcPr>
            <w:tcW w:w="7340" w:type="dxa"/>
            <w:gridSpan w:val="2"/>
            <w:tcMar>
              <w:top w:w="28" w:type="dxa"/>
              <w:left w:w="108" w:type="dxa"/>
              <w:bottom w:w="28" w:type="dxa"/>
              <w:right w:w="108" w:type="dxa"/>
            </w:tcMar>
            <w:vAlign w:val="center"/>
          </w:tcPr>
          <w:p w:rsidR="00B55FB7" w:rsidRPr="00B55FB7" w:rsidRDefault="00B55FB7" w:rsidP="003A3774">
            <w:pPr>
              <w:spacing w:before="60" w:after="60"/>
              <w:rPr>
                <w:lang w:eastAsia="en-GB"/>
              </w:rPr>
            </w:pPr>
            <w:r w:rsidRPr="00B55FB7">
              <w:rPr>
                <w:lang w:eastAsia="en-GB"/>
              </w:rPr>
              <w:t>Mandatory Pass / Fail Requirements</w:t>
            </w:r>
          </w:p>
        </w:tc>
        <w:tc>
          <w:tcPr>
            <w:tcW w:w="1275" w:type="dxa"/>
            <w:tcMar>
              <w:top w:w="28" w:type="dxa"/>
              <w:left w:w="108" w:type="dxa"/>
              <w:bottom w:w="28" w:type="dxa"/>
              <w:right w:w="108" w:type="dxa"/>
            </w:tcMar>
            <w:vAlign w:val="center"/>
          </w:tcPr>
          <w:p w:rsidR="00B55FB7" w:rsidRPr="00B55FB7" w:rsidRDefault="00B55FB7" w:rsidP="003A3774">
            <w:pPr>
              <w:spacing w:before="60" w:after="60"/>
              <w:jc w:val="center"/>
              <w:rPr>
                <w:lang w:eastAsia="en-GB"/>
              </w:rPr>
            </w:pPr>
            <w:r w:rsidRPr="00B55FB7">
              <w:rPr>
                <w:bCs/>
                <w:lang w:eastAsia="en-GB"/>
              </w:rPr>
              <w:t>Pass</w:t>
            </w:r>
          </w:p>
        </w:tc>
      </w:tr>
      <w:tr w:rsidR="00B55FB7" w:rsidTr="00E00856">
        <w:trPr>
          <w:jc w:val="center"/>
        </w:trPr>
        <w:tc>
          <w:tcPr>
            <w:tcW w:w="6143" w:type="dxa"/>
            <w:tcMar>
              <w:top w:w="28" w:type="dxa"/>
              <w:left w:w="108" w:type="dxa"/>
              <w:bottom w:w="28" w:type="dxa"/>
              <w:right w:w="108" w:type="dxa"/>
            </w:tcMar>
            <w:vAlign w:val="center"/>
          </w:tcPr>
          <w:p w:rsidR="00B55FB7" w:rsidRPr="00B55FB7" w:rsidRDefault="00B55FB7" w:rsidP="00674A4E">
            <w:pPr>
              <w:spacing w:before="60" w:after="60"/>
              <w:rPr>
                <w:lang w:eastAsia="en-GB"/>
              </w:rPr>
            </w:pPr>
            <w:r w:rsidRPr="00B55FB7">
              <w:rPr>
                <w:b/>
                <w:lang w:eastAsia="en-GB"/>
              </w:rPr>
              <w:t>Award</w:t>
            </w:r>
          </w:p>
        </w:tc>
        <w:tc>
          <w:tcPr>
            <w:tcW w:w="1197" w:type="dxa"/>
            <w:tcMar>
              <w:top w:w="28" w:type="dxa"/>
              <w:left w:w="108" w:type="dxa"/>
              <w:bottom w:w="28" w:type="dxa"/>
              <w:right w:w="108" w:type="dxa"/>
            </w:tcMar>
            <w:vAlign w:val="center"/>
          </w:tcPr>
          <w:p w:rsidR="00B55FB7" w:rsidRPr="00B55FB7" w:rsidRDefault="00B55FB7" w:rsidP="00674A4E">
            <w:pPr>
              <w:spacing w:before="60" w:after="60"/>
              <w:jc w:val="center"/>
              <w:rPr>
                <w:lang w:eastAsia="en-GB"/>
              </w:rPr>
            </w:pPr>
          </w:p>
        </w:tc>
        <w:tc>
          <w:tcPr>
            <w:tcW w:w="1275" w:type="dxa"/>
            <w:tcMar>
              <w:top w:w="28" w:type="dxa"/>
              <w:left w:w="108" w:type="dxa"/>
              <w:bottom w:w="28" w:type="dxa"/>
              <w:right w:w="108" w:type="dxa"/>
            </w:tcMar>
            <w:vAlign w:val="center"/>
          </w:tcPr>
          <w:p w:rsidR="00B55FB7" w:rsidRPr="00B55FB7" w:rsidRDefault="00B55FB7" w:rsidP="00674A4E">
            <w:pPr>
              <w:spacing w:before="60" w:after="60"/>
              <w:jc w:val="center"/>
              <w:rPr>
                <w:lang w:eastAsia="en-GB"/>
              </w:rPr>
            </w:pPr>
            <w:r w:rsidRPr="00B55FB7">
              <w:rPr>
                <w:lang w:eastAsia="en-GB"/>
              </w:rPr>
              <w:t>100%</w:t>
            </w:r>
          </w:p>
        </w:tc>
      </w:tr>
      <w:tr w:rsidR="00B55FB7" w:rsidTr="00E00856">
        <w:trPr>
          <w:jc w:val="center"/>
        </w:trPr>
        <w:tc>
          <w:tcPr>
            <w:tcW w:w="6143" w:type="dxa"/>
            <w:tcMar>
              <w:top w:w="28" w:type="dxa"/>
              <w:left w:w="108" w:type="dxa"/>
              <w:bottom w:w="28" w:type="dxa"/>
              <w:right w:w="108" w:type="dxa"/>
            </w:tcMar>
            <w:vAlign w:val="center"/>
          </w:tcPr>
          <w:p w:rsidR="00B55FB7" w:rsidRPr="00B55FB7" w:rsidRDefault="00B55FB7" w:rsidP="00674A4E">
            <w:pPr>
              <w:spacing w:before="60" w:after="60"/>
              <w:rPr>
                <w:lang w:eastAsia="en-GB"/>
              </w:rPr>
            </w:pPr>
            <w:r w:rsidRPr="00B55FB7">
              <w:rPr>
                <w:lang w:eastAsia="en-GB"/>
              </w:rPr>
              <w:t>Method Statement 1</w:t>
            </w:r>
          </w:p>
        </w:tc>
        <w:tc>
          <w:tcPr>
            <w:tcW w:w="1197" w:type="dxa"/>
            <w:tcMar>
              <w:top w:w="28" w:type="dxa"/>
              <w:left w:w="108" w:type="dxa"/>
              <w:bottom w:w="28" w:type="dxa"/>
              <w:right w:w="108" w:type="dxa"/>
            </w:tcMar>
            <w:vAlign w:val="center"/>
          </w:tcPr>
          <w:p w:rsidR="00B55FB7" w:rsidRPr="00B55FB7" w:rsidRDefault="00B55FB7" w:rsidP="00674A4E">
            <w:pPr>
              <w:spacing w:before="60" w:after="60"/>
              <w:jc w:val="center"/>
              <w:rPr>
                <w:lang w:eastAsia="en-GB"/>
              </w:rPr>
            </w:pPr>
            <w:r w:rsidRPr="00B55FB7">
              <w:rPr>
                <w:lang w:eastAsia="en-GB"/>
              </w:rPr>
              <w:t>20%</w:t>
            </w:r>
          </w:p>
        </w:tc>
        <w:tc>
          <w:tcPr>
            <w:tcW w:w="1275" w:type="dxa"/>
            <w:tcMar>
              <w:top w:w="28" w:type="dxa"/>
              <w:left w:w="108" w:type="dxa"/>
              <w:bottom w:w="28" w:type="dxa"/>
              <w:right w:w="108" w:type="dxa"/>
            </w:tcMar>
            <w:vAlign w:val="center"/>
          </w:tcPr>
          <w:p w:rsidR="00B55FB7" w:rsidRPr="00B55FB7" w:rsidRDefault="00B55FB7" w:rsidP="00674A4E">
            <w:pPr>
              <w:spacing w:before="60" w:after="60"/>
              <w:jc w:val="center"/>
              <w:rPr>
                <w:lang w:eastAsia="en-GB"/>
              </w:rPr>
            </w:pPr>
          </w:p>
        </w:tc>
      </w:tr>
      <w:tr w:rsidR="00B55FB7" w:rsidTr="00E00856">
        <w:trPr>
          <w:jc w:val="center"/>
        </w:trPr>
        <w:tc>
          <w:tcPr>
            <w:tcW w:w="6143" w:type="dxa"/>
            <w:tcMar>
              <w:top w:w="28" w:type="dxa"/>
              <w:left w:w="108" w:type="dxa"/>
              <w:bottom w:w="28" w:type="dxa"/>
              <w:right w:w="108" w:type="dxa"/>
            </w:tcMar>
            <w:vAlign w:val="center"/>
          </w:tcPr>
          <w:p w:rsidR="00B55FB7" w:rsidRPr="00B55FB7" w:rsidRDefault="00B55FB7" w:rsidP="003B5E24">
            <w:pPr>
              <w:spacing w:before="60" w:after="60"/>
              <w:rPr>
                <w:lang w:eastAsia="en-GB"/>
              </w:rPr>
            </w:pPr>
            <w:r w:rsidRPr="00B55FB7">
              <w:rPr>
                <w:lang w:eastAsia="en-GB"/>
              </w:rPr>
              <w:t>Method Statement 2</w:t>
            </w:r>
          </w:p>
        </w:tc>
        <w:tc>
          <w:tcPr>
            <w:tcW w:w="1197" w:type="dxa"/>
            <w:tcMar>
              <w:top w:w="28" w:type="dxa"/>
              <w:left w:w="108" w:type="dxa"/>
              <w:bottom w:w="28" w:type="dxa"/>
              <w:right w:w="108" w:type="dxa"/>
            </w:tcMar>
            <w:vAlign w:val="center"/>
          </w:tcPr>
          <w:p w:rsidR="00B55FB7" w:rsidRPr="00B55FB7" w:rsidRDefault="00B55FB7" w:rsidP="003B5E24">
            <w:pPr>
              <w:spacing w:before="60" w:after="60"/>
              <w:jc w:val="center"/>
              <w:rPr>
                <w:lang w:eastAsia="en-GB"/>
              </w:rPr>
            </w:pPr>
            <w:r w:rsidRPr="00B55FB7">
              <w:rPr>
                <w:lang w:eastAsia="en-GB"/>
              </w:rPr>
              <w:t>20%</w:t>
            </w:r>
          </w:p>
        </w:tc>
        <w:tc>
          <w:tcPr>
            <w:tcW w:w="1275" w:type="dxa"/>
            <w:tcMar>
              <w:top w:w="28" w:type="dxa"/>
              <w:left w:w="108" w:type="dxa"/>
              <w:bottom w:w="28" w:type="dxa"/>
              <w:right w:w="108" w:type="dxa"/>
            </w:tcMar>
            <w:vAlign w:val="center"/>
          </w:tcPr>
          <w:p w:rsidR="00B55FB7" w:rsidRPr="00B55FB7" w:rsidRDefault="00B55FB7" w:rsidP="003B5E24">
            <w:pPr>
              <w:spacing w:before="60" w:after="60"/>
              <w:jc w:val="center"/>
              <w:rPr>
                <w:lang w:eastAsia="en-GB"/>
              </w:rPr>
            </w:pPr>
          </w:p>
        </w:tc>
      </w:tr>
      <w:tr w:rsidR="00B55FB7" w:rsidTr="00E00856">
        <w:trPr>
          <w:jc w:val="center"/>
        </w:trPr>
        <w:tc>
          <w:tcPr>
            <w:tcW w:w="6143" w:type="dxa"/>
            <w:tcMar>
              <w:top w:w="28" w:type="dxa"/>
              <w:left w:w="108" w:type="dxa"/>
              <w:bottom w:w="28" w:type="dxa"/>
              <w:right w:w="108" w:type="dxa"/>
            </w:tcMar>
            <w:vAlign w:val="center"/>
          </w:tcPr>
          <w:p w:rsidR="00B55FB7" w:rsidRPr="00B55FB7" w:rsidRDefault="00B55FB7" w:rsidP="00D50951">
            <w:pPr>
              <w:spacing w:before="60" w:after="60"/>
              <w:rPr>
                <w:lang w:eastAsia="en-GB"/>
              </w:rPr>
            </w:pPr>
            <w:r w:rsidRPr="00B55FB7">
              <w:rPr>
                <w:lang w:eastAsia="en-GB"/>
              </w:rPr>
              <w:t xml:space="preserve">Technical Questions </w:t>
            </w:r>
          </w:p>
        </w:tc>
        <w:tc>
          <w:tcPr>
            <w:tcW w:w="1197" w:type="dxa"/>
            <w:tcMar>
              <w:top w:w="28" w:type="dxa"/>
              <w:left w:w="108" w:type="dxa"/>
              <w:bottom w:w="28" w:type="dxa"/>
              <w:right w:w="108" w:type="dxa"/>
            </w:tcMar>
            <w:vAlign w:val="center"/>
          </w:tcPr>
          <w:p w:rsidR="00B55FB7" w:rsidRPr="00B55FB7" w:rsidRDefault="00B55FB7" w:rsidP="00674A4E">
            <w:pPr>
              <w:spacing w:before="60" w:after="60"/>
              <w:jc w:val="center"/>
              <w:rPr>
                <w:lang w:eastAsia="en-GB"/>
              </w:rPr>
            </w:pPr>
            <w:r w:rsidRPr="00B55FB7">
              <w:rPr>
                <w:lang w:eastAsia="en-GB"/>
              </w:rPr>
              <w:t>20%</w:t>
            </w:r>
          </w:p>
        </w:tc>
        <w:tc>
          <w:tcPr>
            <w:tcW w:w="1275" w:type="dxa"/>
            <w:tcMar>
              <w:top w:w="28" w:type="dxa"/>
              <w:left w:w="108" w:type="dxa"/>
              <w:bottom w:w="28" w:type="dxa"/>
              <w:right w:w="108" w:type="dxa"/>
            </w:tcMar>
            <w:vAlign w:val="center"/>
          </w:tcPr>
          <w:p w:rsidR="00B55FB7" w:rsidRPr="00B55FB7" w:rsidRDefault="00B55FB7" w:rsidP="00674A4E">
            <w:pPr>
              <w:spacing w:before="60" w:after="60"/>
              <w:jc w:val="center"/>
              <w:rPr>
                <w:lang w:eastAsia="en-GB"/>
              </w:rPr>
            </w:pPr>
          </w:p>
        </w:tc>
      </w:tr>
      <w:tr w:rsidR="00B55FB7" w:rsidTr="00E00856">
        <w:trPr>
          <w:jc w:val="center"/>
        </w:trPr>
        <w:tc>
          <w:tcPr>
            <w:tcW w:w="6143" w:type="dxa"/>
            <w:tcMar>
              <w:top w:w="28" w:type="dxa"/>
              <w:left w:w="108" w:type="dxa"/>
              <w:bottom w:w="28" w:type="dxa"/>
              <w:right w:w="108" w:type="dxa"/>
            </w:tcMar>
            <w:vAlign w:val="center"/>
          </w:tcPr>
          <w:p w:rsidR="00B55FB7" w:rsidRPr="00B55FB7" w:rsidRDefault="00B55FB7" w:rsidP="00674A4E">
            <w:pPr>
              <w:spacing w:before="60" w:after="60"/>
              <w:rPr>
                <w:lang w:eastAsia="en-GB"/>
              </w:rPr>
            </w:pPr>
            <w:r w:rsidRPr="00B55FB7">
              <w:rPr>
                <w:lang w:eastAsia="en-GB"/>
              </w:rPr>
              <w:t>Pricing (Based on total daily course cost)</w:t>
            </w:r>
          </w:p>
        </w:tc>
        <w:tc>
          <w:tcPr>
            <w:tcW w:w="1197" w:type="dxa"/>
            <w:tcMar>
              <w:top w:w="28" w:type="dxa"/>
              <w:left w:w="108" w:type="dxa"/>
              <w:bottom w:w="28" w:type="dxa"/>
              <w:right w:w="108" w:type="dxa"/>
            </w:tcMar>
            <w:vAlign w:val="center"/>
          </w:tcPr>
          <w:p w:rsidR="00B55FB7" w:rsidRPr="00B55FB7" w:rsidRDefault="00B55FB7" w:rsidP="00674A4E">
            <w:pPr>
              <w:spacing w:before="60" w:after="60"/>
              <w:jc w:val="center"/>
              <w:rPr>
                <w:lang w:eastAsia="en-GB"/>
              </w:rPr>
            </w:pPr>
            <w:r w:rsidRPr="00B55FB7">
              <w:rPr>
                <w:lang w:eastAsia="en-GB"/>
              </w:rPr>
              <w:t>35%</w:t>
            </w:r>
          </w:p>
        </w:tc>
        <w:tc>
          <w:tcPr>
            <w:tcW w:w="1275" w:type="dxa"/>
            <w:tcMar>
              <w:top w:w="28" w:type="dxa"/>
              <w:left w:w="108" w:type="dxa"/>
              <w:bottom w:w="28" w:type="dxa"/>
              <w:right w:w="108" w:type="dxa"/>
            </w:tcMar>
            <w:vAlign w:val="center"/>
          </w:tcPr>
          <w:p w:rsidR="00B55FB7" w:rsidRPr="00B55FB7" w:rsidRDefault="00B55FB7" w:rsidP="003B5E24">
            <w:pPr>
              <w:spacing w:before="60" w:after="60"/>
              <w:jc w:val="center"/>
              <w:rPr>
                <w:lang w:eastAsia="en-GB"/>
              </w:rPr>
            </w:pPr>
          </w:p>
        </w:tc>
      </w:tr>
      <w:tr w:rsidR="00B55FB7" w:rsidTr="00E00856">
        <w:trPr>
          <w:jc w:val="center"/>
        </w:trPr>
        <w:tc>
          <w:tcPr>
            <w:tcW w:w="6143" w:type="dxa"/>
            <w:tcMar>
              <w:top w:w="28" w:type="dxa"/>
              <w:left w:w="108" w:type="dxa"/>
              <w:bottom w:w="28" w:type="dxa"/>
              <w:right w:w="108" w:type="dxa"/>
            </w:tcMar>
            <w:vAlign w:val="center"/>
          </w:tcPr>
          <w:p w:rsidR="00B55FB7" w:rsidRPr="00B55FB7" w:rsidRDefault="00B55FB7" w:rsidP="00E00856">
            <w:pPr>
              <w:spacing w:before="60" w:after="60"/>
              <w:rPr>
                <w:lang w:eastAsia="en-GB"/>
              </w:rPr>
            </w:pPr>
            <w:r w:rsidRPr="00B55FB7">
              <w:rPr>
                <w:lang w:eastAsia="en-GB"/>
              </w:rPr>
              <w:t>Pricing (</w:t>
            </w:r>
            <w:r w:rsidR="00E00856">
              <w:rPr>
                <w:lang w:eastAsia="en-GB"/>
              </w:rPr>
              <w:t xml:space="preserve">total additional costs for </w:t>
            </w:r>
            <w:r w:rsidRPr="00B55FB7">
              <w:rPr>
                <w:lang w:eastAsia="en-GB"/>
              </w:rPr>
              <w:t>emergency back-up course)</w:t>
            </w:r>
          </w:p>
        </w:tc>
        <w:tc>
          <w:tcPr>
            <w:tcW w:w="1197" w:type="dxa"/>
            <w:tcMar>
              <w:top w:w="28" w:type="dxa"/>
              <w:left w:w="108" w:type="dxa"/>
              <w:bottom w:w="28" w:type="dxa"/>
              <w:right w:w="108" w:type="dxa"/>
            </w:tcMar>
            <w:vAlign w:val="center"/>
          </w:tcPr>
          <w:p w:rsidR="00B55FB7" w:rsidRPr="00B55FB7" w:rsidRDefault="00B55FB7" w:rsidP="00674A4E">
            <w:pPr>
              <w:spacing w:before="60" w:after="60"/>
              <w:jc w:val="center"/>
              <w:rPr>
                <w:lang w:eastAsia="en-GB"/>
              </w:rPr>
            </w:pPr>
            <w:r w:rsidRPr="00B55FB7">
              <w:rPr>
                <w:lang w:eastAsia="en-GB"/>
              </w:rPr>
              <w:t>5%</w:t>
            </w:r>
          </w:p>
        </w:tc>
        <w:tc>
          <w:tcPr>
            <w:tcW w:w="1275" w:type="dxa"/>
            <w:tcMar>
              <w:top w:w="28" w:type="dxa"/>
              <w:left w:w="108" w:type="dxa"/>
              <w:bottom w:w="28" w:type="dxa"/>
              <w:right w:w="108" w:type="dxa"/>
            </w:tcMar>
            <w:vAlign w:val="center"/>
          </w:tcPr>
          <w:p w:rsidR="00B55FB7" w:rsidRPr="00B55FB7" w:rsidRDefault="00B55FB7" w:rsidP="003B5E24">
            <w:pPr>
              <w:spacing w:before="60" w:after="60"/>
              <w:jc w:val="center"/>
              <w:rPr>
                <w:lang w:eastAsia="en-GB"/>
              </w:rPr>
            </w:pPr>
          </w:p>
        </w:tc>
      </w:tr>
    </w:tbl>
    <w:p w:rsidR="00795591" w:rsidRPr="00795591" w:rsidRDefault="00795591" w:rsidP="00795591">
      <w:pPr>
        <w:pStyle w:val="Tendertemplate"/>
        <w:numPr>
          <w:ilvl w:val="1"/>
          <w:numId w:val="9"/>
        </w:numPr>
        <w:tabs>
          <w:tab w:val="num" w:pos="709"/>
        </w:tabs>
        <w:spacing w:before="60" w:after="120"/>
        <w:ind w:left="1145" w:hanging="1145"/>
        <w:jc w:val="left"/>
        <w:rPr>
          <w:color w:val="auto"/>
          <w:sz w:val="28"/>
          <w:szCs w:val="28"/>
        </w:rPr>
      </w:pPr>
      <w:bookmarkStart w:id="11" w:name="_Ref378689014"/>
      <w:bookmarkStart w:id="12" w:name="_Toc384126985"/>
      <w:bookmarkStart w:id="13" w:name="_Toc371925803"/>
      <w:bookmarkStart w:id="14" w:name="_Toc378778984"/>
      <w:r w:rsidRPr="00795591">
        <w:rPr>
          <w:color w:val="auto"/>
          <w:sz w:val="28"/>
          <w:szCs w:val="28"/>
        </w:rPr>
        <w:t>Scoring Guidelines</w:t>
      </w:r>
      <w:bookmarkEnd w:id="11"/>
      <w:bookmarkEnd w:id="12"/>
    </w:p>
    <w:p w:rsidR="00795591" w:rsidRDefault="00795591" w:rsidP="00795591">
      <w:r>
        <w:rPr>
          <w:rFonts w:cs="Arial"/>
        </w:rPr>
        <w:t xml:space="preserve">Applicants should be aware that the responses provided to the questions within the Award section of </w:t>
      </w:r>
      <w:r>
        <w:rPr>
          <w:color w:val="000000"/>
        </w:rPr>
        <w:t xml:space="preserve">Volume Four (4) Evaluation </w:t>
      </w:r>
      <w:r>
        <w:rPr>
          <w:rFonts w:cs="Arial"/>
        </w:rPr>
        <w:t>will be evaluated against a marking system that awards the highest marks to Applicants who show innovation, creativity, further relevant details and information that could potentially enhance the Applicant’s proposal.</w:t>
      </w:r>
      <w:r w:rsidRPr="005E21AE">
        <w:t xml:space="preserve"> It should be noted that to achieve the highest marks available for the questions you should not only meet but exceed the basic requirements of the </w:t>
      </w:r>
      <w:r>
        <w:t>specification</w:t>
      </w:r>
      <w:r w:rsidRPr="005E21AE">
        <w:t>.</w:t>
      </w:r>
    </w:p>
    <w:p w:rsidR="00C955D6" w:rsidRDefault="00C955D6" w:rsidP="00795591">
      <w:r>
        <w:t>Where any questions have been given a weighting of between one (1) and three (3) that weighting shall be applied to score awarded in respect of the Applicant’s response, e.g. a question weighted a one (1) which achieves a score of five (5) will achieve an overall score of five (5) and a question weighted a three (3) which achieves a score of five (5) will achieve an overall score of fifteen (15).</w:t>
      </w:r>
    </w:p>
    <w:p w:rsidR="00795591" w:rsidRDefault="00795591" w:rsidP="00795591">
      <w:pPr>
        <w:rPr>
          <w:rFonts w:cs="Arial"/>
        </w:rPr>
      </w:pPr>
      <w:r>
        <w:rPr>
          <w:rFonts w:cs="Arial"/>
        </w:rPr>
        <w:t>All scored question shall be evaluated in accordance with the guidelines below:</w:t>
      </w:r>
    </w:p>
    <w:tbl>
      <w:tblPr>
        <w:tblW w:w="9654" w:type="dxa"/>
        <w:tblInd w:w="93" w:type="dxa"/>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tblLook w:val="0000"/>
      </w:tblPr>
      <w:tblGrid>
        <w:gridCol w:w="955"/>
        <w:gridCol w:w="1464"/>
        <w:gridCol w:w="5534"/>
        <w:gridCol w:w="1701"/>
      </w:tblGrid>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0</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No response</w:t>
            </w:r>
          </w:p>
        </w:tc>
        <w:tc>
          <w:tcPr>
            <w:tcW w:w="5534" w:type="dxa"/>
            <w:shd w:val="clear" w:color="auto" w:fill="auto"/>
            <w:vAlign w:val="center"/>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No response</w:t>
            </w:r>
          </w:p>
        </w:tc>
        <w:tc>
          <w:tcPr>
            <w:tcW w:w="1701" w:type="dxa"/>
            <w:shd w:val="clear" w:color="auto" w:fill="auto"/>
            <w:vAlign w:val="center"/>
          </w:tcPr>
          <w:p w:rsidR="00795591" w:rsidRPr="008760A5" w:rsidRDefault="00795591" w:rsidP="00795591">
            <w:pPr>
              <w:spacing w:after="0" w:line="240" w:lineRule="auto"/>
              <w:jc w:val="center"/>
              <w:rPr>
                <w:rFonts w:cs="Arial"/>
                <w:b/>
                <w:bCs/>
                <w:color w:val="000000"/>
                <w:sz w:val="21"/>
                <w:szCs w:val="21"/>
                <w:lang w:eastAsia="en-GB"/>
              </w:rPr>
            </w:pP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1</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Extremely Weak</w:t>
            </w:r>
          </w:p>
        </w:tc>
        <w:tc>
          <w:tcPr>
            <w:tcW w:w="5534" w:type="dxa"/>
            <w:shd w:val="clear" w:color="auto" w:fill="auto"/>
            <w:vAlign w:val="bottom"/>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Very poor proposal/response; does not cover the associated requirements, major deficiencies in thinking or detail, significant detail missing, unrealistic or impossible to implement and manage</w:t>
            </w:r>
          </w:p>
        </w:tc>
        <w:tc>
          <w:tcPr>
            <w:tcW w:w="1701" w:type="dxa"/>
            <w:vMerge w:val="restart"/>
            <w:shd w:val="clear" w:color="auto" w:fill="auto"/>
            <w:vAlign w:val="center"/>
          </w:tcPr>
          <w:p w:rsidR="00795591" w:rsidRPr="008760A5" w:rsidRDefault="00795591" w:rsidP="00795591">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Weak</w:t>
            </w: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2</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Very Weak</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Poor proposal/response, only partially covers the requirements, deficiencies in thinking or detail apparent, difficult to implement and manage</w:t>
            </w:r>
          </w:p>
        </w:tc>
        <w:tc>
          <w:tcPr>
            <w:tcW w:w="1701" w:type="dxa"/>
            <w:vMerge/>
            <w:shd w:val="clear" w:color="auto" w:fill="auto"/>
            <w:vAlign w:val="center"/>
          </w:tcPr>
          <w:p w:rsidR="00795591" w:rsidRPr="008760A5" w:rsidRDefault="00795591" w:rsidP="00795591">
            <w:pPr>
              <w:spacing w:after="0" w:line="240" w:lineRule="auto"/>
              <w:rPr>
                <w:rFonts w:cs="Arial"/>
                <w:b/>
                <w:bCs/>
                <w:color w:val="000000"/>
                <w:sz w:val="21"/>
                <w:szCs w:val="21"/>
                <w:lang w:eastAsia="en-GB"/>
              </w:rPr>
            </w:pP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3</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Weak</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Mediocre proposal/response, moderate coverage of the requirements, minor deficiencies either in thinking or detail, problematic to implement and manage</w:t>
            </w:r>
          </w:p>
        </w:tc>
        <w:tc>
          <w:tcPr>
            <w:tcW w:w="1701" w:type="dxa"/>
            <w:vMerge/>
            <w:shd w:val="clear" w:color="auto" w:fill="auto"/>
            <w:vAlign w:val="center"/>
          </w:tcPr>
          <w:p w:rsidR="00795591" w:rsidRPr="008760A5" w:rsidRDefault="00795591" w:rsidP="00795591">
            <w:pPr>
              <w:spacing w:after="0" w:line="240" w:lineRule="auto"/>
              <w:rPr>
                <w:rFonts w:cs="Arial"/>
                <w:b/>
                <w:bCs/>
                <w:color w:val="000000"/>
                <w:sz w:val="21"/>
                <w:szCs w:val="21"/>
                <w:lang w:eastAsia="en-GB"/>
              </w:rPr>
            </w:pP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4</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Fair - Below Average</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Proposal/response partially satisfies the requirements, with small deficiencies apparent, needs some work to fully understand it</w:t>
            </w:r>
          </w:p>
        </w:tc>
        <w:tc>
          <w:tcPr>
            <w:tcW w:w="1701" w:type="dxa"/>
            <w:vMerge w:val="restart"/>
            <w:shd w:val="clear" w:color="auto" w:fill="auto"/>
            <w:vAlign w:val="center"/>
          </w:tcPr>
          <w:p w:rsidR="00795591" w:rsidRPr="008760A5" w:rsidRDefault="00795591" w:rsidP="00795591">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Fair - Good</w:t>
            </w: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5</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Fair - Average</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Satisfactory proposal/response, would work to deliver all of the Authority's requirements to the minimum level</w:t>
            </w:r>
          </w:p>
        </w:tc>
        <w:tc>
          <w:tcPr>
            <w:tcW w:w="1701" w:type="dxa"/>
            <w:vMerge/>
            <w:shd w:val="clear" w:color="auto" w:fill="auto"/>
            <w:vAlign w:val="center"/>
          </w:tcPr>
          <w:p w:rsidR="00795591" w:rsidRPr="008760A5" w:rsidRDefault="00795591" w:rsidP="00795591">
            <w:pPr>
              <w:spacing w:after="0" w:line="240" w:lineRule="auto"/>
              <w:rPr>
                <w:rFonts w:cs="Arial"/>
                <w:b/>
                <w:bCs/>
                <w:color w:val="000000"/>
                <w:sz w:val="21"/>
                <w:szCs w:val="21"/>
                <w:lang w:eastAsia="en-GB"/>
              </w:rPr>
            </w:pP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6</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Fair - Above Average</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Satisfactory proposal/response, would work to deliver the majority of the Authority's requirements to the minimum level with some evidence of where the Applicant could exceed the minimum requirements</w:t>
            </w:r>
          </w:p>
        </w:tc>
        <w:tc>
          <w:tcPr>
            <w:tcW w:w="1701" w:type="dxa"/>
            <w:vMerge/>
            <w:shd w:val="clear" w:color="auto" w:fill="auto"/>
            <w:vAlign w:val="center"/>
          </w:tcPr>
          <w:p w:rsidR="00795591" w:rsidRPr="008760A5" w:rsidRDefault="00795591" w:rsidP="00795591">
            <w:pPr>
              <w:spacing w:after="0" w:line="240" w:lineRule="auto"/>
              <w:rPr>
                <w:rFonts w:cs="Arial"/>
                <w:b/>
                <w:bCs/>
                <w:color w:val="000000"/>
                <w:sz w:val="21"/>
                <w:szCs w:val="21"/>
                <w:lang w:eastAsia="en-GB"/>
              </w:rPr>
            </w:pP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7</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Good</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Good proposal/response that convinces the Authority of its suitability, response slightly exceeds the minimum requirements with a reasonable level of detail</w:t>
            </w:r>
          </w:p>
        </w:tc>
        <w:tc>
          <w:tcPr>
            <w:tcW w:w="1701" w:type="dxa"/>
            <w:vMerge/>
            <w:shd w:val="clear" w:color="auto" w:fill="auto"/>
            <w:vAlign w:val="center"/>
          </w:tcPr>
          <w:p w:rsidR="00795591" w:rsidRPr="008760A5" w:rsidRDefault="00795591" w:rsidP="00795591">
            <w:pPr>
              <w:spacing w:after="0" w:line="240" w:lineRule="auto"/>
              <w:rPr>
                <w:rFonts w:cs="Arial"/>
                <w:b/>
                <w:bCs/>
                <w:color w:val="000000"/>
                <w:sz w:val="21"/>
                <w:szCs w:val="21"/>
                <w:lang w:eastAsia="en-GB"/>
              </w:rPr>
            </w:pP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8</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Strong</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Robust proposal/response, exceeds minimum requirements, including a level of detail or evidence of original thinking which adds value to the bid and provides a great deal of detail</w:t>
            </w:r>
          </w:p>
        </w:tc>
        <w:tc>
          <w:tcPr>
            <w:tcW w:w="1701" w:type="dxa"/>
            <w:vMerge w:val="restart"/>
            <w:shd w:val="clear" w:color="auto" w:fill="auto"/>
            <w:vAlign w:val="center"/>
          </w:tcPr>
          <w:p w:rsidR="00795591" w:rsidRPr="008760A5" w:rsidRDefault="00795591" w:rsidP="00795591">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Strong - Excellent</w:t>
            </w: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9</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Very Strong</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Proposal/response well in excess of expectations, with a comprehensive level of detail given including a full description of techniques and measurements employed</w:t>
            </w:r>
          </w:p>
        </w:tc>
        <w:tc>
          <w:tcPr>
            <w:tcW w:w="1701" w:type="dxa"/>
            <w:vMerge/>
            <w:shd w:val="clear" w:color="auto" w:fill="auto"/>
            <w:vAlign w:val="center"/>
          </w:tcPr>
          <w:p w:rsidR="00795591" w:rsidRPr="008760A5" w:rsidRDefault="00795591" w:rsidP="00795591">
            <w:pPr>
              <w:spacing w:after="0" w:line="240" w:lineRule="auto"/>
              <w:rPr>
                <w:rFonts w:cs="Arial"/>
                <w:b/>
                <w:bCs/>
                <w:color w:val="000000"/>
                <w:sz w:val="21"/>
                <w:szCs w:val="21"/>
                <w:lang w:eastAsia="en-GB"/>
              </w:rPr>
            </w:pPr>
          </w:p>
        </w:tc>
      </w:tr>
      <w:tr w:rsidR="00795591" w:rsidRPr="008760A5" w:rsidTr="00795591">
        <w:trPr>
          <w:cantSplit/>
          <w:trHeight w:val="20"/>
        </w:trPr>
        <w:tc>
          <w:tcPr>
            <w:tcW w:w="955" w:type="dxa"/>
            <w:shd w:val="clear" w:color="auto" w:fill="auto"/>
            <w:vAlign w:val="center"/>
          </w:tcPr>
          <w:p w:rsidR="00795591" w:rsidRPr="00D36243" w:rsidRDefault="00795591" w:rsidP="00795591">
            <w:pPr>
              <w:spacing w:before="60" w:after="60" w:line="240" w:lineRule="auto"/>
              <w:jc w:val="center"/>
              <w:rPr>
                <w:rFonts w:cs="Arial"/>
                <w:b/>
                <w:bCs/>
                <w:color w:val="000000"/>
                <w:lang w:eastAsia="en-GB"/>
              </w:rPr>
            </w:pPr>
            <w:r w:rsidRPr="00D36243">
              <w:rPr>
                <w:rFonts w:cs="Arial"/>
                <w:b/>
                <w:bCs/>
                <w:color w:val="000000"/>
                <w:lang w:eastAsia="en-GB"/>
              </w:rPr>
              <w:t>Score 10</w:t>
            </w:r>
          </w:p>
        </w:tc>
        <w:tc>
          <w:tcPr>
            <w:tcW w:w="1464" w:type="dxa"/>
            <w:shd w:val="clear" w:color="auto" w:fill="auto"/>
            <w:vAlign w:val="center"/>
          </w:tcPr>
          <w:p w:rsidR="00795591" w:rsidRPr="00D36243" w:rsidRDefault="00795591" w:rsidP="00795591">
            <w:pPr>
              <w:spacing w:before="60" w:after="60" w:line="240" w:lineRule="auto"/>
              <w:jc w:val="center"/>
              <w:rPr>
                <w:rFonts w:cs="Arial"/>
                <w:color w:val="000000"/>
                <w:lang w:eastAsia="en-GB"/>
              </w:rPr>
            </w:pPr>
            <w:r w:rsidRPr="00D36243">
              <w:rPr>
                <w:rFonts w:cs="Arial"/>
                <w:color w:val="000000"/>
                <w:lang w:eastAsia="en-GB"/>
              </w:rPr>
              <w:t>Outstanding/  Excellent</w:t>
            </w:r>
          </w:p>
        </w:tc>
        <w:tc>
          <w:tcPr>
            <w:tcW w:w="5534" w:type="dxa"/>
            <w:shd w:val="clear" w:color="auto" w:fill="auto"/>
          </w:tcPr>
          <w:p w:rsidR="00795591" w:rsidRPr="00D36243" w:rsidRDefault="00795591" w:rsidP="00795591">
            <w:pPr>
              <w:spacing w:before="60" w:after="60" w:line="240" w:lineRule="auto"/>
              <w:rPr>
                <w:rFonts w:cs="Arial"/>
                <w:color w:val="000000"/>
                <w:lang w:eastAsia="en-GB"/>
              </w:rPr>
            </w:pPr>
            <w:r w:rsidRPr="00D36243">
              <w:rPr>
                <w:rFonts w:cs="Arial"/>
                <w:color w:val="000000"/>
                <w:lang w:eastAsia="en-GB"/>
              </w:rPr>
              <w:t xml:space="preserve">Fully thought through proposal/response, which is innovative and provides the reader with confidence of the suitability of the approach to be adopted due to the complete level of detail provided </w:t>
            </w:r>
          </w:p>
        </w:tc>
        <w:tc>
          <w:tcPr>
            <w:tcW w:w="1701" w:type="dxa"/>
            <w:vMerge/>
            <w:shd w:val="clear" w:color="auto" w:fill="auto"/>
            <w:vAlign w:val="center"/>
          </w:tcPr>
          <w:p w:rsidR="00795591" w:rsidRPr="008760A5" w:rsidRDefault="00795591" w:rsidP="00795591">
            <w:pPr>
              <w:spacing w:after="0" w:line="240" w:lineRule="auto"/>
              <w:rPr>
                <w:rFonts w:cs="Arial"/>
                <w:b/>
                <w:bCs/>
                <w:color w:val="000000"/>
                <w:sz w:val="21"/>
                <w:szCs w:val="21"/>
                <w:lang w:eastAsia="en-GB"/>
              </w:rPr>
            </w:pPr>
          </w:p>
        </w:tc>
      </w:tr>
    </w:tbl>
    <w:p w:rsidR="00795591" w:rsidRDefault="00795591" w:rsidP="00F53EE7">
      <w:pPr>
        <w:widowControl w:val="0"/>
        <w:tabs>
          <w:tab w:val="left" w:pos="0"/>
        </w:tabs>
        <w:ind w:left="-34"/>
        <w:rPr>
          <w:rFonts w:cs="Arial"/>
          <w:color w:val="000000"/>
        </w:rPr>
      </w:pPr>
      <w:r w:rsidRPr="008D3C03">
        <w:rPr>
          <w:rFonts w:cs="Arial"/>
          <w:color w:val="000000"/>
        </w:rPr>
        <w:t xml:space="preserve">Any responses </w:t>
      </w:r>
      <w:r>
        <w:rPr>
          <w:rFonts w:cs="Arial"/>
          <w:color w:val="000000"/>
        </w:rPr>
        <w:t xml:space="preserve">to any questions in this section or any other part of your bid </w:t>
      </w:r>
      <w:r w:rsidRPr="008D3C03">
        <w:rPr>
          <w:rFonts w:cs="Arial"/>
          <w:color w:val="000000"/>
        </w:rPr>
        <w:t xml:space="preserve">that are later found to be incorrect against any of the questions or requirements in the </w:t>
      </w:r>
      <w:r>
        <w:rPr>
          <w:rFonts w:cs="Arial"/>
          <w:color w:val="000000"/>
        </w:rPr>
        <w:t>Selection</w:t>
      </w:r>
      <w:r w:rsidRPr="008D3C03">
        <w:rPr>
          <w:rFonts w:cs="Arial"/>
          <w:color w:val="000000"/>
        </w:rPr>
        <w:t xml:space="preserve"> and Award sections may lead to you being exempted from this procurement process or any future procurement process lead by the Authority and could cause the termination of </w:t>
      </w:r>
      <w:r>
        <w:rPr>
          <w:rFonts w:cs="Arial"/>
          <w:color w:val="000000"/>
        </w:rPr>
        <w:t>any resultant</w:t>
      </w:r>
      <w:r w:rsidRPr="008D3C03">
        <w:rPr>
          <w:rFonts w:cs="Arial"/>
          <w:color w:val="000000"/>
        </w:rPr>
        <w:t xml:space="preserve"> Contract.</w:t>
      </w:r>
    </w:p>
    <w:p w:rsidR="00220174" w:rsidRPr="00C955D6" w:rsidRDefault="00220174" w:rsidP="00F53EE7">
      <w:pPr>
        <w:pStyle w:val="Tendertemplate"/>
        <w:keepNext w:val="0"/>
        <w:widowControl w:val="0"/>
        <w:numPr>
          <w:ilvl w:val="1"/>
          <w:numId w:val="9"/>
        </w:numPr>
        <w:tabs>
          <w:tab w:val="num" w:pos="709"/>
        </w:tabs>
        <w:spacing w:before="60" w:after="120"/>
        <w:ind w:left="1145" w:hanging="1145"/>
        <w:jc w:val="left"/>
        <w:rPr>
          <w:color w:val="auto"/>
          <w:sz w:val="28"/>
          <w:szCs w:val="28"/>
        </w:rPr>
      </w:pPr>
      <w:bookmarkStart w:id="15" w:name="_Toc384126987"/>
      <w:r w:rsidRPr="00C955D6">
        <w:rPr>
          <w:color w:val="auto"/>
          <w:sz w:val="28"/>
          <w:szCs w:val="28"/>
        </w:rPr>
        <w:t>Award</w:t>
      </w:r>
      <w:bookmarkEnd w:id="13"/>
      <w:bookmarkEnd w:id="14"/>
      <w:bookmarkEnd w:id="15"/>
    </w:p>
    <w:p w:rsidR="00220174" w:rsidRPr="000E1FF2" w:rsidRDefault="00FF03E1" w:rsidP="00F53EE7">
      <w:pPr>
        <w:pStyle w:val="Tendertemplate"/>
        <w:keepNext w:val="0"/>
        <w:widowControl w:val="0"/>
        <w:numPr>
          <w:ilvl w:val="2"/>
          <w:numId w:val="9"/>
        </w:numPr>
        <w:tabs>
          <w:tab w:val="clear" w:pos="1287"/>
          <w:tab w:val="num" w:pos="709"/>
        </w:tabs>
        <w:spacing w:before="60" w:after="120"/>
        <w:ind w:hanging="1287"/>
        <w:jc w:val="left"/>
        <w:outlineLvl w:val="9"/>
        <w:rPr>
          <w:color w:val="auto"/>
          <w:sz w:val="22"/>
          <w:szCs w:val="22"/>
        </w:rPr>
      </w:pPr>
      <w:r>
        <w:rPr>
          <w:color w:val="auto"/>
          <w:sz w:val="22"/>
          <w:szCs w:val="22"/>
        </w:rPr>
        <w:t>Award Process</w:t>
      </w:r>
    </w:p>
    <w:p w:rsidR="00220174" w:rsidRDefault="00220174" w:rsidP="00F53EE7">
      <w:pPr>
        <w:widowControl w:val="0"/>
      </w:pPr>
      <w:r>
        <w:t xml:space="preserve">Award criteria are those that can be considered in assessing the Most Economically Advantageous Tender and as such Applicants responses to the questions asked should give a clear indication of what the organisation is offering for the price/s quoted in Volume </w:t>
      </w:r>
      <w:r w:rsidR="0021398F">
        <w:t>Four</w:t>
      </w:r>
      <w:r w:rsidR="0093053B">
        <w:t xml:space="preserve"> (4) </w:t>
      </w:r>
      <w:r w:rsidR="0021398F">
        <w:t xml:space="preserve">A </w:t>
      </w:r>
      <w:r>
        <w:t>Pricing.</w:t>
      </w:r>
    </w:p>
    <w:p w:rsidR="00220174" w:rsidRDefault="00220174" w:rsidP="00F53EE7">
      <w:pPr>
        <w:pStyle w:val="BodyText"/>
        <w:widowControl w:val="0"/>
        <w:rPr>
          <w:color w:val="000000"/>
        </w:rPr>
      </w:pPr>
      <w:r>
        <w:rPr>
          <w:color w:val="000000"/>
        </w:rPr>
        <w:t xml:space="preserve">The Award questions can be found </w:t>
      </w:r>
      <w:r w:rsidRPr="007C2A5F">
        <w:rPr>
          <w:color w:val="000000"/>
        </w:rPr>
        <w:t xml:space="preserve">in </w:t>
      </w:r>
      <w:r>
        <w:rPr>
          <w:color w:val="000000"/>
        </w:rPr>
        <w:t xml:space="preserve">Volume Four (4) Evaluation </w:t>
      </w:r>
      <w:r w:rsidRPr="007C2A5F">
        <w:rPr>
          <w:color w:val="000000"/>
        </w:rPr>
        <w:t>and are for</w:t>
      </w:r>
      <w:r>
        <w:rPr>
          <w:color w:val="000000"/>
        </w:rPr>
        <w:t xml:space="preserve"> all Applicants to answer in full.</w:t>
      </w:r>
    </w:p>
    <w:p w:rsidR="003B5E24" w:rsidRPr="00D95D63" w:rsidRDefault="00F276C5" w:rsidP="003B5E24">
      <w:pPr>
        <w:pStyle w:val="Tendertemplate"/>
        <w:keepNext w:val="0"/>
        <w:widowControl w:val="0"/>
        <w:numPr>
          <w:ilvl w:val="2"/>
          <w:numId w:val="9"/>
        </w:numPr>
        <w:tabs>
          <w:tab w:val="clear" w:pos="1287"/>
          <w:tab w:val="num" w:pos="709"/>
        </w:tabs>
        <w:spacing w:before="60" w:after="120"/>
        <w:ind w:hanging="1287"/>
        <w:jc w:val="left"/>
        <w:outlineLvl w:val="9"/>
        <w:rPr>
          <w:bCs w:val="0"/>
          <w:color w:val="17365D" w:themeColor="text2" w:themeShade="BF"/>
          <w:sz w:val="22"/>
          <w:szCs w:val="22"/>
        </w:rPr>
      </w:pPr>
      <w:r w:rsidRPr="0093053B">
        <w:rPr>
          <w:color w:val="auto"/>
          <w:sz w:val="22"/>
          <w:szCs w:val="22"/>
        </w:rPr>
        <w:t>Mandatory Pass / Fail Requirements</w:t>
      </w:r>
      <w:r w:rsidR="006A6A8A">
        <w:rPr>
          <w:color w:val="auto"/>
          <w:sz w:val="22"/>
          <w:szCs w:val="22"/>
        </w:rPr>
        <w:t xml:space="preserve"> </w:t>
      </w:r>
    </w:p>
    <w:p w:rsidR="00D95D63" w:rsidRPr="00444156" w:rsidRDefault="00D95D63" w:rsidP="00D95D63">
      <w:pPr>
        <w:pStyle w:val="BodyTextIndent3"/>
        <w:widowControl w:val="0"/>
        <w:spacing w:before="120" w:line="300" w:lineRule="atLeast"/>
        <w:ind w:left="0"/>
        <w:rPr>
          <w:rFonts w:ascii="Arial" w:hAnsi="Arial" w:cs="Arial"/>
          <w:strike/>
          <w:sz w:val="22"/>
          <w:szCs w:val="22"/>
        </w:rPr>
      </w:pPr>
      <w:r w:rsidRPr="00444156">
        <w:rPr>
          <w:rFonts w:ascii="Arial" w:hAnsi="Arial" w:cs="Arial"/>
          <w:sz w:val="22"/>
          <w:szCs w:val="22"/>
        </w:rPr>
        <w:t>The question within this section covers requirements essential to the Applicant’s ability to deliver the Contract and will be assessed on the basis of pass or fail and applies to those questions that are able to be answered either as a Yes or No, or assessed as a Pass or Fail.</w:t>
      </w:r>
    </w:p>
    <w:p w:rsidR="00D95D63" w:rsidRPr="00444156" w:rsidRDefault="00D95D63" w:rsidP="00D95D63">
      <w:pPr>
        <w:pStyle w:val="Tendertemplate"/>
        <w:keepNext w:val="0"/>
        <w:widowControl w:val="0"/>
        <w:tabs>
          <w:tab w:val="clear" w:pos="1304"/>
        </w:tabs>
        <w:spacing w:before="60" w:after="120"/>
        <w:ind w:left="0" w:firstLine="0"/>
        <w:jc w:val="left"/>
        <w:outlineLvl w:val="9"/>
        <w:rPr>
          <w:b w:val="0"/>
          <w:bCs w:val="0"/>
          <w:color w:val="auto"/>
          <w:sz w:val="22"/>
          <w:szCs w:val="22"/>
        </w:rPr>
      </w:pPr>
      <w:r w:rsidRPr="00444156">
        <w:rPr>
          <w:rFonts w:cs="Arial"/>
          <w:b w:val="0"/>
          <w:color w:val="auto"/>
          <w:sz w:val="22"/>
          <w:szCs w:val="22"/>
        </w:rPr>
        <w:t>Should an Applicant fail one (1) or more questions, they will be considered to have failed this section in its entirety and as such shall be deselected from participating further in this process and will be notified. Guidance as to the Authority’s minimum requirements in relation to what constitutes a pass or a fail can be found within the question.</w:t>
      </w:r>
    </w:p>
    <w:p w:rsidR="00671259" w:rsidRDefault="00F276C5" w:rsidP="00F53EE7">
      <w:pPr>
        <w:pStyle w:val="Tendertemplate"/>
        <w:keepNext w:val="0"/>
        <w:widowControl w:val="0"/>
        <w:numPr>
          <w:ilvl w:val="2"/>
          <w:numId w:val="9"/>
        </w:numPr>
        <w:tabs>
          <w:tab w:val="clear" w:pos="1287"/>
          <w:tab w:val="num" w:pos="709"/>
        </w:tabs>
        <w:spacing w:before="60" w:after="120"/>
        <w:ind w:hanging="1287"/>
        <w:jc w:val="left"/>
        <w:outlineLvl w:val="9"/>
        <w:rPr>
          <w:color w:val="auto"/>
          <w:sz w:val="22"/>
          <w:szCs w:val="22"/>
        </w:rPr>
      </w:pPr>
      <w:r w:rsidRPr="00671259">
        <w:rPr>
          <w:color w:val="auto"/>
          <w:sz w:val="22"/>
          <w:szCs w:val="22"/>
        </w:rPr>
        <w:t>Method Statements</w:t>
      </w:r>
      <w:r w:rsidR="009856DC">
        <w:rPr>
          <w:color w:val="auto"/>
          <w:sz w:val="22"/>
          <w:szCs w:val="22"/>
        </w:rPr>
        <w:t xml:space="preserve"> </w:t>
      </w:r>
    </w:p>
    <w:p w:rsidR="00D95D63" w:rsidRPr="00444156" w:rsidRDefault="00D95D63" w:rsidP="00D95D63">
      <w:pPr>
        <w:pStyle w:val="ListParagraph"/>
        <w:widowControl w:val="0"/>
        <w:numPr>
          <w:ilvl w:val="0"/>
          <w:numId w:val="9"/>
        </w:numPr>
        <w:tabs>
          <w:tab w:val="clear" w:pos="999"/>
          <w:tab w:val="num" w:pos="0"/>
        </w:tabs>
        <w:ind w:left="0" w:hanging="999"/>
      </w:pPr>
      <w:r w:rsidRPr="00444156">
        <w:t>Applicants are required to submit a Method Statement to explain and evidence how the Service will be run, in order to meet the requirements. They should be drafted in such a manner so as to be able to form part of the Contract and contain sufficient detail to demonstrate that the stated outcomes as defined within Volume Three (3) Specification will be deliverable.</w:t>
      </w:r>
    </w:p>
    <w:p w:rsidR="008341F8" w:rsidRPr="00444156" w:rsidRDefault="00D95D63" w:rsidP="00165D92">
      <w:pPr>
        <w:pStyle w:val="ListParagraph"/>
        <w:ind w:left="0"/>
      </w:pPr>
      <w:r w:rsidRPr="00444156">
        <w:t xml:space="preserve">Applicants should ensure their response is structured in such a way that it is easy to identify that each element has been addressed. </w:t>
      </w:r>
      <w:r w:rsidR="008341F8" w:rsidRPr="00444156">
        <w:t>It should be noted that to achieve the highest marks available for the questions you should not only meet but exceed the basi</w:t>
      </w:r>
      <w:r w:rsidR="00ED15BD" w:rsidRPr="00444156">
        <w:t>c requirements of the question.</w:t>
      </w:r>
    </w:p>
    <w:p w:rsidR="008341F8" w:rsidRPr="00444156" w:rsidRDefault="008341F8" w:rsidP="008341F8">
      <w:r w:rsidRPr="00444156">
        <w:t xml:space="preserve">Applicant’s responses to the Method Statement one (1) at section 1.2 of Volume Four (4) Evaluation document should not exceed fifteen hundred (1500) words. Where Applicants exceed this word limit, the Authority shall disregard the surplus information and it shall not be evaluated. </w:t>
      </w:r>
      <w:r w:rsidRPr="00444156">
        <w:rPr>
          <w:rFonts w:cs="Arial"/>
        </w:rPr>
        <w:t xml:space="preserve">Applicant’s scores may be affected accordingly. </w:t>
      </w:r>
      <w:r w:rsidRPr="00444156">
        <w:rPr>
          <w:rFonts w:cs="Arial"/>
          <w:lang w:val="en-US" w:eastAsia="en-GB"/>
        </w:rPr>
        <w:t xml:space="preserve">Please note that Applicants are welcome to submit a shorter response and only the first </w:t>
      </w:r>
      <w:r w:rsidRPr="00444156">
        <w:t>fifteen hundred (1500)</w:t>
      </w:r>
      <w:r w:rsidRPr="00444156">
        <w:rPr>
          <w:rFonts w:cs="Arial"/>
          <w:lang w:val="en-US" w:eastAsia="en-GB"/>
        </w:rPr>
        <w:t xml:space="preserve"> words will be considered</w:t>
      </w:r>
      <w:r w:rsidRPr="00444156">
        <w:rPr>
          <w:rFonts w:cs="Arial"/>
          <w:bCs/>
          <w:lang w:val="en-US" w:eastAsia="en-GB"/>
        </w:rPr>
        <w:t xml:space="preserve"> </w:t>
      </w:r>
      <w:r w:rsidRPr="00444156">
        <w:rPr>
          <w:rFonts w:cs="Arial"/>
          <w:lang w:val="en-US" w:eastAsia="en-GB"/>
        </w:rPr>
        <w:t>for evaluation purposes. Attachments will not be accepted.</w:t>
      </w:r>
    </w:p>
    <w:p w:rsidR="008341F8" w:rsidRPr="00444156" w:rsidRDefault="008341F8" w:rsidP="008341F8">
      <w:pPr>
        <w:pStyle w:val="BodyText"/>
        <w:widowControl w:val="0"/>
        <w:rPr>
          <w:rFonts w:cs="Arial"/>
        </w:rPr>
      </w:pPr>
      <w:r w:rsidRPr="00444156">
        <w:t xml:space="preserve">Applicant’s responses to the Method Statement two (2) at section 1.2 of Volume Four (4) Evaluation document should not exceed fifteen hundred (1500) words. Where Applicants exceed this word limit, the Authority shall disregard the surplus information and it shall not be evaluated. </w:t>
      </w:r>
      <w:r w:rsidRPr="00444156">
        <w:rPr>
          <w:rFonts w:cs="Arial"/>
        </w:rPr>
        <w:t xml:space="preserve">Applicant’s scores may be affected accordingly. </w:t>
      </w:r>
      <w:r w:rsidRPr="00444156">
        <w:rPr>
          <w:rFonts w:cs="Arial"/>
          <w:lang w:val="en-US" w:eastAsia="en-GB"/>
        </w:rPr>
        <w:t xml:space="preserve">Please note that Applicants are welcome to submit a shorter response and only the first </w:t>
      </w:r>
      <w:r w:rsidRPr="00444156">
        <w:t>fifteen hundred (1500)</w:t>
      </w:r>
      <w:r w:rsidRPr="00444156">
        <w:rPr>
          <w:rFonts w:cs="Arial"/>
          <w:lang w:val="en-US" w:eastAsia="en-GB"/>
        </w:rPr>
        <w:t xml:space="preserve"> words will be considered</w:t>
      </w:r>
      <w:r w:rsidRPr="00444156">
        <w:rPr>
          <w:rFonts w:cs="Arial"/>
          <w:bCs/>
          <w:lang w:val="en-US" w:eastAsia="en-GB"/>
        </w:rPr>
        <w:t xml:space="preserve"> </w:t>
      </w:r>
      <w:r w:rsidRPr="00444156">
        <w:rPr>
          <w:rFonts w:cs="Arial"/>
          <w:lang w:val="en-US" w:eastAsia="en-GB"/>
        </w:rPr>
        <w:t>for evaluation purposes. Attachments will not be accepted.</w:t>
      </w:r>
    </w:p>
    <w:p w:rsidR="008341F8" w:rsidRPr="00444156" w:rsidRDefault="008341F8" w:rsidP="008341F8">
      <w:pPr>
        <w:pStyle w:val="BodyText"/>
        <w:widowControl w:val="0"/>
        <w:rPr>
          <w:rFonts w:cs="Arial"/>
          <w:lang w:val="en-US" w:eastAsia="en-GB"/>
        </w:rPr>
      </w:pPr>
      <w:r w:rsidRPr="00444156">
        <w:t xml:space="preserve">The Authority would like to inform Applicants that responses should be relevant to the questions and be applicable in length. </w:t>
      </w:r>
    </w:p>
    <w:p w:rsidR="00E14C88" w:rsidRDefault="008341F8" w:rsidP="00E14C88">
      <w:pPr>
        <w:pStyle w:val="BodyText"/>
        <w:widowControl w:val="0"/>
        <w:rPr>
          <w:rFonts w:cs="Arial"/>
          <w:color w:val="0000FF"/>
        </w:rPr>
      </w:pPr>
      <w:r w:rsidRPr="00444156">
        <w:rPr>
          <w:rFonts w:cs="Arial"/>
        </w:rPr>
        <w:t>Any responses to the Method Statement and Technical Questions in this section or any other part of your bid that are later found to be incorrect against any of the questions or requirements in the Award section may lead to you being exempted from this procurement process or any future procurement process lead by the Authority and could cause the termination of any resultant Contract.</w:t>
      </w:r>
    </w:p>
    <w:p w:rsidR="00F276C5" w:rsidRPr="00444156" w:rsidRDefault="00E14C88" w:rsidP="00E14C88">
      <w:pPr>
        <w:pStyle w:val="BodyText"/>
        <w:widowControl w:val="0"/>
      </w:pPr>
      <w:r w:rsidRPr="00444156">
        <w:rPr>
          <w:rFonts w:cs="Arial"/>
          <w:b/>
        </w:rPr>
        <w:t xml:space="preserve">3.3.4     </w:t>
      </w:r>
      <w:r w:rsidR="00F276C5" w:rsidRPr="00444156">
        <w:rPr>
          <w:b/>
        </w:rPr>
        <w:t>Technical Questions</w:t>
      </w:r>
      <w:r w:rsidR="009856DC" w:rsidRPr="00444156">
        <w:t xml:space="preserve"> </w:t>
      </w:r>
    </w:p>
    <w:p w:rsidR="00ED15BD" w:rsidRPr="00E14C88" w:rsidRDefault="00ED15BD" w:rsidP="00ED15BD">
      <w:pPr>
        <w:pStyle w:val="Tendertemplate"/>
        <w:keepNext w:val="0"/>
        <w:widowControl w:val="0"/>
        <w:tabs>
          <w:tab w:val="clear" w:pos="1304"/>
        </w:tabs>
        <w:spacing w:before="60" w:after="120"/>
        <w:ind w:left="0" w:firstLine="0"/>
        <w:jc w:val="left"/>
        <w:outlineLvl w:val="9"/>
        <w:rPr>
          <w:b w:val="0"/>
          <w:color w:val="0000FF"/>
          <w:sz w:val="22"/>
          <w:szCs w:val="22"/>
        </w:rPr>
      </w:pPr>
      <w:r w:rsidRPr="00444156">
        <w:rPr>
          <w:b w:val="0"/>
          <w:color w:val="auto"/>
          <w:sz w:val="22"/>
          <w:szCs w:val="22"/>
        </w:rPr>
        <w:t xml:space="preserve">The Award – Technical Questions are scored against the criteria stated at section 3.1 above and the overall available weighting for this section is broken down for each Technical Question. Details of the individual percentage weighting for each Technical Question, is included within </w:t>
      </w:r>
      <w:r w:rsidR="00E14C88" w:rsidRPr="00444156">
        <w:rPr>
          <w:b w:val="0"/>
          <w:color w:val="auto"/>
          <w:sz w:val="22"/>
          <w:szCs w:val="22"/>
        </w:rPr>
        <w:t>Volume Four (4) Evaluation</w:t>
      </w:r>
      <w:r w:rsidRPr="00444156">
        <w:rPr>
          <w:b w:val="0"/>
          <w:color w:val="auto"/>
          <w:sz w:val="22"/>
          <w:szCs w:val="22"/>
        </w:rPr>
        <w:t>.</w:t>
      </w:r>
    </w:p>
    <w:p w:rsidR="00B318DF" w:rsidRPr="00ED15BD" w:rsidRDefault="009B780B" w:rsidP="009B780B">
      <w:pPr>
        <w:pStyle w:val="Tendertemplate"/>
        <w:keepNext w:val="0"/>
        <w:widowControl w:val="0"/>
        <w:tabs>
          <w:tab w:val="clear" w:pos="1304"/>
        </w:tabs>
        <w:spacing w:before="60" w:after="120"/>
        <w:ind w:left="0" w:firstLine="0"/>
        <w:jc w:val="left"/>
        <w:outlineLvl w:val="9"/>
        <w:rPr>
          <w:color w:val="auto"/>
          <w:sz w:val="22"/>
          <w:szCs w:val="22"/>
        </w:rPr>
      </w:pPr>
      <w:r>
        <w:rPr>
          <w:color w:val="auto"/>
          <w:sz w:val="22"/>
          <w:szCs w:val="22"/>
        </w:rPr>
        <w:t xml:space="preserve">3.3.5     </w:t>
      </w:r>
      <w:r w:rsidR="00F276C5" w:rsidRPr="00ED15BD">
        <w:rPr>
          <w:color w:val="auto"/>
          <w:sz w:val="22"/>
          <w:szCs w:val="22"/>
        </w:rPr>
        <w:t>Pricing</w:t>
      </w:r>
    </w:p>
    <w:p w:rsidR="00B318DF" w:rsidRDefault="00B318DF" w:rsidP="00F53EE7">
      <w:pPr>
        <w:widowControl w:val="0"/>
        <w:rPr>
          <w:snapToGrid w:val="0"/>
        </w:rPr>
      </w:pPr>
      <w:r>
        <w:rPr>
          <w:snapToGrid w:val="0"/>
        </w:rPr>
        <w:t>Applicants are required to submit pricing information by completing the worksheet(s) within Volume Four (4) A Pricing, as follows:</w:t>
      </w:r>
    </w:p>
    <w:p w:rsidR="005A5CC5" w:rsidRPr="00B318DF" w:rsidRDefault="005015C6" w:rsidP="00F53EE7">
      <w:pPr>
        <w:widowControl w:val="0"/>
        <w:rPr>
          <w:snapToGrid w:val="0"/>
        </w:rPr>
      </w:pPr>
      <w:r>
        <w:rPr>
          <w:snapToGrid w:val="0"/>
        </w:rPr>
        <w:t>Cost pe</w:t>
      </w:r>
      <w:r w:rsidR="003B5E24">
        <w:rPr>
          <w:snapToGrid w:val="0"/>
        </w:rPr>
        <w:t>r session (delivered to up to 35</w:t>
      </w:r>
      <w:r>
        <w:rPr>
          <w:snapToGrid w:val="0"/>
        </w:rPr>
        <w:t xml:space="preserve"> delegates); Training day length is 9:30am-4:30pm.</w:t>
      </w:r>
    </w:p>
    <w:p w:rsidR="0018651A" w:rsidRDefault="0018651A" w:rsidP="009F3622">
      <w:pPr>
        <w:pStyle w:val="Tendertemplate"/>
        <w:keepNext w:val="0"/>
        <w:widowControl w:val="0"/>
        <w:numPr>
          <w:ilvl w:val="1"/>
          <w:numId w:val="27"/>
        </w:numPr>
        <w:spacing w:before="60" w:after="120"/>
        <w:ind w:left="851" w:hanging="851"/>
        <w:jc w:val="left"/>
        <w:rPr>
          <w:color w:val="auto"/>
          <w:sz w:val="28"/>
          <w:szCs w:val="28"/>
        </w:rPr>
      </w:pPr>
      <w:bookmarkStart w:id="16" w:name="_Toc384126988"/>
      <w:r w:rsidRPr="009D2A1B">
        <w:rPr>
          <w:color w:val="auto"/>
          <w:sz w:val="28"/>
          <w:szCs w:val="28"/>
        </w:rPr>
        <w:t>Word Limits</w:t>
      </w:r>
      <w:bookmarkEnd w:id="16"/>
    </w:p>
    <w:p w:rsidR="0018651A" w:rsidRPr="00444156" w:rsidRDefault="00444156" w:rsidP="002F420D">
      <w:pPr>
        <w:rPr>
          <w:rFonts w:cs="Arial"/>
        </w:rPr>
      </w:pPr>
      <w:r w:rsidRPr="00444156">
        <w:rPr>
          <w:rFonts w:cs="Arial"/>
        </w:rPr>
        <w:t>The Authority has provided a word limit for responses to each of the two (2) Method Statements</w:t>
      </w:r>
      <w:r w:rsidR="002303C3" w:rsidRPr="00444156">
        <w:rPr>
          <w:rFonts w:cs="Arial"/>
        </w:rPr>
        <w:t>.</w:t>
      </w:r>
      <w:r w:rsidRPr="00444156">
        <w:rPr>
          <w:rFonts w:cs="Arial"/>
        </w:rPr>
        <w:t xml:space="preserve"> Please refer to section 3.3.3 above.</w:t>
      </w:r>
      <w:r w:rsidR="009856DC" w:rsidRPr="00444156">
        <w:rPr>
          <w:rFonts w:cs="Arial"/>
        </w:rPr>
        <w:t xml:space="preserve"> </w:t>
      </w:r>
    </w:p>
    <w:p w:rsidR="00E14C88" w:rsidRPr="00E14C88" w:rsidRDefault="00E14C88" w:rsidP="00E14C88">
      <w:pPr>
        <w:pStyle w:val="BodyText"/>
        <w:rPr>
          <w:rFonts w:cs="Arial"/>
          <w:color w:val="0000FF"/>
        </w:rPr>
      </w:pPr>
      <w:r w:rsidRPr="00444156">
        <w:t>The Authority has not provided a word limit for responses to the Technical Questions at section 1.3 of Volume Four (4) Evaluation, however, the Authority would like to inform Applicants that responses should be relevant to the question and be applicable in length.</w:t>
      </w:r>
      <w:r w:rsidRPr="00E14C88">
        <w:rPr>
          <w:color w:val="0000FF"/>
        </w:rPr>
        <w:t xml:space="preserve"> </w:t>
      </w:r>
    </w:p>
    <w:p w:rsidR="00E14C88" w:rsidRDefault="00E14C88" w:rsidP="002F420D">
      <w:pPr>
        <w:rPr>
          <w:rFonts w:cs="Arial"/>
          <w:color w:val="0000FF"/>
        </w:rPr>
        <w:sectPr w:rsidR="00E14C88" w:rsidSect="00D45333">
          <w:pgSz w:w="11907" w:h="16840" w:code="9"/>
          <w:pgMar w:top="1134" w:right="1134" w:bottom="1134" w:left="1134" w:header="992" w:footer="0" w:gutter="0"/>
          <w:cols w:space="720"/>
        </w:sectPr>
      </w:pPr>
    </w:p>
    <w:tbl>
      <w:tblPr>
        <w:tblW w:w="9855" w:type="dxa"/>
        <w:shd w:val="clear" w:color="auto" w:fill="92CDDC" w:themeFill="accent5" w:themeFillTint="99"/>
        <w:tblLook w:val="01E0"/>
      </w:tblPr>
      <w:tblGrid>
        <w:gridCol w:w="9855"/>
      </w:tblGrid>
      <w:tr w:rsidR="00D241F5" w:rsidRPr="001B1277" w:rsidTr="0097310B">
        <w:trPr>
          <w:trHeight w:hRule="exact" w:val="567"/>
        </w:trPr>
        <w:tc>
          <w:tcPr>
            <w:tcW w:w="9855" w:type="dxa"/>
            <w:shd w:val="clear" w:color="auto" w:fill="17365D" w:themeFill="text2" w:themeFillShade="BF"/>
            <w:vAlign w:val="center"/>
          </w:tcPr>
          <w:p w:rsidR="00D241F5" w:rsidRPr="0018651A" w:rsidRDefault="00277489" w:rsidP="00277489">
            <w:pPr>
              <w:pStyle w:val="Tendertemplate"/>
              <w:numPr>
                <w:ilvl w:val="0"/>
                <w:numId w:val="27"/>
              </w:numPr>
              <w:shd w:val="clear" w:color="auto" w:fill="17365D" w:themeFill="text2" w:themeFillShade="BF"/>
              <w:jc w:val="left"/>
              <w:rPr>
                <w:rFonts w:cs="Arial"/>
              </w:rPr>
            </w:pPr>
            <w:bookmarkStart w:id="17" w:name="_Toc384126989"/>
            <w:r>
              <w:rPr>
                <w:rStyle w:val="Heading2Char"/>
                <w:sz w:val="48"/>
                <w:szCs w:val="48"/>
              </w:rPr>
              <w:t xml:space="preserve">    </w:t>
            </w:r>
            <w:r w:rsidR="00794CE0" w:rsidRPr="000E1FF2">
              <w:rPr>
                <w:rStyle w:val="Heading2Char"/>
                <w:sz w:val="48"/>
                <w:szCs w:val="48"/>
              </w:rPr>
              <w:t>Contract Information</w:t>
            </w:r>
            <w:bookmarkEnd w:id="17"/>
          </w:p>
        </w:tc>
      </w:tr>
    </w:tbl>
    <w:p w:rsidR="00794CE0" w:rsidRPr="00284C0E" w:rsidRDefault="00794CE0" w:rsidP="00794CE0">
      <w:pPr>
        <w:rPr>
          <w:rFonts w:cs="Arial"/>
        </w:rPr>
      </w:pPr>
    </w:p>
    <w:p w:rsidR="00794CE0" w:rsidRPr="009D2A1B" w:rsidRDefault="00794CE0" w:rsidP="009F3622">
      <w:pPr>
        <w:pStyle w:val="Tendertemplate"/>
        <w:numPr>
          <w:ilvl w:val="1"/>
          <w:numId w:val="9"/>
        </w:numPr>
        <w:tabs>
          <w:tab w:val="clear" w:pos="1569"/>
          <w:tab w:val="num" w:pos="1134"/>
        </w:tabs>
        <w:spacing w:before="60" w:after="120"/>
        <w:ind w:left="993" w:hanging="993"/>
        <w:jc w:val="left"/>
        <w:rPr>
          <w:color w:val="auto"/>
          <w:sz w:val="28"/>
          <w:szCs w:val="28"/>
        </w:rPr>
      </w:pPr>
      <w:bookmarkStart w:id="18" w:name="_Toc384126990"/>
      <w:r w:rsidRPr="009D2A1B">
        <w:rPr>
          <w:color w:val="auto"/>
          <w:sz w:val="28"/>
          <w:szCs w:val="28"/>
        </w:rPr>
        <w:t>Contract Period</w:t>
      </w:r>
      <w:bookmarkEnd w:id="18"/>
      <w:r w:rsidR="009856DC">
        <w:rPr>
          <w:color w:val="auto"/>
          <w:sz w:val="28"/>
          <w:szCs w:val="28"/>
        </w:rPr>
        <w:t xml:space="preserve"> </w:t>
      </w:r>
    </w:p>
    <w:p w:rsidR="00E14C88" w:rsidRPr="00980E95" w:rsidRDefault="00794CE0" w:rsidP="00FC3287">
      <w:pPr>
        <w:pStyle w:val="ListParagraph"/>
        <w:ind w:left="0"/>
        <w:rPr>
          <w:snapToGrid w:val="0"/>
        </w:rPr>
      </w:pPr>
      <w:r w:rsidRPr="00980E95">
        <w:rPr>
          <w:snapToGrid w:val="0"/>
        </w:rPr>
        <w:t>It is intended that any resultant Contract shall commence as soon after receipt of formal le</w:t>
      </w:r>
      <w:bookmarkStart w:id="19" w:name="_Toc378751790"/>
      <w:bookmarkStart w:id="20" w:name="_Toc384126991"/>
      <w:bookmarkStart w:id="21" w:name="_Ref314726086"/>
      <w:bookmarkStart w:id="22" w:name="_Toc378751794"/>
      <w:r w:rsidR="00E14C88" w:rsidRPr="00980E95">
        <w:rPr>
          <w:snapToGrid w:val="0"/>
        </w:rPr>
        <w:t xml:space="preserve">tter of award as may be agreed. Subject to termination clauses, the awarded </w:t>
      </w:r>
      <w:r w:rsidR="00FC3287" w:rsidRPr="00980E95">
        <w:rPr>
          <w:snapToGrid w:val="0"/>
        </w:rPr>
        <w:t xml:space="preserve">Contract period is to be up to a period of one (1) year with an option to extend up to a period of one (1) further year, </w:t>
      </w:r>
      <w:r w:rsidR="00E14C88" w:rsidRPr="00980E95">
        <w:rPr>
          <w:snapToGrid w:val="0"/>
        </w:rPr>
        <w:t>or until the end of the allocated budget, subject to termination clauses contained with the Contract terms and conditions.</w:t>
      </w:r>
    </w:p>
    <w:p w:rsidR="00795591" w:rsidRPr="00E14C88" w:rsidRDefault="00277489" w:rsidP="009F3622">
      <w:pPr>
        <w:tabs>
          <w:tab w:val="left" w:pos="851"/>
          <w:tab w:val="left" w:pos="1276"/>
          <w:tab w:val="left" w:pos="1418"/>
        </w:tabs>
        <w:rPr>
          <w:b/>
          <w:sz w:val="28"/>
          <w:szCs w:val="28"/>
        </w:rPr>
      </w:pPr>
      <w:r>
        <w:rPr>
          <w:b/>
          <w:sz w:val="28"/>
          <w:szCs w:val="28"/>
        </w:rPr>
        <w:t>4</w:t>
      </w:r>
      <w:r w:rsidR="009F3622">
        <w:rPr>
          <w:b/>
          <w:sz w:val="28"/>
          <w:szCs w:val="28"/>
        </w:rPr>
        <w:t xml:space="preserve">.2        </w:t>
      </w:r>
      <w:r w:rsidR="00795591" w:rsidRPr="00E14C88">
        <w:rPr>
          <w:b/>
          <w:sz w:val="28"/>
          <w:szCs w:val="28"/>
        </w:rPr>
        <w:t>Contract Price</w:t>
      </w:r>
      <w:bookmarkEnd w:id="19"/>
      <w:bookmarkEnd w:id="20"/>
    </w:p>
    <w:p w:rsidR="00795591" w:rsidRDefault="00795591" w:rsidP="00795591">
      <w:pPr>
        <w:rPr>
          <w:snapToGrid w:val="0"/>
        </w:rPr>
      </w:pPr>
      <w:r>
        <w:rPr>
          <w:snapToGrid w:val="0"/>
        </w:rPr>
        <w:t xml:space="preserve">The price offered by the Applicant in Volume Four (4) A Pricing shall be firm and fixed for the period as stated for the duration of the Contract. </w:t>
      </w:r>
      <w:r w:rsidRPr="00DA0368">
        <w:rPr>
          <w:rFonts w:cs="Arial"/>
        </w:rPr>
        <w:t xml:space="preserve">Any percentage discounts that may be applied must be detailed </w:t>
      </w:r>
      <w:r>
        <w:rPr>
          <w:rFonts w:cs="Arial"/>
        </w:rPr>
        <w:t>in the</w:t>
      </w:r>
      <w:r w:rsidRPr="00DA0368">
        <w:rPr>
          <w:rFonts w:cs="Arial"/>
        </w:rPr>
        <w:t xml:space="preserve"> </w:t>
      </w:r>
      <w:r>
        <w:rPr>
          <w:rFonts w:cs="Arial"/>
        </w:rPr>
        <w:t>same</w:t>
      </w:r>
      <w:r w:rsidRPr="00DA0368">
        <w:rPr>
          <w:rFonts w:cs="Arial"/>
        </w:rPr>
        <w:t>.</w:t>
      </w:r>
      <w:r>
        <w:rPr>
          <w:rFonts w:cs="Arial"/>
        </w:rPr>
        <w:t xml:space="preserve"> </w:t>
      </w:r>
      <w:r>
        <w:rPr>
          <w:snapToGrid w:val="0"/>
        </w:rPr>
        <w:t>Price variation during the term of Contract will be by negotiation only via formal performance review meetings. Any price variations will not take effect until they have been mutually agreed by both Authority and Applicant and the former receives confirmation in writing from the latter.</w:t>
      </w:r>
    </w:p>
    <w:p w:rsidR="00795591" w:rsidRDefault="00795591" w:rsidP="00795591">
      <w:pPr>
        <w:rPr>
          <w:snapToGrid w:val="0"/>
        </w:rPr>
      </w:pPr>
      <w:r>
        <w:rPr>
          <w:snapToGrid w:val="0"/>
        </w:rPr>
        <w:t xml:space="preserve">All prices submitted shall be in pounds sterling and shall be exclusive of Value Added Tax (VAT). </w:t>
      </w:r>
    </w:p>
    <w:p w:rsidR="00795591" w:rsidRDefault="00795591" w:rsidP="00795591">
      <w:pPr>
        <w:rPr>
          <w:rFonts w:cs="Arial"/>
        </w:rPr>
      </w:pPr>
      <w:r>
        <w:rPr>
          <w:rFonts w:cs="Arial"/>
        </w:rPr>
        <w:t xml:space="preserve">The Applicant’s price will be evaluated in accordance with the criteria and weightings as set out in section </w:t>
      </w:r>
      <w:r w:rsidR="009850D8">
        <w:rPr>
          <w:rFonts w:cs="Arial"/>
        </w:rPr>
        <w:fldChar w:fldCharType="begin"/>
      </w:r>
      <w:r>
        <w:rPr>
          <w:rFonts w:cs="Arial"/>
        </w:rPr>
        <w:instrText xml:space="preserve"> REF _Ref378943583 \r \h </w:instrText>
      </w:r>
      <w:r w:rsidR="009850D8">
        <w:rPr>
          <w:rFonts w:cs="Arial"/>
        </w:rPr>
      </w:r>
      <w:r w:rsidR="009850D8">
        <w:rPr>
          <w:rFonts w:cs="Arial"/>
        </w:rPr>
        <w:fldChar w:fldCharType="separate"/>
      </w:r>
      <w:r w:rsidR="001F5CDF">
        <w:rPr>
          <w:rFonts w:cs="Arial"/>
        </w:rPr>
        <w:t>3.1</w:t>
      </w:r>
      <w:r w:rsidR="009850D8">
        <w:rPr>
          <w:rFonts w:cs="Arial"/>
        </w:rPr>
        <w:fldChar w:fldCharType="end"/>
      </w:r>
      <w:r>
        <w:rPr>
          <w:rFonts w:cs="Arial"/>
        </w:rPr>
        <w:t xml:space="preserve"> Evaluation Criteria. </w:t>
      </w:r>
    </w:p>
    <w:p w:rsidR="00980BBA" w:rsidRPr="008C77B2" w:rsidRDefault="00980BBA" w:rsidP="00980BBA">
      <w:r w:rsidRPr="008C77B2">
        <w:t xml:space="preserve">The Pricing evaluation </w:t>
      </w:r>
      <w:r>
        <w:t xml:space="preserve">for </w:t>
      </w:r>
      <w:r w:rsidR="00037E81">
        <w:t xml:space="preserve">Training Delivery </w:t>
      </w:r>
      <w:r w:rsidRPr="008C77B2">
        <w:t xml:space="preserve">will be calculated by adding together all of the </w:t>
      </w:r>
      <w:r w:rsidR="00037E81">
        <w:t>Breakdown of C</w:t>
      </w:r>
      <w:r w:rsidRPr="008C77B2">
        <w:t xml:space="preserve">osts submitted by Applicants, (as detailed within Volume Four (4) A), to give a </w:t>
      </w:r>
      <w:r w:rsidR="00037E81">
        <w:t>‘Training Delivery - T</w:t>
      </w:r>
      <w:r w:rsidRPr="008C77B2">
        <w:t xml:space="preserve">otal </w:t>
      </w:r>
      <w:r w:rsidR="00037E81">
        <w:t xml:space="preserve">daily course </w:t>
      </w:r>
      <w:r w:rsidRPr="008C77B2">
        <w:t>cost</w:t>
      </w:r>
      <w:r w:rsidR="00037E81">
        <w:t>’</w:t>
      </w:r>
      <w:r w:rsidRPr="008C77B2">
        <w:t xml:space="preserve"> for</w:t>
      </w:r>
      <w:r w:rsidR="00037E81">
        <w:t xml:space="preserve"> each of individual training days (as detailed within section one (1) above)</w:t>
      </w:r>
      <w:r w:rsidRPr="008C77B2">
        <w:t xml:space="preserve"> </w:t>
      </w:r>
      <w:r w:rsidR="00037E81">
        <w:t xml:space="preserve">of </w:t>
      </w:r>
      <w:r w:rsidRPr="008C77B2">
        <w:t xml:space="preserve">the Contract period of </w:t>
      </w:r>
      <w:r w:rsidR="00037E81">
        <w:t>ten (10) months</w:t>
      </w:r>
      <w:r w:rsidRPr="008C77B2">
        <w:t xml:space="preserve">.  </w:t>
      </w:r>
    </w:p>
    <w:p w:rsidR="00980BBA" w:rsidRPr="008C77B2" w:rsidRDefault="00980BBA" w:rsidP="00980BBA">
      <w:r w:rsidRPr="008C77B2">
        <w:rPr>
          <w:rFonts w:cs="Arial"/>
        </w:rPr>
        <w:t xml:space="preserve">The </w:t>
      </w:r>
      <w:r w:rsidRPr="008C77B2">
        <w:t xml:space="preserve">Applicant with the lowest total </w:t>
      </w:r>
      <w:r w:rsidR="00811E85">
        <w:t xml:space="preserve">daily course </w:t>
      </w:r>
      <w:r w:rsidRPr="008C77B2">
        <w:t xml:space="preserve">cost will score maximum marks out of a possible one hundred (100) and Applicants submitting higher amounts will be awarded marks proportionate to their distance from the lowest amount. </w:t>
      </w:r>
    </w:p>
    <w:p w:rsidR="00037E81" w:rsidRPr="008C77B2" w:rsidRDefault="00037E81" w:rsidP="00037E81">
      <w:r>
        <w:t xml:space="preserve">Applicants are also required to provide </w:t>
      </w:r>
      <w:r w:rsidR="00EE3ACA">
        <w:t>t</w:t>
      </w:r>
      <w:r w:rsidR="00EE3ACA" w:rsidRPr="00EE3ACA">
        <w:t xml:space="preserve">otal additional costs for </w:t>
      </w:r>
      <w:r w:rsidR="00EE3ACA">
        <w:t>an emergency back-</w:t>
      </w:r>
      <w:r w:rsidR="00EE3ACA" w:rsidRPr="00EE3ACA">
        <w:t>up course should this be required</w:t>
      </w:r>
      <w:r w:rsidR="00811E85">
        <w:t>,</w:t>
      </w:r>
      <w:r w:rsidR="00EE3ACA">
        <w:t xml:space="preserve"> (please refer to section</w:t>
      </w:r>
      <w:r w:rsidR="00811E85">
        <w:t xml:space="preserve"> </w:t>
      </w:r>
      <w:r w:rsidR="00EE3ACA">
        <w:t>1.3.2 of Volume Three (3) Specification).</w:t>
      </w:r>
      <w:r w:rsidRPr="008C77B2">
        <w:t xml:space="preserve"> </w:t>
      </w:r>
    </w:p>
    <w:p w:rsidR="00980BBA" w:rsidRDefault="00037E81" w:rsidP="00795591">
      <w:pPr>
        <w:rPr>
          <w:rFonts w:cs="Arial"/>
        </w:rPr>
      </w:pPr>
      <w:r w:rsidRPr="008C77B2">
        <w:rPr>
          <w:rFonts w:cs="Arial"/>
        </w:rPr>
        <w:t xml:space="preserve">The </w:t>
      </w:r>
      <w:r w:rsidRPr="008C77B2">
        <w:t xml:space="preserve">Applicant with the lowest total </w:t>
      </w:r>
      <w:r w:rsidR="00EE3ACA">
        <w:t xml:space="preserve">additional </w:t>
      </w:r>
      <w:r w:rsidRPr="008C77B2">
        <w:t>cost</w:t>
      </w:r>
      <w:r w:rsidR="00EE3ACA">
        <w:t>s</w:t>
      </w:r>
      <w:r w:rsidRPr="008C77B2">
        <w:t xml:space="preserve"> will score maximum marks out of a possible one hundred (100) and Applicants submitting higher amounts will be awarded marks proportionate to their distance from the lowest amount.</w:t>
      </w:r>
    </w:p>
    <w:p w:rsidR="005A5CC5" w:rsidRPr="00795591" w:rsidRDefault="00FB1473" w:rsidP="00FB1473">
      <w:pPr>
        <w:pStyle w:val="Tendertemplate"/>
        <w:numPr>
          <w:ilvl w:val="2"/>
          <w:numId w:val="30"/>
        </w:numPr>
        <w:spacing w:before="60" w:after="120"/>
        <w:jc w:val="left"/>
        <w:outlineLvl w:val="9"/>
        <w:rPr>
          <w:color w:val="auto"/>
          <w:sz w:val="22"/>
          <w:szCs w:val="22"/>
        </w:rPr>
      </w:pPr>
      <w:r>
        <w:rPr>
          <w:color w:val="auto"/>
          <w:sz w:val="22"/>
          <w:szCs w:val="22"/>
        </w:rPr>
        <w:t xml:space="preserve">   </w:t>
      </w:r>
      <w:r w:rsidR="005A5CC5" w:rsidRPr="00795591">
        <w:rPr>
          <w:color w:val="auto"/>
          <w:sz w:val="22"/>
          <w:szCs w:val="22"/>
        </w:rPr>
        <w:t>Price Review Proposals</w:t>
      </w:r>
    </w:p>
    <w:p w:rsidR="005A5CC5" w:rsidRDefault="005A5CC5" w:rsidP="005A5CC5">
      <w:pPr>
        <w:rPr>
          <w:rFonts w:cs="Arial"/>
          <w:color w:val="000000"/>
          <w:lang w:eastAsia="en-GB"/>
        </w:rPr>
      </w:pPr>
      <w:r w:rsidRPr="00C319C3">
        <w:rPr>
          <w:rFonts w:cs="Arial"/>
          <w:bCs/>
          <w:color w:val="000000"/>
          <w:lang w:eastAsia="en-GB"/>
        </w:rPr>
        <w:t>The Authority does not expect the Applicant to implement any price increases throughout the life of this Contract and would conversely look to explore ways of reducing costs throughout its duration.</w:t>
      </w:r>
      <w:r w:rsidRPr="00C319C3">
        <w:rPr>
          <w:rFonts w:cs="Arial"/>
          <w:color w:val="000000"/>
          <w:lang w:eastAsia="en-GB"/>
        </w:rPr>
        <w:t xml:space="preserve"> The Applicant’s </w:t>
      </w:r>
      <w:r w:rsidRPr="0077534D">
        <w:rPr>
          <w:rFonts w:cs="Arial"/>
          <w:color w:val="000000"/>
          <w:lang w:eastAsia="en-GB"/>
        </w:rPr>
        <w:t>signature at section 4.4 Pricing Schedule Declaration of Volume</w:t>
      </w:r>
      <w:r>
        <w:rPr>
          <w:rFonts w:cs="Arial"/>
          <w:color w:val="000000"/>
          <w:lang w:eastAsia="en-GB"/>
        </w:rPr>
        <w:t xml:space="preserve"> Five (5) Forms </w:t>
      </w:r>
      <w:r w:rsidRPr="00C319C3">
        <w:rPr>
          <w:rFonts w:cs="Arial"/>
          <w:color w:val="000000"/>
          <w:lang w:eastAsia="en-GB"/>
        </w:rPr>
        <w:t xml:space="preserve">will be assumed to be an acceptance of this condition. </w:t>
      </w:r>
      <w:bookmarkStart w:id="23" w:name="_Toc378751795"/>
    </w:p>
    <w:bookmarkEnd w:id="23"/>
    <w:p w:rsidR="005A5CC5" w:rsidRDefault="005A5CC5" w:rsidP="005A5CC5">
      <w:r>
        <w:t>No Contract once awarded shall be renewed at a higher rate than agreed between the parties through this price review framework or through any other such agreement as submitted to and approved by the Authority in writing.</w:t>
      </w:r>
    </w:p>
    <w:p w:rsidR="007C0677" w:rsidRPr="00F84BC7" w:rsidRDefault="007C0677" w:rsidP="00FB1473">
      <w:pPr>
        <w:pStyle w:val="Tendertemplate"/>
        <w:numPr>
          <w:ilvl w:val="2"/>
          <w:numId w:val="30"/>
        </w:numPr>
        <w:spacing w:before="60" w:after="120"/>
        <w:jc w:val="left"/>
        <w:outlineLvl w:val="9"/>
        <w:rPr>
          <w:color w:val="auto"/>
          <w:sz w:val="22"/>
          <w:szCs w:val="22"/>
        </w:rPr>
      </w:pPr>
      <w:r w:rsidRPr="00F84BC7">
        <w:rPr>
          <w:color w:val="auto"/>
          <w:sz w:val="22"/>
          <w:szCs w:val="22"/>
        </w:rPr>
        <w:t>Contract Renewal</w:t>
      </w:r>
    </w:p>
    <w:p w:rsidR="007C0677" w:rsidRPr="0076571F" w:rsidRDefault="007C0677" w:rsidP="007C0677">
      <w:pPr>
        <w:pStyle w:val="BodyTextIndent3"/>
        <w:spacing w:before="120" w:line="300" w:lineRule="atLeast"/>
        <w:ind w:left="0"/>
        <w:rPr>
          <w:rFonts w:ascii="Arial" w:hAnsi="Arial" w:cs="Arial"/>
          <w:sz w:val="22"/>
          <w:szCs w:val="22"/>
        </w:rPr>
      </w:pPr>
      <w:r w:rsidRPr="0076571F">
        <w:rPr>
          <w:rFonts w:ascii="Arial" w:hAnsi="Arial" w:cs="Arial"/>
          <w:sz w:val="22"/>
          <w:szCs w:val="22"/>
        </w:rPr>
        <w:t xml:space="preserve">No Contract once awarded shall be renewed at a higher rate than agreed between the parties through this price review framework or through any other such agreement as submitted to and approved by the Authority in writing. </w:t>
      </w:r>
    </w:p>
    <w:p w:rsidR="007C0677" w:rsidRPr="0076571F" w:rsidRDefault="007C0677" w:rsidP="00277489">
      <w:pPr>
        <w:pStyle w:val="BodyTextIndent3"/>
        <w:tabs>
          <w:tab w:val="left" w:pos="1134"/>
        </w:tabs>
        <w:spacing w:before="120" w:line="300" w:lineRule="atLeast"/>
        <w:ind w:left="0"/>
        <w:rPr>
          <w:rFonts w:ascii="Arial" w:hAnsi="Arial" w:cs="Arial"/>
          <w:sz w:val="22"/>
          <w:szCs w:val="22"/>
        </w:rPr>
      </w:pPr>
      <w:r w:rsidRPr="0076571F">
        <w:rPr>
          <w:rFonts w:ascii="Arial" w:hAnsi="Arial" w:cs="Arial"/>
          <w:sz w:val="22"/>
          <w:szCs w:val="22"/>
        </w:rPr>
        <w:t>The Applicant’s signature at section 4.4 Pricing Schedule Declaration of Volume Five (5) Forms will be assumed to be an acceptance of this condition.</w:t>
      </w:r>
    </w:p>
    <w:p w:rsidR="0077534D" w:rsidRDefault="00277489" w:rsidP="00277489">
      <w:pPr>
        <w:pStyle w:val="Tendertemplate"/>
        <w:numPr>
          <w:ilvl w:val="1"/>
          <w:numId w:val="28"/>
        </w:numPr>
        <w:spacing w:before="60" w:after="120"/>
        <w:ind w:left="993" w:hanging="993"/>
        <w:jc w:val="left"/>
        <w:rPr>
          <w:color w:val="FF0000"/>
          <w:sz w:val="28"/>
          <w:szCs w:val="28"/>
        </w:rPr>
      </w:pPr>
      <w:bookmarkStart w:id="24" w:name="_Toc384126993"/>
      <w:bookmarkEnd w:id="21"/>
      <w:bookmarkEnd w:id="22"/>
      <w:r>
        <w:rPr>
          <w:color w:val="auto"/>
          <w:sz w:val="28"/>
          <w:szCs w:val="28"/>
        </w:rPr>
        <w:t xml:space="preserve"> </w:t>
      </w:r>
      <w:r w:rsidR="0077534D" w:rsidRPr="009D2A1B">
        <w:rPr>
          <w:color w:val="auto"/>
          <w:sz w:val="28"/>
          <w:szCs w:val="28"/>
        </w:rPr>
        <w:t>Performance Management</w:t>
      </w:r>
      <w:bookmarkEnd w:id="24"/>
      <w:r w:rsidR="009856DC">
        <w:rPr>
          <w:color w:val="auto"/>
          <w:sz w:val="28"/>
          <w:szCs w:val="28"/>
        </w:rPr>
        <w:t xml:space="preserve"> </w:t>
      </w:r>
    </w:p>
    <w:tbl>
      <w:tblPr>
        <w:tblStyle w:val="TableGrid"/>
        <w:tblW w:w="0" w:type="auto"/>
        <w:tblLook w:val="04A0"/>
      </w:tblPr>
      <w:tblGrid>
        <w:gridCol w:w="3285"/>
        <w:gridCol w:w="3285"/>
        <w:gridCol w:w="3285"/>
      </w:tblGrid>
      <w:tr w:rsidR="003A54FC" w:rsidRPr="00C74359" w:rsidTr="003A3774">
        <w:tc>
          <w:tcPr>
            <w:tcW w:w="3285" w:type="dxa"/>
            <w:shd w:val="clear" w:color="auto" w:fill="548DD4" w:themeFill="text2" w:themeFillTint="99"/>
            <w:vAlign w:val="center"/>
          </w:tcPr>
          <w:p w:rsidR="003A54FC" w:rsidRPr="00CA2102" w:rsidRDefault="003A54FC" w:rsidP="003A3774">
            <w:pPr>
              <w:pStyle w:val="Tendertemplate"/>
              <w:keepNext w:val="0"/>
              <w:widowControl w:val="0"/>
              <w:tabs>
                <w:tab w:val="clear" w:pos="1304"/>
              </w:tabs>
              <w:spacing w:before="60" w:after="120"/>
              <w:ind w:left="0" w:firstLine="0"/>
              <w:rPr>
                <w:sz w:val="24"/>
                <w:szCs w:val="24"/>
              </w:rPr>
            </w:pPr>
            <w:r w:rsidRPr="00CA2102">
              <w:rPr>
                <w:sz w:val="24"/>
                <w:szCs w:val="24"/>
              </w:rPr>
              <w:t>Outcome to Be Delivered</w:t>
            </w:r>
          </w:p>
        </w:tc>
        <w:tc>
          <w:tcPr>
            <w:tcW w:w="3285" w:type="dxa"/>
            <w:shd w:val="clear" w:color="auto" w:fill="548DD4" w:themeFill="text2" w:themeFillTint="99"/>
            <w:vAlign w:val="center"/>
          </w:tcPr>
          <w:p w:rsidR="003A54FC" w:rsidRPr="00CA2102" w:rsidRDefault="003A54FC" w:rsidP="003A3774">
            <w:pPr>
              <w:pStyle w:val="Tendertemplate"/>
              <w:keepNext w:val="0"/>
              <w:widowControl w:val="0"/>
              <w:tabs>
                <w:tab w:val="clear" w:pos="1304"/>
              </w:tabs>
              <w:spacing w:before="60" w:after="120"/>
              <w:ind w:left="0" w:firstLine="0"/>
              <w:rPr>
                <w:sz w:val="24"/>
                <w:szCs w:val="24"/>
              </w:rPr>
            </w:pPr>
            <w:r w:rsidRPr="00CA2102">
              <w:rPr>
                <w:sz w:val="24"/>
                <w:szCs w:val="24"/>
              </w:rPr>
              <w:t>Measurement of Performance</w:t>
            </w:r>
          </w:p>
        </w:tc>
        <w:tc>
          <w:tcPr>
            <w:tcW w:w="3285" w:type="dxa"/>
            <w:shd w:val="clear" w:color="auto" w:fill="548DD4" w:themeFill="text2" w:themeFillTint="99"/>
            <w:vAlign w:val="center"/>
          </w:tcPr>
          <w:p w:rsidR="003A54FC" w:rsidRPr="00CA2102" w:rsidRDefault="003A54FC" w:rsidP="003A3774">
            <w:pPr>
              <w:pStyle w:val="Tendertemplate"/>
              <w:keepNext w:val="0"/>
              <w:widowControl w:val="0"/>
              <w:tabs>
                <w:tab w:val="clear" w:pos="1304"/>
              </w:tabs>
              <w:spacing w:before="60" w:after="120"/>
              <w:ind w:left="0" w:firstLine="0"/>
              <w:rPr>
                <w:sz w:val="24"/>
                <w:szCs w:val="24"/>
              </w:rPr>
            </w:pPr>
            <w:r w:rsidRPr="00CA2102">
              <w:rPr>
                <w:sz w:val="24"/>
                <w:szCs w:val="24"/>
              </w:rPr>
              <w:t>Consequence of Poor Performance</w:t>
            </w:r>
          </w:p>
        </w:tc>
      </w:tr>
      <w:tr w:rsidR="003A54FC" w:rsidRPr="004760DF" w:rsidTr="003A3774">
        <w:tc>
          <w:tcPr>
            <w:tcW w:w="3285" w:type="dxa"/>
          </w:tcPr>
          <w:p w:rsidR="003A54FC" w:rsidRPr="00082757" w:rsidRDefault="003A54FC" w:rsidP="00444156">
            <w:pPr>
              <w:pStyle w:val="Tendertemplate"/>
              <w:keepNext w:val="0"/>
              <w:widowControl w:val="0"/>
              <w:tabs>
                <w:tab w:val="clear" w:pos="1304"/>
              </w:tabs>
              <w:spacing w:before="60" w:after="120"/>
              <w:ind w:left="0" w:firstLine="0"/>
              <w:jc w:val="left"/>
              <w:rPr>
                <w:b w:val="0"/>
                <w:color w:val="auto"/>
                <w:sz w:val="22"/>
                <w:szCs w:val="22"/>
              </w:rPr>
            </w:pPr>
            <w:r w:rsidRPr="00082757">
              <w:rPr>
                <w:b w:val="0"/>
                <w:color w:val="auto"/>
                <w:sz w:val="22"/>
                <w:szCs w:val="22"/>
              </w:rPr>
              <w:t xml:space="preserve">The </w:t>
            </w:r>
            <w:r w:rsidR="00444156" w:rsidRPr="00082757">
              <w:rPr>
                <w:b w:val="0"/>
                <w:color w:val="auto"/>
                <w:sz w:val="22"/>
                <w:szCs w:val="22"/>
              </w:rPr>
              <w:t xml:space="preserve">Training </w:t>
            </w:r>
            <w:r w:rsidR="00CA2102" w:rsidRPr="00082757">
              <w:rPr>
                <w:b w:val="0"/>
                <w:color w:val="auto"/>
                <w:sz w:val="22"/>
                <w:szCs w:val="22"/>
              </w:rPr>
              <w:t>p</w:t>
            </w:r>
            <w:r w:rsidRPr="00082757">
              <w:rPr>
                <w:b w:val="0"/>
                <w:color w:val="auto"/>
                <w:sz w:val="22"/>
                <w:szCs w:val="22"/>
              </w:rPr>
              <w:t>rovider is a learning organisation, seeking to improve its service delivery.</w:t>
            </w:r>
          </w:p>
        </w:tc>
        <w:tc>
          <w:tcPr>
            <w:tcW w:w="3285" w:type="dxa"/>
          </w:tcPr>
          <w:p w:rsidR="003A54FC" w:rsidRPr="00082757" w:rsidRDefault="003A54FC" w:rsidP="003A3774">
            <w:pPr>
              <w:pStyle w:val="Tendertemplate"/>
              <w:keepNext w:val="0"/>
              <w:widowControl w:val="0"/>
              <w:tabs>
                <w:tab w:val="clear" w:pos="1304"/>
              </w:tabs>
              <w:spacing w:before="60" w:after="120"/>
              <w:ind w:left="0" w:firstLine="0"/>
              <w:jc w:val="left"/>
              <w:rPr>
                <w:b w:val="0"/>
                <w:color w:val="auto"/>
                <w:sz w:val="22"/>
                <w:szCs w:val="22"/>
              </w:rPr>
            </w:pPr>
            <w:r w:rsidRPr="00082757">
              <w:rPr>
                <w:b w:val="0"/>
                <w:color w:val="auto"/>
                <w:sz w:val="22"/>
                <w:szCs w:val="22"/>
              </w:rPr>
              <w:t>Evidence of effective management of the Service and improvement.</w:t>
            </w:r>
          </w:p>
        </w:tc>
        <w:tc>
          <w:tcPr>
            <w:tcW w:w="3285" w:type="dxa"/>
            <w:shd w:val="clear" w:color="auto" w:fill="auto"/>
          </w:tcPr>
          <w:p w:rsidR="003A54FC" w:rsidRPr="0047275E" w:rsidRDefault="0047275E" w:rsidP="00222AC5">
            <w:pPr>
              <w:pStyle w:val="Tendertemplate"/>
              <w:keepNext w:val="0"/>
              <w:widowControl w:val="0"/>
              <w:tabs>
                <w:tab w:val="clear" w:pos="1304"/>
              </w:tabs>
              <w:spacing w:before="60" w:after="120"/>
              <w:ind w:left="0" w:firstLine="0"/>
              <w:jc w:val="left"/>
              <w:rPr>
                <w:i/>
                <w:color w:val="auto"/>
                <w:sz w:val="22"/>
                <w:szCs w:val="22"/>
              </w:rPr>
            </w:pPr>
            <w:r w:rsidRPr="0047275E">
              <w:rPr>
                <w:b w:val="0"/>
                <w:color w:val="auto"/>
                <w:sz w:val="22"/>
                <w:szCs w:val="22"/>
              </w:rPr>
              <w:t>Training provider w</w:t>
            </w:r>
            <w:r w:rsidR="00222AC5" w:rsidRPr="0047275E">
              <w:rPr>
                <w:b w:val="0"/>
                <w:color w:val="auto"/>
                <w:sz w:val="22"/>
                <w:szCs w:val="22"/>
              </w:rPr>
              <w:t>ill not be compliant with the Standing List requirements for Continual Professional Development</w:t>
            </w:r>
            <w:r w:rsidRPr="0047275E">
              <w:rPr>
                <w:b w:val="0"/>
                <w:color w:val="auto"/>
                <w:sz w:val="22"/>
                <w:szCs w:val="22"/>
              </w:rPr>
              <w:t>.</w:t>
            </w:r>
          </w:p>
          <w:p w:rsidR="00222AC5" w:rsidRPr="005A418F" w:rsidRDefault="00222AC5" w:rsidP="0047275E">
            <w:pPr>
              <w:pStyle w:val="Tendertemplate"/>
              <w:tabs>
                <w:tab w:val="clear" w:pos="1304"/>
              </w:tabs>
              <w:spacing w:before="60" w:after="120"/>
              <w:ind w:left="0" w:firstLine="0"/>
              <w:jc w:val="left"/>
              <w:rPr>
                <w:b w:val="0"/>
                <w:color w:val="auto"/>
                <w:sz w:val="22"/>
                <w:szCs w:val="22"/>
              </w:rPr>
            </w:pPr>
            <w:r w:rsidRPr="00082757">
              <w:rPr>
                <w:b w:val="0"/>
                <w:color w:val="auto"/>
                <w:sz w:val="22"/>
                <w:szCs w:val="22"/>
              </w:rPr>
              <w:t>The Authority will invoke the Default Procedures, as set out in the Contract.</w:t>
            </w:r>
          </w:p>
        </w:tc>
      </w:tr>
      <w:tr w:rsidR="003A54FC" w:rsidRPr="004760DF" w:rsidTr="003A3774">
        <w:tc>
          <w:tcPr>
            <w:tcW w:w="3285" w:type="dxa"/>
          </w:tcPr>
          <w:p w:rsidR="003A54FC" w:rsidRPr="00082757" w:rsidRDefault="003A54FC" w:rsidP="00CA2102">
            <w:pPr>
              <w:pStyle w:val="Tendertemplate"/>
              <w:keepNext w:val="0"/>
              <w:widowControl w:val="0"/>
              <w:tabs>
                <w:tab w:val="clear" w:pos="1304"/>
              </w:tabs>
              <w:spacing w:before="60" w:after="120"/>
              <w:ind w:left="0" w:firstLine="0"/>
              <w:jc w:val="left"/>
              <w:rPr>
                <w:b w:val="0"/>
                <w:color w:val="auto"/>
                <w:sz w:val="22"/>
                <w:szCs w:val="22"/>
              </w:rPr>
            </w:pPr>
            <w:r w:rsidRPr="00082757">
              <w:rPr>
                <w:b w:val="0"/>
                <w:color w:val="auto"/>
                <w:sz w:val="22"/>
                <w:szCs w:val="22"/>
              </w:rPr>
              <w:t xml:space="preserve">The </w:t>
            </w:r>
            <w:r w:rsidR="00CA2102" w:rsidRPr="00082757">
              <w:rPr>
                <w:b w:val="0"/>
                <w:color w:val="auto"/>
                <w:sz w:val="22"/>
                <w:szCs w:val="22"/>
              </w:rPr>
              <w:t>Training p</w:t>
            </w:r>
            <w:r w:rsidRPr="00082757">
              <w:rPr>
                <w:b w:val="0"/>
                <w:color w:val="auto"/>
                <w:sz w:val="22"/>
                <w:szCs w:val="22"/>
              </w:rPr>
              <w:t>rovider deals with clients in a professional and polite manor and in accordance with Equality and Diversity legislation.</w:t>
            </w:r>
          </w:p>
        </w:tc>
        <w:tc>
          <w:tcPr>
            <w:tcW w:w="3285" w:type="dxa"/>
          </w:tcPr>
          <w:p w:rsidR="003A54FC" w:rsidRPr="00082757" w:rsidRDefault="003A54FC" w:rsidP="003A3774">
            <w:pPr>
              <w:pStyle w:val="Tendertemplate"/>
              <w:keepNext w:val="0"/>
              <w:widowControl w:val="0"/>
              <w:tabs>
                <w:tab w:val="clear" w:pos="1304"/>
              </w:tabs>
              <w:spacing w:before="60" w:after="120"/>
              <w:ind w:left="0" w:firstLine="0"/>
              <w:jc w:val="left"/>
              <w:rPr>
                <w:b w:val="0"/>
                <w:color w:val="auto"/>
                <w:sz w:val="22"/>
                <w:szCs w:val="22"/>
              </w:rPr>
            </w:pPr>
            <w:r w:rsidRPr="00082757">
              <w:rPr>
                <w:b w:val="0"/>
                <w:color w:val="auto"/>
                <w:sz w:val="22"/>
                <w:szCs w:val="22"/>
              </w:rPr>
              <w:t>Assessment of feedback forms from clients.</w:t>
            </w:r>
          </w:p>
          <w:p w:rsidR="003A54FC" w:rsidRPr="00082757" w:rsidRDefault="003A54FC" w:rsidP="00CA2102">
            <w:pPr>
              <w:pStyle w:val="Tendertemplate"/>
              <w:keepNext w:val="0"/>
              <w:widowControl w:val="0"/>
              <w:tabs>
                <w:tab w:val="clear" w:pos="1304"/>
              </w:tabs>
              <w:spacing w:before="60" w:after="120"/>
              <w:ind w:left="0" w:firstLine="0"/>
              <w:jc w:val="left"/>
              <w:rPr>
                <w:b w:val="0"/>
                <w:color w:val="auto"/>
                <w:sz w:val="22"/>
                <w:szCs w:val="22"/>
              </w:rPr>
            </w:pPr>
            <w:r w:rsidRPr="00082757">
              <w:rPr>
                <w:b w:val="0"/>
                <w:color w:val="auto"/>
                <w:sz w:val="22"/>
                <w:szCs w:val="22"/>
              </w:rPr>
              <w:t xml:space="preserve">Number of complaints made to the local authority and the </w:t>
            </w:r>
            <w:r w:rsidR="00CA2102" w:rsidRPr="00082757">
              <w:rPr>
                <w:b w:val="0"/>
                <w:color w:val="auto"/>
                <w:sz w:val="22"/>
                <w:szCs w:val="22"/>
              </w:rPr>
              <w:t>Training p</w:t>
            </w:r>
            <w:r w:rsidRPr="00082757">
              <w:rPr>
                <w:b w:val="0"/>
                <w:color w:val="auto"/>
                <w:sz w:val="22"/>
                <w:szCs w:val="22"/>
              </w:rPr>
              <w:t xml:space="preserve">rovider about the service. </w:t>
            </w:r>
          </w:p>
        </w:tc>
        <w:tc>
          <w:tcPr>
            <w:tcW w:w="3285" w:type="dxa"/>
          </w:tcPr>
          <w:p w:rsidR="003A54FC" w:rsidRPr="00082757" w:rsidRDefault="003A54FC" w:rsidP="003A3774">
            <w:pPr>
              <w:pStyle w:val="Tendertemplate"/>
              <w:keepNext w:val="0"/>
              <w:widowControl w:val="0"/>
              <w:tabs>
                <w:tab w:val="clear" w:pos="1304"/>
              </w:tabs>
              <w:spacing w:before="60" w:after="120"/>
              <w:ind w:left="0" w:firstLine="0"/>
              <w:jc w:val="left"/>
              <w:rPr>
                <w:b w:val="0"/>
                <w:color w:val="auto"/>
                <w:sz w:val="22"/>
                <w:szCs w:val="22"/>
              </w:rPr>
            </w:pPr>
            <w:r w:rsidRPr="00082757">
              <w:rPr>
                <w:b w:val="0"/>
                <w:color w:val="auto"/>
                <w:sz w:val="22"/>
                <w:szCs w:val="22"/>
              </w:rPr>
              <w:t>That all complaints are investigated and learning opportunity’s identified.</w:t>
            </w:r>
          </w:p>
          <w:p w:rsidR="003A54FC" w:rsidRPr="00082757" w:rsidRDefault="003A54FC" w:rsidP="003A3774">
            <w:pPr>
              <w:pStyle w:val="Tendertemplate"/>
              <w:keepNext w:val="0"/>
              <w:widowControl w:val="0"/>
              <w:tabs>
                <w:tab w:val="clear" w:pos="1304"/>
              </w:tabs>
              <w:spacing w:before="60" w:after="120"/>
              <w:ind w:left="0" w:firstLine="0"/>
              <w:jc w:val="left"/>
              <w:rPr>
                <w:b w:val="0"/>
                <w:color w:val="auto"/>
                <w:sz w:val="22"/>
                <w:szCs w:val="22"/>
              </w:rPr>
            </w:pPr>
            <w:r w:rsidRPr="00082757">
              <w:rPr>
                <w:b w:val="0"/>
                <w:color w:val="auto"/>
                <w:sz w:val="22"/>
                <w:szCs w:val="22"/>
              </w:rPr>
              <w:t>Where a complaint is deemed to be of a serious nature the Authority will invoke the Default Procedures, as set out in the Contract.</w:t>
            </w:r>
          </w:p>
        </w:tc>
      </w:tr>
      <w:tr w:rsidR="003A54FC" w:rsidRPr="00950507" w:rsidTr="003A3774">
        <w:tc>
          <w:tcPr>
            <w:tcW w:w="3285" w:type="dxa"/>
            <w:shd w:val="clear" w:color="auto" w:fill="auto"/>
          </w:tcPr>
          <w:p w:rsidR="003A54FC" w:rsidRPr="00082757" w:rsidRDefault="003A54FC" w:rsidP="007A5FB0">
            <w:pPr>
              <w:pStyle w:val="Tendertemplate"/>
              <w:keepNext w:val="0"/>
              <w:widowControl w:val="0"/>
              <w:tabs>
                <w:tab w:val="clear" w:pos="1304"/>
              </w:tabs>
              <w:spacing w:before="60" w:after="120"/>
              <w:ind w:left="0" w:firstLine="0"/>
              <w:jc w:val="left"/>
              <w:rPr>
                <w:b w:val="0"/>
                <w:color w:val="auto"/>
                <w:sz w:val="22"/>
                <w:szCs w:val="22"/>
              </w:rPr>
            </w:pPr>
            <w:r w:rsidRPr="00082757">
              <w:rPr>
                <w:b w:val="0"/>
                <w:color w:val="auto"/>
                <w:sz w:val="22"/>
                <w:szCs w:val="22"/>
              </w:rPr>
              <w:t xml:space="preserve">Appropriate </w:t>
            </w:r>
            <w:r w:rsidR="007A5FB0" w:rsidRPr="00082757">
              <w:rPr>
                <w:b w:val="0"/>
                <w:color w:val="auto"/>
                <w:sz w:val="22"/>
                <w:szCs w:val="22"/>
              </w:rPr>
              <w:t>training</w:t>
            </w:r>
            <w:r w:rsidRPr="00082757">
              <w:rPr>
                <w:b w:val="0"/>
                <w:color w:val="auto"/>
                <w:sz w:val="22"/>
                <w:szCs w:val="22"/>
              </w:rPr>
              <w:t xml:space="preserve"> is provided and maintained to acceptable standards in accordance with legislative requirements.</w:t>
            </w:r>
          </w:p>
        </w:tc>
        <w:tc>
          <w:tcPr>
            <w:tcW w:w="3285" w:type="dxa"/>
            <w:shd w:val="clear" w:color="auto" w:fill="auto"/>
          </w:tcPr>
          <w:p w:rsidR="003A54FC" w:rsidRPr="00082757" w:rsidRDefault="003A54FC" w:rsidP="003A3774">
            <w:pPr>
              <w:pStyle w:val="Tendertemplate"/>
              <w:tabs>
                <w:tab w:val="clear" w:pos="1304"/>
              </w:tabs>
              <w:spacing w:before="60" w:after="120"/>
              <w:ind w:left="0" w:firstLine="0"/>
              <w:jc w:val="left"/>
              <w:rPr>
                <w:b w:val="0"/>
                <w:color w:val="auto"/>
                <w:sz w:val="22"/>
                <w:szCs w:val="22"/>
              </w:rPr>
            </w:pPr>
            <w:r w:rsidRPr="00082757">
              <w:rPr>
                <w:b w:val="0"/>
                <w:color w:val="auto"/>
                <w:sz w:val="22"/>
                <w:szCs w:val="22"/>
              </w:rPr>
              <w:t xml:space="preserve">The Authority will </w:t>
            </w:r>
            <w:r w:rsidR="00FE7B4F" w:rsidRPr="00082757">
              <w:rPr>
                <w:b w:val="0"/>
                <w:color w:val="auto"/>
                <w:sz w:val="22"/>
                <w:szCs w:val="22"/>
              </w:rPr>
              <w:t>monitor</w:t>
            </w:r>
            <w:r w:rsidRPr="00082757">
              <w:rPr>
                <w:b w:val="0"/>
                <w:color w:val="auto"/>
                <w:sz w:val="22"/>
                <w:szCs w:val="22"/>
              </w:rPr>
              <w:t xml:space="preserve"> and review the </w:t>
            </w:r>
            <w:r w:rsidR="00FE7B4F" w:rsidRPr="00082757">
              <w:rPr>
                <w:b w:val="0"/>
                <w:color w:val="auto"/>
                <w:sz w:val="22"/>
                <w:szCs w:val="22"/>
              </w:rPr>
              <w:t>course content</w:t>
            </w:r>
            <w:r w:rsidRPr="00082757">
              <w:rPr>
                <w:b w:val="0"/>
                <w:color w:val="auto"/>
                <w:sz w:val="22"/>
                <w:szCs w:val="22"/>
              </w:rPr>
              <w:t xml:space="preserve"> to ensure that it meets the required legislative standards.</w:t>
            </w:r>
          </w:p>
          <w:p w:rsidR="003A54FC" w:rsidRPr="00082757" w:rsidRDefault="003A54FC" w:rsidP="003A3774">
            <w:pPr>
              <w:pStyle w:val="Tendertemplate"/>
              <w:tabs>
                <w:tab w:val="clear" w:pos="1304"/>
              </w:tabs>
              <w:spacing w:before="60" w:after="120"/>
              <w:ind w:left="0" w:firstLine="0"/>
              <w:jc w:val="left"/>
              <w:rPr>
                <w:b w:val="0"/>
                <w:color w:val="auto"/>
                <w:sz w:val="22"/>
                <w:szCs w:val="22"/>
              </w:rPr>
            </w:pPr>
            <w:r w:rsidRPr="00082757">
              <w:rPr>
                <w:b w:val="0"/>
                <w:color w:val="auto"/>
                <w:sz w:val="22"/>
                <w:szCs w:val="22"/>
              </w:rPr>
              <w:t>Any complaints of poor performance will be investigated by Authority.</w:t>
            </w:r>
          </w:p>
          <w:p w:rsidR="003A54FC" w:rsidRPr="00082757" w:rsidRDefault="003A54FC" w:rsidP="003A3774">
            <w:pPr>
              <w:pStyle w:val="Tendertemplate"/>
              <w:tabs>
                <w:tab w:val="clear" w:pos="1304"/>
              </w:tabs>
              <w:spacing w:before="60" w:after="120"/>
              <w:ind w:left="0" w:firstLine="0"/>
              <w:jc w:val="left"/>
              <w:rPr>
                <w:b w:val="0"/>
                <w:color w:val="auto"/>
                <w:sz w:val="22"/>
                <w:szCs w:val="22"/>
              </w:rPr>
            </w:pPr>
          </w:p>
        </w:tc>
        <w:tc>
          <w:tcPr>
            <w:tcW w:w="3285" w:type="dxa"/>
          </w:tcPr>
          <w:p w:rsidR="003A54FC" w:rsidRPr="00082757" w:rsidRDefault="003A54FC" w:rsidP="003A3774">
            <w:pPr>
              <w:pStyle w:val="Tendertemplate"/>
              <w:tabs>
                <w:tab w:val="clear" w:pos="1304"/>
              </w:tabs>
              <w:spacing w:before="60" w:after="120"/>
              <w:ind w:left="0" w:firstLine="0"/>
              <w:jc w:val="left"/>
              <w:rPr>
                <w:b w:val="0"/>
                <w:color w:val="auto"/>
                <w:sz w:val="22"/>
                <w:szCs w:val="22"/>
              </w:rPr>
            </w:pPr>
            <w:r w:rsidRPr="00082757">
              <w:rPr>
                <w:b w:val="0"/>
                <w:color w:val="auto"/>
                <w:sz w:val="22"/>
                <w:szCs w:val="22"/>
              </w:rPr>
              <w:t>Any issues identified should be addressed within the timescales specified by the Authority.</w:t>
            </w:r>
          </w:p>
          <w:p w:rsidR="003A54FC" w:rsidRPr="00082757" w:rsidRDefault="003A54FC" w:rsidP="003A3774">
            <w:pPr>
              <w:pStyle w:val="Tendertemplate"/>
              <w:tabs>
                <w:tab w:val="clear" w:pos="1304"/>
              </w:tabs>
              <w:spacing w:before="60" w:after="120"/>
              <w:ind w:left="0" w:firstLine="0"/>
              <w:jc w:val="left"/>
              <w:rPr>
                <w:b w:val="0"/>
                <w:color w:val="auto"/>
                <w:sz w:val="22"/>
                <w:szCs w:val="22"/>
              </w:rPr>
            </w:pPr>
            <w:r w:rsidRPr="00082757">
              <w:rPr>
                <w:b w:val="0"/>
                <w:color w:val="auto"/>
                <w:sz w:val="22"/>
                <w:szCs w:val="22"/>
              </w:rPr>
              <w:t>The Authority will invoke the Default Procedures, as set out in the Contract.</w:t>
            </w:r>
          </w:p>
          <w:p w:rsidR="003A54FC" w:rsidRPr="00082757" w:rsidRDefault="003A54FC" w:rsidP="003A3774">
            <w:pPr>
              <w:pStyle w:val="Tendertemplate"/>
              <w:tabs>
                <w:tab w:val="clear" w:pos="1304"/>
              </w:tabs>
              <w:spacing w:before="60" w:after="120"/>
              <w:ind w:left="0" w:firstLine="0"/>
              <w:jc w:val="left"/>
              <w:rPr>
                <w:color w:val="auto"/>
                <w:sz w:val="22"/>
                <w:szCs w:val="22"/>
                <w:highlight w:val="green"/>
              </w:rPr>
            </w:pPr>
          </w:p>
        </w:tc>
      </w:tr>
      <w:tr w:rsidR="003A54FC" w:rsidRPr="00117476" w:rsidTr="003A3774">
        <w:tc>
          <w:tcPr>
            <w:tcW w:w="3285" w:type="dxa"/>
          </w:tcPr>
          <w:p w:rsidR="003A54FC" w:rsidRPr="00082757" w:rsidRDefault="003A54FC" w:rsidP="00082757">
            <w:pPr>
              <w:pStyle w:val="Tendertemplate"/>
              <w:tabs>
                <w:tab w:val="clear" w:pos="1304"/>
              </w:tabs>
              <w:spacing w:before="60" w:after="120"/>
              <w:ind w:left="0" w:firstLine="0"/>
              <w:jc w:val="left"/>
              <w:rPr>
                <w:b w:val="0"/>
                <w:color w:val="auto"/>
                <w:sz w:val="22"/>
                <w:szCs w:val="22"/>
                <w:highlight w:val="green"/>
              </w:rPr>
            </w:pPr>
            <w:r w:rsidRPr="00082757">
              <w:rPr>
                <w:b w:val="0"/>
                <w:color w:val="auto"/>
                <w:sz w:val="22"/>
                <w:szCs w:val="22"/>
              </w:rPr>
              <w:t xml:space="preserve">The Provider manages the </w:t>
            </w:r>
            <w:r w:rsidR="00FE7B4F" w:rsidRPr="00082757">
              <w:rPr>
                <w:b w:val="0"/>
                <w:color w:val="auto"/>
                <w:sz w:val="22"/>
                <w:szCs w:val="22"/>
              </w:rPr>
              <w:t>learner’s access</w:t>
            </w:r>
            <w:r w:rsidRPr="00082757">
              <w:rPr>
                <w:b w:val="0"/>
                <w:color w:val="auto"/>
                <w:sz w:val="22"/>
                <w:szCs w:val="22"/>
              </w:rPr>
              <w:t xml:space="preserve"> effectively to </w:t>
            </w:r>
            <w:r w:rsidR="00FE7B4F" w:rsidRPr="00082757">
              <w:rPr>
                <w:b w:val="0"/>
                <w:color w:val="auto"/>
                <w:sz w:val="22"/>
                <w:szCs w:val="22"/>
              </w:rPr>
              <w:t>refuse learners entry if they have not completed the prior e-learning, or not booked place</w:t>
            </w:r>
            <w:r w:rsidR="00082757" w:rsidRPr="00082757">
              <w:rPr>
                <w:b w:val="0"/>
                <w:color w:val="auto"/>
                <w:sz w:val="22"/>
                <w:szCs w:val="22"/>
              </w:rPr>
              <w:t>s on course dates</w:t>
            </w:r>
            <w:r w:rsidR="00FE7B4F" w:rsidRPr="00082757">
              <w:rPr>
                <w:b w:val="0"/>
                <w:color w:val="auto"/>
                <w:sz w:val="22"/>
                <w:szCs w:val="22"/>
              </w:rPr>
              <w:t>.</w:t>
            </w:r>
          </w:p>
        </w:tc>
        <w:tc>
          <w:tcPr>
            <w:tcW w:w="3285" w:type="dxa"/>
          </w:tcPr>
          <w:p w:rsidR="00082757" w:rsidRPr="00082757" w:rsidRDefault="003A54FC" w:rsidP="00082757">
            <w:pPr>
              <w:pStyle w:val="Heading3"/>
              <w:keepNext w:val="0"/>
              <w:widowControl w:val="0"/>
              <w:numPr>
                <w:ilvl w:val="0"/>
                <w:numId w:val="0"/>
              </w:numPr>
              <w:spacing w:before="60"/>
              <w:ind w:left="44" w:hanging="44"/>
              <w:outlineLvl w:val="2"/>
              <w:rPr>
                <w:bCs/>
                <w:color w:val="auto"/>
              </w:rPr>
            </w:pPr>
            <w:r w:rsidRPr="00082757">
              <w:rPr>
                <w:color w:val="auto"/>
              </w:rPr>
              <w:t>The Authority</w:t>
            </w:r>
            <w:r w:rsidR="00082757" w:rsidRPr="00082757">
              <w:rPr>
                <w:color w:val="auto"/>
              </w:rPr>
              <w:t xml:space="preserve">’s Workforce Development Team will deal with complaints and the Authority will </w:t>
            </w:r>
            <w:r w:rsidR="009B780B">
              <w:rPr>
                <w:color w:val="auto"/>
              </w:rPr>
              <w:t xml:space="preserve">also </w:t>
            </w:r>
            <w:r w:rsidR="00082757" w:rsidRPr="00082757">
              <w:rPr>
                <w:color w:val="auto"/>
              </w:rPr>
              <w:t xml:space="preserve">monitor effective management of learner’s access. </w:t>
            </w:r>
            <w:r w:rsidR="00082757" w:rsidRPr="00082757">
              <w:rPr>
                <w:bCs/>
                <w:color w:val="auto"/>
              </w:rPr>
              <w:t xml:space="preserve">   </w:t>
            </w:r>
          </w:p>
          <w:p w:rsidR="00082757" w:rsidRPr="00082757" w:rsidRDefault="003A54FC" w:rsidP="00082757">
            <w:pPr>
              <w:pStyle w:val="Tendertemplate"/>
              <w:tabs>
                <w:tab w:val="clear" w:pos="1304"/>
              </w:tabs>
              <w:spacing w:before="60" w:after="120"/>
              <w:ind w:left="0" w:firstLine="0"/>
              <w:jc w:val="left"/>
              <w:rPr>
                <w:b w:val="0"/>
                <w:color w:val="auto"/>
                <w:sz w:val="22"/>
                <w:szCs w:val="22"/>
              </w:rPr>
            </w:pPr>
            <w:r w:rsidRPr="00082757">
              <w:rPr>
                <w:b w:val="0"/>
                <w:color w:val="auto"/>
                <w:sz w:val="22"/>
                <w:szCs w:val="22"/>
              </w:rPr>
              <w:t xml:space="preserve"> </w:t>
            </w:r>
          </w:p>
          <w:p w:rsidR="003A54FC" w:rsidRPr="00082757" w:rsidRDefault="003A54FC" w:rsidP="003A3774">
            <w:pPr>
              <w:pStyle w:val="Tendertemplate"/>
              <w:tabs>
                <w:tab w:val="clear" w:pos="1304"/>
              </w:tabs>
              <w:spacing w:before="60" w:after="120"/>
              <w:ind w:left="0" w:firstLine="0"/>
              <w:jc w:val="left"/>
              <w:rPr>
                <w:b w:val="0"/>
                <w:color w:val="auto"/>
                <w:sz w:val="22"/>
                <w:szCs w:val="22"/>
              </w:rPr>
            </w:pPr>
          </w:p>
        </w:tc>
        <w:tc>
          <w:tcPr>
            <w:tcW w:w="3285" w:type="dxa"/>
          </w:tcPr>
          <w:p w:rsidR="00082757" w:rsidRPr="00082757" w:rsidRDefault="00082757" w:rsidP="00082757">
            <w:pPr>
              <w:pStyle w:val="Tendertemplate"/>
              <w:tabs>
                <w:tab w:val="clear" w:pos="1304"/>
              </w:tabs>
              <w:spacing w:before="60" w:after="120"/>
              <w:ind w:left="0" w:firstLine="0"/>
              <w:jc w:val="left"/>
              <w:rPr>
                <w:b w:val="0"/>
                <w:color w:val="auto"/>
                <w:sz w:val="22"/>
                <w:szCs w:val="22"/>
              </w:rPr>
            </w:pPr>
            <w:r w:rsidRPr="00082757">
              <w:rPr>
                <w:b w:val="0"/>
                <w:color w:val="auto"/>
                <w:sz w:val="22"/>
                <w:szCs w:val="22"/>
              </w:rPr>
              <w:t>Any issues identified should be addressed within the timescales specified by the Authority.</w:t>
            </w:r>
          </w:p>
          <w:p w:rsidR="003A54FC" w:rsidRPr="00082757" w:rsidRDefault="00082757" w:rsidP="003A3774">
            <w:pPr>
              <w:pStyle w:val="Tendertemplate"/>
              <w:tabs>
                <w:tab w:val="clear" w:pos="1304"/>
              </w:tabs>
              <w:spacing w:before="60" w:after="120"/>
              <w:ind w:left="0" w:firstLine="0"/>
              <w:jc w:val="left"/>
              <w:rPr>
                <w:b w:val="0"/>
                <w:color w:val="auto"/>
                <w:sz w:val="22"/>
                <w:szCs w:val="22"/>
              </w:rPr>
            </w:pPr>
            <w:r w:rsidRPr="00082757">
              <w:rPr>
                <w:b w:val="0"/>
                <w:color w:val="auto"/>
                <w:sz w:val="22"/>
                <w:szCs w:val="22"/>
              </w:rPr>
              <w:t>The Authority will invoke the Default Procedures, as set out in the Contract.</w:t>
            </w:r>
          </w:p>
        </w:tc>
      </w:tr>
      <w:tr w:rsidR="003A54FC" w:rsidRPr="00D7148D" w:rsidTr="003A3774">
        <w:tc>
          <w:tcPr>
            <w:tcW w:w="3285" w:type="dxa"/>
          </w:tcPr>
          <w:p w:rsidR="003A54FC" w:rsidRPr="00082757" w:rsidRDefault="003A54FC" w:rsidP="003A3774">
            <w:pPr>
              <w:pStyle w:val="Tendertemplate"/>
              <w:tabs>
                <w:tab w:val="clear" w:pos="1304"/>
              </w:tabs>
              <w:spacing w:before="60" w:after="120"/>
              <w:ind w:left="0" w:firstLine="0"/>
              <w:jc w:val="left"/>
              <w:rPr>
                <w:b w:val="0"/>
                <w:color w:val="auto"/>
                <w:sz w:val="22"/>
                <w:szCs w:val="22"/>
              </w:rPr>
            </w:pPr>
            <w:r w:rsidRPr="00082757">
              <w:rPr>
                <w:b w:val="0"/>
                <w:color w:val="auto"/>
                <w:sz w:val="22"/>
                <w:szCs w:val="22"/>
              </w:rPr>
              <w:t>The Contract is managed effectively.</w:t>
            </w:r>
          </w:p>
        </w:tc>
        <w:tc>
          <w:tcPr>
            <w:tcW w:w="3285" w:type="dxa"/>
          </w:tcPr>
          <w:p w:rsidR="003A54FC" w:rsidRPr="00082757" w:rsidRDefault="003A54FC" w:rsidP="003A3774">
            <w:pPr>
              <w:pStyle w:val="Tendertemplate"/>
              <w:tabs>
                <w:tab w:val="clear" w:pos="1304"/>
              </w:tabs>
              <w:spacing w:before="60" w:after="120"/>
              <w:ind w:left="0" w:firstLine="0"/>
              <w:jc w:val="left"/>
              <w:rPr>
                <w:b w:val="0"/>
                <w:color w:val="auto"/>
                <w:sz w:val="22"/>
                <w:szCs w:val="22"/>
              </w:rPr>
            </w:pPr>
            <w:r w:rsidRPr="00082757">
              <w:rPr>
                <w:b w:val="0"/>
                <w:color w:val="auto"/>
                <w:sz w:val="22"/>
                <w:szCs w:val="22"/>
              </w:rPr>
              <w:t>That contract management information is available on the number of clients, times spent at the property and management of voids.</w:t>
            </w:r>
          </w:p>
        </w:tc>
        <w:tc>
          <w:tcPr>
            <w:tcW w:w="3285" w:type="dxa"/>
          </w:tcPr>
          <w:p w:rsidR="003A54FC" w:rsidRPr="00082757" w:rsidRDefault="003A54FC" w:rsidP="003A3774">
            <w:pPr>
              <w:pStyle w:val="Tendertemplate"/>
              <w:tabs>
                <w:tab w:val="clear" w:pos="1304"/>
              </w:tabs>
              <w:spacing w:before="60" w:after="120"/>
              <w:ind w:left="0" w:firstLine="0"/>
              <w:jc w:val="left"/>
              <w:rPr>
                <w:b w:val="0"/>
                <w:color w:val="auto"/>
                <w:sz w:val="22"/>
                <w:szCs w:val="22"/>
                <w:highlight w:val="green"/>
              </w:rPr>
            </w:pPr>
            <w:r w:rsidRPr="00082757">
              <w:rPr>
                <w:b w:val="0"/>
                <w:color w:val="auto"/>
                <w:sz w:val="22"/>
                <w:szCs w:val="22"/>
              </w:rPr>
              <w:t>Where the Provider fails to provide the required contract management information the Authority will invoke the Default Procedures, as set out in the Contract.</w:t>
            </w:r>
          </w:p>
        </w:tc>
      </w:tr>
    </w:tbl>
    <w:p w:rsidR="0077534D" w:rsidRPr="0077534D" w:rsidRDefault="0077534D" w:rsidP="0077534D">
      <w:pPr>
        <w:jc w:val="both"/>
        <w:rPr>
          <w:rFonts w:cs="Arial"/>
        </w:rPr>
      </w:pPr>
    </w:p>
    <w:p w:rsidR="0077534D" w:rsidRPr="009D2A1B" w:rsidRDefault="0077534D" w:rsidP="00277489">
      <w:pPr>
        <w:pStyle w:val="Tendertemplate"/>
        <w:numPr>
          <w:ilvl w:val="1"/>
          <w:numId w:val="28"/>
        </w:numPr>
        <w:spacing w:before="60" w:after="120"/>
        <w:ind w:left="1145" w:hanging="1145"/>
        <w:jc w:val="left"/>
        <w:rPr>
          <w:color w:val="auto"/>
          <w:sz w:val="28"/>
          <w:szCs w:val="28"/>
        </w:rPr>
      </w:pPr>
      <w:bookmarkStart w:id="25" w:name="_Toc384126994"/>
      <w:r w:rsidRPr="009D2A1B">
        <w:rPr>
          <w:color w:val="auto"/>
          <w:sz w:val="28"/>
          <w:szCs w:val="28"/>
        </w:rPr>
        <w:t>Management Information</w:t>
      </w:r>
      <w:bookmarkEnd w:id="25"/>
    </w:p>
    <w:p w:rsidR="0077534D" w:rsidRPr="00DA0368" w:rsidRDefault="0077534D" w:rsidP="0077534D">
      <w:pPr>
        <w:jc w:val="both"/>
        <w:rPr>
          <w:rFonts w:cs="Arial"/>
        </w:rPr>
      </w:pPr>
      <w:r w:rsidRPr="00DA0368">
        <w:rPr>
          <w:rFonts w:cs="Arial"/>
        </w:rPr>
        <w:t xml:space="preserve">Applicants should, by way of on-going Contract performance be prepared to produce </w:t>
      </w:r>
      <w:r>
        <w:rPr>
          <w:rFonts w:cs="Arial"/>
        </w:rPr>
        <w:t xml:space="preserve">management information. </w:t>
      </w:r>
      <w:r w:rsidRPr="00DA0368">
        <w:rPr>
          <w:rFonts w:cs="Arial"/>
        </w:rPr>
        <w:t>The exact format and duration will be agreed between the Contractor and Autho</w:t>
      </w:r>
      <w:r>
        <w:rPr>
          <w:rFonts w:cs="Arial"/>
        </w:rPr>
        <w:t>rity Authorised Representative.</w:t>
      </w:r>
      <w:r w:rsidRPr="00DA0368">
        <w:rPr>
          <w:rFonts w:cs="Arial"/>
        </w:rPr>
        <w:t xml:space="preserve"> The Contractor should be able to produce the agreed management information in</w:t>
      </w:r>
      <w:r>
        <w:rPr>
          <w:rFonts w:cs="Arial"/>
        </w:rPr>
        <w:t xml:space="preserve"> an</w:t>
      </w:r>
      <w:r w:rsidRPr="00DA0368">
        <w:rPr>
          <w:rFonts w:cs="Arial"/>
        </w:rPr>
        <w:t xml:space="preserve"> electronic f</w:t>
      </w:r>
      <w:r>
        <w:rPr>
          <w:rFonts w:cs="Arial"/>
        </w:rPr>
        <w:t xml:space="preserve">ormat such as Microsoft Excel or any other such format as specified by the Authority. </w:t>
      </w:r>
      <w:r w:rsidRPr="00DA0368">
        <w:rPr>
          <w:rFonts w:cs="Arial"/>
        </w:rPr>
        <w:t>This will be at no cost to the Authority.</w:t>
      </w:r>
    </w:p>
    <w:p w:rsidR="0077534D" w:rsidRPr="00DA0368" w:rsidRDefault="0077534D" w:rsidP="0077534D">
      <w:pPr>
        <w:jc w:val="both"/>
        <w:rPr>
          <w:rFonts w:cs="Arial"/>
        </w:rPr>
      </w:pPr>
      <w:r w:rsidRPr="00DA0368">
        <w:rPr>
          <w:rFonts w:cs="Arial"/>
        </w:rPr>
        <w:t>Applicants shall be able to produce management informat</w:t>
      </w:r>
      <w:r>
        <w:rPr>
          <w:rFonts w:cs="Arial"/>
        </w:rPr>
        <w:t>ion for the following, but not</w:t>
      </w:r>
      <w:r w:rsidRPr="00DA0368">
        <w:rPr>
          <w:rFonts w:cs="Arial"/>
        </w:rPr>
        <w:t xml:space="preserve"> limited to:-</w:t>
      </w:r>
    </w:p>
    <w:p w:rsidR="00547DCC" w:rsidRPr="009D2A1B" w:rsidRDefault="0077534D" w:rsidP="00277489">
      <w:pPr>
        <w:pStyle w:val="Tendertemplate"/>
        <w:numPr>
          <w:ilvl w:val="1"/>
          <w:numId w:val="28"/>
        </w:numPr>
        <w:spacing w:before="60" w:after="120"/>
        <w:ind w:left="1145" w:hanging="1145"/>
        <w:jc w:val="left"/>
        <w:rPr>
          <w:color w:val="auto"/>
          <w:sz w:val="28"/>
          <w:szCs w:val="28"/>
        </w:rPr>
      </w:pPr>
      <w:bookmarkStart w:id="26" w:name="_Toc384126995"/>
      <w:r w:rsidRPr="009D2A1B">
        <w:rPr>
          <w:color w:val="auto"/>
          <w:sz w:val="28"/>
          <w:szCs w:val="28"/>
        </w:rPr>
        <w:t>Eligible Users</w:t>
      </w:r>
      <w:bookmarkEnd w:id="26"/>
    </w:p>
    <w:p w:rsidR="00E14C88" w:rsidRPr="00237FBE" w:rsidRDefault="00E14C88" w:rsidP="00E14C88">
      <w:pPr>
        <w:widowControl w:val="0"/>
        <w:rPr>
          <w:rFonts w:cs="Arial"/>
        </w:rPr>
      </w:pPr>
      <w:r w:rsidRPr="00237FBE">
        <w:rPr>
          <w:rFonts w:cs="Arial"/>
        </w:rPr>
        <w:t>This Further Competition process for the Safeguarding Children Foundation Training Course, is the first ‘Further Competit</w:t>
      </w:r>
      <w:r>
        <w:rPr>
          <w:rFonts w:cs="Arial"/>
        </w:rPr>
        <w:t>i</w:t>
      </w:r>
      <w:r w:rsidRPr="00237FBE">
        <w:rPr>
          <w:rFonts w:cs="Arial"/>
        </w:rPr>
        <w:t xml:space="preserve">on/Call-Off’ utilising the Standing List of Training Providers of Safeguarding Children Training (Reference: T23714CS). The first places onto the List were awarded in February 2015. </w:t>
      </w:r>
      <w:r>
        <w:rPr>
          <w:rFonts w:cs="Arial"/>
        </w:rPr>
        <w:t xml:space="preserve">All organisations awarded places on the Standing List </w:t>
      </w:r>
      <w:r w:rsidR="00980BBA">
        <w:rPr>
          <w:rFonts w:cs="Arial"/>
        </w:rPr>
        <w:t>will be invited to participate in this Further Competition and will be able to use their approved trainers in the required service provision Contract, should they be successfully awarded the Contract.</w:t>
      </w:r>
    </w:p>
    <w:p w:rsidR="00284C0E" w:rsidRPr="00284C0E" w:rsidRDefault="00284C0E" w:rsidP="00284C0E">
      <w:pPr>
        <w:rPr>
          <w:snapToGrid w:val="0"/>
        </w:rPr>
      </w:pPr>
    </w:p>
    <w:p w:rsidR="00CB2FBB" w:rsidRPr="00CB2FBB" w:rsidRDefault="00CB2FBB" w:rsidP="00CB2FBB">
      <w:pPr>
        <w:jc w:val="both"/>
        <w:rPr>
          <w:rFonts w:cs="Arial"/>
        </w:rPr>
      </w:pPr>
    </w:p>
    <w:p w:rsidR="00CB2FBB" w:rsidRPr="00CB2FBB" w:rsidRDefault="00CB2FBB" w:rsidP="00CB2FBB">
      <w:pPr>
        <w:jc w:val="both"/>
        <w:rPr>
          <w:rFonts w:cs="Arial"/>
        </w:rPr>
      </w:pPr>
    </w:p>
    <w:p w:rsidR="00CB2FBB" w:rsidRDefault="00CB2FBB" w:rsidP="00CB2FBB">
      <w:pPr>
        <w:pStyle w:val="Tendertemplate"/>
        <w:shd w:val="clear" w:color="auto" w:fill="17365D" w:themeFill="text2" w:themeFillShade="BF"/>
        <w:tabs>
          <w:tab w:val="clear" w:pos="1304"/>
        </w:tabs>
        <w:ind w:left="0" w:firstLine="0"/>
        <w:jc w:val="left"/>
        <w:rPr>
          <w:rStyle w:val="Heading2Char"/>
          <w:sz w:val="48"/>
          <w:szCs w:val="48"/>
        </w:rPr>
        <w:sectPr w:rsidR="00CB2FBB" w:rsidSect="00D45333">
          <w:pgSz w:w="11907" w:h="16840" w:code="9"/>
          <w:pgMar w:top="1134" w:right="1134" w:bottom="1134" w:left="1134" w:header="992" w:footer="0" w:gutter="0"/>
          <w:cols w:space="720"/>
        </w:sectPr>
      </w:pPr>
    </w:p>
    <w:p w:rsidR="005C5318" w:rsidRPr="000E1FF2" w:rsidRDefault="005C5318" w:rsidP="00277489">
      <w:pPr>
        <w:pStyle w:val="Tendertemplate"/>
        <w:numPr>
          <w:ilvl w:val="0"/>
          <w:numId w:val="28"/>
        </w:numPr>
        <w:shd w:val="clear" w:color="auto" w:fill="17365D" w:themeFill="text2" w:themeFillShade="BF"/>
        <w:ind w:left="851" w:hanging="851"/>
        <w:jc w:val="left"/>
        <w:rPr>
          <w:rStyle w:val="Heading2Char"/>
          <w:bCs w:val="0"/>
          <w:sz w:val="48"/>
          <w:szCs w:val="48"/>
        </w:rPr>
      </w:pPr>
      <w:bookmarkStart w:id="27" w:name="_Toc384127001"/>
      <w:r>
        <w:rPr>
          <w:rStyle w:val="Heading2Char"/>
          <w:sz w:val="48"/>
          <w:szCs w:val="48"/>
        </w:rPr>
        <w:t>Glossary</w:t>
      </w:r>
      <w:bookmarkEnd w:id="27"/>
    </w:p>
    <w:p w:rsidR="005C5318" w:rsidRPr="005C5318" w:rsidRDefault="00277489" w:rsidP="00277489">
      <w:pPr>
        <w:pStyle w:val="Tendertemplate"/>
        <w:numPr>
          <w:ilvl w:val="1"/>
          <w:numId w:val="29"/>
        </w:numPr>
        <w:spacing w:before="60" w:after="120"/>
        <w:ind w:left="993" w:hanging="993"/>
        <w:jc w:val="left"/>
        <w:rPr>
          <w:color w:val="auto"/>
          <w:sz w:val="28"/>
          <w:szCs w:val="28"/>
        </w:rPr>
      </w:pPr>
      <w:bookmarkStart w:id="28" w:name="_Toc384127002"/>
      <w:r>
        <w:rPr>
          <w:color w:val="auto"/>
          <w:sz w:val="28"/>
          <w:szCs w:val="28"/>
        </w:rPr>
        <w:t xml:space="preserve"> </w:t>
      </w:r>
      <w:r w:rsidR="005C5318" w:rsidRPr="005C5318">
        <w:rPr>
          <w:color w:val="auto"/>
          <w:sz w:val="28"/>
          <w:szCs w:val="28"/>
        </w:rPr>
        <w:t>Definitions</w:t>
      </w:r>
      <w:bookmarkEnd w:id="28"/>
    </w:p>
    <w:tbl>
      <w:tblPr>
        <w:tblW w:w="9747" w:type="dxa"/>
        <w:jc w:val="cente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000099"/>
          <w:insideV w:val="single" w:sz="8" w:space="0" w:color="000099"/>
        </w:tblBorders>
        <w:tblLayout w:type="fixed"/>
        <w:tblLook w:val="0000"/>
      </w:tblPr>
      <w:tblGrid>
        <w:gridCol w:w="3315"/>
        <w:gridCol w:w="6432"/>
      </w:tblGrid>
      <w:tr w:rsidR="005C5318" w:rsidTr="005C5318">
        <w:trPr>
          <w:jc w:val="center"/>
        </w:trPr>
        <w:tc>
          <w:tcPr>
            <w:tcW w:w="3315" w:type="dxa"/>
            <w:shd w:val="clear" w:color="auto" w:fill="548DD4" w:themeFill="text2" w:themeFillTint="99"/>
          </w:tcPr>
          <w:p w:rsidR="005C5318" w:rsidRPr="0097310B" w:rsidRDefault="005C5318" w:rsidP="005C5318">
            <w:pPr>
              <w:tabs>
                <w:tab w:val="left" w:pos="709"/>
              </w:tabs>
              <w:spacing w:before="120" w:after="120"/>
              <w:rPr>
                <w:rFonts w:ascii="Arial Bold" w:hAnsi="Arial Bold" w:cs="Arial"/>
                <w:b/>
                <w:color w:val="FFFFFF" w:themeColor="background1"/>
                <w:sz w:val="28"/>
                <w:szCs w:val="28"/>
              </w:rPr>
            </w:pPr>
            <w:r w:rsidRPr="0097310B">
              <w:rPr>
                <w:rFonts w:ascii="Arial Bold" w:hAnsi="Arial Bold" w:cs="Arial"/>
                <w:b/>
                <w:color w:val="FFFFFF" w:themeColor="background1"/>
                <w:sz w:val="28"/>
                <w:szCs w:val="28"/>
              </w:rPr>
              <w:t>Term</w:t>
            </w:r>
          </w:p>
        </w:tc>
        <w:tc>
          <w:tcPr>
            <w:tcW w:w="6432" w:type="dxa"/>
            <w:shd w:val="clear" w:color="auto" w:fill="548DD4" w:themeFill="text2" w:themeFillTint="99"/>
          </w:tcPr>
          <w:p w:rsidR="005C5318" w:rsidRPr="0097310B" w:rsidRDefault="005C5318" w:rsidP="005C5318">
            <w:pPr>
              <w:tabs>
                <w:tab w:val="left" w:pos="709"/>
              </w:tabs>
              <w:spacing w:before="120" w:after="120"/>
              <w:rPr>
                <w:rFonts w:ascii="Arial Bold" w:hAnsi="Arial Bold" w:cs="Arial"/>
                <w:b/>
                <w:color w:val="FFFFFF" w:themeColor="background1"/>
                <w:sz w:val="28"/>
                <w:szCs w:val="28"/>
              </w:rPr>
            </w:pPr>
            <w:r w:rsidRPr="0097310B">
              <w:rPr>
                <w:rFonts w:ascii="Arial Bold" w:hAnsi="Arial Bold" w:cs="Arial"/>
                <w:b/>
                <w:color w:val="FFFFFF" w:themeColor="background1"/>
                <w:sz w:val="28"/>
                <w:szCs w:val="28"/>
              </w:rPr>
              <w:t>Definition</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Applicant</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organisation responding to this tender opportunity.</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Authority</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Torbay Council.</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Award</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 xml:space="preserve">Shall mean the process by which the Authority shall determine to whom the Contract will be awarded in accordance with the criteria listed at </w:t>
            </w:r>
            <w:r>
              <w:t>Regulation 30 of the Public Contracts Regulations 2006 as amended in 2009.</w:t>
            </w:r>
          </w:p>
        </w:tc>
      </w:tr>
      <w:tr w:rsidR="005C5318" w:rsidTr="005C5318">
        <w:trPr>
          <w:jc w:val="center"/>
        </w:trPr>
        <w:tc>
          <w:tcPr>
            <w:tcW w:w="3315" w:type="dxa"/>
            <w:vAlign w:val="center"/>
          </w:tcPr>
          <w:p w:rsidR="005C5318" w:rsidRPr="00836D37" w:rsidRDefault="005C5318" w:rsidP="005C5318">
            <w:pPr>
              <w:tabs>
                <w:tab w:val="left" w:pos="709"/>
              </w:tabs>
              <w:spacing w:before="120" w:after="120"/>
              <w:rPr>
                <w:rFonts w:cs="Arial"/>
                <w:b/>
                <w:szCs w:val="24"/>
              </w:rPr>
            </w:pPr>
            <w:r w:rsidRPr="00836D37">
              <w:rPr>
                <w:rFonts w:cs="Arial"/>
                <w:b/>
                <w:szCs w:val="24"/>
              </w:rPr>
              <w:t>Award Questions</w:t>
            </w:r>
          </w:p>
        </w:tc>
        <w:tc>
          <w:tcPr>
            <w:tcW w:w="6432" w:type="dxa"/>
            <w:vAlign w:val="center"/>
          </w:tcPr>
          <w:p w:rsidR="005C5318" w:rsidRPr="00836D37" w:rsidRDefault="005C5318" w:rsidP="005C5318">
            <w:pPr>
              <w:tabs>
                <w:tab w:val="left" w:pos="709"/>
              </w:tabs>
              <w:spacing w:before="120" w:after="120"/>
              <w:rPr>
                <w:rFonts w:cs="Arial"/>
                <w:szCs w:val="24"/>
              </w:rPr>
            </w:pPr>
            <w:r w:rsidRPr="00836D37">
              <w:rPr>
                <w:rFonts w:cs="Arial"/>
                <w:szCs w:val="24"/>
              </w:rPr>
              <w:t>Shall mean the written response submitted by the Applicant to evidence their ability to meet the Authority’s requirements, which will form part of the evaluation process upon which award of the Contract will be based.</w:t>
            </w:r>
          </w:p>
        </w:tc>
      </w:tr>
      <w:tr w:rsidR="005C5318" w:rsidTr="005C5318">
        <w:trPr>
          <w:jc w:val="center"/>
        </w:trPr>
        <w:tc>
          <w:tcPr>
            <w:tcW w:w="3315" w:type="dxa"/>
            <w:vAlign w:val="center"/>
          </w:tcPr>
          <w:p w:rsidR="005C5318" w:rsidRPr="000F4AA1" w:rsidRDefault="005C5318" w:rsidP="005C5318">
            <w:pPr>
              <w:spacing w:before="120" w:after="120"/>
              <w:rPr>
                <w:b/>
              </w:rPr>
            </w:pPr>
            <w:r>
              <w:rPr>
                <w:b/>
              </w:rPr>
              <w:t>Bid</w:t>
            </w:r>
          </w:p>
        </w:tc>
        <w:tc>
          <w:tcPr>
            <w:tcW w:w="6432" w:type="dxa"/>
            <w:vAlign w:val="center"/>
          </w:tcPr>
          <w:p w:rsidR="005C5318" w:rsidRPr="00504A30" w:rsidRDefault="005C5318" w:rsidP="005C5318">
            <w:pPr>
              <w:pStyle w:val="legp1paratext2"/>
              <w:spacing w:before="120" w:line="300" w:lineRule="atLeast"/>
              <w:ind w:firstLine="0"/>
              <w:jc w:val="left"/>
              <w:rPr>
                <w:rFonts w:ascii="Arial" w:hAnsi="Arial" w:cs="Arial"/>
                <w:sz w:val="22"/>
                <w:szCs w:val="22"/>
              </w:rPr>
            </w:pPr>
            <w:r>
              <w:rPr>
                <w:rFonts w:ascii="Arial" w:hAnsi="Arial" w:cs="Arial"/>
                <w:sz w:val="22"/>
                <w:szCs w:val="22"/>
              </w:rPr>
              <w:t>Shall mean the Applicant’s response to this tender opportunity.</w:t>
            </w:r>
          </w:p>
        </w:tc>
      </w:tr>
      <w:tr w:rsidR="005C5318" w:rsidTr="005C5318">
        <w:trPr>
          <w:jc w:val="center"/>
        </w:trPr>
        <w:tc>
          <w:tcPr>
            <w:tcW w:w="3315" w:type="dxa"/>
            <w:vAlign w:val="center"/>
          </w:tcPr>
          <w:p w:rsidR="005C5318" w:rsidRPr="000F4AA1" w:rsidRDefault="005C5318" w:rsidP="005C5318">
            <w:pPr>
              <w:spacing w:before="120" w:after="120"/>
              <w:rPr>
                <w:b/>
              </w:rPr>
            </w:pPr>
            <w:r>
              <w:rPr>
                <w:b/>
              </w:rPr>
              <w:t xml:space="preserve">Call-Off Contract </w:t>
            </w:r>
          </w:p>
        </w:tc>
        <w:tc>
          <w:tcPr>
            <w:tcW w:w="6432" w:type="dxa"/>
            <w:vAlign w:val="center"/>
          </w:tcPr>
          <w:p w:rsidR="005C5318" w:rsidRPr="00C36898" w:rsidRDefault="005C5318" w:rsidP="005C5318">
            <w:pPr>
              <w:pStyle w:val="legp1paratext2"/>
              <w:spacing w:before="120" w:line="300" w:lineRule="atLeast"/>
              <w:ind w:firstLine="0"/>
              <w:jc w:val="left"/>
              <w:rPr>
                <w:rFonts w:ascii="Arial" w:hAnsi="Arial" w:cs="Arial"/>
                <w:sz w:val="22"/>
                <w:szCs w:val="22"/>
              </w:rPr>
            </w:pPr>
            <w:r w:rsidRPr="00C36898">
              <w:rPr>
                <w:rFonts w:ascii="Arial" w:hAnsi="Arial" w:cs="Arial"/>
                <w:sz w:val="22"/>
                <w:szCs w:val="22"/>
              </w:rPr>
              <w:t>Shall mean a Contract awarded under a Framework Agreement</w:t>
            </w:r>
            <w:r>
              <w:rPr>
                <w:rFonts w:ascii="Arial" w:hAnsi="Arial" w:cs="Arial"/>
                <w:sz w:val="22"/>
                <w:szCs w:val="22"/>
              </w:rPr>
              <w:t>.</w:t>
            </w:r>
          </w:p>
        </w:tc>
      </w:tr>
      <w:tr w:rsidR="005C5318" w:rsidTr="005C5318">
        <w:trPr>
          <w:jc w:val="center"/>
        </w:trPr>
        <w:tc>
          <w:tcPr>
            <w:tcW w:w="3315" w:type="dxa"/>
            <w:vAlign w:val="center"/>
          </w:tcPr>
          <w:p w:rsidR="005C5318" w:rsidRPr="000F4AA1" w:rsidRDefault="005C5318" w:rsidP="005C5318">
            <w:pPr>
              <w:spacing w:before="120" w:after="120"/>
              <w:rPr>
                <w:b/>
              </w:rPr>
            </w:pPr>
            <w:r w:rsidRPr="000F4AA1">
              <w:rPr>
                <w:b/>
              </w:rPr>
              <w:t>Consortia</w:t>
            </w:r>
            <w:r>
              <w:rPr>
                <w:b/>
              </w:rPr>
              <w:t>/</w:t>
            </w:r>
            <w:r w:rsidRPr="000F4AA1">
              <w:rPr>
                <w:b/>
              </w:rPr>
              <w:t>Consortium</w:t>
            </w:r>
          </w:p>
        </w:tc>
        <w:tc>
          <w:tcPr>
            <w:tcW w:w="6432" w:type="dxa"/>
            <w:vAlign w:val="center"/>
          </w:tcPr>
          <w:p w:rsidR="005C5318" w:rsidRPr="00504A30" w:rsidRDefault="005C5318" w:rsidP="005C5318">
            <w:pPr>
              <w:pStyle w:val="legp1paratext2"/>
              <w:spacing w:before="120" w:line="300" w:lineRule="atLeast"/>
              <w:ind w:firstLine="0"/>
              <w:jc w:val="left"/>
              <w:rPr>
                <w:rFonts w:ascii="Arial" w:hAnsi="Arial" w:cs="Arial"/>
                <w:sz w:val="22"/>
                <w:szCs w:val="22"/>
              </w:rPr>
            </w:pPr>
            <w:r w:rsidRPr="00504A30">
              <w:rPr>
                <w:rFonts w:ascii="Arial" w:hAnsi="Arial" w:cs="Arial"/>
                <w:sz w:val="22"/>
                <w:szCs w:val="22"/>
              </w:rPr>
              <w:t xml:space="preserve">Shall mean two </w:t>
            </w:r>
            <w:r>
              <w:rPr>
                <w:rFonts w:ascii="Arial" w:hAnsi="Arial" w:cs="Arial"/>
                <w:sz w:val="22"/>
                <w:szCs w:val="22"/>
              </w:rPr>
              <w:t xml:space="preserve">(2) </w:t>
            </w:r>
            <w:r w:rsidRPr="00504A30">
              <w:rPr>
                <w:rFonts w:ascii="Arial" w:hAnsi="Arial" w:cs="Arial"/>
                <w:sz w:val="22"/>
                <w:szCs w:val="22"/>
              </w:rPr>
              <w:t>or more persons, at least one of whom is an economic operator, acting jointly for the purpose of being awarded a public contract (</w:t>
            </w:r>
            <w:r>
              <w:rPr>
                <w:rFonts w:ascii="Arial" w:hAnsi="Arial" w:cs="Arial"/>
                <w:sz w:val="22"/>
                <w:szCs w:val="22"/>
              </w:rPr>
              <w:t xml:space="preserve">pursuant to </w:t>
            </w:r>
            <w:r w:rsidRPr="00504A30">
              <w:rPr>
                <w:rFonts w:ascii="Arial" w:hAnsi="Arial" w:cs="Arial"/>
                <w:sz w:val="22"/>
                <w:szCs w:val="22"/>
              </w:rPr>
              <w:t>Article 28(1) Pub</w:t>
            </w:r>
            <w:r>
              <w:rPr>
                <w:rFonts w:ascii="Arial" w:hAnsi="Arial" w:cs="Arial"/>
                <w:sz w:val="22"/>
                <w:szCs w:val="22"/>
              </w:rPr>
              <w:t>lic Contracts Reg</w:t>
            </w:r>
            <w:r w:rsidRPr="00504A30">
              <w:rPr>
                <w:rFonts w:ascii="Arial" w:hAnsi="Arial" w:cs="Arial"/>
                <w:sz w:val="22"/>
                <w:szCs w:val="22"/>
              </w:rPr>
              <w:t>ulations 2006)</w:t>
            </w:r>
            <w:r>
              <w:rPr>
                <w:rFonts w:ascii="Arial" w:hAnsi="Arial" w:cs="Arial"/>
                <w:sz w:val="22"/>
                <w:szCs w:val="22"/>
              </w:rPr>
              <w:t>.</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Contract</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 xml:space="preserve">Shall mean the Agreement between the Authority and Contractor for the execution of </w:t>
            </w:r>
            <w:r w:rsidRPr="0033044A">
              <w:rPr>
                <w:rFonts w:cs="Arial"/>
                <w:szCs w:val="24"/>
              </w:rPr>
              <w:t>the Goods/Works or Services,</w:t>
            </w:r>
            <w:r>
              <w:rPr>
                <w:rFonts w:cs="Arial"/>
                <w:szCs w:val="24"/>
              </w:rPr>
              <w:t xml:space="preserve"> including all documents to which reference may properly be made in order to ascertain the rights and obligations of all the parties involved.</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Contracting Authority</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Torbay Council and any other Authority on whose behalf Torbay Council may be working.</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Contractor</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Applicant awarded the Contract culminating from an offer to supply accepted by this Authority.</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Eligible Users</w:t>
            </w:r>
          </w:p>
        </w:tc>
        <w:tc>
          <w:tcPr>
            <w:tcW w:w="6432" w:type="dxa"/>
            <w:vAlign w:val="center"/>
          </w:tcPr>
          <w:p w:rsidR="005C5318" w:rsidRDefault="005C5318" w:rsidP="005C5318">
            <w:pPr>
              <w:autoSpaceDE w:val="0"/>
              <w:autoSpaceDN w:val="0"/>
              <w:adjustRightInd w:val="0"/>
              <w:spacing w:before="120" w:after="120"/>
              <w:rPr>
                <w:rFonts w:cs="Arial"/>
                <w:color w:val="000000"/>
                <w:szCs w:val="24"/>
              </w:rPr>
            </w:pPr>
            <w:r>
              <w:rPr>
                <w:rFonts w:cs="Arial"/>
                <w:szCs w:val="24"/>
              </w:rPr>
              <w:t>Shall mean any organisation given access to a Contract as a result of the procurement process and on whose behalf the Authority may be establishing the arrangements.</w:t>
            </w:r>
          </w:p>
        </w:tc>
      </w:tr>
      <w:tr w:rsidR="005C5318" w:rsidTr="005C5318">
        <w:trPr>
          <w:jc w:val="center"/>
        </w:trPr>
        <w:tc>
          <w:tcPr>
            <w:tcW w:w="3315" w:type="dxa"/>
            <w:vAlign w:val="center"/>
          </w:tcPr>
          <w:p w:rsidR="005C5318" w:rsidRPr="00E679FC" w:rsidRDefault="005C5318" w:rsidP="005C5318">
            <w:pPr>
              <w:spacing w:before="120" w:after="120"/>
              <w:rPr>
                <w:rFonts w:cs="Arial"/>
                <w:b/>
              </w:rPr>
            </w:pPr>
            <w:r w:rsidRPr="00E679FC">
              <w:rPr>
                <w:rFonts w:cs="Arial"/>
                <w:b/>
              </w:rPr>
              <w:t>Employers' Liability (Compulsory Insurance)</w:t>
            </w:r>
          </w:p>
        </w:tc>
        <w:tc>
          <w:tcPr>
            <w:tcW w:w="6432" w:type="dxa"/>
            <w:vAlign w:val="center"/>
          </w:tcPr>
          <w:p w:rsidR="005C5318" w:rsidRDefault="005C5318" w:rsidP="005C5318">
            <w:pPr>
              <w:spacing w:before="120" w:after="120"/>
              <w:rPr>
                <w:rFonts w:cs="Arial"/>
              </w:rPr>
            </w:pPr>
            <w:r>
              <w:rPr>
                <w:rFonts w:cs="Arial"/>
              </w:rPr>
              <w:t xml:space="preserve">Shall mean an insurance that enables organisations to meet the costs of </w:t>
            </w:r>
            <w:r>
              <w:rPr>
                <w:rStyle w:val="Strong"/>
                <w:rFonts w:cs="Arial"/>
                <w:b w:val="0"/>
                <w:bCs w:val="0"/>
              </w:rPr>
              <w:t>damages</w:t>
            </w:r>
            <w:r>
              <w:rPr>
                <w:rFonts w:cs="Arial"/>
                <w:b/>
                <w:bCs/>
              </w:rPr>
              <w:t xml:space="preserve"> </w:t>
            </w:r>
            <w:r>
              <w:rPr>
                <w:rFonts w:cs="Arial"/>
              </w:rPr>
              <w:t>and</w:t>
            </w:r>
            <w:r>
              <w:rPr>
                <w:rFonts w:cs="Arial"/>
                <w:b/>
                <w:bCs/>
              </w:rPr>
              <w:t xml:space="preserve"> </w:t>
            </w:r>
            <w:r>
              <w:rPr>
                <w:rStyle w:val="Strong"/>
                <w:rFonts w:cs="Arial"/>
                <w:b w:val="0"/>
                <w:bCs w:val="0"/>
              </w:rPr>
              <w:t>legal fees</w:t>
            </w:r>
            <w:r>
              <w:rPr>
                <w:rFonts w:cs="Arial"/>
              </w:rPr>
              <w:t xml:space="preserve"> for employees who are injured or made ill at work through the fault of the employer. Employees injured due to an employer's negligence can seek compensation even if the organisation goes into liquidation or receivership. The NHS can also claim the costs of hospital treatment (including ambulance costs) when personal injury compensation is paid. This applies to incidents that occur either on or after </w:t>
            </w:r>
            <w:smartTag w:uri="urn:schemas-microsoft-com:office:smarttags" w:element="date">
              <w:smartTagPr>
                <w:attr w:name="Month" w:val="1"/>
                <w:attr w:name="Day" w:val="29"/>
                <w:attr w:name="Year" w:val="2007"/>
              </w:smartTagPr>
              <w:r>
                <w:rPr>
                  <w:rFonts w:cs="Arial"/>
                </w:rPr>
                <w:t>29 January 2007</w:t>
              </w:r>
            </w:smartTag>
            <w:r>
              <w:rPr>
                <w:rFonts w:cs="Arial"/>
              </w:rPr>
              <w:t>.</w:t>
            </w:r>
          </w:p>
          <w:p w:rsidR="005C5318" w:rsidRDefault="005C5318" w:rsidP="005C5318">
            <w:pPr>
              <w:spacing w:before="120" w:after="120"/>
              <w:rPr>
                <w:rFonts w:cs="Arial"/>
              </w:rPr>
            </w:pPr>
            <w:r>
              <w:rPr>
                <w:rFonts w:cs="Arial"/>
              </w:rPr>
              <w:t xml:space="preserve">By law, an employer must have EL insurance and be insured for </w:t>
            </w:r>
            <w:r>
              <w:rPr>
                <w:rStyle w:val="Strong"/>
                <w:rFonts w:cs="Arial"/>
                <w:b w:val="0"/>
                <w:bCs w:val="0"/>
              </w:rPr>
              <w:t>at least £5 million</w:t>
            </w:r>
            <w:r>
              <w:rPr>
                <w:rFonts w:cs="Arial"/>
              </w:rPr>
              <w:t xml:space="preserve">. Most insurers automatically provide cover of at least £10 million. The insurance must cover all the organisation’s employees in </w:t>
            </w:r>
            <w:smartTag w:uri="urn:schemas-microsoft-com:office:smarttags" w:element="country-region">
              <w:r>
                <w:rPr>
                  <w:rFonts w:cs="Arial"/>
                </w:rPr>
                <w:t>England</w:t>
              </w:r>
            </w:smartTag>
            <w:r>
              <w:rPr>
                <w:rFonts w:cs="Arial"/>
              </w:rPr>
              <w:t xml:space="preserve">, </w:t>
            </w:r>
            <w:smartTag w:uri="urn:schemas-microsoft-com:office:smarttags" w:element="country-region">
              <w:r>
                <w:rPr>
                  <w:rFonts w:cs="Arial"/>
                </w:rPr>
                <w:t>Scotland</w:t>
              </w:r>
            </w:smartTag>
            <w:r>
              <w:rPr>
                <w:rFonts w:cs="Arial"/>
              </w:rPr>
              <w:t xml:space="preserve">, </w:t>
            </w:r>
            <w:smartTag w:uri="urn:schemas-microsoft-com:office:smarttags" w:element="country-region">
              <w:r>
                <w:rPr>
                  <w:rFonts w:cs="Arial"/>
                </w:rPr>
                <w:t>Wales</w:t>
              </w:r>
            </w:smartTag>
            <w:r>
              <w:rPr>
                <w:rFonts w:cs="Arial"/>
              </w:rPr>
              <w:t xml:space="preserve"> and </w:t>
            </w:r>
            <w:smartTag w:uri="urn:schemas-microsoft-com:office:smarttags" w:element="place">
              <w:smartTag w:uri="urn:schemas-microsoft-com:office:smarttags" w:element="country-region">
                <w:r>
                  <w:rPr>
                    <w:rFonts w:cs="Arial"/>
                  </w:rPr>
                  <w:t>Northern Ireland</w:t>
                </w:r>
              </w:smartTag>
            </w:smartTag>
            <w:r>
              <w:rPr>
                <w:rFonts w:cs="Arial"/>
              </w:rPr>
              <w:t>.</w:t>
            </w:r>
          </w:p>
          <w:p w:rsidR="005C5318" w:rsidRPr="004441B5" w:rsidRDefault="005C5318" w:rsidP="005C5318">
            <w:pPr>
              <w:pStyle w:val="BodyText"/>
              <w:spacing w:before="120" w:after="120"/>
            </w:pPr>
            <w:r>
              <w:t>If the organisation is not a limited company, and you are the only employee or you only employ close family members, you do not need compulsory Employers’ Liability Insurance. Limited companies with only one employee, where that employee also owns 50 per cent or more of the issued share capital in the company, are also exempt from compulsory Employers’ Liability Insurance. However, there is nothing to prevent an exempt employer from choosing to buy this insurance in view of the financial security it can provide.</w:t>
            </w:r>
          </w:p>
        </w:tc>
      </w:tr>
      <w:tr w:rsidR="005C5318" w:rsidTr="005C5318">
        <w:trPr>
          <w:jc w:val="center"/>
        </w:trPr>
        <w:tc>
          <w:tcPr>
            <w:tcW w:w="3315" w:type="dxa"/>
            <w:vAlign w:val="center"/>
          </w:tcPr>
          <w:p w:rsidR="005C5318" w:rsidRPr="00836D37" w:rsidRDefault="005C5318" w:rsidP="005C5318">
            <w:pPr>
              <w:tabs>
                <w:tab w:val="left" w:pos="709"/>
              </w:tabs>
              <w:spacing w:before="120" w:after="120"/>
              <w:rPr>
                <w:rFonts w:cs="Arial"/>
                <w:b/>
                <w:szCs w:val="24"/>
              </w:rPr>
            </w:pPr>
            <w:r>
              <w:rPr>
                <w:rFonts w:cs="Arial"/>
                <w:b/>
                <w:szCs w:val="24"/>
              </w:rPr>
              <w:t>Evaluation</w:t>
            </w:r>
            <w:r w:rsidRPr="00836D37">
              <w:rPr>
                <w:rFonts w:cs="Arial"/>
                <w:b/>
                <w:szCs w:val="24"/>
              </w:rPr>
              <w:t xml:space="preserve"> Questions</w:t>
            </w:r>
          </w:p>
        </w:tc>
        <w:tc>
          <w:tcPr>
            <w:tcW w:w="6432" w:type="dxa"/>
            <w:vAlign w:val="center"/>
          </w:tcPr>
          <w:p w:rsidR="005C5318" w:rsidRPr="00836D37" w:rsidRDefault="005C5318" w:rsidP="005C5318">
            <w:pPr>
              <w:tabs>
                <w:tab w:val="left" w:pos="709"/>
              </w:tabs>
              <w:spacing w:before="120" w:after="120"/>
              <w:rPr>
                <w:rFonts w:cs="Arial"/>
                <w:szCs w:val="24"/>
              </w:rPr>
            </w:pPr>
            <w:r w:rsidRPr="00836D37">
              <w:rPr>
                <w:rFonts w:cs="Arial"/>
                <w:szCs w:val="24"/>
              </w:rPr>
              <w:t>Shall mean the written response submitted by the Applicant to evidence their ability to meet the Authority’s requirements, which will form part of the evaluation process upon which award of the Contract will be based.</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Framework Agreement</w:t>
            </w:r>
          </w:p>
        </w:tc>
        <w:tc>
          <w:tcPr>
            <w:tcW w:w="6432" w:type="dxa"/>
            <w:vAlign w:val="center"/>
          </w:tcPr>
          <w:p w:rsidR="005C5318" w:rsidRPr="00156A67" w:rsidRDefault="005C5318" w:rsidP="005C5318">
            <w:pPr>
              <w:autoSpaceDE w:val="0"/>
              <w:autoSpaceDN w:val="0"/>
              <w:adjustRightInd w:val="0"/>
              <w:spacing w:before="120" w:after="120"/>
              <w:rPr>
                <w:rFonts w:cs="Arial"/>
                <w:szCs w:val="24"/>
              </w:rPr>
            </w:pPr>
            <w:r w:rsidRPr="00156A67">
              <w:rPr>
                <w:rFonts w:cs="Arial"/>
                <w:szCs w:val="24"/>
              </w:rPr>
              <w:t>Shall an agreement or other arrangement between one or more contracting authorities and one or more economic operators which establishes the terms (in particular the terms as to price and, where appropriate, quantity) under which the economic operator will enter into one or more contracts with a contracting authority in the period during which the framework agreement applies” (Regulation 2(1)).</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Further Competition</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procurement process by which the Authority shall call a Contract off against a Framework Agreement.</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Goods</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all Goods to be supplied as part of this Contract and covered by the Official Purchase Order.</w:t>
            </w:r>
          </w:p>
        </w:tc>
      </w:tr>
      <w:tr w:rsidR="005C5318" w:rsidTr="005C5318">
        <w:trPr>
          <w:jc w:val="center"/>
        </w:trPr>
        <w:tc>
          <w:tcPr>
            <w:tcW w:w="3315" w:type="dxa"/>
            <w:vAlign w:val="center"/>
          </w:tcPr>
          <w:p w:rsidR="005C5318" w:rsidRPr="00973F6D" w:rsidRDefault="005C5318" w:rsidP="005C5318">
            <w:pPr>
              <w:tabs>
                <w:tab w:val="left" w:pos="709"/>
              </w:tabs>
              <w:spacing w:before="120" w:after="120"/>
              <w:rPr>
                <w:rFonts w:cs="Arial"/>
                <w:b/>
                <w:szCs w:val="24"/>
              </w:rPr>
            </w:pPr>
            <w:r w:rsidRPr="00973F6D">
              <w:rPr>
                <w:b/>
              </w:rPr>
              <w:t>Lead Applicant</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organisation leading the bidding process on behalf of its consortia or sub-contractor partners.</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Lot</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o</w:t>
            </w:r>
            <w:r w:rsidRPr="006801BC">
              <w:rPr>
                <w:rFonts w:cs="Arial"/>
                <w:szCs w:val="24"/>
              </w:rPr>
              <w:t>ne of a number of categories of g</w:t>
            </w:r>
            <w:r>
              <w:rPr>
                <w:rFonts w:cs="Arial"/>
                <w:szCs w:val="24"/>
              </w:rPr>
              <w:t xml:space="preserve">oods or services which a single </w:t>
            </w:r>
            <w:r w:rsidRPr="006801BC">
              <w:rPr>
                <w:rFonts w:cs="Arial"/>
                <w:szCs w:val="24"/>
              </w:rPr>
              <w:t>procurement process has been divided into. The use of lots potentially allows for multiple providers to be appointed following one procurement process.</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MEAT</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 xml:space="preserve">Shall </w:t>
            </w:r>
            <w:r w:rsidRPr="00FD5F57">
              <w:rPr>
                <w:rFonts w:cs="Arial"/>
              </w:rPr>
              <w:t xml:space="preserve">mean </w:t>
            </w:r>
            <w:r w:rsidRPr="00FD5F57">
              <w:rPr>
                <w:rStyle w:val="legds2"/>
                <w:rFonts w:cs="Arial"/>
              </w:rPr>
              <w:t xml:space="preserve">most economically advantageous tender from the point of view of the contracting authority in relation to the subject </w:t>
            </w:r>
            <w:r>
              <w:rPr>
                <w:rStyle w:val="legds2"/>
                <w:rFonts w:cs="Arial"/>
              </w:rPr>
              <w:t>matter of the c</w:t>
            </w:r>
            <w:r w:rsidRPr="00FD5F57">
              <w:rPr>
                <w:rStyle w:val="legds2"/>
                <w:rFonts w:cs="Arial"/>
              </w:rPr>
              <w:t>ontract</w:t>
            </w:r>
            <w:r>
              <w:rPr>
                <w:rStyle w:val="legds2"/>
                <w:rFonts w:cs="Arial"/>
              </w:rPr>
              <w:t>.</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Official Purchase Order</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Authority’s Official Purchase Order, to which these conditions apply.</w:t>
            </w:r>
          </w:p>
        </w:tc>
      </w:tr>
      <w:tr w:rsidR="005C5318" w:rsidTr="005C5318">
        <w:trPr>
          <w:jc w:val="center"/>
        </w:trPr>
        <w:tc>
          <w:tcPr>
            <w:tcW w:w="3315" w:type="dxa"/>
            <w:vAlign w:val="center"/>
          </w:tcPr>
          <w:p w:rsidR="005C5318" w:rsidRPr="00DE5EC3" w:rsidRDefault="005C5318" w:rsidP="005C5318">
            <w:pPr>
              <w:spacing w:before="120" w:after="120"/>
              <w:rPr>
                <w:rFonts w:cs="Arial"/>
                <w:b/>
              </w:rPr>
            </w:pPr>
            <w:r w:rsidRPr="00DE17E3">
              <w:rPr>
                <w:rFonts w:cs="Arial"/>
                <w:b/>
              </w:rPr>
              <w:t>Product Liability Insurance</w:t>
            </w:r>
          </w:p>
        </w:tc>
        <w:tc>
          <w:tcPr>
            <w:tcW w:w="6432" w:type="dxa"/>
            <w:vAlign w:val="center"/>
          </w:tcPr>
          <w:p w:rsidR="005C5318" w:rsidRDefault="005C5318" w:rsidP="005C5318">
            <w:pPr>
              <w:spacing w:before="120" w:after="120"/>
              <w:rPr>
                <w:rFonts w:cs="Arial"/>
              </w:rPr>
            </w:pPr>
            <w:r>
              <w:rPr>
                <w:rFonts w:cs="Arial"/>
              </w:rPr>
              <w:t>In Product Liability Insurance terms, a product is any physical item that is sold or given away.</w:t>
            </w:r>
          </w:p>
          <w:p w:rsidR="005C5318" w:rsidRDefault="005C5318" w:rsidP="005C5318">
            <w:pPr>
              <w:spacing w:before="120" w:after="120"/>
              <w:rPr>
                <w:rFonts w:cs="Arial"/>
              </w:rPr>
            </w:pPr>
            <w:r>
              <w:rPr>
                <w:rFonts w:cs="Arial"/>
              </w:rPr>
              <w:t xml:space="preserve">Products must be 'fit for purpose'. The organisation is </w:t>
            </w:r>
            <w:r>
              <w:rPr>
                <w:rStyle w:val="Strong"/>
                <w:rFonts w:cs="Arial"/>
                <w:b w:val="0"/>
                <w:bCs w:val="0"/>
              </w:rPr>
              <w:t>legally responsible</w:t>
            </w:r>
            <w:r>
              <w:rPr>
                <w:rFonts w:cs="Arial"/>
              </w:rPr>
              <w:t xml:space="preserve"> for any damage or injury that a product it supplies may cause (in some circumstances this also includes products that the organisation does not manufacture).</w:t>
            </w:r>
          </w:p>
          <w:p w:rsidR="005C5318" w:rsidRDefault="005C5318" w:rsidP="005C5318">
            <w:pPr>
              <w:spacing w:before="120" w:after="120"/>
              <w:rPr>
                <w:rFonts w:cs="Arial"/>
              </w:rPr>
            </w:pPr>
            <w:r>
              <w:rPr>
                <w:rFonts w:cs="Arial"/>
              </w:rPr>
              <w:t xml:space="preserve">Product Liability Insurance covers the organisation against damages awarded as a result of damage to property or personal injury caused by the product. If damages are paid for personal injury, the NHS can claim to recover the costs of hospital treatment (including ambulance costs). This applies to incidents that occur either on or after </w:t>
            </w:r>
            <w:smartTag w:uri="urn:schemas-microsoft-com:office:smarttags" w:element="date">
              <w:smartTagPr>
                <w:attr w:name="Month" w:val="1"/>
                <w:attr w:name="Day" w:val="29"/>
                <w:attr w:name="Year" w:val="2007"/>
              </w:smartTagPr>
              <w:r>
                <w:rPr>
                  <w:rFonts w:cs="Arial"/>
                </w:rPr>
                <w:t>29 January 2007</w:t>
              </w:r>
            </w:smartTag>
            <w:r>
              <w:rPr>
                <w:rFonts w:cs="Arial"/>
              </w:rPr>
              <w:t>.</w:t>
            </w:r>
          </w:p>
        </w:tc>
      </w:tr>
      <w:tr w:rsidR="005C5318" w:rsidTr="005C5318">
        <w:trPr>
          <w:jc w:val="center"/>
        </w:trPr>
        <w:tc>
          <w:tcPr>
            <w:tcW w:w="3315" w:type="dxa"/>
            <w:vAlign w:val="center"/>
          </w:tcPr>
          <w:p w:rsidR="005C5318" w:rsidRPr="00DE5EC3" w:rsidRDefault="005C5318" w:rsidP="005C5318">
            <w:pPr>
              <w:spacing w:before="120" w:after="120"/>
              <w:rPr>
                <w:rFonts w:cs="Arial"/>
                <w:b/>
              </w:rPr>
            </w:pPr>
            <w:r w:rsidRPr="00DE17E3">
              <w:rPr>
                <w:rFonts w:cs="Arial"/>
                <w:b/>
              </w:rPr>
              <w:t>Professional Indemnity Insurance</w:t>
            </w:r>
          </w:p>
        </w:tc>
        <w:tc>
          <w:tcPr>
            <w:tcW w:w="6432" w:type="dxa"/>
            <w:vAlign w:val="center"/>
          </w:tcPr>
          <w:p w:rsidR="005C5318" w:rsidRDefault="005C5318" w:rsidP="005C5318">
            <w:pPr>
              <w:spacing w:before="120" w:after="120"/>
              <w:rPr>
                <w:rFonts w:cs="Arial"/>
              </w:rPr>
            </w:pPr>
            <w:r>
              <w:rPr>
                <w:rFonts w:cs="Arial"/>
              </w:rPr>
              <w:t xml:space="preserve">Shall mean a liability cover that provides protection for negligent advice or a service provided by the organisation, it also protects against damages the organisation becomes liable for in relation to mistakes made such as errors of judgement, basic administration errors, mislay of or damage to clients' documents. It is designed to safeguard it against claims made by clients for any resulting financial loss or damage to their reputation. This type of insurance should also cover legal fees and costs. </w:t>
            </w:r>
          </w:p>
          <w:p w:rsidR="005C5318" w:rsidRDefault="005C5318" w:rsidP="005C5318">
            <w:pPr>
              <w:spacing w:before="120" w:after="120"/>
              <w:rPr>
                <w:rFonts w:cs="Arial"/>
              </w:rPr>
            </w:pPr>
            <w:r>
              <w:rPr>
                <w:rFonts w:cs="Arial"/>
              </w:rPr>
              <w:t xml:space="preserve">Individuals and organisations that provide professional advice or consultancy services need Professional Indemnity cover. </w:t>
            </w:r>
          </w:p>
        </w:tc>
      </w:tr>
      <w:tr w:rsidR="005C5318" w:rsidTr="005C5318">
        <w:trPr>
          <w:jc w:val="center"/>
        </w:trPr>
        <w:tc>
          <w:tcPr>
            <w:tcW w:w="3315" w:type="dxa"/>
            <w:vAlign w:val="center"/>
          </w:tcPr>
          <w:p w:rsidR="005C5318" w:rsidRPr="00F8570E" w:rsidRDefault="005C5318" w:rsidP="005C5318">
            <w:pPr>
              <w:spacing w:before="120" w:after="120"/>
              <w:rPr>
                <w:rFonts w:cs="Arial"/>
                <w:b/>
              </w:rPr>
            </w:pPr>
            <w:r w:rsidRPr="00F8570E">
              <w:rPr>
                <w:rFonts w:cs="Arial"/>
                <w:b/>
              </w:rPr>
              <w:t>Public Contracts Regulations</w:t>
            </w:r>
          </w:p>
        </w:tc>
        <w:tc>
          <w:tcPr>
            <w:tcW w:w="6432" w:type="dxa"/>
            <w:vAlign w:val="center"/>
          </w:tcPr>
          <w:p w:rsidR="005C5318" w:rsidRDefault="005C5318" w:rsidP="005C5318">
            <w:pPr>
              <w:spacing w:before="120" w:after="120"/>
              <w:rPr>
                <w:rFonts w:cs="Arial"/>
              </w:rPr>
            </w:pPr>
            <w:r>
              <w:rPr>
                <w:rFonts w:cs="Arial"/>
              </w:rPr>
              <w:t xml:space="preserve">Shall mean the legislation incorporated in to English law concerning public procurement, which can be found at: </w:t>
            </w:r>
            <w:hyperlink r:id="rId13" w:history="1">
              <w:r w:rsidRPr="000640DE">
                <w:rPr>
                  <w:rStyle w:val="Hyperlink"/>
                  <w:rFonts w:cs="Arial"/>
                </w:rPr>
                <w:t>www.legislation.gov.uk</w:t>
              </w:r>
            </w:hyperlink>
            <w:r>
              <w:rPr>
                <w:rFonts w:cs="Arial"/>
              </w:rPr>
              <w:t>.</w:t>
            </w:r>
          </w:p>
        </w:tc>
      </w:tr>
      <w:tr w:rsidR="005C5318" w:rsidTr="005C5318">
        <w:trPr>
          <w:jc w:val="center"/>
        </w:trPr>
        <w:tc>
          <w:tcPr>
            <w:tcW w:w="3315" w:type="dxa"/>
            <w:vAlign w:val="center"/>
          </w:tcPr>
          <w:p w:rsidR="005C5318" w:rsidRDefault="005C5318" w:rsidP="005C5318">
            <w:pPr>
              <w:spacing w:before="120" w:after="120"/>
              <w:rPr>
                <w:rFonts w:cs="Arial"/>
                <w:b/>
                <w:szCs w:val="24"/>
              </w:rPr>
            </w:pPr>
            <w:r w:rsidRPr="00DE5EC3">
              <w:rPr>
                <w:rFonts w:cs="Arial"/>
                <w:b/>
              </w:rPr>
              <w:t>Public Liability Insurance</w:t>
            </w:r>
          </w:p>
        </w:tc>
        <w:tc>
          <w:tcPr>
            <w:tcW w:w="6432" w:type="dxa"/>
            <w:vAlign w:val="center"/>
          </w:tcPr>
          <w:p w:rsidR="005C5318" w:rsidRDefault="005C5318" w:rsidP="005C5318">
            <w:pPr>
              <w:spacing w:before="120" w:after="120"/>
              <w:rPr>
                <w:rFonts w:cs="Arial"/>
              </w:rPr>
            </w:pPr>
            <w:r>
              <w:rPr>
                <w:rFonts w:cs="Arial"/>
              </w:rPr>
              <w:t xml:space="preserve">Shall mean an insurance that covers members of the public or customers coming to the organisation’s premises or if the organisation’s staff go to theirs (including if the organisation is based ‘at home’). </w:t>
            </w:r>
          </w:p>
          <w:p w:rsidR="005C5318" w:rsidRDefault="005C5318" w:rsidP="005C5318">
            <w:pPr>
              <w:spacing w:before="120" w:after="120"/>
              <w:rPr>
                <w:rFonts w:cs="Arial"/>
              </w:rPr>
            </w:pPr>
            <w:r>
              <w:rPr>
                <w:rFonts w:cs="Arial"/>
              </w:rPr>
              <w:t xml:space="preserve">It covers any awards of damages given to a member of the public because of an injury or damage to their property caused by the organisation. It also covers any related </w:t>
            </w:r>
            <w:r>
              <w:rPr>
                <w:rStyle w:val="Strong"/>
                <w:rFonts w:cs="Arial"/>
                <w:b w:val="0"/>
                <w:bCs w:val="0"/>
              </w:rPr>
              <w:t>legal fees</w:t>
            </w:r>
            <w:r>
              <w:rPr>
                <w:rFonts w:cs="Arial"/>
              </w:rPr>
              <w:t>, costs and expenses as well as costs of hospital treatment (including ambulance costs) that the NHS may claim from the organisation.</w:t>
            </w:r>
          </w:p>
          <w:p w:rsidR="005C5318" w:rsidRPr="00DE5EC3" w:rsidRDefault="005C5318" w:rsidP="005C5318">
            <w:pPr>
              <w:spacing w:before="120" w:after="120"/>
              <w:rPr>
                <w:rFonts w:cs="Arial"/>
              </w:rPr>
            </w:pPr>
            <w:r>
              <w:rPr>
                <w:rFonts w:cs="Arial"/>
              </w:rPr>
              <w:t>Premiums are based on the type of business and rated on an estimate for the level of activity of the business.</w:t>
            </w:r>
          </w:p>
        </w:tc>
      </w:tr>
      <w:tr w:rsidR="005C5318" w:rsidTr="005C5318">
        <w:trPr>
          <w:jc w:val="center"/>
        </w:trPr>
        <w:tc>
          <w:tcPr>
            <w:tcW w:w="3315" w:type="dxa"/>
            <w:vAlign w:val="center"/>
          </w:tcPr>
          <w:p w:rsidR="005C5318" w:rsidRPr="00D76D6D" w:rsidRDefault="005C5318" w:rsidP="005C5318">
            <w:pPr>
              <w:tabs>
                <w:tab w:val="left" w:pos="709"/>
              </w:tabs>
              <w:spacing w:before="120" w:after="120"/>
              <w:rPr>
                <w:rFonts w:cs="Arial"/>
                <w:b/>
                <w:szCs w:val="24"/>
              </w:rPr>
            </w:pPr>
            <w:r w:rsidRPr="00D76D6D">
              <w:rPr>
                <w:rFonts w:cs="Arial"/>
                <w:b/>
                <w:szCs w:val="24"/>
              </w:rPr>
              <w:t>RFQ</w:t>
            </w:r>
          </w:p>
        </w:tc>
        <w:tc>
          <w:tcPr>
            <w:tcW w:w="6432" w:type="dxa"/>
            <w:vAlign w:val="center"/>
          </w:tcPr>
          <w:p w:rsidR="005C5318" w:rsidRPr="00D76D6D" w:rsidRDefault="005C5318" w:rsidP="005C5318">
            <w:pPr>
              <w:tabs>
                <w:tab w:val="left" w:pos="709"/>
              </w:tabs>
              <w:spacing w:before="120" w:after="120"/>
              <w:rPr>
                <w:rFonts w:cs="Arial"/>
                <w:szCs w:val="24"/>
              </w:rPr>
            </w:pPr>
            <w:r w:rsidRPr="00D76D6D">
              <w:rPr>
                <w:rFonts w:cs="Arial"/>
                <w:szCs w:val="24"/>
              </w:rPr>
              <w:t>Shall mean Request for Quotation.</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Selection</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 xml:space="preserve">Shall mean the process by which Applicants will be selected to move forward to the next stage of the procurement process, in accordance with the criteria listed at </w:t>
            </w:r>
            <w:r>
              <w:t>Regulations 23, 24 and 25 of the Public Contracts Regulations 2006 as amended in 2009.</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Service(s)</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any action/s by the Contractor required by the Contract.</w:t>
            </w:r>
          </w:p>
        </w:tc>
      </w:tr>
      <w:tr w:rsidR="005C5318" w:rsidTr="005C5318">
        <w:trPr>
          <w:jc w:val="center"/>
        </w:trPr>
        <w:tc>
          <w:tcPr>
            <w:tcW w:w="3315" w:type="dxa"/>
            <w:vAlign w:val="center"/>
          </w:tcPr>
          <w:p w:rsidR="005C5318" w:rsidRPr="00A85588" w:rsidRDefault="005C5318" w:rsidP="005C5318">
            <w:pPr>
              <w:spacing w:before="120" w:after="120"/>
              <w:rPr>
                <w:b/>
              </w:rPr>
            </w:pPr>
            <w:r w:rsidRPr="00D76D6D">
              <w:rPr>
                <w:b/>
              </w:rPr>
              <w:t>South West Region Selection Questionnaire</w:t>
            </w:r>
          </w:p>
        </w:tc>
        <w:tc>
          <w:tcPr>
            <w:tcW w:w="6432" w:type="dxa"/>
            <w:vAlign w:val="center"/>
          </w:tcPr>
          <w:p w:rsidR="005C5318" w:rsidRDefault="005C5318" w:rsidP="005C5318">
            <w:pPr>
              <w:tabs>
                <w:tab w:val="left" w:pos="709"/>
              </w:tabs>
              <w:spacing w:before="120" w:after="120"/>
              <w:rPr>
                <w:rStyle w:val="cald-definition1"/>
                <w:rFonts w:ascii="Arial" w:hAnsi="Arial" w:cs="Arial"/>
                <w:iCs/>
                <w:sz w:val="22"/>
                <w:szCs w:val="22"/>
              </w:rPr>
            </w:pPr>
            <w:r>
              <w:rPr>
                <w:rStyle w:val="cald-definition1"/>
                <w:rFonts w:ascii="Arial" w:hAnsi="Arial" w:cs="Arial"/>
                <w:iCs/>
                <w:sz w:val="22"/>
                <w:szCs w:val="22"/>
              </w:rPr>
              <w:t>Shall mean the on-line questionnaire to be completed by all Applicants, containing the mandatory requirements through which Applicants shall be selected to move through to the next stage of the process.</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rPr>
            </w:pPr>
            <w:r>
              <w:rPr>
                <w:rFonts w:cs="Arial"/>
                <w:b/>
              </w:rPr>
              <w:t>Specification</w:t>
            </w:r>
          </w:p>
        </w:tc>
        <w:tc>
          <w:tcPr>
            <w:tcW w:w="6432" w:type="dxa"/>
            <w:vAlign w:val="center"/>
          </w:tcPr>
          <w:p w:rsidR="005C5318" w:rsidRDefault="005C5318" w:rsidP="005C5318">
            <w:pPr>
              <w:tabs>
                <w:tab w:val="left" w:pos="709"/>
              </w:tabs>
              <w:spacing w:before="120" w:after="120"/>
              <w:rPr>
                <w:rFonts w:cs="Arial"/>
                <w:iCs/>
              </w:rPr>
            </w:pPr>
            <w:r>
              <w:rPr>
                <w:rStyle w:val="cald-definition1"/>
                <w:rFonts w:ascii="Arial" w:hAnsi="Arial" w:cs="Arial"/>
                <w:iCs/>
                <w:sz w:val="22"/>
                <w:szCs w:val="22"/>
              </w:rPr>
              <w:t>Shall mean the detailed description of the Authority’s requirements.</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Submission</w:t>
            </w:r>
          </w:p>
        </w:tc>
        <w:tc>
          <w:tcPr>
            <w:tcW w:w="6432" w:type="dxa"/>
            <w:vAlign w:val="center"/>
          </w:tcPr>
          <w:p w:rsidR="005C5318" w:rsidRDefault="005C5318" w:rsidP="005C5318">
            <w:pPr>
              <w:autoSpaceDE w:val="0"/>
              <w:autoSpaceDN w:val="0"/>
              <w:adjustRightInd w:val="0"/>
              <w:spacing w:before="120" w:after="120"/>
              <w:rPr>
                <w:rFonts w:cs="Arial"/>
                <w:lang w:eastAsia="en-GB"/>
              </w:rPr>
            </w:pPr>
            <w:r w:rsidRPr="006C63F7">
              <w:rPr>
                <w:rFonts w:cs="Arial"/>
              </w:rPr>
              <w:t xml:space="preserve">Shall mean the correct and proper process </w:t>
            </w:r>
            <w:r>
              <w:rPr>
                <w:rFonts w:cs="Arial"/>
              </w:rPr>
              <w:t>for submitting the Applicant’s B</w:t>
            </w:r>
            <w:r w:rsidRPr="006C63F7">
              <w:rPr>
                <w:rFonts w:cs="Arial"/>
              </w:rPr>
              <w:t>id</w:t>
            </w:r>
            <w:r>
              <w:rPr>
                <w:rFonts w:cs="Arial"/>
              </w:rPr>
              <w:t xml:space="preserve"> electronically</w:t>
            </w:r>
            <w:r w:rsidRPr="006C63F7">
              <w:rPr>
                <w:rFonts w:cs="Arial"/>
              </w:rPr>
              <w:t xml:space="preserve">. </w:t>
            </w:r>
            <w:r>
              <w:rPr>
                <w:rFonts w:cs="Arial"/>
              </w:rPr>
              <w:t>All B</w:t>
            </w:r>
            <w:r w:rsidRPr="006C63F7">
              <w:rPr>
                <w:rFonts w:cs="Arial"/>
              </w:rPr>
              <w:t>id</w:t>
            </w:r>
            <w:r>
              <w:rPr>
                <w:rFonts w:cs="Arial"/>
              </w:rPr>
              <w:t>s</w:t>
            </w:r>
            <w:r w:rsidRPr="006C63F7">
              <w:rPr>
                <w:rFonts w:cs="Arial"/>
              </w:rPr>
              <w:t xml:space="preserve"> shall be submitted in accordance with the ‘Submitting the Tender Response’ section of the ProContract Supplier Guide entitled ‘</w:t>
            </w:r>
            <w:r w:rsidRPr="006C63F7">
              <w:rPr>
                <w:rFonts w:cs="Arial"/>
                <w:lang w:eastAsia="en-GB"/>
              </w:rPr>
              <w:t xml:space="preserve">The Tender Process within ProContract’, which can be found from the ‘Help’ screen on the system. </w:t>
            </w:r>
          </w:p>
          <w:p w:rsidR="005C5318" w:rsidRDefault="005C5318" w:rsidP="005C5318">
            <w:pPr>
              <w:spacing w:before="120" w:after="120"/>
            </w:pPr>
            <w:r w:rsidRPr="00545069">
              <w:t xml:space="preserve">Applicants will not e-mail their </w:t>
            </w:r>
            <w:r>
              <w:t>Bids</w:t>
            </w:r>
            <w:r w:rsidRPr="00545069">
              <w:t xml:space="preserve"> directly to any named person/s within the Authority or to any of the Authority’s generic e-mail addresses.</w:t>
            </w:r>
          </w:p>
          <w:p w:rsidR="005C5318" w:rsidRDefault="005C5318" w:rsidP="005C5318">
            <w:pPr>
              <w:autoSpaceDE w:val="0"/>
              <w:autoSpaceDN w:val="0"/>
              <w:adjustRightInd w:val="0"/>
              <w:spacing w:before="120" w:after="120"/>
              <w:rPr>
                <w:rFonts w:cs="Arial"/>
              </w:rPr>
            </w:pPr>
            <w:r>
              <w:rPr>
                <w:rFonts w:cs="Arial"/>
              </w:rPr>
              <w:t xml:space="preserve">Applicants will not attach their Bids to any part of the ProContract system other than described within the document referred to above. </w:t>
            </w:r>
          </w:p>
          <w:p w:rsidR="005C5318" w:rsidRPr="006C63F7" w:rsidRDefault="005C5318" w:rsidP="005C5318">
            <w:pPr>
              <w:autoSpaceDE w:val="0"/>
              <w:autoSpaceDN w:val="0"/>
              <w:adjustRightInd w:val="0"/>
              <w:spacing w:before="120" w:after="120"/>
              <w:rPr>
                <w:rFonts w:cs="Arial"/>
              </w:rPr>
            </w:pPr>
            <w:r>
              <w:rPr>
                <w:rFonts w:cs="Arial"/>
              </w:rPr>
              <w:t>Applicants will not send their Bids to the Authority in a paper or other ‘hard’ format unless specifically requested to do so within the associated bid documentation.</w:t>
            </w:r>
          </w:p>
          <w:p w:rsidR="005C5318" w:rsidRPr="006C63F7" w:rsidRDefault="005C5318" w:rsidP="005C5318">
            <w:pPr>
              <w:tabs>
                <w:tab w:val="left" w:pos="709"/>
              </w:tabs>
              <w:spacing w:before="120" w:after="120"/>
              <w:rPr>
                <w:rFonts w:cs="Arial"/>
                <w:caps/>
                <w:szCs w:val="24"/>
              </w:rPr>
            </w:pPr>
            <w:r w:rsidRPr="006C63F7">
              <w:rPr>
                <w:rFonts w:cs="Arial"/>
                <w:caps/>
              </w:rPr>
              <w:t xml:space="preserve"> </w:t>
            </w:r>
            <w:r w:rsidRPr="006C63F7">
              <w:rPr>
                <w:rFonts w:cs="Arial"/>
                <w:color w:val="000000"/>
              </w:rPr>
              <w:t>Any S</w:t>
            </w:r>
            <w:r>
              <w:rPr>
                <w:rFonts w:cs="Arial"/>
                <w:color w:val="000000"/>
              </w:rPr>
              <w:t>ubmissions that do no accord with the guidelines set out above shall</w:t>
            </w:r>
            <w:r w:rsidRPr="006C63F7">
              <w:rPr>
                <w:rFonts w:cs="Arial"/>
                <w:color w:val="000000"/>
              </w:rPr>
              <w:t xml:space="preserve"> be considered as </w:t>
            </w:r>
            <w:r>
              <w:rPr>
                <w:rFonts w:cs="Arial"/>
                <w:color w:val="000000"/>
              </w:rPr>
              <w:t>non-compliant</w:t>
            </w:r>
            <w:r w:rsidRPr="006C63F7">
              <w:rPr>
                <w:rFonts w:cs="Arial"/>
                <w:color w:val="000000"/>
              </w:rPr>
              <w:t xml:space="preserve"> and will be treated as such</w:t>
            </w:r>
            <w:r>
              <w:rPr>
                <w:rFonts w:cs="Arial"/>
                <w:color w:val="000000"/>
              </w:rPr>
              <w:t>.</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Supplying the South West</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e-Tendering portal through which the Authority advertises procurement opportunities and conducts procurement processes electronically</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Tender</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invitation to bid for this Contract.</w:t>
            </w:r>
          </w:p>
          <w:p w:rsidR="005C5318" w:rsidRDefault="005C5318" w:rsidP="005C5318">
            <w:pPr>
              <w:tabs>
                <w:tab w:val="left" w:pos="709"/>
              </w:tabs>
              <w:spacing w:before="120" w:after="120"/>
              <w:rPr>
                <w:rFonts w:cs="Arial"/>
                <w:szCs w:val="24"/>
              </w:rPr>
            </w:pPr>
            <w:r>
              <w:rPr>
                <w:rFonts w:cs="Arial"/>
                <w:szCs w:val="24"/>
              </w:rPr>
              <w:t>Shall mean your written offer to Contract Goods/Works or Services at the cost/s or rate/s specified in any subsequent documentation.</w:t>
            </w:r>
          </w:p>
        </w:tc>
      </w:tr>
      <w:tr w:rsidR="005C5318" w:rsidTr="005C5318">
        <w:trPr>
          <w:jc w:val="center"/>
        </w:trPr>
        <w:tc>
          <w:tcPr>
            <w:tcW w:w="3315" w:type="dxa"/>
            <w:vAlign w:val="center"/>
          </w:tcPr>
          <w:p w:rsidR="005C5318" w:rsidRPr="0021398F" w:rsidRDefault="005C5318" w:rsidP="005C5318">
            <w:pPr>
              <w:tabs>
                <w:tab w:val="left" w:pos="709"/>
              </w:tabs>
              <w:spacing w:before="120" w:after="120"/>
              <w:rPr>
                <w:rFonts w:cs="Arial"/>
                <w:b/>
                <w:szCs w:val="24"/>
              </w:rPr>
            </w:pPr>
            <w:r>
              <w:rPr>
                <w:rFonts w:cs="Arial"/>
                <w:b/>
                <w:szCs w:val="24"/>
              </w:rPr>
              <w:t>Transfer of Undertaking (Protection of Employment) Regulations 2006 (TUPE)</w:t>
            </w:r>
          </w:p>
        </w:tc>
        <w:tc>
          <w:tcPr>
            <w:tcW w:w="6432" w:type="dxa"/>
            <w:vAlign w:val="center"/>
          </w:tcPr>
          <w:p w:rsidR="005C5318" w:rsidRDefault="005C5318" w:rsidP="005C5318">
            <w:pPr>
              <w:rPr>
                <w:rFonts w:cs="Arial"/>
                <w:szCs w:val="24"/>
              </w:rPr>
            </w:pPr>
            <w:r>
              <w:rPr>
                <w:rFonts w:cs="Arial"/>
                <w:szCs w:val="24"/>
              </w:rPr>
              <w:t xml:space="preserve">Shall mean the regulations which govern how employers shall deal with transfer of staff when </w:t>
            </w:r>
            <w:r w:rsidRPr="009701B3">
              <w:rPr>
                <w:snapToGrid w:val="0"/>
              </w:rPr>
              <w:t xml:space="preserve">a </w:t>
            </w:r>
            <w:r>
              <w:rPr>
                <w:snapToGrid w:val="0"/>
              </w:rPr>
              <w:t>service</w:t>
            </w:r>
            <w:r w:rsidRPr="009701B3">
              <w:rPr>
                <w:snapToGrid w:val="0"/>
              </w:rPr>
              <w:t xml:space="preserve"> or business changes han</w:t>
            </w:r>
            <w:r>
              <w:rPr>
                <w:snapToGrid w:val="0"/>
              </w:rPr>
              <w:t>ds from one employer to another in order to ensure t</w:t>
            </w:r>
            <w:r w:rsidRPr="009701B3">
              <w:rPr>
                <w:snapToGrid w:val="0"/>
              </w:rPr>
              <w:t>he principal terms of employees’ rights are protected.</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sidRPr="0021398F">
              <w:rPr>
                <w:rFonts w:cs="Arial"/>
                <w:b/>
                <w:szCs w:val="24"/>
              </w:rPr>
              <w:t>Volume Five (5) Forms</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document containing the checklist of information to be submitted by Applicants, information concerning the Applicant’s organisation, the Conditions of Tender, confidentiality certificate and certificate of undertaking absence of collusion or canvassing, pricing schedule declaration, the equalities monitoring form and supplier feedback form. Applicants will be required to complete this document in full during the first stage of a procurement process and update it during later stages (where the process is split in to more than one (1) stage)</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sidRPr="0021398F">
              <w:rPr>
                <w:rFonts w:cs="Arial"/>
                <w:b/>
                <w:szCs w:val="24"/>
              </w:rPr>
              <w:t>Volume Four A (4A) Pricing</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spreadsheet containing the schedule(s) which Applicants are required to complete and submit, against which the pricing will be evaluated.</w:t>
            </w:r>
          </w:p>
        </w:tc>
      </w:tr>
      <w:tr w:rsidR="005C5318" w:rsidTr="005C5318">
        <w:trPr>
          <w:jc w:val="center"/>
        </w:trPr>
        <w:tc>
          <w:tcPr>
            <w:tcW w:w="3315" w:type="dxa"/>
            <w:vAlign w:val="center"/>
          </w:tcPr>
          <w:p w:rsidR="005C5318" w:rsidRPr="008B4DE5" w:rsidRDefault="005C5318" w:rsidP="005C5318">
            <w:pPr>
              <w:tabs>
                <w:tab w:val="left" w:pos="709"/>
              </w:tabs>
              <w:spacing w:before="120" w:after="120"/>
              <w:rPr>
                <w:rFonts w:cs="Arial"/>
                <w:b/>
                <w:szCs w:val="24"/>
                <w:highlight w:val="green"/>
              </w:rPr>
            </w:pPr>
            <w:r w:rsidRPr="008B4DE5">
              <w:rPr>
                <w:rFonts w:cs="Arial"/>
                <w:b/>
                <w:szCs w:val="24"/>
              </w:rPr>
              <w:t>Volume Four (4) Evaluation</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document containing the questions against which the bid will be evaluated and in which Applicants are required to submit their response.</w:t>
            </w:r>
          </w:p>
          <w:p w:rsidR="005C5318" w:rsidRDefault="005C5318" w:rsidP="005C5318">
            <w:pPr>
              <w:tabs>
                <w:tab w:val="left" w:pos="709"/>
              </w:tabs>
              <w:spacing w:before="120" w:after="120"/>
              <w:rPr>
                <w:rFonts w:cs="Arial"/>
                <w:szCs w:val="24"/>
              </w:rPr>
            </w:pPr>
            <w:r>
              <w:rPr>
                <w:rFonts w:cs="Arial"/>
                <w:szCs w:val="24"/>
              </w:rPr>
              <w:t xml:space="preserve">Dependent upon the particular stage of the procurement this document may contain questions for Applicants pertaining to Selection or Award or both. </w:t>
            </w:r>
            <w:r w:rsidRPr="001F50ED">
              <w:rPr>
                <w:rFonts w:cs="Arial"/>
                <w:szCs w:val="24"/>
              </w:rPr>
              <w:t>In some cases the Applicant may be required to respond to these questions via the Supplying the South West e-tendering portal</w:t>
            </w:r>
            <w:r>
              <w:rPr>
                <w:rFonts w:cs="Arial"/>
                <w:szCs w:val="24"/>
              </w:rPr>
              <w:t>.</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Volume One (1) Guidance</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document containing advice to Applicants concerning the way that the procurement process will be conducted and the way in which the documentation should be completed.</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sidRPr="008B4DE5">
              <w:rPr>
                <w:rFonts w:cs="Arial"/>
                <w:b/>
                <w:szCs w:val="24"/>
              </w:rPr>
              <w:t>Volume Three (3) Specification</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Shall mean the document containing the specification for the Goods/Works or Services being procured.</w:t>
            </w:r>
          </w:p>
        </w:tc>
      </w:tr>
      <w:tr w:rsidR="005C5318" w:rsidTr="005C5318">
        <w:trPr>
          <w:jc w:val="center"/>
        </w:trPr>
        <w:tc>
          <w:tcPr>
            <w:tcW w:w="3315" w:type="dxa"/>
            <w:vAlign w:val="center"/>
          </w:tcPr>
          <w:p w:rsidR="005C5318" w:rsidRDefault="005C5318" w:rsidP="005C5318">
            <w:pPr>
              <w:tabs>
                <w:tab w:val="left" w:pos="709"/>
              </w:tabs>
              <w:spacing w:before="120" w:after="120"/>
              <w:rPr>
                <w:rFonts w:cs="Arial"/>
                <w:b/>
                <w:szCs w:val="24"/>
              </w:rPr>
            </w:pPr>
            <w:r>
              <w:rPr>
                <w:rFonts w:cs="Arial"/>
                <w:b/>
                <w:szCs w:val="24"/>
              </w:rPr>
              <w:t xml:space="preserve">Volume Two (2) </w:t>
            </w:r>
            <w:r w:rsidRPr="0086669B">
              <w:rPr>
                <w:b/>
                <w:color w:val="000000"/>
              </w:rPr>
              <w:t xml:space="preserve">Information </w:t>
            </w:r>
          </w:p>
        </w:tc>
        <w:tc>
          <w:tcPr>
            <w:tcW w:w="6432" w:type="dxa"/>
            <w:vAlign w:val="center"/>
          </w:tcPr>
          <w:p w:rsidR="005C5318" w:rsidRDefault="005C5318" w:rsidP="005C5318">
            <w:pPr>
              <w:tabs>
                <w:tab w:val="left" w:pos="709"/>
              </w:tabs>
              <w:spacing w:before="120" w:after="120"/>
              <w:rPr>
                <w:rFonts w:cs="Arial"/>
                <w:szCs w:val="24"/>
              </w:rPr>
            </w:pPr>
            <w:r>
              <w:rPr>
                <w:rFonts w:cs="Arial"/>
                <w:szCs w:val="24"/>
              </w:rPr>
              <w:t xml:space="preserve">Shall mean the document containing information relating to the procurement including </w:t>
            </w:r>
            <w:r w:rsidRPr="00877E4E">
              <w:rPr>
                <w:rFonts w:cs="Arial"/>
                <w:szCs w:val="24"/>
              </w:rPr>
              <w:t>definitions, information on the procurement procedure, the evaluation process, information about the Contract and other information that may assist the Applicant to complete their submission.</w:t>
            </w:r>
          </w:p>
        </w:tc>
      </w:tr>
    </w:tbl>
    <w:p w:rsidR="00FA47CB" w:rsidRDefault="00FA47CB" w:rsidP="00FA47CB"/>
    <w:p w:rsidR="00564AA7" w:rsidRDefault="00564AA7" w:rsidP="00FA47CB"/>
    <w:sectPr w:rsidR="00564AA7" w:rsidSect="00D45333">
      <w:pgSz w:w="11907" w:h="16840" w:code="9"/>
      <w:pgMar w:top="1134" w:right="1134" w:bottom="1134" w:left="1134" w:header="99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E95" w:rsidRDefault="00980E95">
      <w:pPr>
        <w:spacing w:after="0" w:line="240" w:lineRule="auto"/>
      </w:pPr>
      <w:r>
        <w:separator/>
      </w:r>
    </w:p>
  </w:endnote>
  <w:endnote w:type="continuationSeparator" w:id="0">
    <w:p w:rsidR="00980E95" w:rsidRDefault="00980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95"/>
      <w:docPartObj>
        <w:docPartGallery w:val="Page Numbers (Bottom of Page)"/>
        <w:docPartUnique/>
      </w:docPartObj>
    </w:sdtPr>
    <w:sdtContent>
      <w:sdt>
        <w:sdtPr>
          <w:id w:val="3277898"/>
          <w:docPartObj>
            <w:docPartGallery w:val="Page Numbers (Bottom of Page)"/>
            <w:docPartUnique/>
          </w:docPartObj>
        </w:sdtPr>
        <w:sdtContent>
          <w:p w:rsidR="00980E95" w:rsidRDefault="00980E95" w:rsidP="001D3892">
            <w:pPr>
              <w:pStyle w:val="Footer"/>
              <w:jc w:val="right"/>
            </w:pPr>
            <w:r>
              <w:t>Version 1 15May14</w:t>
            </w:r>
          </w:p>
        </w:sdtContent>
      </w:sdt>
      <w:p w:rsidR="00980E95" w:rsidRDefault="00980E95" w:rsidP="001D3892">
        <w:pPr>
          <w:pStyle w:val="Footer"/>
          <w:jc w:val="right"/>
        </w:pPr>
        <w:r>
          <w:t xml:space="preserve"> </w:t>
        </w:r>
        <w:fldSimple w:instr=" PAGE   \* MERGEFORMAT ">
          <w:r w:rsidR="00684C36">
            <w:rPr>
              <w:noProof/>
            </w:rPr>
            <w:t>2</w:t>
          </w:r>
        </w:fldSimple>
      </w:p>
    </w:sdtContent>
  </w:sdt>
  <w:p w:rsidR="00980E95" w:rsidRDefault="00980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94"/>
      <w:docPartObj>
        <w:docPartGallery w:val="Page Numbers (Bottom of Page)"/>
        <w:docPartUnique/>
      </w:docPartObj>
    </w:sdtPr>
    <w:sdtContent>
      <w:sdt>
        <w:sdtPr>
          <w:id w:val="29196704"/>
          <w:docPartObj>
            <w:docPartGallery w:val="Page Numbers (Bottom of Page)"/>
            <w:docPartUnique/>
          </w:docPartObj>
        </w:sdtPr>
        <w:sdtContent>
          <w:p w:rsidR="00980E95" w:rsidRDefault="00980E95" w:rsidP="001D3892">
            <w:pPr>
              <w:pStyle w:val="Footer"/>
              <w:jc w:val="right"/>
            </w:pPr>
            <w:r>
              <w:t>Version 1 15May14</w:t>
            </w:r>
          </w:p>
        </w:sdtContent>
      </w:sdt>
      <w:p w:rsidR="00980E95" w:rsidRDefault="009850D8">
        <w:pPr>
          <w:pStyle w:val="Footer"/>
          <w:jc w:val="right"/>
        </w:pPr>
      </w:p>
    </w:sdtContent>
  </w:sdt>
  <w:p w:rsidR="00980E95" w:rsidRDefault="00980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E95" w:rsidRDefault="00980E95">
      <w:pPr>
        <w:spacing w:after="0" w:line="240" w:lineRule="auto"/>
      </w:pPr>
      <w:r>
        <w:separator/>
      </w:r>
    </w:p>
  </w:footnote>
  <w:footnote w:type="continuationSeparator" w:id="0">
    <w:p w:rsidR="00980E95" w:rsidRDefault="00980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95" w:rsidRPr="00D45333" w:rsidRDefault="00980E95">
    <w:pPr>
      <w:pStyle w:val="Header"/>
      <w:rPr>
        <w:b/>
      </w:rPr>
    </w:pPr>
    <w:r w:rsidRPr="00D45333">
      <w:rPr>
        <w:b/>
      </w:rPr>
      <w:t>Volume for Information</w:t>
    </w:r>
  </w:p>
  <w:p w:rsidR="00980E95" w:rsidRDefault="00980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95" w:rsidRPr="00686DB0" w:rsidRDefault="00980E95" w:rsidP="0071270C">
    <w:pPr>
      <w:pStyle w:val="Header"/>
      <w:rPr>
        <w:b/>
      </w:rPr>
    </w:pPr>
    <w:r w:rsidRPr="00686DB0">
      <w:rPr>
        <w:b/>
      </w:rPr>
      <w:t>Volume for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C79D0"/>
    <w:multiLevelType w:val="hybridMultilevel"/>
    <w:tmpl w:val="7CD4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77B2C"/>
    <w:multiLevelType w:val="hybridMultilevel"/>
    <w:tmpl w:val="35A0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275AAC"/>
    <w:multiLevelType w:val="hybridMultilevel"/>
    <w:tmpl w:val="C90C7A8A"/>
    <w:lvl w:ilvl="0" w:tplc="1188CFF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185F9F"/>
    <w:multiLevelType w:val="multilevel"/>
    <w:tmpl w:val="9E26A3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41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38210AC"/>
    <w:multiLevelType w:val="multilevel"/>
    <w:tmpl w:val="E38E77F8"/>
    <w:lvl w:ilvl="0">
      <w:start w:val="1"/>
      <w:numFmt w:val="decimal"/>
      <w:lvlText w:val="%1"/>
      <w:lvlJc w:val="left"/>
      <w:pPr>
        <w:tabs>
          <w:tab w:val="num" w:pos="999"/>
        </w:tabs>
        <w:ind w:left="999" w:hanging="432"/>
      </w:pPr>
      <w:rPr>
        <w:rFonts w:hint="default"/>
        <w:color w:val="FFFFFF" w:themeColor="background1"/>
      </w:rPr>
    </w:lvl>
    <w:lvl w:ilvl="1">
      <w:start w:val="1"/>
      <w:numFmt w:val="decimal"/>
      <w:lvlText w:val="%1.%2"/>
      <w:lvlJc w:val="left"/>
      <w:pPr>
        <w:tabs>
          <w:tab w:val="num" w:pos="1143"/>
        </w:tabs>
        <w:ind w:left="1143" w:hanging="576"/>
      </w:pPr>
      <w:rPr>
        <w:rFonts w:hint="default"/>
        <w:b/>
        <w:sz w:val="28"/>
        <w:szCs w:val="28"/>
      </w:rPr>
    </w:lvl>
    <w:lvl w:ilvl="2">
      <w:start w:val="1"/>
      <w:numFmt w:val="decimal"/>
      <w:lvlText w:val="%1.%2.%3"/>
      <w:lvlJc w:val="left"/>
      <w:pPr>
        <w:tabs>
          <w:tab w:val="num" w:pos="1287"/>
        </w:tabs>
        <w:ind w:left="1287" w:hanging="720"/>
      </w:pPr>
      <w:rPr>
        <w:rFonts w:hint="default"/>
        <w:b/>
        <w:color w:val="auto"/>
        <w:sz w:val="22"/>
        <w:szCs w:val="22"/>
      </w:rPr>
    </w:lvl>
    <w:lvl w:ilvl="3">
      <w:start w:val="1"/>
      <w:numFmt w:val="lowerLetter"/>
      <w:lvlText w:val="%4)"/>
      <w:lvlJc w:val="left"/>
      <w:pPr>
        <w:tabs>
          <w:tab w:val="num" w:pos="1431"/>
        </w:tabs>
        <w:ind w:left="1431" w:hanging="864"/>
      </w:pPr>
      <w:rPr>
        <w:rFonts w:hint="default"/>
        <w:color w:val="auto"/>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
    <w:nsid w:val="15E813D7"/>
    <w:multiLevelType w:val="multilevel"/>
    <w:tmpl w:val="CA4E8FFE"/>
    <w:lvl w:ilvl="0">
      <w:start w:val="1"/>
      <w:numFmt w:val="bullet"/>
      <w:lvlText w:val=""/>
      <w:lvlJc w:val="left"/>
      <w:pPr>
        <w:tabs>
          <w:tab w:val="num" w:pos="999"/>
        </w:tabs>
        <w:ind w:left="999" w:hanging="432"/>
      </w:pPr>
      <w:rPr>
        <w:rFonts w:ascii="Symbol" w:hAnsi="Symbol" w:hint="default"/>
        <w:color w:val="FFFFFF" w:themeColor="background1"/>
      </w:rPr>
    </w:lvl>
    <w:lvl w:ilvl="1">
      <w:start w:val="1"/>
      <w:numFmt w:val="decimal"/>
      <w:lvlText w:val="%1.%2"/>
      <w:lvlJc w:val="left"/>
      <w:pPr>
        <w:tabs>
          <w:tab w:val="num" w:pos="1569"/>
        </w:tabs>
        <w:ind w:left="1569" w:hanging="576"/>
      </w:pPr>
      <w:rPr>
        <w:rFonts w:hint="default"/>
        <w:b/>
        <w:sz w:val="28"/>
        <w:szCs w:val="28"/>
      </w:rPr>
    </w:lvl>
    <w:lvl w:ilvl="2">
      <w:start w:val="1"/>
      <w:numFmt w:val="decimal"/>
      <w:lvlText w:val="%1.%2.%3"/>
      <w:lvlJc w:val="left"/>
      <w:pPr>
        <w:tabs>
          <w:tab w:val="num" w:pos="1287"/>
        </w:tabs>
        <w:ind w:left="1287" w:hanging="720"/>
      </w:pPr>
      <w:rPr>
        <w:rFonts w:hint="default"/>
        <w:sz w:val="22"/>
        <w:szCs w:val="22"/>
      </w:rPr>
    </w:lvl>
    <w:lvl w:ilvl="3">
      <w:start w:val="1"/>
      <w:numFmt w:val="lowerLetter"/>
      <w:lvlText w:val="%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0">
    <w:nsid w:val="16A900B8"/>
    <w:multiLevelType w:val="multilevel"/>
    <w:tmpl w:val="6D06102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45227F"/>
    <w:multiLevelType w:val="hybridMultilevel"/>
    <w:tmpl w:val="649A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477ECA"/>
    <w:multiLevelType w:val="multilevel"/>
    <w:tmpl w:val="AA26DF94"/>
    <w:lvl w:ilvl="0">
      <w:start w:val="1"/>
      <w:numFmt w:val="decimal"/>
      <w:lvlText w:val="%1."/>
      <w:lvlJc w:val="left"/>
      <w:pPr>
        <w:tabs>
          <w:tab w:val="num" w:pos="432"/>
        </w:tabs>
        <w:ind w:left="432" w:hanging="432"/>
      </w:pPr>
      <w:rPr>
        <w:rFonts w:hint="default"/>
        <w:color w:val="FFFFFF" w:themeColor="background1"/>
      </w:rPr>
    </w:lvl>
    <w:lvl w:ilvl="1">
      <w:start w:val="1"/>
      <w:numFmt w:val="decimal"/>
      <w:lvlText w:val="%1.%2"/>
      <w:lvlJc w:val="left"/>
      <w:pPr>
        <w:tabs>
          <w:tab w:val="num" w:pos="1002"/>
        </w:tabs>
        <w:ind w:left="1002" w:hanging="576"/>
      </w:pPr>
      <w:rPr>
        <w:rFonts w:hint="default"/>
        <w:b/>
        <w:sz w:val="28"/>
        <w:szCs w:val="28"/>
      </w:rPr>
    </w:lvl>
    <w:lvl w:ilvl="2">
      <w:start w:val="1"/>
      <w:numFmt w:val="decimal"/>
      <w:lvlText w:val="%1.%2.%3"/>
      <w:lvlJc w:val="left"/>
      <w:pPr>
        <w:tabs>
          <w:tab w:val="num" w:pos="720"/>
        </w:tabs>
        <w:ind w:left="720" w:hanging="720"/>
      </w:pPr>
      <w:rPr>
        <w:rFonts w:hint="default"/>
        <w:sz w:val="22"/>
        <w:szCs w:val="22"/>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07F5E06"/>
    <w:multiLevelType w:val="hybridMultilevel"/>
    <w:tmpl w:val="FBFC7C7A"/>
    <w:lvl w:ilvl="0" w:tplc="08090013">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nsid w:val="225C6A67"/>
    <w:multiLevelType w:val="hybridMultilevel"/>
    <w:tmpl w:val="A15C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F8071D"/>
    <w:multiLevelType w:val="multilevel"/>
    <w:tmpl w:val="B23E73B4"/>
    <w:styleLink w:val="Styleletters"/>
    <w:lvl w:ilvl="0">
      <w:start w:val="1"/>
      <w:numFmt w:val="lowerLetter"/>
      <w:lvlText w:val="%1)"/>
      <w:lvlJc w:val="left"/>
      <w:pPr>
        <w:tabs>
          <w:tab w:val="num" w:pos="1418"/>
        </w:tabs>
        <w:ind w:left="1418" w:hanging="426"/>
      </w:pPr>
      <w:rPr>
        <w:rFonts w:ascii="Arial" w:hAnsi="Arial"/>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03C2238"/>
    <w:multiLevelType w:val="hybridMultilevel"/>
    <w:tmpl w:val="E870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4A32B9"/>
    <w:multiLevelType w:val="hybridMultilevel"/>
    <w:tmpl w:val="7AF4504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A63CD7"/>
    <w:multiLevelType w:val="multilevel"/>
    <w:tmpl w:val="E710134A"/>
    <w:lvl w:ilvl="0">
      <w:start w:val="1"/>
      <w:numFmt w:val="decimal"/>
      <w:lvlText w:val="%1"/>
      <w:lvlJc w:val="left"/>
      <w:pPr>
        <w:tabs>
          <w:tab w:val="num" w:pos="999"/>
        </w:tabs>
        <w:ind w:left="999" w:hanging="432"/>
      </w:pPr>
      <w:rPr>
        <w:rFonts w:hint="default"/>
        <w:color w:val="FFFFFF" w:themeColor="background1"/>
      </w:rPr>
    </w:lvl>
    <w:lvl w:ilvl="1">
      <w:start w:val="1"/>
      <w:numFmt w:val="decimal"/>
      <w:lvlText w:val="%1.%2"/>
      <w:lvlJc w:val="left"/>
      <w:pPr>
        <w:tabs>
          <w:tab w:val="num" w:pos="1569"/>
        </w:tabs>
        <w:ind w:left="1569" w:hanging="576"/>
      </w:pPr>
      <w:rPr>
        <w:rFonts w:hint="default"/>
        <w:b/>
        <w:color w:val="auto"/>
        <w:sz w:val="28"/>
        <w:szCs w:val="28"/>
      </w:rPr>
    </w:lvl>
    <w:lvl w:ilvl="2">
      <w:start w:val="1"/>
      <w:numFmt w:val="decimal"/>
      <w:lvlText w:val="%1.%2.%3"/>
      <w:lvlJc w:val="left"/>
      <w:pPr>
        <w:tabs>
          <w:tab w:val="num" w:pos="1287"/>
        </w:tabs>
        <w:ind w:left="1287" w:hanging="720"/>
      </w:pPr>
      <w:rPr>
        <w:rFonts w:hint="default"/>
        <w:sz w:val="22"/>
        <w:szCs w:val="22"/>
      </w:rPr>
    </w:lvl>
    <w:lvl w:ilvl="3">
      <w:start w:val="1"/>
      <w:numFmt w:val="lowerLetter"/>
      <w:lvlText w:val="%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9">
    <w:nsid w:val="3B113B0B"/>
    <w:multiLevelType w:val="multilevel"/>
    <w:tmpl w:val="7E169278"/>
    <w:lvl w:ilvl="0">
      <w:start w:val="1"/>
      <w:numFmt w:val="decimal"/>
      <w:lvlText w:val="%1"/>
      <w:lvlJc w:val="left"/>
      <w:pPr>
        <w:tabs>
          <w:tab w:val="num" w:pos="999"/>
        </w:tabs>
        <w:ind w:left="999" w:hanging="432"/>
      </w:pPr>
      <w:rPr>
        <w:rFonts w:hint="default"/>
        <w:color w:val="FFFFFF" w:themeColor="background1"/>
      </w:rPr>
    </w:lvl>
    <w:lvl w:ilvl="1">
      <w:start w:val="1"/>
      <w:numFmt w:val="decimal"/>
      <w:lvlText w:val="%1.%2"/>
      <w:lvlJc w:val="left"/>
      <w:pPr>
        <w:tabs>
          <w:tab w:val="num" w:pos="1569"/>
        </w:tabs>
        <w:ind w:left="1569" w:hanging="576"/>
      </w:pPr>
      <w:rPr>
        <w:rFonts w:hint="default"/>
        <w:b/>
        <w:sz w:val="28"/>
        <w:szCs w:val="28"/>
      </w:rPr>
    </w:lvl>
    <w:lvl w:ilvl="2">
      <w:start w:val="1"/>
      <w:numFmt w:val="decimal"/>
      <w:lvlText w:val="%1.%2.%3"/>
      <w:lvlJc w:val="left"/>
      <w:pPr>
        <w:tabs>
          <w:tab w:val="num" w:pos="1287"/>
        </w:tabs>
        <w:ind w:left="1287" w:hanging="720"/>
      </w:pPr>
      <w:rPr>
        <w:rFonts w:hint="default"/>
        <w:sz w:val="22"/>
        <w:szCs w:val="22"/>
      </w:rPr>
    </w:lvl>
    <w:lvl w:ilvl="3">
      <w:start w:val="1"/>
      <w:numFmt w:val="lowerLetter"/>
      <w:lvlText w:val="%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nsid w:val="54905E7B"/>
    <w:multiLevelType w:val="hybridMultilevel"/>
    <w:tmpl w:val="AE38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F76AB7"/>
    <w:multiLevelType w:val="hybridMultilevel"/>
    <w:tmpl w:val="39A8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C515CF"/>
    <w:multiLevelType w:val="multilevel"/>
    <w:tmpl w:val="B282B284"/>
    <w:styleLink w:val="Style1"/>
    <w:lvl w:ilvl="0">
      <w:start w:val="1"/>
      <w:numFmt w:val="none"/>
      <w:lvlText w:val="1"/>
      <w:lvlJc w:val="left"/>
      <w:pPr>
        <w:tabs>
          <w:tab w:val="num" w:pos="709"/>
        </w:tabs>
        <w:ind w:left="709" w:hanging="709"/>
      </w:pPr>
      <w:rPr>
        <w:rFonts w:hint="default"/>
      </w:rPr>
    </w:lvl>
    <w:lvl w:ilvl="1">
      <w:start w:val="1"/>
      <w:numFmt w:val="none"/>
      <w:lvlText w:val="1"/>
      <w:lvlJc w:val="left"/>
      <w:pPr>
        <w:tabs>
          <w:tab w:val="num" w:pos="709"/>
        </w:tabs>
        <w:ind w:left="709" w:hanging="709"/>
      </w:pPr>
      <w:rPr>
        <w:rFonts w:hint="default"/>
        <w:b/>
        <w:color w:val="00000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2D813D2"/>
    <w:multiLevelType w:val="hybridMultilevel"/>
    <w:tmpl w:val="9AAC2370"/>
    <w:lvl w:ilvl="0" w:tplc="6B0E752C">
      <w:start w:val="1"/>
      <w:numFmt w:val="bullet"/>
      <w:pStyle w:val="ListBullet4"/>
      <w:lvlText w:val=""/>
      <w:lvlJc w:val="left"/>
      <w:pPr>
        <w:tabs>
          <w:tab w:val="num" w:pos="1843"/>
        </w:tabs>
        <w:ind w:left="1843" w:hanging="425"/>
      </w:pPr>
      <w:rPr>
        <w:rFonts w:ascii="Symbol" w:hAnsi="Symbol" w:hint="default"/>
      </w:rPr>
    </w:lvl>
    <w:lvl w:ilvl="1" w:tplc="7BD04760">
      <w:start w:val="1"/>
      <w:numFmt w:val="bullet"/>
      <w:lvlText w:val="o"/>
      <w:lvlJc w:val="left"/>
      <w:pPr>
        <w:tabs>
          <w:tab w:val="num" w:pos="1440"/>
        </w:tabs>
        <w:ind w:left="1440" w:hanging="360"/>
      </w:pPr>
      <w:rPr>
        <w:rFonts w:ascii="Courier" w:hAnsi="Courier" w:hint="default"/>
      </w:rPr>
    </w:lvl>
    <w:lvl w:ilvl="2" w:tplc="BECA01F6">
      <w:start w:val="1"/>
      <w:numFmt w:val="bullet"/>
      <w:lvlText w:val=""/>
      <w:lvlJc w:val="left"/>
      <w:pPr>
        <w:tabs>
          <w:tab w:val="num" w:pos="2160"/>
        </w:tabs>
        <w:ind w:left="2160" w:hanging="360"/>
      </w:pPr>
      <w:rPr>
        <w:rFonts w:ascii="Wingdings" w:hAnsi="Wingdings" w:hint="default"/>
      </w:rPr>
    </w:lvl>
    <w:lvl w:ilvl="3" w:tplc="A0A6AC3C" w:tentative="1">
      <w:start w:val="1"/>
      <w:numFmt w:val="bullet"/>
      <w:lvlText w:val=""/>
      <w:lvlJc w:val="left"/>
      <w:pPr>
        <w:tabs>
          <w:tab w:val="num" w:pos="2880"/>
        </w:tabs>
        <w:ind w:left="2880" w:hanging="360"/>
      </w:pPr>
      <w:rPr>
        <w:rFonts w:ascii="Symbol" w:hAnsi="Symbol" w:hint="default"/>
      </w:rPr>
    </w:lvl>
    <w:lvl w:ilvl="4" w:tplc="19507444" w:tentative="1">
      <w:start w:val="1"/>
      <w:numFmt w:val="bullet"/>
      <w:lvlText w:val="o"/>
      <w:lvlJc w:val="left"/>
      <w:pPr>
        <w:tabs>
          <w:tab w:val="num" w:pos="3600"/>
        </w:tabs>
        <w:ind w:left="3600" w:hanging="360"/>
      </w:pPr>
      <w:rPr>
        <w:rFonts w:ascii="Courier" w:hAnsi="Courier" w:hint="default"/>
      </w:rPr>
    </w:lvl>
    <w:lvl w:ilvl="5" w:tplc="D8BC4CCA" w:tentative="1">
      <w:start w:val="1"/>
      <w:numFmt w:val="bullet"/>
      <w:lvlText w:val=""/>
      <w:lvlJc w:val="left"/>
      <w:pPr>
        <w:tabs>
          <w:tab w:val="num" w:pos="4320"/>
        </w:tabs>
        <w:ind w:left="4320" w:hanging="360"/>
      </w:pPr>
      <w:rPr>
        <w:rFonts w:ascii="Wingdings" w:hAnsi="Wingdings" w:hint="default"/>
      </w:rPr>
    </w:lvl>
    <w:lvl w:ilvl="6" w:tplc="7652B0DC" w:tentative="1">
      <w:start w:val="1"/>
      <w:numFmt w:val="bullet"/>
      <w:lvlText w:val=""/>
      <w:lvlJc w:val="left"/>
      <w:pPr>
        <w:tabs>
          <w:tab w:val="num" w:pos="5040"/>
        </w:tabs>
        <w:ind w:left="5040" w:hanging="360"/>
      </w:pPr>
      <w:rPr>
        <w:rFonts w:ascii="Symbol" w:hAnsi="Symbol" w:hint="default"/>
      </w:rPr>
    </w:lvl>
    <w:lvl w:ilvl="7" w:tplc="8898C6C2" w:tentative="1">
      <w:start w:val="1"/>
      <w:numFmt w:val="bullet"/>
      <w:lvlText w:val="o"/>
      <w:lvlJc w:val="left"/>
      <w:pPr>
        <w:tabs>
          <w:tab w:val="num" w:pos="5760"/>
        </w:tabs>
        <w:ind w:left="5760" w:hanging="360"/>
      </w:pPr>
      <w:rPr>
        <w:rFonts w:ascii="Courier" w:hAnsi="Courier" w:hint="default"/>
      </w:rPr>
    </w:lvl>
    <w:lvl w:ilvl="8" w:tplc="9F949AE0" w:tentative="1">
      <w:start w:val="1"/>
      <w:numFmt w:val="bullet"/>
      <w:lvlText w:val=""/>
      <w:lvlJc w:val="left"/>
      <w:pPr>
        <w:tabs>
          <w:tab w:val="num" w:pos="6480"/>
        </w:tabs>
        <w:ind w:left="6480" w:hanging="360"/>
      </w:pPr>
      <w:rPr>
        <w:rFonts w:ascii="Wingdings" w:hAnsi="Wingdings" w:hint="default"/>
      </w:rPr>
    </w:lvl>
  </w:abstractNum>
  <w:abstractNum w:abstractNumId="25">
    <w:nsid w:val="738335D2"/>
    <w:multiLevelType w:val="multilevel"/>
    <w:tmpl w:val="CC1E3650"/>
    <w:lvl w:ilvl="0">
      <w:start w:val="5"/>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6">
    <w:nsid w:val="74B7602B"/>
    <w:multiLevelType w:val="multilevel"/>
    <w:tmpl w:val="5D863072"/>
    <w:lvl w:ilvl="0">
      <w:start w:val="3"/>
      <w:numFmt w:val="decimal"/>
      <w:lvlText w:val="%1"/>
      <w:lvlJc w:val="left"/>
      <w:pPr>
        <w:ind w:left="405" w:hanging="405"/>
      </w:pPr>
      <w:rPr>
        <w:rFonts w:hint="default"/>
        <w:b w:val="0"/>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7">
    <w:nsid w:val="7838425F"/>
    <w:multiLevelType w:val="multilevel"/>
    <w:tmpl w:val="05DC07FE"/>
    <w:lvl w:ilvl="0">
      <w:start w:val="4"/>
      <w:numFmt w:val="decimal"/>
      <w:lvlText w:val="%1"/>
      <w:lvlJc w:val="left"/>
      <w:pPr>
        <w:ind w:left="405" w:hanging="405"/>
      </w:pPr>
      <w:rPr>
        <w:rFonts w:hint="default"/>
        <w:color w:val="auto"/>
      </w:rPr>
    </w:lvl>
    <w:lvl w:ilvl="1">
      <w:start w:val="3"/>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412" w:hanging="144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8">
    <w:nsid w:val="79185D2E"/>
    <w:multiLevelType w:val="hybridMultilevel"/>
    <w:tmpl w:val="052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992312"/>
    <w:multiLevelType w:val="hybridMultilevel"/>
    <w:tmpl w:val="600E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4"/>
  </w:num>
  <w:num w:numId="5">
    <w:abstractNumId w:val="15"/>
  </w:num>
  <w:num w:numId="6">
    <w:abstractNumId w:val="23"/>
  </w:num>
  <w:num w:numId="7">
    <w:abstractNumId w:val="3"/>
  </w:num>
  <w:num w:numId="8">
    <w:abstractNumId w:val="20"/>
  </w:num>
  <w:num w:numId="9">
    <w:abstractNumId w:val="19"/>
  </w:num>
  <w:num w:numId="10">
    <w:abstractNumId w:val="13"/>
  </w:num>
  <w:num w:numId="11">
    <w:abstractNumId w:val="7"/>
  </w:num>
  <w:num w:numId="12">
    <w:abstractNumId w:val="8"/>
  </w:num>
  <w:num w:numId="13">
    <w:abstractNumId w:val="6"/>
  </w:num>
  <w:num w:numId="14">
    <w:abstractNumId w:val="14"/>
  </w:num>
  <w:num w:numId="15">
    <w:abstractNumId w:val="5"/>
  </w:num>
  <w:num w:numId="16">
    <w:abstractNumId w:val="28"/>
  </w:num>
  <w:num w:numId="17">
    <w:abstractNumId w:val="21"/>
  </w:num>
  <w:num w:numId="18">
    <w:abstractNumId w:val="11"/>
  </w:num>
  <w:num w:numId="19">
    <w:abstractNumId w:val="22"/>
  </w:num>
  <w:num w:numId="20">
    <w:abstractNumId w:val="4"/>
  </w:num>
  <w:num w:numId="21">
    <w:abstractNumId w:val="16"/>
  </w:num>
  <w:num w:numId="22">
    <w:abstractNumId w:val="18"/>
  </w:num>
  <w:num w:numId="23">
    <w:abstractNumId w:val="17"/>
  </w:num>
  <w:num w:numId="24">
    <w:abstractNumId w:val="29"/>
  </w:num>
  <w:num w:numId="25">
    <w:abstractNumId w:val="9"/>
  </w:num>
  <w:num w:numId="26">
    <w:abstractNumId w:val="12"/>
  </w:num>
  <w:num w:numId="27">
    <w:abstractNumId w:val="26"/>
  </w:num>
  <w:num w:numId="28">
    <w:abstractNumId w:val="27"/>
  </w:num>
  <w:num w:numId="29">
    <w:abstractNumId w:val="25"/>
  </w:num>
  <w:num w:numId="30">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001"/>
  <w:defaultTabStop w:val="720"/>
  <w:drawingGridHorizontalSpacing w:val="110"/>
  <w:displayHorizontalDrawingGridEvery w:val="0"/>
  <w:displayVerticalDrawingGridEvery w:val="0"/>
  <w:noPunctuationKerning/>
  <w:characterSpacingControl w:val="doNotCompress"/>
  <w:savePreviewPicture/>
  <w:hdrShapeDefaults>
    <o:shapedefaults v:ext="edit" spidmax="160769">
      <o:colormenu v:ext="edit" fillcolor="none" strokecolor="none"/>
    </o:shapedefaults>
  </w:hdrShapeDefaults>
  <w:footnotePr>
    <w:footnote w:id="-1"/>
    <w:footnote w:id="0"/>
  </w:footnotePr>
  <w:endnotePr>
    <w:endnote w:id="-1"/>
    <w:endnote w:id="0"/>
  </w:endnotePr>
  <w:compat/>
  <w:rsids>
    <w:rsidRoot w:val="006C586E"/>
    <w:rsid w:val="00001294"/>
    <w:rsid w:val="00004939"/>
    <w:rsid w:val="000056A4"/>
    <w:rsid w:val="00005724"/>
    <w:rsid w:val="00013180"/>
    <w:rsid w:val="00013574"/>
    <w:rsid w:val="00015A80"/>
    <w:rsid w:val="0001702B"/>
    <w:rsid w:val="000202FA"/>
    <w:rsid w:val="00021307"/>
    <w:rsid w:val="0002443B"/>
    <w:rsid w:val="00024EFD"/>
    <w:rsid w:val="00025901"/>
    <w:rsid w:val="00025F1A"/>
    <w:rsid w:val="00026175"/>
    <w:rsid w:val="00032256"/>
    <w:rsid w:val="00036C97"/>
    <w:rsid w:val="00036FF4"/>
    <w:rsid w:val="00037E81"/>
    <w:rsid w:val="00041377"/>
    <w:rsid w:val="00047580"/>
    <w:rsid w:val="000614FD"/>
    <w:rsid w:val="00064B02"/>
    <w:rsid w:val="00072DC1"/>
    <w:rsid w:val="0007592C"/>
    <w:rsid w:val="000802C5"/>
    <w:rsid w:val="00082757"/>
    <w:rsid w:val="00083F54"/>
    <w:rsid w:val="000912CD"/>
    <w:rsid w:val="00091FF5"/>
    <w:rsid w:val="00096364"/>
    <w:rsid w:val="000A27F0"/>
    <w:rsid w:val="000A30F3"/>
    <w:rsid w:val="000A3449"/>
    <w:rsid w:val="000A41D7"/>
    <w:rsid w:val="000A44A9"/>
    <w:rsid w:val="000A744B"/>
    <w:rsid w:val="000A7512"/>
    <w:rsid w:val="000B0BFB"/>
    <w:rsid w:val="000B34EC"/>
    <w:rsid w:val="000B465C"/>
    <w:rsid w:val="000C55F0"/>
    <w:rsid w:val="000C74D7"/>
    <w:rsid w:val="000D0EF0"/>
    <w:rsid w:val="000D21F4"/>
    <w:rsid w:val="000D2D90"/>
    <w:rsid w:val="000D3488"/>
    <w:rsid w:val="000D751B"/>
    <w:rsid w:val="000D773B"/>
    <w:rsid w:val="000E16A7"/>
    <w:rsid w:val="000E1FF2"/>
    <w:rsid w:val="000F01FF"/>
    <w:rsid w:val="000F03BC"/>
    <w:rsid w:val="000F0467"/>
    <w:rsid w:val="000F3FD3"/>
    <w:rsid w:val="000F46F5"/>
    <w:rsid w:val="0010105B"/>
    <w:rsid w:val="001029E3"/>
    <w:rsid w:val="00104278"/>
    <w:rsid w:val="001053F4"/>
    <w:rsid w:val="00105D19"/>
    <w:rsid w:val="00106984"/>
    <w:rsid w:val="0010723E"/>
    <w:rsid w:val="001165A9"/>
    <w:rsid w:val="001217FB"/>
    <w:rsid w:val="00123057"/>
    <w:rsid w:val="001263E7"/>
    <w:rsid w:val="00131AD3"/>
    <w:rsid w:val="001358AD"/>
    <w:rsid w:val="001417E9"/>
    <w:rsid w:val="001435FC"/>
    <w:rsid w:val="001443C1"/>
    <w:rsid w:val="001478D5"/>
    <w:rsid w:val="0015089E"/>
    <w:rsid w:val="00150931"/>
    <w:rsid w:val="001520A7"/>
    <w:rsid w:val="00160992"/>
    <w:rsid w:val="00165D92"/>
    <w:rsid w:val="00167C3D"/>
    <w:rsid w:val="00171D47"/>
    <w:rsid w:val="0017471F"/>
    <w:rsid w:val="00174F8A"/>
    <w:rsid w:val="0017570A"/>
    <w:rsid w:val="00177AA4"/>
    <w:rsid w:val="00180F0D"/>
    <w:rsid w:val="00182C1F"/>
    <w:rsid w:val="0018651A"/>
    <w:rsid w:val="00186BB0"/>
    <w:rsid w:val="00186BD0"/>
    <w:rsid w:val="00194663"/>
    <w:rsid w:val="001A0004"/>
    <w:rsid w:val="001A08AC"/>
    <w:rsid w:val="001A10FF"/>
    <w:rsid w:val="001A223C"/>
    <w:rsid w:val="001A4B3D"/>
    <w:rsid w:val="001A5E02"/>
    <w:rsid w:val="001B0801"/>
    <w:rsid w:val="001B1277"/>
    <w:rsid w:val="001B34AB"/>
    <w:rsid w:val="001B76FA"/>
    <w:rsid w:val="001C11C3"/>
    <w:rsid w:val="001C2337"/>
    <w:rsid w:val="001C3702"/>
    <w:rsid w:val="001C4D30"/>
    <w:rsid w:val="001C5B0E"/>
    <w:rsid w:val="001C6A00"/>
    <w:rsid w:val="001D004B"/>
    <w:rsid w:val="001D0FED"/>
    <w:rsid w:val="001D2BEB"/>
    <w:rsid w:val="001D3892"/>
    <w:rsid w:val="001D75EB"/>
    <w:rsid w:val="001E0540"/>
    <w:rsid w:val="001E1D62"/>
    <w:rsid w:val="001E347D"/>
    <w:rsid w:val="001E3638"/>
    <w:rsid w:val="001F08CB"/>
    <w:rsid w:val="001F36CF"/>
    <w:rsid w:val="001F3D54"/>
    <w:rsid w:val="001F5CDF"/>
    <w:rsid w:val="001F71C5"/>
    <w:rsid w:val="0020440D"/>
    <w:rsid w:val="002050A2"/>
    <w:rsid w:val="00205641"/>
    <w:rsid w:val="002075EB"/>
    <w:rsid w:val="00212DA0"/>
    <w:rsid w:val="0021398F"/>
    <w:rsid w:val="00213C9B"/>
    <w:rsid w:val="0021432F"/>
    <w:rsid w:val="00217A21"/>
    <w:rsid w:val="00220174"/>
    <w:rsid w:val="002219BD"/>
    <w:rsid w:val="00222AC5"/>
    <w:rsid w:val="002303C3"/>
    <w:rsid w:val="00230BA5"/>
    <w:rsid w:val="00231F03"/>
    <w:rsid w:val="00233151"/>
    <w:rsid w:val="00235A7C"/>
    <w:rsid w:val="00236CD0"/>
    <w:rsid w:val="00237FBE"/>
    <w:rsid w:val="002424BD"/>
    <w:rsid w:val="0024296D"/>
    <w:rsid w:val="00251CD6"/>
    <w:rsid w:val="00254943"/>
    <w:rsid w:val="0025495F"/>
    <w:rsid w:val="002573E3"/>
    <w:rsid w:val="002611AC"/>
    <w:rsid w:val="002617FC"/>
    <w:rsid w:val="002632D7"/>
    <w:rsid w:val="002702FA"/>
    <w:rsid w:val="002704E2"/>
    <w:rsid w:val="00273A72"/>
    <w:rsid w:val="00277280"/>
    <w:rsid w:val="00277489"/>
    <w:rsid w:val="00284C0E"/>
    <w:rsid w:val="002906AE"/>
    <w:rsid w:val="00291855"/>
    <w:rsid w:val="00295C3E"/>
    <w:rsid w:val="00296256"/>
    <w:rsid w:val="002A0879"/>
    <w:rsid w:val="002A18E0"/>
    <w:rsid w:val="002A3202"/>
    <w:rsid w:val="002A585D"/>
    <w:rsid w:val="002A6438"/>
    <w:rsid w:val="002B0301"/>
    <w:rsid w:val="002B0C1D"/>
    <w:rsid w:val="002B2631"/>
    <w:rsid w:val="002B2991"/>
    <w:rsid w:val="002D0CC0"/>
    <w:rsid w:val="002D431D"/>
    <w:rsid w:val="002E6809"/>
    <w:rsid w:val="002E6FB7"/>
    <w:rsid w:val="002F2023"/>
    <w:rsid w:val="002F35D9"/>
    <w:rsid w:val="002F420D"/>
    <w:rsid w:val="002F43B8"/>
    <w:rsid w:val="002F5123"/>
    <w:rsid w:val="002F611C"/>
    <w:rsid w:val="002F6210"/>
    <w:rsid w:val="0030400B"/>
    <w:rsid w:val="003067B5"/>
    <w:rsid w:val="00311CB6"/>
    <w:rsid w:val="0031260E"/>
    <w:rsid w:val="0031270C"/>
    <w:rsid w:val="00314434"/>
    <w:rsid w:val="00317149"/>
    <w:rsid w:val="003174BB"/>
    <w:rsid w:val="003206EB"/>
    <w:rsid w:val="00325894"/>
    <w:rsid w:val="00330842"/>
    <w:rsid w:val="00331254"/>
    <w:rsid w:val="00331D03"/>
    <w:rsid w:val="003327F7"/>
    <w:rsid w:val="00333A47"/>
    <w:rsid w:val="00334051"/>
    <w:rsid w:val="003363C4"/>
    <w:rsid w:val="003414DF"/>
    <w:rsid w:val="003414FC"/>
    <w:rsid w:val="00343349"/>
    <w:rsid w:val="00343CC9"/>
    <w:rsid w:val="00350815"/>
    <w:rsid w:val="0035395D"/>
    <w:rsid w:val="00354CB5"/>
    <w:rsid w:val="00355CD0"/>
    <w:rsid w:val="00361422"/>
    <w:rsid w:val="003624BB"/>
    <w:rsid w:val="00365FD1"/>
    <w:rsid w:val="00371497"/>
    <w:rsid w:val="00371775"/>
    <w:rsid w:val="00372655"/>
    <w:rsid w:val="003733B8"/>
    <w:rsid w:val="00375859"/>
    <w:rsid w:val="00380B21"/>
    <w:rsid w:val="003853CA"/>
    <w:rsid w:val="00386CC5"/>
    <w:rsid w:val="0039080C"/>
    <w:rsid w:val="0039110D"/>
    <w:rsid w:val="00391787"/>
    <w:rsid w:val="003920C5"/>
    <w:rsid w:val="00396180"/>
    <w:rsid w:val="003A28F2"/>
    <w:rsid w:val="003A355E"/>
    <w:rsid w:val="003A3774"/>
    <w:rsid w:val="003A3C61"/>
    <w:rsid w:val="003A54FC"/>
    <w:rsid w:val="003A7083"/>
    <w:rsid w:val="003B5E24"/>
    <w:rsid w:val="003C1287"/>
    <w:rsid w:val="003C1CCE"/>
    <w:rsid w:val="003C4C89"/>
    <w:rsid w:val="003C5F5D"/>
    <w:rsid w:val="003C6BB9"/>
    <w:rsid w:val="003C742E"/>
    <w:rsid w:val="003D1A79"/>
    <w:rsid w:val="003D1B83"/>
    <w:rsid w:val="003D2BAA"/>
    <w:rsid w:val="003D5309"/>
    <w:rsid w:val="003D5D43"/>
    <w:rsid w:val="003D69F5"/>
    <w:rsid w:val="003D7A8D"/>
    <w:rsid w:val="003D7D95"/>
    <w:rsid w:val="003E2C29"/>
    <w:rsid w:val="003E3117"/>
    <w:rsid w:val="003E37E0"/>
    <w:rsid w:val="003E46C8"/>
    <w:rsid w:val="003F26BF"/>
    <w:rsid w:val="003F2ABA"/>
    <w:rsid w:val="003F2ACD"/>
    <w:rsid w:val="00401552"/>
    <w:rsid w:val="00403162"/>
    <w:rsid w:val="00403C35"/>
    <w:rsid w:val="00404F21"/>
    <w:rsid w:val="00405953"/>
    <w:rsid w:val="0040783F"/>
    <w:rsid w:val="00412222"/>
    <w:rsid w:val="00413922"/>
    <w:rsid w:val="0041578B"/>
    <w:rsid w:val="004166A5"/>
    <w:rsid w:val="00417E4B"/>
    <w:rsid w:val="00423E49"/>
    <w:rsid w:val="0042424F"/>
    <w:rsid w:val="004346E5"/>
    <w:rsid w:val="004349AC"/>
    <w:rsid w:val="0043619F"/>
    <w:rsid w:val="00440069"/>
    <w:rsid w:val="004418D1"/>
    <w:rsid w:val="00442C77"/>
    <w:rsid w:val="00443965"/>
    <w:rsid w:val="00444156"/>
    <w:rsid w:val="004452B1"/>
    <w:rsid w:val="00447D6A"/>
    <w:rsid w:val="00453324"/>
    <w:rsid w:val="00453B0D"/>
    <w:rsid w:val="004548BB"/>
    <w:rsid w:val="00455E86"/>
    <w:rsid w:val="0045677C"/>
    <w:rsid w:val="004603B3"/>
    <w:rsid w:val="0046070A"/>
    <w:rsid w:val="00461501"/>
    <w:rsid w:val="004624DD"/>
    <w:rsid w:val="00467BB5"/>
    <w:rsid w:val="0047275E"/>
    <w:rsid w:val="00474D76"/>
    <w:rsid w:val="004752B2"/>
    <w:rsid w:val="0047591B"/>
    <w:rsid w:val="00487DD7"/>
    <w:rsid w:val="00493954"/>
    <w:rsid w:val="0049690C"/>
    <w:rsid w:val="00496CFD"/>
    <w:rsid w:val="004970F0"/>
    <w:rsid w:val="00497FCD"/>
    <w:rsid w:val="004A108B"/>
    <w:rsid w:val="004A4D12"/>
    <w:rsid w:val="004A6123"/>
    <w:rsid w:val="004B03C9"/>
    <w:rsid w:val="004B0C44"/>
    <w:rsid w:val="004B33C2"/>
    <w:rsid w:val="004B4E13"/>
    <w:rsid w:val="004B6890"/>
    <w:rsid w:val="004C218C"/>
    <w:rsid w:val="004C2325"/>
    <w:rsid w:val="004D0BC5"/>
    <w:rsid w:val="004D137D"/>
    <w:rsid w:val="004D2AB4"/>
    <w:rsid w:val="004D4953"/>
    <w:rsid w:val="004D6551"/>
    <w:rsid w:val="004E0070"/>
    <w:rsid w:val="004E2C5A"/>
    <w:rsid w:val="004E3436"/>
    <w:rsid w:val="004E4F75"/>
    <w:rsid w:val="004E5AF7"/>
    <w:rsid w:val="004F1A82"/>
    <w:rsid w:val="004F2011"/>
    <w:rsid w:val="004F5ABC"/>
    <w:rsid w:val="004F7E31"/>
    <w:rsid w:val="005015C6"/>
    <w:rsid w:val="00504699"/>
    <w:rsid w:val="00506947"/>
    <w:rsid w:val="005072C6"/>
    <w:rsid w:val="005109E4"/>
    <w:rsid w:val="0051415F"/>
    <w:rsid w:val="005152DA"/>
    <w:rsid w:val="005158FA"/>
    <w:rsid w:val="00516B8D"/>
    <w:rsid w:val="00517784"/>
    <w:rsid w:val="0052319C"/>
    <w:rsid w:val="00530B61"/>
    <w:rsid w:val="0053542D"/>
    <w:rsid w:val="00536277"/>
    <w:rsid w:val="00536CC4"/>
    <w:rsid w:val="00541F3D"/>
    <w:rsid w:val="0054379B"/>
    <w:rsid w:val="00545D6D"/>
    <w:rsid w:val="00547DCC"/>
    <w:rsid w:val="005520DF"/>
    <w:rsid w:val="0055282A"/>
    <w:rsid w:val="00553218"/>
    <w:rsid w:val="005544BE"/>
    <w:rsid w:val="0056275D"/>
    <w:rsid w:val="00563130"/>
    <w:rsid w:val="00563CE9"/>
    <w:rsid w:val="00563DE9"/>
    <w:rsid w:val="00564AA7"/>
    <w:rsid w:val="00574949"/>
    <w:rsid w:val="0058390A"/>
    <w:rsid w:val="00584896"/>
    <w:rsid w:val="00585494"/>
    <w:rsid w:val="00585D6D"/>
    <w:rsid w:val="0058735E"/>
    <w:rsid w:val="005918A4"/>
    <w:rsid w:val="005927AB"/>
    <w:rsid w:val="00593C26"/>
    <w:rsid w:val="00593D07"/>
    <w:rsid w:val="00595269"/>
    <w:rsid w:val="005A1387"/>
    <w:rsid w:val="005A418F"/>
    <w:rsid w:val="005A5CC5"/>
    <w:rsid w:val="005B685E"/>
    <w:rsid w:val="005B6ACE"/>
    <w:rsid w:val="005C0286"/>
    <w:rsid w:val="005C0459"/>
    <w:rsid w:val="005C2EAC"/>
    <w:rsid w:val="005C45CB"/>
    <w:rsid w:val="005C4878"/>
    <w:rsid w:val="005C5318"/>
    <w:rsid w:val="005C6154"/>
    <w:rsid w:val="005D1773"/>
    <w:rsid w:val="005D4D9E"/>
    <w:rsid w:val="005D7274"/>
    <w:rsid w:val="005D7311"/>
    <w:rsid w:val="005E382A"/>
    <w:rsid w:val="005E3939"/>
    <w:rsid w:val="005E59DB"/>
    <w:rsid w:val="005E7C50"/>
    <w:rsid w:val="005F021D"/>
    <w:rsid w:val="005F029E"/>
    <w:rsid w:val="005F147B"/>
    <w:rsid w:val="005F36DB"/>
    <w:rsid w:val="005F5CC7"/>
    <w:rsid w:val="00602CBD"/>
    <w:rsid w:val="006036D0"/>
    <w:rsid w:val="0060709F"/>
    <w:rsid w:val="006105F0"/>
    <w:rsid w:val="006108E5"/>
    <w:rsid w:val="006140FD"/>
    <w:rsid w:val="0061703D"/>
    <w:rsid w:val="00631DC8"/>
    <w:rsid w:val="00636E6D"/>
    <w:rsid w:val="00643107"/>
    <w:rsid w:val="00643272"/>
    <w:rsid w:val="0064506B"/>
    <w:rsid w:val="00645740"/>
    <w:rsid w:val="0064618E"/>
    <w:rsid w:val="006505AF"/>
    <w:rsid w:val="006518CA"/>
    <w:rsid w:val="0065258D"/>
    <w:rsid w:val="00652E72"/>
    <w:rsid w:val="0065363C"/>
    <w:rsid w:val="0065703F"/>
    <w:rsid w:val="0066284A"/>
    <w:rsid w:val="00665A85"/>
    <w:rsid w:val="00667C86"/>
    <w:rsid w:val="00671259"/>
    <w:rsid w:val="00671878"/>
    <w:rsid w:val="00671965"/>
    <w:rsid w:val="006719AE"/>
    <w:rsid w:val="0067421D"/>
    <w:rsid w:val="00674A4E"/>
    <w:rsid w:val="00675BE5"/>
    <w:rsid w:val="00676996"/>
    <w:rsid w:val="006769F0"/>
    <w:rsid w:val="00681673"/>
    <w:rsid w:val="0068195F"/>
    <w:rsid w:val="00681CA7"/>
    <w:rsid w:val="00683E60"/>
    <w:rsid w:val="006842AB"/>
    <w:rsid w:val="006847D0"/>
    <w:rsid w:val="00684C36"/>
    <w:rsid w:val="0068645A"/>
    <w:rsid w:val="00686DB0"/>
    <w:rsid w:val="006873FE"/>
    <w:rsid w:val="00690342"/>
    <w:rsid w:val="006910D7"/>
    <w:rsid w:val="006938A6"/>
    <w:rsid w:val="00696324"/>
    <w:rsid w:val="006972C1"/>
    <w:rsid w:val="006A0A9B"/>
    <w:rsid w:val="006A121D"/>
    <w:rsid w:val="006A13BA"/>
    <w:rsid w:val="006A19F2"/>
    <w:rsid w:val="006A1C55"/>
    <w:rsid w:val="006A517C"/>
    <w:rsid w:val="006A6A8A"/>
    <w:rsid w:val="006A7AB2"/>
    <w:rsid w:val="006B3B98"/>
    <w:rsid w:val="006B53BE"/>
    <w:rsid w:val="006B6C59"/>
    <w:rsid w:val="006C08D9"/>
    <w:rsid w:val="006C20BA"/>
    <w:rsid w:val="006C4C63"/>
    <w:rsid w:val="006C586E"/>
    <w:rsid w:val="006D48B9"/>
    <w:rsid w:val="006D59CF"/>
    <w:rsid w:val="006E1A2C"/>
    <w:rsid w:val="006E5299"/>
    <w:rsid w:val="006E5E6D"/>
    <w:rsid w:val="006E5FD7"/>
    <w:rsid w:val="006E73B3"/>
    <w:rsid w:val="006E7D31"/>
    <w:rsid w:val="006F0B3C"/>
    <w:rsid w:val="006F1082"/>
    <w:rsid w:val="006F37BC"/>
    <w:rsid w:val="006F3F73"/>
    <w:rsid w:val="006F6BF1"/>
    <w:rsid w:val="0070670F"/>
    <w:rsid w:val="007120B7"/>
    <w:rsid w:val="0071270C"/>
    <w:rsid w:val="00712EE2"/>
    <w:rsid w:val="0071425D"/>
    <w:rsid w:val="007170F3"/>
    <w:rsid w:val="00717223"/>
    <w:rsid w:val="00722F63"/>
    <w:rsid w:val="007306C5"/>
    <w:rsid w:val="00731710"/>
    <w:rsid w:val="00732BFD"/>
    <w:rsid w:val="00735426"/>
    <w:rsid w:val="00743A57"/>
    <w:rsid w:val="00744A4C"/>
    <w:rsid w:val="00744CB0"/>
    <w:rsid w:val="00745DDA"/>
    <w:rsid w:val="00751394"/>
    <w:rsid w:val="00754B21"/>
    <w:rsid w:val="00756CBB"/>
    <w:rsid w:val="0076002C"/>
    <w:rsid w:val="00760349"/>
    <w:rsid w:val="007616F2"/>
    <w:rsid w:val="007630B9"/>
    <w:rsid w:val="007639E9"/>
    <w:rsid w:val="007740AF"/>
    <w:rsid w:val="0077534D"/>
    <w:rsid w:val="00775D1D"/>
    <w:rsid w:val="0077639F"/>
    <w:rsid w:val="007778FE"/>
    <w:rsid w:val="007856C0"/>
    <w:rsid w:val="00787036"/>
    <w:rsid w:val="00791A08"/>
    <w:rsid w:val="00793089"/>
    <w:rsid w:val="00794CE0"/>
    <w:rsid w:val="00795591"/>
    <w:rsid w:val="00797378"/>
    <w:rsid w:val="007A0DD8"/>
    <w:rsid w:val="007A2D04"/>
    <w:rsid w:val="007A3C7E"/>
    <w:rsid w:val="007A5FB0"/>
    <w:rsid w:val="007A6AC0"/>
    <w:rsid w:val="007A7542"/>
    <w:rsid w:val="007A758D"/>
    <w:rsid w:val="007A7A62"/>
    <w:rsid w:val="007B3435"/>
    <w:rsid w:val="007B6110"/>
    <w:rsid w:val="007B6DFC"/>
    <w:rsid w:val="007B74E3"/>
    <w:rsid w:val="007B7747"/>
    <w:rsid w:val="007B7E0A"/>
    <w:rsid w:val="007C0677"/>
    <w:rsid w:val="007C4296"/>
    <w:rsid w:val="007C6C95"/>
    <w:rsid w:val="007D022C"/>
    <w:rsid w:val="007D2AA6"/>
    <w:rsid w:val="007E3169"/>
    <w:rsid w:val="007E6528"/>
    <w:rsid w:val="007F02BD"/>
    <w:rsid w:val="007F2FA3"/>
    <w:rsid w:val="007F41D5"/>
    <w:rsid w:val="007F66CA"/>
    <w:rsid w:val="008003E1"/>
    <w:rsid w:val="00802F6B"/>
    <w:rsid w:val="0080391F"/>
    <w:rsid w:val="00803F4E"/>
    <w:rsid w:val="008060FA"/>
    <w:rsid w:val="008070DE"/>
    <w:rsid w:val="00811E85"/>
    <w:rsid w:val="008145F0"/>
    <w:rsid w:val="008208F7"/>
    <w:rsid w:val="00821D9B"/>
    <w:rsid w:val="008341F8"/>
    <w:rsid w:val="00836154"/>
    <w:rsid w:val="0083620B"/>
    <w:rsid w:val="00836D37"/>
    <w:rsid w:val="00843BD8"/>
    <w:rsid w:val="008442F5"/>
    <w:rsid w:val="00844A8F"/>
    <w:rsid w:val="00845691"/>
    <w:rsid w:val="008511DF"/>
    <w:rsid w:val="0085179D"/>
    <w:rsid w:val="008523CE"/>
    <w:rsid w:val="008558B8"/>
    <w:rsid w:val="00862C72"/>
    <w:rsid w:val="0087024C"/>
    <w:rsid w:val="008734E9"/>
    <w:rsid w:val="00875929"/>
    <w:rsid w:val="00877012"/>
    <w:rsid w:val="00877032"/>
    <w:rsid w:val="00877E4E"/>
    <w:rsid w:val="00880D3B"/>
    <w:rsid w:val="00884BED"/>
    <w:rsid w:val="00885AD7"/>
    <w:rsid w:val="00885C86"/>
    <w:rsid w:val="008920B0"/>
    <w:rsid w:val="0089299B"/>
    <w:rsid w:val="008966F3"/>
    <w:rsid w:val="0089681D"/>
    <w:rsid w:val="008A0703"/>
    <w:rsid w:val="008A3029"/>
    <w:rsid w:val="008A37F3"/>
    <w:rsid w:val="008A70C2"/>
    <w:rsid w:val="008B00F6"/>
    <w:rsid w:val="008B06F0"/>
    <w:rsid w:val="008B4DE5"/>
    <w:rsid w:val="008B555D"/>
    <w:rsid w:val="008C15FF"/>
    <w:rsid w:val="008C486A"/>
    <w:rsid w:val="008D76CD"/>
    <w:rsid w:val="008E6FA6"/>
    <w:rsid w:val="008E725F"/>
    <w:rsid w:val="008F3695"/>
    <w:rsid w:val="008F58D4"/>
    <w:rsid w:val="008F60B4"/>
    <w:rsid w:val="008F7931"/>
    <w:rsid w:val="00900824"/>
    <w:rsid w:val="00912666"/>
    <w:rsid w:val="009130BD"/>
    <w:rsid w:val="00914FC4"/>
    <w:rsid w:val="0091557C"/>
    <w:rsid w:val="009155D4"/>
    <w:rsid w:val="009158FC"/>
    <w:rsid w:val="0091734D"/>
    <w:rsid w:val="00922B23"/>
    <w:rsid w:val="009259A8"/>
    <w:rsid w:val="00925EEB"/>
    <w:rsid w:val="0093053B"/>
    <w:rsid w:val="00931166"/>
    <w:rsid w:val="0093231F"/>
    <w:rsid w:val="009359FE"/>
    <w:rsid w:val="00935E57"/>
    <w:rsid w:val="00935F41"/>
    <w:rsid w:val="00940971"/>
    <w:rsid w:val="00940C38"/>
    <w:rsid w:val="00951977"/>
    <w:rsid w:val="00957B4D"/>
    <w:rsid w:val="00962289"/>
    <w:rsid w:val="0096259E"/>
    <w:rsid w:val="00963A91"/>
    <w:rsid w:val="009644FE"/>
    <w:rsid w:val="009676EE"/>
    <w:rsid w:val="0097310B"/>
    <w:rsid w:val="009751D7"/>
    <w:rsid w:val="00977F9F"/>
    <w:rsid w:val="00980BBA"/>
    <w:rsid w:val="00980E95"/>
    <w:rsid w:val="009850D8"/>
    <w:rsid w:val="009856DC"/>
    <w:rsid w:val="009913A4"/>
    <w:rsid w:val="00994869"/>
    <w:rsid w:val="00997338"/>
    <w:rsid w:val="009A0000"/>
    <w:rsid w:val="009A18A6"/>
    <w:rsid w:val="009A22D3"/>
    <w:rsid w:val="009A22D5"/>
    <w:rsid w:val="009A2648"/>
    <w:rsid w:val="009A2F99"/>
    <w:rsid w:val="009A77C7"/>
    <w:rsid w:val="009B02F5"/>
    <w:rsid w:val="009B215D"/>
    <w:rsid w:val="009B4281"/>
    <w:rsid w:val="009B780B"/>
    <w:rsid w:val="009C03D8"/>
    <w:rsid w:val="009C0A00"/>
    <w:rsid w:val="009C30AA"/>
    <w:rsid w:val="009D2A1B"/>
    <w:rsid w:val="009D3043"/>
    <w:rsid w:val="009D3C08"/>
    <w:rsid w:val="009D68BB"/>
    <w:rsid w:val="009E11D8"/>
    <w:rsid w:val="009E2EC5"/>
    <w:rsid w:val="009E56D2"/>
    <w:rsid w:val="009E6563"/>
    <w:rsid w:val="009E6F75"/>
    <w:rsid w:val="009F33EE"/>
    <w:rsid w:val="009F3622"/>
    <w:rsid w:val="009F4FBE"/>
    <w:rsid w:val="009F681A"/>
    <w:rsid w:val="009F687F"/>
    <w:rsid w:val="009F6EEE"/>
    <w:rsid w:val="009F73B2"/>
    <w:rsid w:val="00A01A82"/>
    <w:rsid w:val="00A02204"/>
    <w:rsid w:val="00A02E7A"/>
    <w:rsid w:val="00A05822"/>
    <w:rsid w:val="00A124EC"/>
    <w:rsid w:val="00A13954"/>
    <w:rsid w:val="00A142CC"/>
    <w:rsid w:val="00A149CA"/>
    <w:rsid w:val="00A16BBC"/>
    <w:rsid w:val="00A177D9"/>
    <w:rsid w:val="00A2517C"/>
    <w:rsid w:val="00A263DB"/>
    <w:rsid w:val="00A2691B"/>
    <w:rsid w:val="00A30EBA"/>
    <w:rsid w:val="00A30F79"/>
    <w:rsid w:val="00A31A12"/>
    <w:rsid w:val="00A32990"/>
    <w:rsid w:val="00A32F43"/>
    <w:rsid w:val="00A338D7"/>
    <w:rsid w:val="00A33EB0"/>
    <w:rsid w:val="00A34F1A"/>
    <w:rsid w:val="00A355B0"/>
    <w:rsid w:val="00A366FF"/>
    <w:rsid w:val="00A405F3"/>
    <w:rsid w:val="00A41142"/>
    <w:rsid w:val="00A411F1"/>
    <w:rsid w:val="00A43967"/>
    <w:rsid w:val="00A4799F"/>
    <w:rsid w:val="00A53D7F"/>
    <w:rsid w:val="00A545FA"/>
    <w:rsid w:val="00A56F6F"/>
    <w:rsid w:val="00A60607"/>
    <w:rsid w:val="00A62A0D"/>
    <w:rsid w:val="00A642BF"/>
    <w:rsid w:val="00A67BD6"/>
    <w:rsid w:val="00A743B2"/>
    <w:rsid w:val="00A76F35"/>
    <w:rsid w:val="00A82143"/>
    <w:rsid w:val="00A824F7"/>
    <w:rsid w:val="00A83C6B"/>
    <w:rsid w:val="00A84BB2"/>
    <w:rsid w:val="00A9081E"/>
    <w:rsid w:val="00A90B37"/>
    <w:rsid w:val="00A93626"/>
    <w:rsid w:val="00A93C72"/>
    <w:rsid w:val="00A951CD"/>
    <w:rsid w:val="00AA0590"/>
    <w:rsid w:val="00AA0A27"/>
    <w:rsid w:val="00AA293C"/>
    <w:rsid w:val="00AA2A03"/>
    <w:rsid w:val="00AA5B74"/>
    <w:rsid w:val="00AA5F6D"/>
    <w:rsid w:val="00AB07A3"/>
    <w:rsid w:val="00AB4673"/>
    <w:rsid w:val="00AB46E0"/>
    <w:rsid w:val="00AB5B9B"/>
    <w:rsid w:val="00AB6C52"/>
    <w:rsid w:val="00AB7595"/>
    <w:rsid w:val="00AC58ED"/>
    <w:rsid w:val="00AC6B16"/>
    <w:rsid w:val="00AC723C"/>
    <w:rsid w:val="00AD143A"/>
    <w:rsid w:val="00AD15BE"/>
    <w:rsid w:val="00AD2718"/>
    <w:rsid w:val="00AD291D"/>
    <w:rsid w:val="00AD63BB"/>
    <w:rsid w:val="00AD6CAC"/>
    <w:rsid w:val="00AD703E"/>
    <w:rsid w:val="00AD7BE8"/>
    <w:rsid w:val="00AE0640"/>
    <w:rsid w:val="00AE1166"/>
    <w:rsid w:val="00AE4264"/>
    <w:rsid w:val="00AE7D08"/>
    <w:rsid w:val="00AF1054"/>
    <w:rsid w:val="00AF1995"/>
    <w:rsid w:val="00AF37A6"/>
    <w:rsid w:val="00AF4617"/>
    <w:rsid w:val="00AF5D9F"/>
    <w:rsid w:val="00B0280D"/>
    <w:rsid w:val="00B04104"/>
    <w:rsid w:val="00B076EA"/>
    <w:rsid w:val="00B12EEA"/>
    <w:rsid w:val="00B1457D"/>
    <w:rsid w:val="00B2449E"/>
    <w:rsid w:val="00B318DF"/>
    <w:rsid w:val="00B3530F"/>
    <w:rsid w:val="00B362C8"/>
    <w:rsid w:val="00B4097C"/>
    <w:rsid w:val="00B41ADE"/>
    <w:rsid w:val="00B43341"/>
    <w:rsid w:val="00B4374B"/>
    <w:rsid w:val="00B46771"/>
    <w:rsid w:val="00B52093"/>
    <w:rsid w:val="00B53E07"/>
    <w:rsid w:val="00B53E1F"/>
    <w:rsid w:val="00B5468E"/>
    <w:rsid w:val="00B55193"/>
    <w:rsid w:val="00B55847"/>
    <w:rsid w:val="00B5587D"/>
    <w:rsid w:val="00B55FB7"/>
    <w:rsid w:val="00B571CA"/>
    <w:rsid w:val="00B57222"/>
    <w:rsid w:val="00B711E4"/>
    <w:rsid w:val="00B719F0"/>
    <w:rsid w:val="00B75791"/>
    <w:rsid w:val="00B80B3C"/>
    <w:rsid w:val="00B83080"/>
    <w:rsid w:val="00B83BE7"/>
    <w:rsid w:val="00B9296E"/>
    <w:rsid w:val="00B93444"/>
    <w:rsid w:val="00B934C3"/>
    <w:rsid w:val="00B9654B"/>
    <w:rsid w:val="00BA2A13"/>
    <w:rsid w:val="00BA3AAB"/>
    <w:rsid w:val="00BB3203"/>
    <w:rsid w:val="00BB33E6"/>
    <w:rsid w:val="00BB5C7D"/>
    <w:rsid w:val="00BB6F37"/>
    <w:rsid w:val="00BB7193"/>
    <w:rsid w:val="00BC33ED"/>
    <w:rsid w:val="00BC3B17"/>
    <w:rsid w:val="00BC3E80"/>
    <w:rsid w:val="00BC68E2"/>
    <w:rsid w:val="00BC6DD4"/>
    <w:rsid w:val="00BD0ED9"/>
    <w:rsid w:val="00BD22EA"/>
    <w:rsid w:val="00BD6426"/>
    <w:rsid w:val="00BE3439"/>
    <w:rsid w:val="00BE66B1"/>
    <w:rsid w:val="00BE717C"/>
    <w:rsid w:val="00BE7423"/>
    <w:rsid w:val="00BF11FB"/>
    <w:rsid w:val="00BF1CFA"/>
    <w:rsid w:val="00BF66F7"/>
    <w:rsid w:val="00BF6A05"/>
    <w:rsid w:val="00BF7415"/>
    <w:rsid w:val="00C00F03"/>
    <w:rsid w:val="00C041D9"/>
    <w:rsid w:val="00C04BE0"/>
    <w:rsid w:val="00C0527F"/>
    <w:rsid w:val="00C06FA0"/>
    <w:rsid w:val="00C07504"/>
    <w:rsid w:val="00C118F3"/>
    <w:rsid w:val="00C12466"/>
    <w:rsid w:val="00C12705"/>
    <w:rsid w:val="00C1271C"/>
    <w:rsid w:val="00C20254"/>
    <w:rsid w:val="00C26DB0"/>
    <w:rsid w:val="00C312E6"/>
    <w:rsid w:val="00C37A4A"/>
    <w:rsid w:val="00C40A70"/>
    <w:rsid w:val="00C42E96"/>
    <w:rsid w:val="00C4406F"/>
    <w:rsid w:val="00C45792"/>
    <w:rsid w:val="00C46EF0"/>
    <w:rsid w:val="00C50886"/>
    <w:rsid w:val="00C65889"/>
    <w:rsid w:val="00C666B2"/>
    <w:rsid w:val="00C6711B"/>
    <w:rsid w:val="00C6792A"/>
    <w:rsid w:val="00C7019E"/>
    <w:rsid w:val="00C733C3"/>
    <w:rsid w:val="00C74189"/>
    <w:rsid w:val="00C747DF"/>
    <w:rsid w:val="00C7557A"/>
    <w:rsid w:val="00C77685"/>
    <w:rsid w:val="00C77862"/>
    <w:rsid w:val="00C80F00"/>
    <w:rsid w:val="00C8415F"/>
    <w:rsid w:val="00C85502"/>
    <w:rsid w:val="00C955D6"/>
    <w:rsid w:val="00C95E47"/>
    <w:rsid w:val="00C979D1"/>
    <w:rsid w:val="00CA2102"/>
    <w:rsid w:val="00CA3ACD"/>
    <w:rsid w:val="00CA3D4C"/>
    <w:rsid w:val="00CA4520"/>
    <w:rsid w:val="00CA511A"/>
    <w:rsid w:val="00CB0531"/>
    <w:rsid w:val="00CB1F61"/>
    <w:rsid w:val="00CB2FBB"/>
    <w:rsid w:val="00CB39D2"/>
    <w:rsid w:val="00CB637A"/>
    <w:rsid w:val="00CB6AAE"/>
    <w:rsid w:val="00CB74C2"/>
    <w:rsid w:val="00CC394B"/>
    <w:rsid w:val="00CC78B0"/>
    <w:rsid w:val="00CD545A"/>
    <w:rsid w:val="00CD550F"/>
    <w:rsid w:val="00CD7CE2"/>
    <w:rsid w:val="00CE0298"/>
    <w:rsid w:val="00CE1063"/>
    <w:rsid w:val="00CE3169"/>
    <w:rsid w:val="00CE65EA"/>
    <w:rsid w:val="00CE6A79"/>
    <w:rsid w:val="00CE6C14"/>
    <w:rsid w:val="00CF11E1"/>
    <w:rsid w:val="00CF1418"/>
    <w:rsid w:val="00CF2253"/>
    <w:rsid w:val="00CF2577"/>
    <w:rsid w:val="00D005AF"/>
    <w:rsid w:val="00D03646"/>
    <w:rsid w:val="00D115CA"/>
    <w:rsid w:val="00D1231E"/>
    <w:rsid w:val="00D12926"/>
    <w:rsid w:val="00D131F0"/>
    <w:rsid w:val="00D15D37"/>
    <w:rsid w:val="00D21581"/>
    <w:rsid w:val="00D224A1"/>
    <w:rsid w:val="00D22A6A"/>
    <w:rsid w:val="00D241F5"/>
    <w:rsid w:val="00D27C1C"/>
    <w:rsid w:val="00D30856"/>
    <w:rsid w:val="00D3326B"/>
    <w:rsid w:val="00D34600"/>
    <w:rsid w:val="00D36F94"/>
    <w:rsid w:val="00D407D0"/>
    <w:rsid w:val="00D43985"/>
    <w:rsid w:val="00D4414C"/>
    <w:rsid w:val="00D45333"/>
    <w:rsid w:val="00D50951"/>
    <w:rsid w:val="00D50B53"/>
    <w:rsid w:val="00D529F4"/>
    <w:rsid w:val="00D53A16"/>
    <w:rsid w:val="00D54B02"/>
    <w:rsid w:val="00D54CF8"/>
    <w:rsid w:val="00D60F97"/>
    <w:rsid w:val="00D67CE8"/>
    <w:rsid w:val="00D7331A"/>
    <w:rsid w:val="00D7676F"/>
    <w:rsid w:val="00D76D6D"/>
    <w:rsid w:val="00D7767C"/>
    <w:rsid w:val="00D805C2"/>
    <w:rsid w:val="00D85498"/>
    <w:rsid w:val="00D923BC"/>
    <w:rsid w:val="00D93C7A"/>
    <w:rsid w:val="00D944B4"/>
    <w:rsid w:val="00D95D63"/>
    <w:rsid w:val="00DA0368"/>
    <w:rsid w:val="00DA4216"/>
    <w:rsid w:val="00DA53EF"/>
    <w:rsid w:val="00DA602B"/>
    <w:rsid w:val="00DA65F8"/>
    <w:rsid w:val="00DB2DD1"/>
    <w:rsid w:val="00DB2E00"/>
    <w:rsid w:val="00DB343B"/>
    <w:rsid w:val="00DB60BB"/>
    <w:rsid w:val="00DB7438"/>
    <w:rsid w:val="00DC1695"/>
    <w:rsid w:val="00DC32C5"/>
    <w:rsid w:val="00DC3CFA"/>
    <w:rsid w:val="00DC6A6D"/>
    <w:rsid w:val="00DD263C"/>
    <w:rsid w:val="00DE0546"/>
    <w:rsid w:val="00DE203F"/>
    <w:rsid w:val="00DE388B"/>
    <w:rsid w:val="00DE4CF9"/>
    <w:rsid w:val="00DE6B7B"/>
    <w:rsid w:val="00DF07D9"/>
    <w:rsid w:val="00DF2A33"/>
    <w:rsid w:val="00E00856"/>
    <w:rsid w:val="00E06DAB"/>
    <w:rsid w:val="00E12900"/>
    <w:rsid w:val="00E13765"/>
    <w:rsid w:val="00E13C5A"/>
    <w:rsid w:val="00E14C88"/>
    <w:rsid w:val="00E16FFA"/>
    <w:rsid w:val="00E20216"/>
    <w:rsid w:val="00E2045D"/>
    <w:rsid w:val="00E21AD3"/>
    <w:rsid w:val="00E22511"/>
    <w:rsid w:val="00E22688"/>
    <w:rsid w:val="00E25516"/>
    <w:rsid w:val="00E27837"/>
    <w:rsid w:val="00E30104"/>
    <w:rsid w:val="00E30150"/>
    <w:rsid w:val="00E32FBB"/>
    <w:rsid w:val="00E33451"/>
    <w:rsid w:val="00E34900"/>
    <w:rsid w:val="00E3596D"/>
    <w:rsid w:val="00E36B1E"/>
    <w:rsid w:val="00E4147F"/>
    <w:rsid w:val="00E43091"/>
    <w:rsid w:val="00E4552F"/>
    <w:rsid w:val="00E47DF0"/>
    <w:rsid w:val="00E50654"/>
    <w:rsid w:val="00E55122"/>
    <w:rsid w:val="00E575FF"/>
    <w:rsid w:val="00E57DCD"/>
    <w:rsid w:val="00E607A7"/>
    <w:rsid w:val="00E643C6"/>
    <w:rsid w:val="00E66875"/>
    <w:rsid w:val="00E738DF"/>
    <w:rsid w:val="00E76FAF"/>
    <w:rsid w:val="00E77F04"/>
    <w:rsid w:val="00E81FF9"/>
    <w:rsid w:val="00E82D42"/>
    <w:rsid w:val="00E83A01"/>
    <w:rsid w:val="00E846E8"/>
    <w:rsid w:val="00E855D4"/>
    <w:rsid w:val="00E876CC"/>
    <w:rsid w:val="00E910A3"/>
    <w:rsid w:val="00E9136F"/>
    <w:rsid w:val="00E9220E"/>
    <w:rsid w:val="00E9229F"/>
    <w:rsid w:val="00E923C9"/>
    <w:rsid w:val="00E934DF"/>
    <w:rsid w:val="00EA4C89"/>
    <w:rsid w:val="00EA724F"/>
    <w:rsid w:val="00EB0BC6"/>
    <w:rsid w:val="00EB246F"/>
    <w:rsid w:val="00EB4219"/>
    <w:rsid w:val="00EB51D9"/>
    <w:rsid w:val="00EB6BE8"/>
    <w:rsid w:val="00EC1B1E"/>
    <w:rsid w:val="00ED0FBD"/>
    <w:rsid w:val="00ED15BD"/>
    <w:rsid w:val="00ED253F"/>
    <w:rsid w:val="00ED5D2E"/>
    <w:rsid w:val="00ED7816"/>
    <w:rsid w:val="00EE0B1C"/>
    <w:rsid w:val="00EE15E3"/>
    <w:rsid w:val="00EE2866"/>
    <w:rsid w:val="00EE35CA"/>
    <w:rsid w:val="00EE3ACA"/>
    <w:rsid w:val="00EE44AA"/>
    <w:rsid w:val="00EE5151"/>
    <w:rsid w:val="00EE694D"/>
    <w:rsid w:val="00EF07EF"/>
    <w:rsid w:val="00EF1A8F"/>
    <w:rsid w:val="00EF1CC7"/>
    <w:rsid w:val="00EF7BA1"/>
    <w:rsid w:val="00F03B67"/>
    <w:rsid w:val="00F0505D"/>
    <w:rsid w:val="00F05DC4"/>
    <w:rsid w:val="00F0658D"/>
    <w:rsid w:val="00F20A2B"/>
    <w:rsid w:val="00F24037"/>
    <w:rsid w:val="00F2553C"/>
    <w:rsid w:val="00F27149"/>
    <w:rsid w:val="00F276C5"/>
    <w:rsid w:val="00F30492"/>
    <w:rsid w:val="00F339A6"/>
    <w:rsid w:val="00F3483C"/>
    <w:rsid w:val="00F3586C"/>
    <w:rsid w:val="00F36B9B"/>
    <w:rsid w:val="00F36ED6"/>
    <w:rsid w:val="00F421DC"/>
    <w:rsid w:val="00F4230F"/>
    <w:rsid w:val="00F42F7C"/>
    <w:rsid w:val="00F443E7"/>
    <w:rsid w:val="00F5037E"/>
    <w:rsid w:val="00F51492"/>
    <w:rsid w:val="00F518CD"/>
    <w:rsid w:val="00F51CEC"/>
    <w:rsid w:val="00F520EC"/>
    <w:rsid w:val="00F53EE7"/>
    <w:rsid w:val="00F54341"/>
    <w:rsid w:val="00F55552"/>
    <w:rsid w:val="00F569B9"/>
    <w:rsid w:val="00F57D0B"/>
    <w:rsid w:val="00F60D35"/>
    <w:rsid w:val="00F60D80"/>
    <w:rsid w:val="00F6146C"/>
    <w:rsid w:val="00F64543"/>
    <w:rsid w:val="00F663F4"/>
    <w:rsid w:val="00F7007A"/>
    <w:rsid w:val="00F71728"/>
    <w:rsid w:val="00F734B8"/>
    <w:rsid w:val="00F738D8"/>
    <w:rsid w:val="00F80E98"/>
    <w:rsid w:val="00F8235E"/>
    <w:rsid w:val="00F82C08"/>
    <w:rsid w:val="00F83509"/>
    <w:rsid w:val="00F84B0B"/>
    <w:rsid w:val="00F85D1E"/>
    <w:rsid w:val="00F864D6"/>
    <w:rsid w:val="00F8701A"/>
    <w:rsid w:val="00F879C0"/>
    <w:rsid w:val="00F90C28"/>
    <w:rsid w:val="00F90ED5"/>
    <w:rsid w:val="00F91167"/>
    <w:rsid w:val="00F9231E"/>
    <w:rsid w:val="00F933F9"/>
    <w:rsid w:val="00F95712"/>
    <w:rsid w:val="00F9764B"/>
    <w:rsid w:val="00FA1BD5"/>
    <w:rsid w:val="00FA3A03"/>
    <w:rsid w:val="00FA47CB"/>
    <w:rsid w:val="00FB10FB"/>
    <w:rsid w:val="00FB1473"/>
    <w:rsid w:val="00FB18DC"/>
    <w:rsid w:val="00FB51A6"/>
    <w:rsid w:val="00FB5A8B"/>
    <w:rsid w:val="00FB70CD"/>
    <w:rsid w:val="00FC2C03"/>
    <w:rsid w:val="00FC2F6B"/>
    <w:rsid w:val="00FC3287"/>
    <w:rsid w:val="00FC6CA9"/>
    <w:rsid w:val="00FD31D0"/>
    <w:rsid w:val="00FD4AC9"/>
    <w:rsid w:val="00FD718A"/>
    <w:rsid w:val="00FE29F7"/>
    <w:rsid w:val="00FE7B4F"/>
    <w:rsid w:val="00FF03E1"/>
    <w:rsid w:val="00FF0B8D"/>
    <w:rsid w:val="00FF17B5"/>
    <w:rsid w:val="00FF39FA"/>
    <w:rsid w:val="00FF71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60769">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5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273A72"/>
    <w:pPr>
      <w:keepNext/>
      <w:numPr>
        <w:numId w:val="11"/>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273A72"/>
    <w:pPr>
      <w:keepNext/>
      <w:numPr>
        <w:ilvl w:val="1"/>
        <w:numId w:val="11"/>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235A7C"/>
    <w:pPr>
      <w:keepNext/>
      <w:numPr>
        <w:ilvl w:val="2"/>
        <w:numId w:val="11"/>
      </w:numPr>
      <w:spacing w:after="120"/>
      <w:outlineLvl w:val="2"/>
    </w:pPr>
    <w:rPr>
      <w:color w:val="000000"/>
    </w:rPr>
  </w:style>
  <w:style w:type="paragraph" w:styleId="Heading4">
    <w:name w:val="heading 4"/>
    <w:basedOn w:val="Normal"/>
    <w:next w:val="Normal"/>
    <w:qFormat/>
    <w:rsid w:val="00273A72"/>
    <w:pPr>
      <w:keepNext/>
      <w:numPr>
        <w:ilvl w:val="3"/>
        <w:numId w:val="11"/>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67421D"/>
    <w:pPr>
      <w:keepNext/>
      <w:numPr>
        <w:ilvl w:val="4"/>
        <w:numId w:val="11"/>
      </w:numPr>
      <w:outlineLvl w:val="4"/>
    </w:pPr>
    <w:rPr>
      <w:b/>
    </w:rPr>
  </w:style>
  <w:style w:type="paragraph" w:styleId="Heading6">
    <w:name w:val="heading 6"/>
    <w:basedOn w:val="Normal"/>
    <w:next w:val="Normal"/>
    <w:qFormat/>
    <w:rsid w:val="00167C3D"/>
    <w:pPr>
      <w:keepNext/>
      <w:numPr>
        <w:ilvl w:val="5"/>
        <w:numId w:val="11"/>
      </w:numPr>
      <w:pBdr>
        <w:bottom w:val="single" w:sz="4" w:space="6" w:color="auto"/>
      </w:pBdr>
      <w:spacing w:after="480"/>
      <w:outlineLvl w:val="5"/>
    </w:pPr>
    <w:rPr>
      <w:b/>
      <w:sz w:val="36"/>
    </w:rPr>
  </w:style>
  <w:style w:type="paragraph" w:styleId="Heading7">
    <w:name w:val="heading 7"/>
    <w:basedOn w:val="Normal"/>
    <w:next w:val="Normal"/>
    <w:link w:val="Heading7Char"/>
    <w:qFormat/>
    <w:rsid w:val="00273A72"/>
    <w:pPr>
      <w:keepNext/>
      <w:numPr>
        <w:ilvl w:val="6"/>
        <w:numId w:val="11"/>
      </w:numPr>
      <w:spacing w:after="60"/>
      <w:outlineLvl w:val="6"/>
    </w:pPr>
    <w:rPr>
      <w:sz w:val="24"/>
      <w:szCs w:val="24"/>
    </w:rPr>
  </w:style>
  <w:style w:type="paragraph" w:styleId="Heading8">
    <w:name w:val="heading 8"/>
    <w:basedOn w:val="Normal"/>
    <w:next w:val="Normal"/>
    <w:qFormat/>
    <w:rsid w:val="0067421D"/>
    <w:pPr>
      <w:keepNext/>
      <w:numPr>
        <w:ilvl w:val="7"/>
        <w:numId w:val="11"/>
      </w:numPr>
      <w:spacing w:before="80"/>
      <w:outlineLvl w:val="7"/>
    </w:pPr>
    <w:rPr>
      <w:i/>
    </w:rPr>
  </w:style>
  <w:style w:type="paragraph" w:styleId="Heading9">
    <w:name w:val="heading 9"/>
    <w:basedOn w:val="Normal"/>
    <w:next w:val="Normal"/>
    <w:qFormat/>
    <w:rsid w:val="00167C3D"/>
    <w:pPr>
      <w:numPr>
        <w:ilvl w:val="8"/>
        <w:numId w:val="11"/>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0459"/>
    <w:pPr>
      <w:tabs>
        <w:tab w:val="right" w:pos="9072"/>
      </w:tabs>
      <w:spacing w:after="0" w:line="280" w:lineRule="atLeast"/>
    </w:pPr>
    <w:rPr>
      <w:sz w:val="20"/>
    </w:rPr>
  </w:style>
  <w:style w:type="paragraph" w:styleId="Footer">
    <w:name w:val="footer"/>
    <w:basedOn w:val="Normal"/>
    <w:link w:val="FooterChar"/>
    <w:uiPriority w:val="99"/>
    <w:rsid w:val="00EE5151"/>
    <w:pPr>
      <w:pBdr>
        <w:top w:val="single" w:sz="4" w:space="16" w:color="808080"/>
      </w:pBdr>
      <w:spacing w:after="120"/>
    </w:pPr>
    <w:rPr>
      <w:sz w:val="20"/>
    </w:rPr>
  </w:style>
  <w:style w:type="character" w:styleId="PageNumber">
    <w:name w:val="page number"/>
    <w:rsid w:val="00167C3D"/>
    <w:rPr>
      <w:rFonts w:ascii="Arial" w:hAnsi="Arial"/>
      <w:sz w:val="20"/>
      <w:szCs w:val="20"/>
    </w:rPr>
  </w:style>
  <w:style w:type="paragraph" w:styleId="FootnoteText">
    <w:name w:val="footnote text"/>
    <w:basedOn w:val="Normal"/>
    <w:semiHidden/>
    <w:rsid w:val="00167C3D"/>
    <w:pPr>
      <w:spacing w:after="0" w:line="240" w:lineRule="auto"/>
    </w:pPr>
    <w:rPr>
      <w:color w:val="000080"/>
      <w:sz w:val="20"/>
      <w:szCs w:val="20"/>
    </w:rPr>
  </w:style>
  <w:style w:type="character" w:styleId="Hyperlink">
    <w:name w:val="Hyperlink"/>
    <w:basedOn w:val="DefaultParagraphFont"/>
    <w:uiPriority w:val="99"/>
    <w:rsid w:val="00167C3D"/>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273A72"/>
    <w:rPr>
      <w:rFonts w:ascii="Arial" w:hAnsi="Arial"/>
      <w:b/>
      <w:sz w:val="28"/>
      <w:szCs w:val="22"/>
      <w:lang w:eastAsia="en-US"/>
    </w:rPr>
  </w:style>
  <w:style w:type="character" w:styleId="LineNumber">
    <w:name w:val="line number"/>
    <w:basedOn w:val="DefaultParagraphFont"/>
    <w:rsid w:val="00380B21"/>
  </w:style>
  <w:style w:type="paragraph" w:styleId="BodyText">
    <w:name w:val="Body Text"/>
    <w:basedOn w:val="Normal"/>
    <w:link w:val="BodyTextChar"/>
    <w:rsid w:val="007A3C7E"/>
  </w:style>
  <w:style w:type="paragraph" w:styleId="TOC1">
    <w:name w:val="toc 1"/>
    <w:basedOn w:val="Normal"/>
    <w:next w:val="Normal"/>
    <w:uiPriority w:val="39"/>
    <w:qFormat/>
    <w:rsid w:val="00BB6F37"/>
    <w:pPr>
      <w:tabs>
        <w:tab w:val="left" w:pos="709"/>
        <w:tab w:val="right" w:leader="dot" w:pos="9072"/>
      </w:tabs>
      <w:spacing w:before="240"/>
    </w:pPr>
  </w:style>
  <w:style w:type="paragraph" w:styleId="TOC2">
    <w:name w:val="toc 2"/>
    <w:basedOn w:val="Normal"/>
    <w:next w:val="Normal"/>
    <w:autoRedefine/>
    <w:uiPriority w:val="39"/>
    <w:qFormat/>
    <w:rsid w:val="002611AC"/>
    <w:pPr>
      <w:tabs>
        <w:tab w:val="left" w:pos="960"/>
        <w:tab w:val="left" w:pos="1418"/>
        <w:tab w:val="right" w:leader="dot" w:pos="9062"/>
      </w:tabs>
      <w:spacing w:before="120" w:after="120"/>
      <w:ind w:left="709"/>
    </w:pPr>
  </w:style>
  <w:style w:type="table" w:styleId="TableGrid">
    <w:name w:val="Table Grid"/>
    <w:basedOn w:val="TableNormal"/>
    <w:rsid w:val="00B3530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403162"/>
    <w:rPr>
      <w:rFonts w:ascii="Arial" w:hAnsi="Arial"/>
      <w:color w:val="000000"/>
      <w:lang w:val="en-US" w:eastAsia="en-US"/>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273A72"/>
    <w:rPr>
      <w:rFonts w:ascii="Arial" w:hAnsi="Arial"/>
      <w:b/>
      <w:sz w:val="36"/>
      <w:szCs w:val="22"/>
      <w:lang w:eastAsia="en-US"/>
    </w:rPr>
  </w:style>
  <w:style w:type="paragraph" w:customStyle="1" w:styleId="indentbodytext">
    <w:name w:val="indent body text"/>
    <w:basedOn w:val="BodyText"/>
    <w:rsid w:val="00343CC9"/>
  </w:style>
  <w:style w:type="character" w:customStyle="1" w:styleId="cald-definition1">
    <w:name w:val="cald-definition1"/>
    <w:basedOn w:val="DefaultParagraphFont"/>
    <w:rsid w:val="00331D03"/>
    <w:rPr>
      <w:rFonts w:ascii="Verdana" w:hAnsi="Verdana" w:hint="default"/>
      <w:i w:val="0"/>
      <w:iCs w:val="0"/>
      <w:color w:val="000000"/>
      <w:sz w:val="24"/>
      <w:szCs w:val="24"/>
    </w:rPr>
  </w:style>
  <w:style w:type="paragraph" w:styleId="NormalWeb">
    <w:name w:val="Normal (Web)"/>
    <w:basedOn w:val="Normal"/>
    <w:rsid w:val="003E46C8"/>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8D76CD"/>
    <w:pPr>
      <w:spacing w:after="120" w:line="480" w:lineRule="auto"/>
      <w:ind w:left="283"/>
    </w:pPr>
  </w:style>
  <w:style w:type="paragraph" w:customStyle="1" w:styleId="Captions">
    <w:name w:val="Captions"/>
    <w:basedOn w:val="Normal"/>
    <w:rsid w:val="003C742E"/>
    <w:rPr>
      <w:i/>
      <w:sz w:val="24"/>
      <w:szCs w:val="24"/>
    </w:rPr>
  </w:style>
  <w:style w:type="paragraph" w:styleId="ListBullet2">
    <w:name w:val="List Bullet 2"/>
    <w:basedOn w:val="Normal"/>
    <w:rsid w:val="00343CC9"/>
    <w:pPr>
      <w:numPr>
        <w:numId w:val="2"/>
      </w:numPr>
      <w:tabs>
        <w:tab w:val="clear" w:pos="643"/>
        <w:tab w:val="left" w:pos="1134"/>
      </w:tabs>
      <w:spacing w:after="120"/>
      <w:ind w:left="1134" w:hanging="425"/>
    </w:pPr>
  </w:style>
  <w:style w:type="paragraph" w:styleId="ListBullet4">
    <w:name w:val="List Bullet 4"/>
    <w:basedOn w:val="Normal"/>
    <w:rsid w:val="004E0070"/>
    <w:pPr>
      <w:numPr>
        <w:numId w:val="4"/>
      </w:numPr>
      <w:spacing w:after="120"/>
    </w:pPr>
  </w:style>
  <w:style w:type="paragraph" w:styleId="BodyText2">
    <w:name w:val="Body Text 2"/>
    <w:basedOn w:val="Normal"/>
    <w:rsid w:val="0039110D"/>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9110D"/>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43CC9"/>
    <w:pPr>
      <w:numPr>
        <w:numId w:val="1"/>
      </w:numPr>
      <w:spacing w:after="120"/>
      <w:ind w:left="425" w:hanging="425"/>
    </w:pPr>
  </w:style>
  <w:style w:type="paragraph" w:styleId="BodyTextIndent">
    <w:name w:val="Body Text Indent"/>
    <w:basedOn w:val="Normal"/>
    <w:rsid w:val="00F83509"/>
    <w:pPr>
      <w:spacing w:after="120"/>
      <w:ind w:left="283"/>
    </w:pPr>
  </w:style>
  <w:style w:type="paragraph" w:styleId="List">
    <w:name w:val="List"/>
    <w:basedOn w:val="Normal"/>
    <w:rsid w:val="00F83509"/>
    <w:pPr>
      <w:spacing w:after="0" w:line="240" w:lineRule="auto"/>
      <w:jc w:val="both"/>
    </w:pPr>
    <w:rPr>
      <w:rFonts w:ascii="Times New Roman" w:hAnsi="Times New Roman"/>
      <w:color w:val="000000"/>
      <w:sz w:val="20"/>
      <w:szCs w:val="20"/>
      <w:lang w:eastAsia="en-GB"/>
    </w:rPr>
  </w:style>
  <w:style w:type="numbering" w:customStyle="1" w:styleId="Styleletters">
    <w:name w:val="Style letters"/>
    <w:basedOn w:val="NoList"/>
    <w:rsid w:val="00167C3D"/>
    <w:pPr>
      <w:numPr>
        <w:numId w:val="5"/>
      </w:numPr>
    </w:pPr>
  </w:style>
  <w:style w:type="paragraph" w:styleId="List2">
    <w:name w:val="List 2"/>
    <w:basedOn w:val="Normal"/>
    <w:rsid w:val="00F83509"/>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83509"/>
    <w:pPr>
      <w:spacing w:after="120" w:line="240" w:lineRule="auto"/>
      <w:ind w:left="283"/>
      <w:jc w:val="both"/>
    </w:pPr>
    <w:rPr>
      <w:rFonts w:ascii="Times New Roman" w:hAnsi="Times New Roman"/>
      <w:sz w:val="24"/>
      <w:szCs w:val="20"/>
      <w:lang w:eastAsia="en-GB"/>
    </w:rPr>
  </w:style>
  <w:style w:type="paragraph" w:styleId="List3">
    <w:name w:val="List 3"/>
    <w:basedOn w:val="Normal"/>
    <w:rsid w:val="00F83509"/>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8A0703"/>
    <w:pPr>
      <w:tabs>
        <w:tab w:val="clear" w:pos="1843"/>
        <w:tab w:val="num" w:pos="2268"/>
      </w:tabs>
      <w:ind w:left="2268"/>
    </w:pPr>
  </w:style>
  <w:style w:type="paragraph" w:styleId="BalloonText">
    <w:name w:val="Balloon Text"/>
    <w:basedOn w:val="Normal"/>
    <w:semiHidden/>
    <w:rsid w:val="00F83509"/>
    <w:pPr>
      <w:spacing w:after="0" w:line="240" w:lineRule="auto"/>
      <w:jc w:val="both"/>
    </w:pPr>
    <w:rPr>
      <w:rFonts w:ascii="Tahoma" w:hAnsi="Tahoma" w:cs="Tahoma"/>
      <w:sz w:val="16"/>
      <w:szCs w:val="16"/>
      <w:lang w:eastAsia="en-GB"/>
    </w:rPr>
  </w:style>
  <w:style w:type="paragraph" w:customStyle="1" w:styleId="text">
    <w:name w:val="text"/>
    <w:basedOn w:val="Normal"/>
    <w:rsid w:val="00F83509"/>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link w:val="Heading7"/>
    <w:rsid w:val="00273A72"/>
    <w:rPr>
      <w:rFonts w:ascii="Arial" w:hAnsi="Arial"/>
      <w:sz w:val="24"/>
      <w:szCs w:val="24"/>
      <w:lang w:eastAsia="en-US"/>
    </w:rPr>
  </w:style>
  <w:style w:type="character" w:styleId="FollowedHyperlink">
    <w:name w:val="FollowedHyperlink"/>
    <w:basedOn w:val="DefaultParagraphFont"/>
    <w:rsid w:val="001B76FA"/>
    <w:rPr>
      <w:rFonts w:ascii="Arial" w:hAnsi="Arial"/>
      <w:color w:val="auto"/>
      <w:sz w:val="22"/>
      <w:u w:val="none"/>
    </w:rPr>
  </w:style>
  <w:style w:type="paragraph" w:styleId="BodyTextIndent3">
    <w:name w:val="Body Text Indent 3"/>
    <w:basedOn w:val="Normal"/>
    <w:rsid w:val="00F83509"/>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83509"/>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83509"/>
    <w:rPr>
      <w:sz w:val="16"/>
      <w:szCs w:val="16"/>
    </w:rPr>
  </w:style>
  <w:style w:type="paragraph" w:styleId="BodyText3">
    <w:name w:val="Body Text 3"/>
    <w:basedOn w:val="Normal"/>
    <w:rsid w:val="00E82D42"/>
    <w:pPr>
      <w:spacing w:after="120"/>
    </w:pPr>
    <w:rPr>
      <w:sz w:val="16"/>
      <w:szCs w:val="16"/>
    </w:rPr>
  </w:style>
  <w:style w:type="paragraph" w:customStyle="1" w:styleId="TableGrid1">
    <w:name w:val="Table Grid1"/>
    <w:rsid w:val="00A32990"/>
    <w:pPr>
      <w:spacing w:after="240" w:line="300" w:lineRule="atLeast"/>
    </w:pPr>
    <w:rPr>
      <w:rFonts w:eastAsia="ヒラギノ角ゴ Pro W3"/>
      <w:color w:val="000000"/>
    </w:rPr>
  </w:style>
  <w:style w:type="paragraph" w:customStyle="1" w:styleId="Bullet">
    <w:name w:val="Bullet"/>
    <w:basedOn w:val="Normal"/>
    <w:rsid w:val="00F879C0"/>
    <w:pPr>
      <w:numPr>
        <w:numId w:val="7"/>
      </w:numPr>
      <w:spacing w:after="0" w:line="240" w:lineRule="auto"/>
    </w:pPr>
    <w:rPr>
      <w:rFonts w:eastAsia="Arial Unicode MS"/>
      <w:color w:val="000000"/>
      <w:w w:val="0"/>
      <w:sz w:val="20"/>
      <w:szCs w:val="24"/>
    </w:rPr>
  </w:style>
  <w:style w:type="paragraph" w:customStyle="1" w:styleId="NumberSub2">
    <w:name w:val="Number Sub 2"/>
    <w:basedOn w:val="Normal"/>
    <w:rsid w:val="00106984"/>
    <w:pPr>
      <w:numPr>
        <w:ilvl w:val="2"/>
        <w:numId w:val="8"/>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numbering" w:customStyle="1" w:styleId="Style1">
    <w:name w:val="Style1"/>
    <w:rsid w:val="00EB51D9"/>
    <w:pPr>
      <w:numPr>
        <w:numId w:val="6"/>
      </w:numPr>
    </w:pPr>
  </w:style>
  <w:style w:type="paragraph" w:customStyle="1" w:styleId="NumberSub">
    <w:name w:val="Number Sub"/>
    <w:basedOn w:val="Normal"/>
    <w:rsid w:val="00106984"/>
    <w:pPr>
      <w:numPr>
        <w:ilvl w:val="1"/>
        <w:numId w:val="8"/>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106984"/>
    <w:pPr>
      <w:numPr>
        <w:numId w:val="8"/>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106984"/>
    <w:pPr>
      <w:numPr>
        <w:numId w:val="3"/>
      </w:numPr>
    </w:pPr>
  </w:style>
  <w:style w:type="paragraph" w:customStyle="1" w:styleId="Table">
    <w:name w:val="Table"/>
    <w:basedOn w:val="Header"/>
    <w:autoRedefine/>
    <w:rsid w:val="0089299B"/>
    <w:pPr>
      <w:tabs>
        <w:tab w:val="clear" w:pos="9072"/>
        <w:tab w:val="center" w:pos="4153"/>
        <w:tab w:val="right" w:pos="8306"/>
      </w:tabs>
      <w:spacing w:line="240" w:lineRule="auto"/>
      <w:ind w:left="57"/>
    </w:pPr>
    <w:rPr>
      <w:szCs w:val="20"/>
    </w:rPr>
  </w:style>
  <w:style w:type="character" w:customStyle="1" w:styleId="DeltaViewDeletion">
    <w:name w:val="DeltaView Deletion"/>
    <w:rsid w:val="0089299B"/>
    <w:rPr>
      <w:strike/>
      <w:color w:val="FF0000"/>
      <w:spacing w:val="0"/>
    </w:rPr>
  </w:style>
  <w:style w:type="character" w:styleId="Strong">
    <w:name w:val="Strong"/>
    <w:basedOn w:val="DefaultParagraphFont"/>
    <w:qFormat/>
    <w:rsid w:val="00001294"/>
    <w:rPr>
      <w:b/>
      <w:bCs/>
    </w:rPr>
  </w:style>
  <w:style w:type="paragraph" w:customStyle="1" w:styleId="CharChar">
    <w:name w:val="Char Char"/>
    <w:basedOn w:val="Normal"/>
    <w:rsid w:val="00671965"/>
    <w:pPr>
      <w:spacing w:after="160" w:line="240" w:lineRule="exact"/>
    </w:pPr>
    <w:rPr>
      <w:rFonts w:ascii="Verdana" w:hAnsi="Verdana" w:cs="Verdana"/>
      <w:sz w:val="20"/>
      <w:szCs w:val="20"/>
      <w:lang w:val="en-US"/>
    </w:rPr>
  </w:style>
  <w:style w:type="paragraph" w:styleId="TOCHeading">
    <w:name w:val="TOC Heading"/>
    <w:basedOn w:val="Heading1"/>
    <w:next w:val="Normal"/>
    <w:uiPriority w:val="39"/>
    <w:unhideWhenUsed/>
    <w:qFormat/>
    <w:rsid w:val="004B03C9"/>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A67BD6"/>
    <w:rPr>
      <w:rFonts w:ascii="Arial" w:hAnsi="Arial"/>
      <w:szCs w:val="22"/>
      <w:lang w:eastAsia="en-US"/>
    </w:rPr>
  </w:style>
  <w:style w:type="character" w:customStyle="1" w:styleId="HeaderChar">
    <w:name w:val="Header Char"/>
    <w:basedOn w:val="DefaultParagraphFont"/>
    <w:link w:val="Header"/>
    <w:uiPriority w:val="99"/>
    <w:rsid w:val="00744A4C"/>
    <w:rPr>
      <w:rFonts w:ascii="Arial" w:hAnsi="Arial"/>
      <w:szCs w:val="22"/>
      <w:lang w:eastAsia="en-US"/>
    </w:rPr>
  </w:style>
  <w:style w:type="paragraph" w:styleId="TOC3">
    <w:name w:val="toc 3"/>
    <w:basedOn w:val="Normal"/>
    <w:next w:val="Normal"/>
    <w:autoRedefine/>
    <w:uiPriority w:val="39"/>
    <w:unhideWhenUsed/>
    <w:qFormat/>
    <w:rsid w:val="00284C0E"/>
    <w:pPr>
      <w:spacing w:after="100"/>
      <w:ind w:left="440"/>
    </w:pPr>
  </w:style>
  <w:style w:type="paragraph" w:styleId="ListParagraph">
    <w:name w:val="List Paragraph"/>
    <w:basedOn w:val="Normal"/>
    <w:uiPriority w:val="34"/>
    <w:qFormat/>
    <w:rsid w:val="00821D9B"/>
    <w:pPr>
      <w:ind w:left="720"/>
      <w:contextualSpacing/>
    </w:pPr>
  </w:style>
  <w:style w:type="paragraph" w:customStyle="1" w:styleId="Numbered3">
    <w:name w:val="Numbered 3"/>
    <w:basedOn w:val="Normal"/>
    <w:link w:val="Numbered3Char"/>
    <w:qFormat/>
    <w:rsid w:val="00235A7C"/>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235A7C"/>
    <w:rPr>
      <w:rFonts w:ascii="Arial" w:hAnsi="Arial"/>
      <w:color w:val="000000"/>
      <w:sz w:val="22"/>
      <w:szCs w:val="22"/>
      <w:lang w:eastAsia="en-US"/>
    </w:rPr>
  </w:style>
  <w:style w:type="character" w:customStyle="1" w:styleId="Numbered3Char">
    <w:name w:val="Numbered 3 Char"/>
    <w:basedOn w:val="Heading3Char"/>
    <w:link w:val="Numbered3"/>
    <w:rsid w:val="00235A7C"/>
  </w:style>
  <w:style w:type="paragraph" w:customStyle="1" w:styleId="legp1paratext2">
    <w:name w:val="legp1paratext2"/>
    <w:basedOn w:val="Normal"/>
    <w:rsid w:val="0064618E"/>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legds2">
    <w:name w:val="legds2"/>
    <w:basedOn w:val="DefaultParagraphFont"/>
    <w:rsid w:val="0064618E"/>
    <w:rPr>
      <w:vanish w:val="0"/>
      <w:webHidden w:val="0"/>
      <w:specVanish w:val="0"/>
    </w:rPr>
  </w:style>
  <w:style w:type="paragraph" w:customStyle="1" w:styleId="Tendertemplate">
    <w:name w:val="Tender template"/>
    <w:basedOn w:val="Heading1"/>
    <w:link w:val="TendertemplateChar"/>
    <w:qFormat/>
    <w:rsid w:val="0064618E"/>
    <w:pPr>
      <w:numPr>
        <w:numId w:val="0"/>
      </w:numPr>
      <w:pBdr>
        <w:bottom w:val="none" w:sz="0" w:space="0" w:color="auto"/>
      </w:pBdr>
      <w:tabs>
        <w:tab w:val="num" w:pos="1304"/>
      </w:tabs>
      <w:ind w:left="1304" w:hanging="453"/>
      <w:jc w:val="center"/>
    </w:pPr>
    <w:rPr>
      <w:bCs/>
      <w:color w:val="FFFFFF" w:themeColor="background1"/>
      <w:sz w:val="48"/>
      <w:szCs w:val="48"/>
    </w:rPr>
  </w:style>
  <w:style w:type="character" w:customStyle="1" w:styleId="TendertemplateChar">
    <w:name w:val="Tender template Char"/>
    <w:basedOn w:val="DefaultParagraphFont"/>
    <w:link w:val="Tendertemplate"/>
    <w:rsid w:val="0064618E"/>
    <w:rPr>
      <w:rFonts w:ascii="Arial" w:hAnsi="Arial"/>
      <w:b/>
      <w:bCs/>
      <w:color w:val="FFFFFF" w:themeColor="background1"/>
      <w:sz w:val="48"/>
      <w:szCs w:val="48"/>
      <w:lang w:eastAsia="en-US"/>
    </w:rPr>
  </w:style>
  <w:style w:type="character" w:customStyle="1" w:styleId="BodyTextChar">
    <w:name w:val="Body Text Char"/>
    <w:basedOn w:val="DefaultParagraphFont"/>
    <w:link w:val="BodyText"/>
    <w:rsid w:val="0018651A"/>
    <w:rPr>
      <w:rFonts w:ascii="Arial" w:hAnsi="Arial"/>
      <w:sz w:val="22"/>
      <w:szCs w:val="22"/>
      <w:lang w:eastAsia="en-US"/>
    </w:rPr>
  </w:style>
  <w:style w:type="paragraph" w:styleId="CommentText">
    <w:name w:val="annotation text"/>
    <w:basedOn w:val="Normal"/>
    <w:link w:val="CommentTextChar"/>
    <w:rsid w:val="008B4DE5"/>
    <w:pPr>
      <w:spacing w:line="240" w:lineRule="auto"/>
    </w:pPr>
    <w:rPr>
      <w:sz w:val="20"/>
      <w:szCs w:val="20"/>
    </w:rPr>
  </w:style>
  <w:style w:type="character" w:customStyle="1" w:styleId="CommentTextChar">
    <w:name w:val="Comment Text Char"/>
    <w:basedOn w:val="DefaultParagraphFont"/>
    <w:link w:val="CommentText"/>
    <w:rsid w:val="008B4DE5"/>
    <w:rPr>
      <w:rFonts w:ascii="Arial" w:hAnsi="Arial"/>
      <w:lang w:eastAsia="en-US"/>
    </w:rPr>
  </w:style>
  <w:style w:type="paragraph" w:customStyle="1" w:styleId="DefinitionList">
    <w:name w:val="Definition List"/>
    <w:basedOn w:val="Normal"/>
    <w:next w:val="Normal"/>
    <w:rsid w:val="00B5587D"/>
    <w:pPr>
      <w:autoSpaceDE w:val="0"/>
      <w:autoSpaceDN w:val="0"/>
      <w:adjustRightInd w:val="0"/>
      <w:spacing w:after="0" w:line="240" w:lineRule="auto"/>
      <w:ind w:left="360"/>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B9A0D-4053-47DA-9C05-774F4FF9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4725</Words>
  <Characters>26653</Characters>
  <Application>Microsoft Office Word</Application>
  <DocSecurity>0</DocSecurity>
  <Lines>222</Lines>
  <Paragraphs>62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Volume 2 Information</vt:lpstr>
      <vt:lpstr>Background Information</vt:lpstr>
      <vt:lpstr>Procurement Information</vt:lpstr>
      <vt:lpstr>Procurement Procedure</vt:lpstr>
      <vt:lpstr>Procurement Timetable </vt:lpstr>
      <vt:lpstr>Authority Representatives</vt:lpstr>
      <vt:lpstr>Evaluation Information</vt:lpstr>
      <vt:lpstr>Evaluation Criteria</vt:lpstr>
      <vt:lpstr>Scoring Guidelines</vt:lpstr>
      <vt:lpstr>Award</vt:lpstr>
      <vt:lpstr>Word Limits</vt:lpstr>
      <vt:lpstr>Contract Period </vt:lpstr>
      <vt:lpstr>Performance Management </vt:lpstr>
      <vt:lpstr>Management Information</vt:lpstr>
      <vt:lpstr>Eligible Users</vt:lpstr>
      <vt:lpstr/>
      <vt:lpstr>Glossary</vt:lpstr>
      <vt:lpstr>Definitions</vt:lpstr>
    </vt:vector>
  </TitlesOfParts>
  <Company>Gateway</Company>
  <LinksUpToDate>false</LinksUpToDate>
  <CharactersWithSpaces>31316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 Information</dc:title>
  <dc:subject>Tender Template</dc:subject>
  <dc:creator>cspr010</dc:creator>
  <cp:lastModifiedBy>cspr010</cp:lastModifiedBy>
  <cp:revision>7</cp:revision>
  <cp:lastPrinted>2010-01-27T10:13:00Z</cp:lastPrinted>
  <dcterms:created xsi:type="dcterms:W3CDTF">2016-03-03T14:25:00Z</dcterms:created>
  <dcterms:modified xsi:type="dcterms:W3CDTF">2016-03-23T13:12:00Z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1501122718</vt:i4>
  </property>
  <property fmtid="{D5CDD505-2E9C-101B-9397-08002B2CF9AE}" pid="4" name="_EmailSubject">
    <vt:lpwstr>Scf and approved suppliers list </vt:lpwstr>
  </property>
  <property fmtid="{D5CDD505-2E9C-101B-9397-08002B2CF9AE}" pid="5" name="_AuthorEmail">
    <vt:lpwstr>Lucinda.Wills@torbay.gov.uk</vt:lpwstr>
  </property>
  <property fmtid="{D5CDD505-2E9C-101B-9397-08002B2CF9AE}" pid="6" name="_AuthorEmailDisplayName">
    <vt:lpwstr>Wills, Lucinda</vt:lpwstr>
  </property>
  <property fmtid="{D5CDD505-2E9C-101B-9397-08002B2CF9AE}" pid="7" name="_ReviewingToolsShownOnce">
    <vt:lpwstr/>
  </property>
</Properties>
</file>