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84" w:rsidRDefault="005B2784" w:rsidP="002B4E0A"/>
    <w:p w:rsidR="00E2212E" w:rsidRPr="00E2212E" w:rsidRDefault="00E2212E" w:rsidP="00B14BAB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 xml:space="preserve">005600 </w:t>
      </w:r>
      <w:r w:rsidR="005211DE">
        <w:rPr>
          <w:b/>
          <w:sz w:val="28"/>
          <w:szCs w:val="28"/>
        </w:rPr>
        <w:t>–</w:t>
      </w:r>
      <w:r w:rsidRPr="00E2212E">
        <w:rPr>
          <w:b/>
          <w:sz w:val="28"/>
          <w:szCs w:val="28"/>
        </w:rPr>
        <w:t xml:space="preserve"> NEPO</w:t>
      </w:r>
      <w:r w:rsidR="005211DE">
        <w:rPr>
          <w:b/>
          <w:sz w:val="28"/>
          <w:szCs w:val="28"/>
        </w:rPr>
        <w:t xml:space="preserve"> </w:t>
      </w:r>
      <w:r w:rsidRPr="00E2212E">
        <w:rPr>
          <w:b/>
          <w:sz w:val="28"/>
          <w:szCs w:val="28"/>
        </w:rPr>
        <w:t xml:space="preserve">Education, Health </w:t>
      </w:r>
      <w:r w:rsidR="00B14BAB">
        <w:rPr>
          <w:b/>
          <w:sz w:val="28"/>
          <w:szCs w:val="28"/>
        </w:rPr>
        <w:t>and</w:t>
      </w:r>
      <w:r w:rsidRPr="00E2212E">
        <w:rPr>
          <w:b/>
          <w:sz w:val="28"/>
          <w:szCs w:val="28"/>
        </w:rPr>
        <w:t xml:space="preserve"> Social Care</w:t>
      </w:r>
      <w:r w:rsidR="005211DE">
        <w:rPr>
          <w:b/>
          <w:sz w:val="28"/>
          <w:szCs w:val="28"/>
        </w:rPr>
        <w:t xml:space="preserve"> (NE12+ Phase Two)</w:t>
      </w:r>
    </w:p>
    <w:p w:rsidR="00B14BAB" w:rsidRDefault="00B14BAB" w:rsidP="002B4E0A">
      <w:pPr>
        <w:jc w:val="center"/>
        <w:rPr>
          <w:b/>
          <w:sz w:val="28"/>
          <w:szCs w:val="28"/>
        </w:rPr>
      </w:pPr>
    </w:p>
    <w:p w:rsidR="002B4E0A" w:rsidRPr="00BC3730" w:rsidRDefault="002B4E0A" w:rsidP="00B14BAB">
      <w:pPr>
        <w:rPr>
          <w:b/>
          <w:sz w:val="28"/>
          <w:szCs w:val="28"/>
        </w:rPr>
      </w:pPr>
      <w:r w:rsidRPr="00BC3730">
        <w:rPr>
          <w:b/>
          <w:sz w:val="28"/>
          <w:szCs w:val="28"/>
        </w:rPr>
        <w:t xml:space="preserve">Provider Consultation </w:t>
      </w:r>
      <w:r w:rsidR="005211DE">
        <w:rPr>
          <w:b/>
          <w:sz w:val="28"/>
          <w:szCs w:val="28"/>
        </w:rPr>
        <w:t>E</w:t>
      </w:r>
      <w:r w:rsidR="00BC3730" w:rsidRPr="00BC3730">
        <w:rPr>
          <w:b/>
          <w:sz w:val="28"/>
          <w:szCs w:val="28"/>
        </w:rPr>
        <w:t xml:space="preserve">vent </w:t>
      </w:r>
      <w:r w:rsidRPr="00BC3730">
        <w:rPr>
          <w:b/>
          <w:sz w:val="28"/>
          <w:szCs w:val="28"/>
        </w:rPr>
        <w:t xml:space="preserve">with </w:t>
      </w:r>
      <w:r w:rsidR="00A57980">
        <w:rPr>
          <w:b/>
          <w:sz w:val="28"/>
          <w:szCs w:val="28"/>
        </w:rPr>
        <w:t>Residential Short Breaks Providers</w:t>
      </w:r>
    </w:p>
    <w:p w:rsidR="002B4E0A" w:rsidRDefault="002B4E0A" w:rsidP="002B4E0A"/>
    <w:p w:rsidR="00957F07" w:rsidRDefault="00B14BAB" w:rsidP="00B14BAB">
      <w:r>
        <w:t>I</w:t>
      </w:r>
      <w:r w:rsidRPr="002B4E0A">
        <w:t>n May 2014 Newcastle City Council convened a meeting of representatives of the 12 North East local authorities and their Clinical Commissioning Groups (CCGs) through the North East Commissioning Service (NECS)</w:t>
      </w:r>
      <w:r>
        <w:t xml:space="preserve">.  The Local Authorities and CCGs discussed the </w:t>
      </w:r>
      <w:r w:rsidR="00957F07">
        <w:t>need</w:t>
      </w:r>
      <w:r>
        <w:t xml:space="preserve"> to review how they commissioned all </w:t>
      </w:r>
      <w:r w:rsidR="00106097">
        <w:t>placement types</w:t>
      </w:r>
      <w:r>
        <w:t xml:space="preserve"> for Children and Young </w:t>
      </w:r>
      <w:r w:rsidR="00957F07">
        <w:t>P</w:t>
      </w:r>
      <w:r>
        <w:t>eople including</w:t>
      </w:r>
      <w:r w:rsidR="00957F07">
        <w:t xml:space="preserve"> placements </w:t>
      </w:r>
      <w:r w:rsidR="0038114E">
        <w:t>for Residential Short Breaks</w:t>
      </w:r>
      <w:r w:rsidR="00957F07">
        <w:t>.</w:t>
      </w:r>
      <w:r>
        <w:t xml:space="preserve"> </w:t>
      </w:r>
      <w:r w:rsidRPr="002B4E0A">
        <w:t xml:space="preserve">The meeting determined that there was benefit in having a joint approach to the commissioning </w:t>
      </w:r>
      <w:r w:rsidR="00106097">
        <w:t xml:space="preserve">for </w:t>
      </w:r>
      <w:r w:rsidRPr="002B4E0A">
        <w:t>these placements</w:t>
      </w:r>
      <w:r w:rsidR="00957F07">
        <w:t xml:space="preserve"> but agreed that the scope of looking at </w:t>
      </w:r>
      <w:r w:rsidR="00106097">
        <w:t>all</w:t>
      </w:r>
      <w:r w:rsidR="00957F07">
        <w:t xml:space="preserve"> placement</w:t>
      </w:r>
      <w:r w:rsidR="00106097">
        <w:t xml:space="preserve"> types together would not be </w:t>
      </w:r>
      <w:proofErr w:type="spellStart"/>
      <w:r w:rsidR="00106097">
        <w:t>manag</w:t>
      </w:r>
      <w:r w:rsidR="0036145D">
        <w:t>a</w:t>
      </w:r>
      <w:r w:rsidR="00106097">
        <w:t>ble</w:t>
      </w:r>
      <w:proofErr w:type="spellEnd"/>
      <w:r w:rsidR="00FD56CA">
        <w:t>;</w:t>
      </w:r>
      <w:r w:rsidR="00106097">
        <w:t xml:space="preserve"> therefore a </w:t>
      </w:r>
      <w:r w:rsidR="00FD56CA">
        <w:t>‘</w:t>
      </w:r>
      <w:r w:rsidR="00106097">
        <w:t>phased approach</w:t>
      </w:r>
      <w:r w:rsidR="00FD56CA">
        <w:t>’</w:t>
      </w:r>
      <w:r w:rsidR="00106097">
        <w:t xml:space="preserve"> was adopted</w:t>
      </w:r>
      <w:r>
        <w:t xml:space="preserve">.  </w:t>
      </w:r>
    </w:p>
    <w:p w:rsidR="00957F07" w:rsidRDefault="00957F07" w:rsidP="00B14BAB"/>
    <w:p w:rsidR="00B14BAB" w:rsidRDefault="00B14BAB" w:rsidP="00B14BAB">
      <w:r w:rsidRPr="002B4E0A">
        <w:t>Following a</w:t>
      </w:r>
      <w:r>
        <w:t xml:space="preserve">pproval through regional governance arrangements </w:t>
      </w:r>
      <w:r w:rsidRPr="002B4E0A">
        <w:t>the NE12+ Collaborative was established</w:t>
      </w:r>
      <w:r>
        <w:t>.</w:t>
      </w:r>
    </w:p>
    <w:p w:rsidR="00B14BAB" w:rsidRDefault="00B14BAB" w:rsidP="002B4E0A"/>
    <w:p w:rsidR="00BC3730" w:rsidRPr="0038114E" w:rsidRDefault="00BC3730" w:rsidP="00BC3730">
      <w:r w:rsidRPr="0038114E">
        <w:t xml:space="preserve">Although placements in a range of settings were discussed, the NE12+ </w:t>
      </w:r>
      <w:proofErr w:type="spellStart"/>
      <w:r w:rsidRPr="0038114E">
        <w:t>Collaborataive</w:t>
      </w:r>
      <w:proofErr w:type="spellEnd"/>
      <w:r w:rsidRPr="0038114E">
        <w:t xml:space="preserve"> (NE12+) determined that </w:t>
      </w:r>
      <w:r w:rsidR="00957F07" w:rsidRPr="0038114E">
        <w:t>in order to take a phased appr</w:t>
      </w:r>
      <w:r w:rsidR="0036145D" w:rsidRPr="0038114E">
        <w:t>o</w:t>
      </w:r>
      <w:r w:rsidR="00957F07" w:rsidRPr="0038114E">
        <w:t>ach</w:t>
      </w:r>
      <w:r w:rsidRPr="0038114E">
        <w:t xml:space="preserve"> to changing commissioning practice </w:t>
      </w:r>
      <w:r w:rsidR="00957F07" w:rsidRPr="0038114E">
        <w:t xml:space="preserve">the </w:t>
      </w:r>
      <w:r w:rsidRPr="0038114E">
        <w:t>scope for the commissioning and procurement exercise for Phase One</w:t>
      </w:r>
      <w:r w:rsidR="00957F07" w:rsidRPr="0038114E">
        <w:t xml:space="preserve"> would be</w:t>
      </w:r>
      <w:r w:rsidRPr="0038114E">
        <w:t>:</w:t>
      </w:r>
    </w:p>
    <w:p w:rsidR="00BC3730" w:rsidRPr="0038114E" w:rsidRDefault="00BC3730" w:rsidP="00BC3730">
      <w:r w:rsidRPr="0038114E">
        <w:rPr>
          <w:b/>
          <w:bCs/>
        </w:rPr>
        <w:t>“Placements in Department for Education registered, non-maintained and independent special schools and colleges; 52-week residential, termly boarder, weekly boarder and day placements.  All placements in these settings for children and young people aged 0 – 25 years (inclusive).”</w:t>
      </w:r>
    </w:p>
    <w:p w:rsidR="00BC3730" w:rsidRPr="0038114E" w:rsidRDefault="00BC3730" w:rsidP="002B4E0A">
      <w:pPr>
        <w:rPr>
          <w:color w:val="FF0000"/>
        </w:rPr>
      </w:pPr>
    </w:p>
    <w:p w:rsidR="00BC3730" w:rsidRDefault="00BC3730" w:rsidP="00BC3730">
      <w:r>
        <w:t xml:space="preserve">Following the completion of an extensive consultation period </w:t>
      </w:r>
      <w:r w:rsidR="00302AD8">
        <w:t>NE12+ Collaborative embarked on a</w:t>
      </w:r>
      <w:r w:rsidRPr="002B4E0A">
        <w:t xml:space="preserve"> competitive tender exercise </w:t>
      </w:r>
      <w:r w:rsidR="00302AD8">
        <w:t>to put arrangements in place for 1 February 2016</w:t>
      </w:r>
      <w:r w:rsidRPr="002B4E0A">
        <w:t xml:space="preserve">, </w:t>
      </w:r>
      <w:r w:rsidR="0038114E">
        <w:t xml:space="preserve">and </w:t>
      </w:r>
      <w:r w:rsidRPr="002B4E0A">
        <w:t>13 Providers representing 22 settings were appointed to the NE12+ Framework</w:t>
      </w:r>
      <w:r w:rsidR="00302AD8">
        <w:t xml:space="preserve"> Agreement</w:t>
      </w:r>
      <w:r w:rsidRPr="002B4E0A">
        <w:t>.</w:t>
      </w:r>
      <w:r>
        <w:t xml:space="preserve">  </w:t>
      </w:r>
      <w:r w:rsidR="00302AD8">
        <w:t>The NE12+ Phase One Framework Agreement has a term of 12 months with 2 x 6 months options to extend, and we are currently in the Implementation Phase for new placements from September 2016</w:t>
      </w:r>
      <w:r w:rsidRPr="002B4E0A">
        <w:t>.</w:t>
      </w:r>
    </w:p>
    <w:p w:rsidR="00BC3730" w:rsidRPr="002B4E0A" w:rsidRDefault="00BC3730" w:rsidP="002B4E0A"/>
    <w:p w:rsidR="0060605E" w:rsidRDefault="00EC1D37" w:rsidP="00BC3730">
      <w:r>
        <w:t>I</w:t>
      </w:r>
      <w:r w:rsidR="00BC3730" w:rsidRPr="00BC3730">
        <w:t xml:space="preserve">n April 2016 </w:t>
      </w:r>
      <w:r>
        <w:t>t</w:t>
      </w:r>
      <w:r w:rsidRPr="00BC3730">
        <w:t xml:space="preserve">wo scoping sessions were held </w:t>
      </w:r>
      <w:r w:rsidR="00BC3730" w:rsidRPr="00BC3730">
        <w:t>with NE12+ Participating Organisations to consider the potential scope of NE12+ Phase Two</w:t>
      </w:r>
      <w:r w:rsidR="00BC3730">
        <w:t xml:space="preserve">.  </w:t>
      </w:r>
      <w:r w:rsidR="0060605E">
        <w:t xml:space="preserve">Participating Organisations considered the feasibility of including the following services as part of </w:t>
      </w:r>
      <w:r w:rsidR="00000636">
        <w:t xml:space="preserve">the </w:t>
      </w:r>
      <w:r w:rsidR="0060605E">
        <w:t>Phase Two</w:t>
      </w:r>
      <w:r w:rsidR="00000636">
        <w:t xml:space="preserve"> programme</w:t>
      </w:r>
      <w:r w:rsidR="0060605E">
        <w:t>:</w:t>
      </w:r>
    </w:p>
    <w:p w:rsidR="0060605E" w:rsidRDefault="0060605E" w:rsidP="00BC3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086"/>
        <w:gridCol w:w="2267"/>
        <w:gridCol w:w="3900"/>
      </w:tblGrid>
      <w:tr w:rsidR="0060605E" w:rsidRPr="0060605E" w:rsidTr="0068497B">
        <w:trPr>
          <w:tblHeader/>
        </w:trPr>
        <w:tc>
          <w:tcPr>
            <w:tcW w:w="483" w:type="dxa"/>
          </w:tcPr>
          <w:p w:rsidR="0060605E" w:rsidRPr="0060605E" w:rsidRDefault="0060605E" w:rsidP="0060605E">
            <w:pPr>
              <w:jc w:val="center"/>
              <w:rPr>
                <w:b/>
              </w:rPr>
            </w:pPr>
          </w:p>
        </w:tc>
        <w:tc>
          <w:tcPr>
            <w:tcW w:w="3086" w:type="dxa"/>
          </w:tcPr>
          <w:p w:rsidR="0060605E" w:rsidRPr="0060605E" w:rsidRDefault="0060605E" w:rsidP="00BC3730">
            <w:pPr>
              <w:rPr>
                <w:b/>
              </w:rPr>
            </w:pPr>
            <w:r w:rsidRPr="0060605E">
              <w:rPr>
                <w:b/>
              </w:rPr>
              <w:t>Service</w:t>
            </w:r>
          </w:p>
        </w:tc>
        <w:tc>
          <w:tcPr>
            <w:tcW w:w="2267" w:type="dxa"/>
          </w:tcPr>
          <w:p w:rsidR="0060605E" w:rsidRPr="0060605E" w:rsidRDefault="007960EB" w:rsidP="00BC3730">
            <w:pPr>
              <w:rPr>
                <w:b/>
              </w:rPr>
            </w:pPr>
            <w:r>
              <w:rPr>
                <w:b/>
              </w:rPr>
              <w:t xml:space="preserve">To be included in Phase Two or not </w:t>
            </w:r>
          </w:p>
        </w:tc>
        <w:tc>
          <w:tcPr>
            <w:tcW w:w="3900" w:type="dxa"/>
          </w:tcPr>
          <w:p w:rsidR="0060605E" w:rsidRPr="0060605E" w:rsidRDefault="0060605E" w:rsidP="00BC3730">
            <w:pPr>
              <w:rPr>
                <w:b/>
              </w:rPr>
            </w:pPr>
            <w:r>
              <w:rPr>
                <w:b/>
              </w:rPr>
              <w:t>Rationale for not including in Phase Two</w:t>
            </w:r>
          </w:p>
        </w:tc>
      </w:tr>
      <w:tr w:rsidR="0060605E" w:rsidTr="004641A0">
        <w:tc>
          <w:tcPr>
            <w:tcW w:w="483" w:type="dxa"/>
          </w:tcPr>
          <w:p w:rsidR="0060605E" w:rsidRPr="0060605E" w:rsidRDefault="0060605E" w:rsidP="0060605E">
            <w:pPr>
              <w:jc w:val="center"/>
              <w:rPr>
                <w:b/>
              </w:rPr>
            </w:pPr>
            <w:r w:rsidRPr="0060605E">
              <w:rPr>
                <w:b/>
              </w:rPr>
              <w:t>1</w:t>
            </w:r>
          </w:p>
        </w:tc>
        <w:tc>
          <w:tcPr>
            <w:tcW w:w="3086" w:type="dxa"/>
          </w:tcPr>
          <w:p w:rsidR="0060605E" w:rsidRDefault="0060605E" w:rsidP="00BC3730">
            <w:r>
              <w:t>Ofsted registered Independent Children’s Residential Homes</w:t>
            </w:r>
          </w:p>
        </w:tc>
        <w:tc>
          <w:tcPr>
            <w:tcW w:w="2267" w:type="dxa"/>
          </w:tcPr>
          <w:p w:rsidR="0060605E" w:rsidRDefault="0060605E" w:rsidP="007960EB">
            <w:r>
              <w:t>To be included</w:t>
            </w:r>
          </w:p>
        </w:tc>
        <w:tc>
          <w:tcPr>
            <w:tcW w:w="3900" w:type="dxa"/>
          </w:tcPr>
          <w:p w:rsidR="0060605E" w:rsidRDefault="0060605E" w:rsidP="00BC3730"/>
        </w:tc>
      </w:tr>
      <w:tr w:rsidR="0060605E" w:rsidTr="004641A0">
        <w:tc>
          <w:tcPr>
            <w:tcW w:w="483" w:type="dxa"/>
          </w:tcPr>
          <w:p w:rsidR="0060605E" w:rsidRPr="0060605E" w:rsidRDefault="0060605E" w:rsidP="0060605E">
            <w:pPr>
              <w:jc w:val="center"/>
              <w:rPr>
                <w:b/>
              </w:rPr>
            </w:pPr>
            <w:r w:rsidRPr="0060605E">
              <w:rPr>
                <w:b/>
              </w:rPr>
              <w:t>2</w:t>
            </w:r>
          </w:p>
        </w:tc>
        <w:tc>
          <w:tcPr>
            <w:tcW w:w="3086" w:type="dxa"/>
          </w:tcPr>
          <w:p w:rsidR="0060605E" w:rsidRDefault="0060605E" w:rsidP="00BC3730">
            <w:r>
              <w:t>Unregulated 16 – 18 accommodation</w:t>
            </w:r>
          </w:p>
        </w:tc>
        <w:tc>
          <w:tcPr>
            <w:tcW w:w="2267" w:type="dxa"/>
          </w:tcPr>
          <w:p w:rsidR="0060605E" w:rsidRDefault="007960EB" w:rsidP="00BC3730">
            <w:r>
              <w:t>Not to be included</w:t>
            </w:r>
          </w:p>
        </w:tc>
        <w:tc>
          <w:tcPr>
            <w:tcW w:w="3900" w:type="dxa"/>
          </w:tcPr>
          <w:p w:rsidR="0060605E" w:rsidRDefault="005855E9" w:rsidP="00AC7E61">
            <w:r w:rsidRPr="0060605E">
              <w:t>Need localised arrangements due to requirements to provide locally based support networks (families and positive friendship groups) for young people</w:t>
            </w:r>
            <w:r w:rsidR="0060605E">
              <w:t xml:space="preserve">.  </w:t>
            </w:r>
          </w:p>
        </w:tc>
      </w:tr>
      <w:tr w:rsidR="007960EB" w:rsidTr="004641A0">
        <w:tc>
          <w:tcPr>
            <w:tcW w:w="483" w:type="dxa"/>
          </w:tcPr>
          <w:p w:rsidR="007960EB" w:rsidRPr="0060605E" w:rsidRDefault="007960EB" w:rsidP="007960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6" w:type="dxa"/>
          </w:tcPr>
          <w:p w:rsidR="007960EB" w:rsidRDefault="007960EB" w:rsidP="007960EB">
            <w:r>
              <w:t>Secure Children’s Homes</w:t>
            </w:r>
          </w:p>
        </w:tc>
        <w:tc>
          <w:tcPr>
            <w:tcW w:w="2267" w:type="dxa"/>
          </w:tcPr>
          <w:p w:rsidR="007960EB" w:rsidRDefault="007960EB" w:rsidP="007960EB">
            <w:r>
              <w:t>Not to be included</w:t>
            </w:r>
          </w:p>
        </w:tc>
        <w:tc>
          <w:tcPr>
            <w:tcW w:w="3900" w:type="dxa"/>
          </w:tcPr>
          <w:p w:rsidR="007960EB" w:rsidRDefault="005855E9" w:rsidP="00615E08">
            <w:pPr>
              <w:tabs>
                <w:tab w:val="num" w:pos="720"/>
              </w:tabs>
            </w:pPr>
            <w:r w:rsidRPr="00615E08">
              <w:t xml:space="preserve">Some places </w:t>
            </w:r>
            <w:r w:rsidR="00615E08">
              <w:t>are</w:t>
            </w:r>
            <w:r w:rsidR="00AC7E61">
              <w:t xml:space="preserve"> </w:t>
            </w:r>
            <w:r w:rsidRPr="00615E08">
              <w:t xml:space="preserve">commissioned directly by the Youth Justice </w:t>
            </w:r>
            <w:r w:rsidRPr="00615E08">
              <w:lastRenderedPageBreak/>
              <w:t>Board not L</w:t>
            </w:r>
            <w:r w:rsidR="00615E08">
              <w:t xml:space="preserve">ocal </w:t>
            </w:r>
            <w:proofErr w:type="spellStart"/>
            <w:r w:rsidR="00615E08">
              <w:t>Authorities</w:t>
            </w:r>
            <w:r w:rsidRPr="00615E08">
              <w:t>s</w:t>
            </w:r>
            <w:proofErr w:type="spellEnd"/>
            <w:r w:rsidRPr="00615E08">
              <w:t>. Spot purchase locally until the National solution is procured</w:t>
            </w:r>
            <w:r w:rsidR="009A0C69">
              <w:t>.</w:t>
            </w:r>
          </w:p>
        </w:tc>
      </w:tr>
      <w:tr w:rsidR="007960EB" w:rsidTr="004641A0">
        <w:tc>
          <w:tcPr>
            <w:tcW w:w="483" w:type="dxa"/>
          </w:tcPr>
          <w:p w:rsidR="007960EB" w:rsidRPr="0060605E" w:rsidRDefault="002D75AB" w:rsidP="007960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086" w:type="dxa"/>
          </w:tcPr>
          <w:p w:rsidR="007960EB" w:rsidRDefault="002D75AB" w:rsidP="007960EB">
            <w:r>
              <w:t>Maintained Special Schools</w:t>
            </w:r>
          </w:p>
        </w:tc>
        <w:tc>
          <w:tcPr>
            <w:tcW w:w="2267" w:type="dxa"/>
          </w:tcPr>
          <w:p w:rsidR="007960EB" w:rsidRDefault="002D75AB" w:rsidP="007960EB">
            <w:r>
              <w:t>Not to be included</w:t>
            </w:r>
          </w:p>
        </w:tc>
        <w:tc>
          <w:tcPr>
            <w:tcW w:w="3900" w:type="dxa"/>
          </w:tcPr>
          <w:p w:rsidR="007960EB" w:rsidRDefault="005917C1" w:rsidP="005917C1">
            <w:r>
              <w:t>L</w:t>
            </w:r>
            <w:r w:rsidR="005855E9" w:rsidRPr="009A0C69">
              <w:t xml:space="preserve">ocal </w:t>
            </w:r>
            <w:r>
              <w:t>A</w:t>
            </w:r>
            <w:r w:rsidR="005855E9" w:rsidRPr="009A0C69">
              <w:t xml:space="preserve">uthorities </w:t>
            </w:r>
            <w:r>
              <w:t>provide these services in-house</w:t>
            </w:r>
            <w:r w:rsidR="009A0C69">
              <w:t>.</w:t>
            </w:r>
          </w:p>
        </w:tc>
      </w:tr>
      <w:tr w:rsidR="007960EB" w:rsidTr="004641A0">
        <w:tc>
          <w:tcPr>
            <w:tcW w:w="483" w:type="dxa"/>
          </w:tcPr>
          <w:p w:rsidR="007960EB" w:rsidRPr="0060605E" w:rsidRDefault="009A0C69" w:rsidP="007960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86" w:type="dxa"/>
          </w:tcPr>
          <w:p w:rsidR="007960EB" w:rsidRDefault="009A0C69" w:rsidP="007960EB">
            <w:r>
              <w:t>Academies</w:t>
            </w:r>
          </w:p>
        </w:tc>
        <w:tc>
          <w:tcPr>
            <w:tcW w:w="2267" w:type="dxa"/>
          </w:tcPr>
          <w:p w:rsidR="007960EB" w:rsidRDefault="009A0C69" w:rsidP="007960EB">
            <w:r>
              <w:t>Not to be included</w:t>
            </w:r>
          </w:p>
        </w:tc>
        <w:tc>
          <w:tcPr>
            <w:tcW w:w="3900" w:type="dxa"/>
          </w:tcPr>
          <w:p w:rsidR="007960EB" w:rsidRDefault="00D17EC4" w:rsidP="00221693">
            <w:r>
              <w:t xml:space="preserve">Academies are effectively an alternative </w:t>
            </w:r>
            <w:r w:rsidR="00F833EA">
              <w:t xml:space="preserve">to mainstream </w:t>
            </w:r>
            <w:r>
              <w:t>provision.  The pupil / parent selects t</w:t>
            </w:r>
            <w:r w:rsidR="00360281">
              <w:t>he academy.  The Local Authority</w:t>
            </w:r>
            <w:r>
              <w:t xml:space="preserve"> has no control over the selection of Placement.  The nature of the academy environment and the lower le</w:t>
            </w:r>
            <w:r w:rsidR="00360281">
              <w:t>v</w:t>
            </w:r>
            <w:r>
              <w:t xml:space="preserve">el of support required for the Child / Young Person to attend an academy usually means that the provision has a different offer to </w:t>
            </w:r>
            <w:r w:rsidR="00360281">
              <w:t>t</w:t>
            </w:r>
            <w:r>
              <w:t xml:space="preserve">hat of independent Providers and cannot cater for Children / Young </w:t>
            </w:r>
            <w:r w:rsidR="00221693">
              <w:t>P</w:t>
            </w:r>
            <w:r>
              <w:t xml:space="preserve">eople with </w:t>
            </w:r>
            <w:r w:rsidR="00221693">
              <w:t>H</w:t>
            </w:r>
            <w:r>
              <w:t xml:space="preserve">igh </w:t>
            </w:r>
            <w:r w:rsidR="00221693">
              <w:t>N</w:t>
            </w:r>
            <w:r>
              <w:t>eeds.</w:t>
            </w:r>
          </w:p>
        </w:tc>
      </w:tr>
      <w:tr w:rsidR="007960EB" w:rsidTr="004641A0">
        <w:tc>
          <w:tcPr>
            <w:tcW w:w="483" w:type="dxa"/>
          </w:tcPr>
          <w:p w:rsidR="007960EB" w:rsidRPr="0060605E" w:rsidRDefault="00D17EC4" w:rsidP="007960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6" w:type="dxa"/>
          </w:tcPr>
          <w:p w:rsidR="007960EB" w:rsidRDefault="00D17EC4" w:rsidP="007960EB">
            <w:r>
              <w:t>Further Education (FE) Colleges</w:t>
            </w:r>
          </w:p>
        </w:tc>
        <w:tc>
          <w:tcPr>
            <w:tcW w:w="2267" w:type="dxa"/>
          </w:tcPr>
          <w:p w:rsidR="007960EB" w:rsidRDefault="00D17EC4" w:rsidP="007960EB">
            <w:r>
              <w:t>Not to be included</w:t>
            </w:r>
          </w:p>
        </w:tc>
        <w:tc>
          <w:tcPr>
            <w:tcW w:w="3900" w:type="dxa"/>
          </w:tcPr>
          <w:p w:rsidR="007960EB" w:rsidRDefault="00D17EC4" w:rsidP="005622A6">
            <w:r w:rsidRPr="00D17EC4">
              <w:t>Currently spot purchasing as it is a universal offer</w:t>
            </w:r>
            <w:r w:rsidR="005622A6">
              <w:t>.</w:t>
            </w:r>
            <w:r w:rsidRPr="00D17EC4">
              <w:t xml:space="preserve"> </w:t>
            </w:r>
          </w:p>
        </w:tc>
      </w:tr>
      <w:tr w:rsidR="001430FF" w:rsidTr="004641A0">
        <w:tc>
          <w:tcPr>
            <w:tcW w:w="483" w:type="dxa"/>
          </w:tcPr>
          <w:p w:rsidR="001430FF" w:rsidRPr="0060605E" w:rsidRDefault="001430FF" w:rsidP="001430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6" w:type="dxa"/>
          </w:tcPr>
          <w:p w:rsidR="001430FF" w:rsidRDefault="001430FF" w:rsidP="001430FF">
            <w:r>
              <w:t>Further Education (FE) Sixth Form Colleges</w:t>
            </w:r>
          </w:p>
        </w:tc>
        <w:tc>
          <w:tcPr>
            <w:tcW w:w="2267" w:type="dxa"/>
          </w:tcPr>
          <w:p w:rsidR="001430FF" w:rsidRDefault="001430FF" w:rsidP="001430FF">
            <w:r>
              <w:t>Not to be included</w:t>
            </w:r>
          </w:p>
        </w:tc>
        <w:tc>
          <w:tcPr>
            <w:tcW w:w="3900" w:type="dxa"/>
          </w:tcPr>
          <w:p w:rsidR="001430FF" w:rsidRDefault="001430FF" w:rsidP="0027592D">
            <w:r w:rsidRPr="00D17EC4">
              <w:t>Currently spot purchasing as it is a universal offer</w:t>
            </w:r>
            <w:r w:rsidR="0027592D">
              <w:t>.</w:t>
            </w:r>
            <w:r w:rsidRPr="00D17EC4">
              <w:t xml:space="preserve"> </w:t>
            </w:r>
          </w:p>
        </w:tc>
      </w:tr>
      <w:tr w:rsidR="001430FF" w:rsidTr="004641A0">
        <w:tc>
          <w:tcPr>
            <w:tcW w:w="483" w:type="dxa"/>
          </w:tcPr>
          <w:p w:rsidR="001430FF" w:rsidRDefault="001430FF" w:rsidP="001430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86" w:type="dxa"/>
          </w:tcPr>
          <w:p w:rsidR="001430FF" w:rsidRDefault="001430FF" w:rsidP="001430FF">
            <w:r>
              <w:t>Supported Internships (SI)</w:t>
            </w:r>
          </w:p>
        </w:tc>
        <w:tc>
          <w:tcPr>
            <w:tcW w:w="2267" w:type="dxa"/>
          </w:tcPr>
          <w:p w:rsidR="001430FF" w:rsidRDefault="001430FF" w:rsidP="001430FF">
            <w:r>
              <w:t>Not to be included</w:t>
            </w:r>
          </w:p>
        </w:tc>
        <w:tc>
          <w:tcPr>
            <w:tcW w:w="3900" w:type="dxa"/>
          </w:tcPr>
          <w:p w:rsidR="001430FF" w:rsidRPr="00D17EC4" w:rsidRDefault="005855E9" w:rsidP="001430FF">
            <w:r w:rsidRPr="001430FF">
              <w:t>SI is a model of curriculum delivery rather than a separate offer</w:t>
            </w:r>
            <w:r w:rsidR="0068497B">
              <w:t>.</w:t>
            </w:r>
          </w:p>
        </w:tc>
      </w:tr>
      <w:tr w:rsidR="001430FF" w:rsidTr="004641A0">
        <w:tc>
          <w:tcPr>
            <w:tcW w:w="483" w:type="dxa"/>
          </w:tcPr>
          <w:p w:rsidR="001430FF" w:rsidRDefault="001430FF" w:rsidP="001430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6" w:type="dxa"/>
          </w:tcPr>
          <w:p w:rsidR="001430FF" w:rsidRDefault="001430FF" w:rsidP="001430FF">
            <w:r>
              <w:t>Combined Offer</w:t>
            </w:r>
          </w:p>
        </w:tc>
        <w:tc>
          <w:tcPr>
            <w:tcW w:w="2267" w:type="dxa"/>
          </w:tcPr>
          <w:p w:rsidR="001430FF" w:rsidRDefault="001430FF" w:rsidP="001430FF">
            <w:r>
              <w:t>Already included in Phase One</w:t>
            </w:r>
          </w:p>
        </w:tc>
        <w:tc>
          <w:tcPr>
            <w:tcW w:w="3900" w:type="dxa"/>
          </w:tcPr>
          <w:p w:rsidR="001430FF" w:rsidRPr="001430FF" w:rsidRDefault="001430FF" w:rsidP="001430FF">
            <w:r>
              <w:t>T</w:t>
            </w:r>
            <w:r w:rsidR="005855E9" w:rsidRPr="001430FF">
              <w:t>ried and tested in current NE12+ call-off arrangements. Provider</w:t>
            </w:r>
            <w:r>
              <w:t>s</w:t>
            </w:r>
            <w:r w:rsidR="005855E9" w:rsidRPr="001430FF">
              <w:t xml:space="preserve"> delivering through a sub-contract offer</w:t>
            </w:r>
            <w:r>
              <w:t>.</w:t>
            </w:r>
          </w:p>
        </w:tc>
      </w:tr>
      <w:tr w:rsidR="001430FF" w:rsidTr="004641A0">
        <w:tc>
          <w:tcPr>
            <w:tcW w:w="483" w:type="dxa"/>
          </w:tcPr>
          <w:p w:rsidR="001430FF" w:rsidRDefault="001430FF" w:rsidP="001430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6" w:type="dxa"/>
          </w:tcPr>
          <w:p w:rsidR="001430FF" w:rsidRDefault="001430FF" w:rsidP="001430FF">
            <w:r>
              <w:t>Alternative Provision for Excluding Pupils</w:t>
            </w:r>
          </w:p>
        </w:tc>
        <w:tc>
          <w:tcPr>
            <w:tcW w:w="2267" w:type="dxa"/>
          </w:tcPr>
          <w:p w:rsidR="001430FF" w:rsidRDefault="001430FF" w:rsidP="001430FF">
            <w:r>
              <w:t>Not to be included</w:t>
            </w:r>
          </w:p>
        </w:tc>
        <w:tc>
          <w:tcPr>
            <w:tcW w:w="3900" w:type="dxa"/>
          </w:tcPr>
          <w:p w:rsidR="001430FF" w:rsidRDefault="005855E9" w:rsidP="0070577C">
            <w:r w:rsidRPr="001430FF">
              <w:t>No solution required as the L</w:t>
            </w:r>
            <w:r w:rsidR="0070577C">
              <w:t>ocal Authorities are</w:t>
            </w:r>
            <w:r w:rsidRPr="001430FF">
              <w:t xml:space="preserve"> is not the </w:t>
            </w:r>
            <w:r w:rsidR="0070577C">
              <w:t>C</w:t>
            </w:r>
            <w:r w:rsidRPr="001430FF">
              <w:t>ommissioner</w:t>
            </w:r>
            <w:r w:rsidR="001430FF">
              <w:t>.</w:t>
            </w:r>
          </w:p>
        </w:tc>
      </w:tr>
      <w:tr w:rsidR="0070577C" w:rsidTr="004641A0">
        <w:tc>
          <w:tcPr>
            <w:tcW w:w="483" w:type="dxa"/>
          </w:tcPr>
          <w:p w:rsidR="0070577C" w:rsidRDefault="0070577C" w:rsidP="0070577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86" w:type="dxa"/>
          </w:tcPr>
          <w:p w:rsidR="0070577C" w:rsidRDefault="0070577C" w:rsidP="0070577C">
            <w:r>
              <w:t>Pupil Referral Units</w:t>
            </w:r>
          </w:p>
        </w:tc>
        <w:tc>
          <w:tcPr>
            <w:tcW w:w="2267" w:type="dxa"/>
          </w:tcPr>
          <w:p w:rsidR="0070577C" w:rsidRDefault="0070577C" w:rsidP="0070577C">
            <w:r>
              <w:t>Not to be included</w:t>
            </w:r>
          </w:p>
        </w:tc>
        <w:tc>
          <w:tcPr>
            <w:tcW w:w="3900" w:type="dxa"/>
          </w:tcPr>
          <w:p w:rsidR="0070577C" w:rsidRDefault="0070577C" w:rsidP="0070577C">
            <w:r>
              <w:t>L</w:t>
            </w:r>
            <w:r w:rsidRPr="009A0C69">
              <w:t xml:space="preserve">ocal </w:t>
            </w:r>
            <w:r>
              <w:t>A</w:t>
            </w:r>
            <w:r w:rsidRPr="009A0C69">
              <w:t xml:space="preserve">uthorities </w:t>
            </w:r>
            <w:r>
              <w:t>provide these services in-house.</w:t>
            </w:r>
          </w:p>
        </w:tc>
      </w:tr>
      <w:tr w:rsidR="00E6752C" w:rsidTr="004641A0">
        <w:tc>
          <w:tcPr>
            <w:tcW w:w="483" w:type="dxa"/>
          </w:tcPr>
          <w:p w:rsidR="00E6752C" w:rsidRDefault="008A72F0" w:rsidP="001430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86" w:type="dxa"/>
          </w:tcPr>
          <w:p w:rsidR="00E6752C" w:rsidRDefault="008A72F0" w:rsidP="001430FF">
            <w:r>
              <w:t>Short Breaks Residential</w:t>
            </w:r>
          </w:p>
        </w:tc>
        <w:tc>
          <w:tcPr>
            <w:tcW w:w="2267" w:type="dxa"/>
          </w:tcPr>
          <w:p w:rsidR="00E6752C" w:rsidRDefault="008A72F0" w:rsidP="001430FF">
            <w:r>
              <w:t>To be included</w:t>
            </w:r>
          </w:p>
        </w:tc>
        <w:tc>
          <w:tcPr>
            <w:tcW w:w="3900" w:type="dxa"/>
          </w:tcPr>
          <w:p w:rsidR="00E6752C" w:rsidRDefault="00E6752C" w:rsidP="001430FF"/>
        </w:tc>
      </w:tr>
      <w:tr w:rsidR="008A72F0" w:rsidTr="004641A0">
        <w:tc>
          <w:tcPr>
            <w:tcW w:w="483" w:type="dxa"/>
          </w:tcPr>
          <w:p w:rsidR="008A72F0" w:rsidRDefault="008A72F0" w:rsidP="001430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86" w:type="dxa"/>
          </w:tcPr>
          <w:p w:rsidR="008A72F0" w:rsidRDefault="008A72F0" w:rsidP="001430FF">
            <w:r>
              <w:t>Short Breaks Communities</w:t>
            </w:r>
          </w:p>
        </w:tc>
        <w:tc>
          <w:tcPr>
            <w:tcW w:w="2267" w:type="dxa"/>
          </w:tcPr>
          <w:p w:rsidR="008A72F0" w:rsidRDefault="008A72F0" w:rsidP="001430FF">
            <w:r>
              <w:t>Not to be included</w:t>
            </w:r>
          </w:p>
        </w:tc>
        <w:tc>
          <w:tcPr>
            <w:tcW w:w="3900" w:type="dxa"/>
          </w:tcPr>
          <w:p w:rsidR="008A72F0" w:rsidRDefault="005855E9" w:rsidP="001430FF">
            <w:r w:rsidRPr="008A72F0">
              <w:t>Some elements purchased through direct payments so L</w:t>
            </w:r>
            <w:r w:rsidR="008A72F0">
              <w:t>ocal Authorities</w:t>
            </w:r>
            <w:r w:rsidRPr="008A72F0">
              <w:t xml:space="preserve"> not the commissioner</w:t>
            </w:r>
            <w:r w:rsidR="008A72F0">
              <w:t>.</w:t>
            </w:r>
            <w:r w:rsidR="00EA6465">
              <w:t xml:space="preserve">  Other </w:t>
            </w:r>
            <w:proofErr w:type="spellStart"/>
            <w:r w:rsidR="00EA6465">
              <w:t>eleemnts</w:t>
            </w:r>
            <w:proofErr w:type="spellEnd"/>
            <w:r w:rsidR="00EA6465">
              <w:t xml:space="preserve"> are </w:t>
            </w:r>
            <w:proofErr w:type="gramStart"/>
            <w:r w:rsidR="00EA6465">
              <w:t>very</w:t>
            </w:r>
            <w:proofErr w:type="gramEnd"/>
            <w:r w:rsidR="00EA6465">
              <w:t xml:space="preserve"> bespoke to local need therefore they are procured via local arrangements.</w:t>
            </w:r>
          </w:p>
        </w:tc>
      </w:tr>
      <w:tr w:rsidR="008A72F0" w:rsidTr="004641A0">
        <w:tc>
          <w:tcPr>
            <w:tcW w:w="483" w:type="dxa"/>
          </w:tcPr>
          <w:p w:rsidR="008A72F0" w:rsidRDefault="008A72F0" w:rsidP="001430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86" w:type="dxa"/>
          </w:tcPr>
          <w:p w:rsidR="008A72F0" w:rsidRDefault="008A72F0" w:rsidP="001430FF">
            <w:r>
              <w:t>Short Breaks Palliative Care</w:t>
            </w:r>
          </w:p>
        </w:tc>
        <w:tc>
          <w:tcPr>
            <w:tcW w:w="2267" w:type="dxa"/>
          </w:tcPr>
          <w:p w:rsidR="008A72F0" w:rsidRDefault="008A72F0" w:rsidP="001430FF">
            <w:r>
              <w:t>Yet to be determined</w:t>
            </w:r>
          </w:p>
        </w:tc>
        <w:tc>
          <w:tcPr>
            <w:tcW w:w="3900" w:type="dxa"/>
          </w:tcPr>
          <w:p w:rsidR="008A72F0" w:rsidRPr="008A72F0" w:rsidRDefault="008A72F0" w:rsidP="006172D1">
            <w:r>
              <w:t>Further discussion to take p</w:t>
            </w:r>
            <w:r w:rsidR="006172D1">
              <w:t>l</w:t>
            </w:r>
            <w:r>
              <w:t>ace with NHS England</w:t>
            </w:r>
            <w:r w:rsidR="006172D1">
              <w:t xml:space="preserve"> to establish whether these Services ar</w:t>
            </w:r>
            <w:r w:rsidR="00F833EA">
              <w:t>e in out of scope for Phase Two</w:t>
            </w:r>
            <w:r>
              <w:t>.</w:t>
            </w:r>
          </w:p>
        </w:tc>
      </w:tr>
      <w:tr w:rsidR="008A72F0" w:rsidTr="004641A0">
        <w:tc>
          <w:tcPr>
            <w:tcW w:w="483" w:type="dxa"/>
          </w:tcPr>
          <w:p w:rsidR="008A72F0" w:rsidRDefault="008A72F0" w:rsidP="00143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086" w:type="dxa"/>
          </w:tcPr>
          <w:p w:rsidR="008A72F0" w:rsidRDefault="008A72F0" w:rsidP="001430FF">
            <w:r>
              <w:t>Supported Accommodation for People with Learning Difficulties</w:t>
            </w:r>
          </w:p>
        </w:tc>
        <w:tc>
          <w:tcPr>
            <w:tcW w:w="2267" w:type="dxa"/>
          </w:tcPr>
          <w:p w:rsidR="008A72F0" w:rsidRDefault="008A72F0" w:rsidP="001430FF">
            <w:r>
              <w:t>Not to be included</w:t>
            </w:r>
          </w:p>
        </w:tc>
        <w:tc>
          <w:tcPr>
            <w:tcW w:w="3900" w:type="dxa"/>
          </w:tcPr>
          <w:p w:rsidR="008A72F0" w:rsidRDefault="007A5269" w:rsidP="007A5269">
            <w:r>
              <w:t>There will be a</w:t>
            </w:r>
            <w:r w:rsidR="008A72F0" w:rsidRPr="008A72F0">
              <w:t xml:space="preserve"> separate solution in the regional procurement work programme.</w:t>
            </w:r>
          </w:p>
        </w:tc>
      </w:tr>
      <w:tr w:rsidR="004641A0" w:rsidTr="004641A0">
        <w:tc>
          <w:tcPr>
            <w:tcW w:w="483" w:type="dxa"/>
          </w:tcPr>
          <w:p w:rsidR="004641A0" w:rsidRDefault="004641A0" w:rsidP="001430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86" w:type="dxa"/>
          </w:tcPr>
          <w:p w:rsidR="004641A0" w:rsidRDefault="004641A0" w:rsidP="001430FF">
            <w:r>
              <w:t>Parent and baby placements</w:t>
            </w:r>
          </w:p>
        </w:tc>
        <w:tc>
          <w:tcPr>
            <w:tcW w:w="2267" w:type="dxa"/>
          </w:tcPr>
          <w:p w:rsidR="004641A0" w:rsidRDefault="004641A0" w:rsidP="001430FF">
            <w:r>
              <w:t>Not to be included</w:t>
            </w:r>
          </w:p>
        </w:tc>
        <w:tc>
          <w:tcPr>
            <w:tcW w:w="3900" w:type="dxa"/>
          </w:tcPr>
          <w:p w:rsidR="004641A0" w:rsidRPr="008A72F0" w:rsidRDefault="004641A0" w:rsidP="0021166A">
            <w:r w:rsidRPr="004641A0">
              <w:t xml:space="preserve">No solution required. Access either </w:t>
            </w:r>
            <w:r w:rsidR="0021166A">
              <w:t xml:space="preserve">through our </w:t>
            </w:r>
            <w:r w:rsidRPr="004641A0">
              <w:t xml:space="preserve">in-house provision or </w:t>
            </w:r>
            <w:r w:rsidR="008B1384">
              <w:t xml:space="preserve">via the </w:t>
            </w:r>
            <w:r w:rsidRPr="004641A0">
              <w:t xml:space="preserve">external regional fostering arrangements.  </w:t>
            </w:r>
          </w:p>
        </w:tc>
      </w:tr>
      <w:tr w:rsidR="004641A0" w:rsidTr="004641A0">
        <w:tc>
          <w:tcPr>
            <w:tcW w:w="483" w:type="dxa"/>
          </w:tcPr>
          <w:p w:rsidR="004641A0" w:rsidRDefault="004641A0" w:rsidP="004641A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86" w:type="dxa"/>
          </w:tcPr>
          <w:p w:rsidR="004641A0" w:rsidRDefault="004641A0" w:rsidP="002C13EE">
            <w:r>
              <w:t>Parent Assessment Unit</w:t>
            </w:r>
            <w:r w:rsidR="002C13EE">
              <w:t>s</w:t>
            </w:r>
          </w:p>
        </w:tc>
        <w:tc>
          <w:tcPr>
            <w:tcW w:w="2267" w:type="dxa"/>
          </w:tcPr>
          <w:p w:rsidR="004641A0" w:rsidRDefault="004641A0" w:rsidP="004641A0">
            <w:r>
              <w:t>Not to be included</w:t>
            </w:r>
          </w:p>
        </w:tc>
        <w:tc>
          <w:tcPr>
            <w:tcW w:w="3900" w:type="dxa"/>
          </w:tcPr>
          <w:p w:rsidR="004641A0" w:rsidRPr="008A72F0" w:rsidRDefault="004641A0" w:rsidP="008B1384">
            <w:r w:rsidRPr="004641A0">
              <w:t xml:space="preserve">No solution required. Access either in-house provision or external regional fostering arrangements.  </w:t>
            </w:r>
          </w:p>
        </w:tc>
      </w:tr>
    </w:tbl>
    <w:p w:rsidR="00B308EA" w:rsidRDefault="00B308EA" w:rsidP="00BC3730"/>
    <w:p w:rsidR="00BC3730" w:rsidRDefault="00C73CB8" w:rsidP="00BC3730">
      <w:r>
        <w:t>In May 2016, the above scope for Phase Two was approved by regional governance arrangements.</w:t>
      </w:r>
      <w:r w:rsidR="00432B18">
        <w:t xml:space="preserve"> </w:t>
      </w:r>
      <w:r w:rsidR="005855E9">
        <w:t xml:space="preserve">Therefore, the </w:t>
      </w:r>
      <w:r w:rsidR="00BC3730" w:rsidRPr="00BC3730">
        <w:t>scope of NE12+ Phase Two will be</w:t>
      </w:r>
      <w:r w:rsidR="003F1992">
        <w:t>:</w:t>
      </w:r>
    </w:p>
    <w:p w:rsidR="003F1992" w:rsidRPr="00BC3730" w:rsidRDefault="003F1992" w:rsidP="00BC3730"/>
    <w:p w:rsidR="00BC3730" w:rsidRPr="00BC3730" w:rsidRDefault="00BC3730" w:rsidP="00432B18">
      <w:r w:rsidRPr="00BC3730">
        <w:t xml:space="preserve">Services in the current NE12+ Framework Agreement </w:t>
      </w:r>
      <w:r w:rsidRPr="00432B18">
        <w:rPr>
          <w:b/>
          <w:bCs/>
        </w:rPr>
        <w:t>plus</w:t>
      </w:r>
    </w:p>
    <w:p w:rsidR="00CA7612" w:rsidRPr="00BC3730" w:rsidRDefault="005855E9" w:rsidP="00BC3730">
      <w:pPr>
        <w:numPr>
          <w:ilvl w:val="0"/>
          <w:numId w:val="33"/>
        </w:numPr>
      </w:pPr>
      <w:r w:rsidRPr="00BC3730">
        <w:t>Placements in</w:t>
      </w:r>
      <w:r w:rsidR="00533636">
        <w:t xml:space="preserve"> Ofsted registered,</w:t>
      </w:r>
      <w:r w:rsidRPr="00BC3730">
        <w:t xml:space="preserve"> </w:t>
      </w:r>
      <w:r w:rsidR="00533636">
        <w:t>Independent Children’s Residential Homes for</w:t>
      </w:r>
      <w:r w:rsidRPr="00BC3730">
        <w:t xml:space="preserve"> Children and Young People 0 – 18 years</w:t>
      </w:r>
      <w:r w:rsidR="00AE146E">
        <w:t>,</w:t>
      </w:r>
      <w:r w:rsidRPr="00BC3730">
        <w:t xml:space="preserve"> and</w:t>
      </w:r>
    </w:p>
    <w:p w:rsidR="00CA7612" w:rsidRDefault="005855E9" w:rsidP="00BC3730">
      <w:pPr>
        <w:numPr>
          <w:ilvl w:val="0"/>
          <w:numId w:val="33"/>
        </w:numPr>
      </w:pPr>
      <w:r w:rsidRPr="00BC3730">
        <w:t>Residential short-break services</w:t>
      </w:r>
    </w:p>
    <w:p w:rsidR="003F1992" w:rsidRPr="00BC3730" w:rsidRDefault="003F1992" w:rsidP="003F1992">
      <w:pPr>
        <w:ind w:left="720"/>
      </w:pPr>
    </w:p>
    <w:p w:rsidR="00BC3730" w:rsidRDefault="00BC3730" w:rsidP="00BC3730">
      <w:r w:rsidRPr="00BC3730">
        <w:t>The NE12+ Participating Organisations are still considering whether it is appropriate to include palliative short-break services in Phase Two</w:t>
      </w:r>
      <w:r>
        <w:t>.</w:t>
      </w:r>
      <w:r w:rsidR="005855E9">
        <w:t xml:space="preserve">  Newcastle City Council will coordinate discussion with</w:t>
      </w:r>
      <w:r w:rsidR="00C223EF">
        <w:t xml:space="preserve"> CCGs and</w:t>
      </w:r>
      <w:r w:rsidR="005855E9">
        <w:t xml:space="preserve"> NHS England to consider this further.</w:t>
      </w:r>
    </w:p>
    <w:p w:rsidR="00BC3730" w:rsidRDefault="00BC3730" w:rsidP="00BC3730"/>
    <w:p w:rsidR="005855E9" w:rsidRDefault="005855E9" w:rsidP="0038114E">
      <w:r>
        <w:t xml:space="preserve">The NE12+ </w:t>
      </w:r>
      <w:r w:rsidR="00C223EF">
        <w:t xml:space="preserve">Collaborative </w:t>
      </w:r>
      <w:r w:rsidR="0038114E">
        <w:t>embarked</w:t>
      </w:r>
      <w:r>
        <w:t xml:space="preserve"> on the Commissioning Phase of the NE12+ Phase Two</w:t>
      </w:r>
      <w:r w:rsidR="00C223EF">
        <w:t xml:space="preserve"> programme</w:t>
      </w:r>
      <w:r w:rsidR="0038114E">
        <w:t xml:space="preserve"> in July 2016</w:t>
      </w:r>
      <w:r w:rsidR="00C223EF">
        <w:t xml:space="preserve">.  </w:t>
      </w:r>
      <w:r w:rsidR="0038114E">
        <w:t xml:space="preserve">In </w:t>
      </w:r>
      <w:r>
        <w:t>J</w:t>
      </w:r>
      <w:r w:rsidR="0038114E">
        <w:t xml:space="preserve">uly, August and September 2016, </w:t>
      </w:r>
      <w:r w:rsidR="006E66B4">
        <w:t>engagement</w:t>
      </w:r>
      <w:r>
        <w:t xml:space="preserve"> </w:t>
      </w:r>
      <w:r w:rsidR="0038114E">
        <w:t xml:space="preserve">took place </w:t>
      </w:r>
      <w:r>
        <w:t>with Independent Children’s Residential Home Providers</w:t>
      </w:r>
      <w:r w:rsidR="0038114E">
        <w:t>.</w:t>
      </w:r>
    </w:p>
    <w:p w:rsidR="0038114E" w:rsidRDefault="0038114E" w:rsidP="0038114E"/>
    <w:p w:rsidR="0038114E" w:rsidRDefault="0038114E" w:rsidP="0038114E">
      <w:r>
        <w:t>Indicative timescales for the remainder of Phase Two are:</w:t>
      </w:r>
    </w:p>
    <w:p w:rsidR="005855E9" w:rsidRDefault="005855E9" w:rsidP="005855E9">
      <w:pPr>
        <w:pStyle w:val="ListParagraph"/>
        <w:numPr>
          <w:ilvl w:val="0"/>
          <w:numId w:val="44"/>
        </w:numPr>
      </w:pPr>
      <w:r>
        <w:t xml:space="preserve">October and November 2016 – </w:t>
      </w:r>
      <w:r w:rsidR="006E66B4">
        <w:t>engagement</w:t>
      </w:r>
      <w:r>
        <w:t xml:space="preserve"> with Residential Short Break Providers</w:t>
      </w:r>
    </w:p>
    <w:p w:rsidR="005855E9" w:rsidRDefault="005855E9" w:rsidP="005855E9">
      <w:pPr>
        <w:pStyle w:val="ListParagraph"/>
        <w:numPr>
          <w:ilvl w:val="0"/>
          <w:numId w:val="44"/>
        </w:numPr>
      </w:pPr>
      <w:r>
        <w:t xml:space="preserve">November and December 2016 – </w:t>
      </w:r>
      <w:r w:rsidR="006E66B4">
        <w:t>engagement</w:t>
      </w:r>
      <w:r>
        <w:t xml:space="preserve"> with non-maintained and </w:t>
      </w:r>
      <w:r w:rsidR="008A6E75">
        <w:t>I</w:t>
      </w:r>
      <w:r>
        <w:t xml:space="preserve">ndependent </w:t>
      </w:r>
      <w:r w:rsidR="008A6E75">
        <w:t>S</w:t>
      </w:r>
      <w:r>
        <w:t xml:space="preserve">pecial </w:t>
      </w:r>
      <w:r w:rsidR="008A6E75">
        <w:t>S</w:t>
      </w:r>
      <w:r>
        <w:t xml:space="preserve">chools and </w:t>
      </w:r>
      <w:r w:rsidR="008A6E75">
        <w:t>C</w:t>
      </w:r>
      <w:r>
        <w:t>olleges</w:t>
      </w:r>
    </w:p>
    <w:p w:rsidR="005855E9" w:rsidRDefault="005855E9" w:rsidP="005855E9">
      <w:pPr>
        <w:pStyle w:val="ListParagraph"/>
        <w:numPr>
          <w:ilvl w:val="0"/>
          <w:numId w:val="44"/>
        </w:numPr>
      </w:pPr>
      <w:r>
        <w:t>January 2017 – consul</w:t>
      </w:r>
      <w:r w:rsidR="00C6634A">
        <w:t>t</w:t>
      </w:r>
      <w:r>
        <w:t>ation with the full market and sig</w:t>
      </w:r>
      <w:r w:rsidR="0022182B">
        <w:t>n</w:t>
      </w:r>
      <w:r>
        <w:t>-o</w:t>
      </w:r>
      <w:r w:rsidR="0022182B">
        <w:t>ff</w:t>
      </w:r>
      <w:r>
        <w:t xml:space="preserve"> of the final commissioning model for NE12+ Phase Two</w:t>
      </w:r>
    </w:p>
    <w:p w:rsidR="005855E9" w:rsidRDefault="005855E9" w:rsidP="00BC3730"/>
    <w:p w:rsidR="00BC3730" w:rsidRDefault="00BC3730" w:rsidP="00BC3730">
      <w:r>
        <w:t xml:space="preserve">Newcastle City Council, as Lead </w:t>
      </w:r>
      <w:r w:rsidR="00D5482F">
        <w:t>Authority</w:t>
      </w:r>
      <w:r>
        <w:t xml:space="preserve"> for the NE12+ </w:t>
      </w:r>
      <w:r w:rsidR="00D5482F">
        <w:t xml:space="preserve">for the Phase Two programme, </w:t>
      </w:r>
      <w:r>
        <w:t>would like to invit</w:t>
      </w:r>
      <w:r w:rsidR="005855E9">
        <w:t xml:space="preserve">e all Providers of </w:t>
      </w:r>
      <w:r w:rsidR="0038114E">
        <w:t>Residential Short Breaks services</w:t>
      </w:r>
      <w:r>
        <w:t xml:space="preserve"> to attend an initial </w:t>
      </w:r>
      <w:r w:rsidR="006E66B4">
        <w:t>engagement</w:t>
      </w:r>
      <w:bookmarkStart w:id="0" w:name="_GoBack"/>
      <w:bookmarkEnd w:id="0"/>
      <w:r>
        <w:t xml:space="preserve"> event on </w:t>
      </w:r>
      <w:r w:rsidR="003F1992">
        <w:rPr>
          <w:b/>
        </w:rPr>
        <w:t>Thursday 20</w:t>
      </w:r>
      <w:r w:rsidR="003F1992" w:rsidRPr="003F1992">
        <w:rPr>
          <w:b/>
          <w:vertAlign w:val="superscript"/>
        </w:rPr>
        <w:t>th</w:t>
      </w:r>
      <w:r w:rsidR="003F1992">
        <w:rPr>
          <w:b/>
        </w:rPr>
        <w:t xml:space="preserve"> October</w:t>
      </w:r>
      <w:r>
        <w:rPr>
          <w:b/>
        </w:rPr>
        <w:t xml:space="preserve"> 2016</w:t>
      </w:r>
      <w:r>
        <w:t xml:space="preserve"> at</w:t>
      </w:r>
      <w:r w:rsidR="003F1992">
        <w:t xml:space="preserve"> 1:00 pm – 5:00 </w:t>
      </w:r>
      <w:r w:rsidR="009A0C69">
        <w:t>pm</w:t>
      </w:r>
      <w:r w:rsidR="003F1992">
        <w:t xml:space="preserve"> in the </w:t>
      </w:r>
      <w:proofErr w:type="spellStart"/>
      <w:r w:rsidR="003F1992">
        <w:t>Bewick</w:t>
      </w:r>
      <w:proofErr w:type="spellEnd"/>
      <w:r w:rsidR="003F1992">
        <w:t xml:space="preserve"> Dobson Room</w:t>
      </w:r>
      <w:r w:rsidR="009A0C69">
        <w:t xml:space="preserve"> at </w:t>
      </w:r>
      <w:r w:rsidR="003F1992">
        <w:t xml:space="preserve">Newcastle Civic Centre, </w:t>
      </w:r>
      <w:proofErr w:type="spellStart"/>
      <w:r w:rsidR="003F1992">
        <w:t>Barras</w:t>
      </w:r>
      <w:proofErr w:type="spellEnd"/>
      <w:r w:rsidR="003F1992">
        <w:t xml:space="preserve"> Bridge, NE1 8QH.</w:t>
      </w:r>
    </w:p>
    <w:p w:rsidR="0038114E" w:rsidRDefault="0038114E" w:rsidP="00BC3730">
      <w:pPr>
        <w:rPr>
          <w:color w:val="FF0000"/>
        </w:rPr>
      </w:pPr>
    </w:p>
    <w:p w:rsidR="00BC3730" w:rsidRDefault="00BC3730" w:rsidP="00BC3730">
      <w:r>
        <w:t xml:space="preserve">At this session the </w:t>
      </w:r>
      <w:r w:rsidR="00766EF2">
        <w:t>Lead Authority</w:t>
      </w:r>
      <w:r>
        <w:t xml:space="preserve"> intends to:</w:t>
      </w:r>
    </w:p>
    <w:p w:rsidR="00BC3730" w:rsidRDefault="00F833EA" w:rsidP="00BC3730">
      <w:pPr>
        <w:pStyle w:val="ListParagraph"/>
        <w:numPr>
          <w:ilvl w:val="0"/>
          <w:numId w:val="34"/>
        </w:numPr>
      </w:pPr>
      <w:r>
        <w:t xml:space="preserve">have detailed discussions with </w:t>
      </w:r>
      <w:r w:rsidR="00BC3730">
        <w:t xml:space="preserve">Providers </w:t>
      </w:r>
      <w:r w:rsidR="00DA3CC5">
        <w:t>regarding</w:t>
      </w:r>
      <w:r w:rsidR="00BC3730">
        <w:t xml:space="preserve"> our commissioning intentions for NE12+ Phase Two</w:t>
      </w:r>
      <w:r w:rsidR="00454425">
        <w:t xml:space="preserve"> to includ</w:t>
      </w:r>
      <w:r w:rsidR="00084A24">
        <w:t xml:space="preserve">e commissioning of </w:t>
      </w:r>
      <w:r w:rsidR="00363248">
        <w:t xml:space="preserve">Residential </w:t>
      </w:r>
      <w:r w:rsidR="003F1992">
        <w:t>Short Breaks Services</w:t>
      </w:r>
      <w:r w:rsidR="00454425">
        <w:t>,</w:t>
      </w:r>
      <w:r w:rsidR="00BC3730">
        <w:t xml:space="preserve"> </w:t>
      </w:r>
    </w:p>
    <w:p w:rsidR="00363248" w:rsidRDefault="00363248" w:rsidP="00363248">
      <w:pPr>
        <w:pStyle w:val="ListParagraph"/>
        <w:numPr>
          <w:ilvl w:val="0"/>
          <w:numId w:val="34"/>
        </w:numPr>
      </w:pPr>
      <w:r>
        <w:t xml:space="preserve">share our initial thinking around a </w:t>
      </w:r>
      <w:proofErr w:type="spellStart"/>
      <w:r>
        <w:t>Lotting</w:t>
      </w:r>
      <w:proofErr w:type="spellEnd"/>
      <w:r>
        <w:t xml:space="preserve"> structure for the collaborative solution,</w:t>
      </w:r>
    </w:p>
    <w:p w:rsidR="00363248" w:rsidRDefault="00363248" w:rsidP="00363248">
      <w:pPr>
        <w:pStyle w:val="ListParagraph"/>
        <w:numPr>
          <w:ilvl w:val="0"/>
          <w:numId w:val="34"/>
        </w:numPr>
      </w:pPr>
      <w:r>
        <w:t>share data on our current position</w:t>
      </w:r>
    </w:p>
    <w:p w:rsidR="00454425" w:rsidRDefault="00454425" w:rsidP="00BC3730">
      <w:pPr>
        <w:pStyle w:val="ListParagraph"/>
        <w:numPr>
          <w:ilvl w:val="0"/>
          <w:numId w:val="34"/>
        </w:numPr>
      </w:pPr>
      <w:r>
        <w:t>share an indicative procurement timeline, and</w:t>
      </w:r>
    </w:p>
    <w:p w:rsidR="00454425" w:rsidRDefault="00454425" w:rsidP="00BC3730">
      <w:pPr>
        <w:pStyle w:val="ListParagraph"/>
        <w:numPr>
          <w:ilvl w:val="0"/>
          <w:numId w:val="34"/>
        </w:numPr>
      </w:pPr>
      <w:proofErr w:type="gramStart"/>
      <w:r>
        <w:lastRenderedPageBreak/>
        <w:t>inform</w:t>
      </w:r>
      <w:proofErr w:type="gramEnd"/>
      <w:r>
        <w:t xml:space="preserve"> Providers of our ‘next steps’ in relation to this </w:t>
      </w:r>
      <w:r w:rsidR="00766EF2">
        <w:t xml:space="preserve">commissioning </w:t>
      </w:r>
      <w:r>
        <w:t>exercise.</w:t>
      </w:r>
    </w:p>
    <w:p w:rsidR="00E2212E" w:rsidRDefault="00E2212E" w:rsidP="00E2212E"/>
    <w:p w:rsidR="003F1992" w:rsidRDefault="003F1992" w:rsidP="003F1992">
      <w:r>
        <w:t xml:space="preserve">Please confirm your attendance </w:t>
      </w:r>
      <w:r w:rsidRPr="00363248">
        <w:t xml:space="preserve">by email </w:t>
      </w:r>
      <w:r>
        <w:t>to the single point of contact for this project:</w:t>
      </w:r>
    </w:p>
    <w:p w:rsidR="00B308EA" w:rsidRDefault="00B308EA" w:rsidP="003F1992">
      <w:pPr>
        <w:rPr>
          <w:bCs/>
          <w:lang w:eastAsia="en-GB"/>
        </w:rPr>
      </w:pPr>
    </w:p>
    <w:p w:rsidR="003F1992" w:rsidRPr="001D5DA5" w:rsidRDefault="003F1992" w:rsidP="003F1992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Emma Bass</w:t>
      </w:r>
    </w:p>
    <w:p w:rsidR="003F1992" w:rsidRDefault="003F1992" w:rsidP="003F1992">
      <w:pPr>
        <w:rPr>
          <w:lang w:eastAsia="en-GB"/>
        </w:rPr>
      </w:pPr>
      <w:r>
        <w:rPr>
          <w:lang w:eastAsia="en-GB"/>
        </w:rPr>
        <w:t>Commissioning and Procurement Officer</w:t>
      </w:r>
    </w:p>
    <w:p w:rsidR="003F1992" w:rsidRDefault="003F1992" w:rsidP="003F1992">
      <w:pPr>
        <w:rPr>
          <w:lang w:eastAsia="en-GB"/>
        </w:rPr>
      </w:pPr>
      <w:r>
        <w:rPr>
          <w:lang w:eastAsia="en-GB"/>
        </w:rPr>
        <w:t>Newcastle City Council</w:t>
      </w:r>
    </w:p>
    <w:p w:rsidR="003F1992" w:rsidRDefault="006E66B4" w:rsidP="003F1992">
      <w:pPr>
        <w:rPr>
          <w:color w:val="0000FF"/>
          <w:u w:val="single"/>
          <w:lang w:eastAsia="en-GB"/>
        </w:rPr>
      </w:pPr>
      <w:hyperlink r:id="rId8" w:history="1">
        <w:r w:rsidR="003F1992" w:rsidRPr="002F249F">
          <w:rPr>
            <w:rStyle w:val="Hyperlink"/>
            <w:lang w:eastAsia="en-GB"/>
          </w:rPr>
          <w:t>emma.bass@newcastle.gov.uk</w:t>
        </w:r>
      </w:hyperlink>
    </w:p>
    <w:p w:rsidR="003F1992" w:rsidRDefault="003F1992" w:rsidP="003F1992">
      <w:r>
        <w:rPr>
          <w:lang w:eastAsia="en-GB"/>
        </w:rPr>
        <w:t>0191 211 6366</w:t>
      </w:r>
    </w:p>
    <w:p w:rsidR="001D5DA5" w:rsidRDefault="001D5DA5" w:rsidP="002B4E0A"/>
    <w:p w:rsidR="005855E9" w:rsidRDefault="005855E9" w:rsidP="002B4E0A">
      <w:r>
        <w:t xml:space="preserve">Please ensure you Provide </w:t>
      </w:r>
      <w:r w:rsidR="003F1992">
        <w:t>Emma</w:t>
      </w:r>
      <w:r>
        <w:t xml:space="preserve"> with </w:t>
      </w:r>
      <w:r w:rsidRPr="005855E9">
        <w:rPr>
          <w:b/>
        </w:rPr>
        <w:t>all</w:t>
      </w:r>
      <w:r>
        <w:t xml:space="preserve"> of the following information:</w:t>
      </w:r>
    </w:p>
    <w:p w:rsidR="005855E9" w:rsidRDefault="005855E9" w:rsidP="005855E9">
      <w:pPr>
        <w:pStyle w:val="ListParagraph"/>
        <w:numPr>
          <w:ilvl w:val="0"/>
          <w:numId w:val="45"/>
        </w:numPr>
      </w:pPr>
      <w:r>
        <w:t>Name of attendees</w:t>
      </w:r>
    </w:p>
    <w:p w:rsidR="005855E9" w:rsidRDefault="005855E9" w:rsidP="005855E9">
      <w:pPr>
        <w:pStyle w:val="ListParagraph"/>
        <w:numPr>
          <w:ilvl w:val="0"/>
          <w:numId w:val="45"/>
        </w:numPr>
      </w:pPr>
      <w:r>
        <w:t>Role of attendees</w:t>
      </w:r>
    </w:p>
    <w:p w:rsidR="005855E9" w:rsidRDefault="005855E9" w:rsidP="005855E9">
      <w:pPr>
        <w:pStyle w:val="ListParagraph"/>
        <w:numPr>
          <w:ilvl w:val="0"/>
          <w:numId w:val="45"/>
        </w:numPr>
      </w:pPr>
      <w:r>
        <w:t>Email and phone number for attendees</w:t>
      </w:r>
    </w:p>
    <w:p w:rsidR="005855E9" w:rsidRDefault="005855E9" w:rsidP="005855E9">
      <w:pPr>
        <w:pStyle w:val="ListParagraph"/>
        <w:numPr>
          <w:ilvl w:val="0"/>
          <w:numId w:val="45"/>
        </w:numPr>
      </w:pPr>
      <w:r>
        <w:t>Organisation attendees will be representing</w:t>
      </w:r>
    </w:p>
    <w:p w:rsidR="005855E9" w:rsidRDefault="005855E9" w:rsidP="005855E9">
      <w:pPr>
        <w:pStyle w:val="ListParagraph"/>
        <w:numPr>
          <w:ilvl w:val="0"/>
          <w:numId w:val="45"/>
        </w:numPr>
      </w:pPr>
      <w:r>
        <w:t>Setting attendees will be representing</w:t>
      </w:r>
    </w:p>
    <w:p w:rsidR="005855E9" w:rsidRDefault="005855E9" w:rsidP="002B4E0A"/>
    <w:p w:rsidR="005855E9" w:rsidRDefault="005855E9" w:rsidP="002B4E0A">
      <w:r>
        <w:t xml:space="preserve">If you are unable to attend the Event on </w:t>
      </w:r>
      <w:r w:rsidR="003F1992">
        <w:t>20 October</w:t>
      </w:r>
      <w:r>
        <w:t xml:space="preserve"> but would be interest in learning more about this </w:t>
      </w:r>
      <w:r w:rsidR="004F232D">
        <w:t>project</w:t>
      </w:r>
      <w:r>
        <w:t xml:space="preserve"> and / or attending future events, please contac</w:t>
      </w:r>
      <w:r w:rsidR="00FF38F7">
        <w:t>t</w:t>
      </w:r>
      <w:r>
        <w:t xml:space="preserve"> </w:t>
      </w:r>
      <w:r w:rsidR="003F1992">
        <w:t>Emma Bass</w:t>
      </w:r>
      <w:r>
        <w:t xml:space="preserve"> and provide the details as above.</w:t>
      </w:r>
    </w:p>
    <w:p w:rsidR="005855E9" w:rsidRDefault="005855E9" w:rsidP="002B4E0A"/>
    <w:p w:rsidR="005855E9" w:rsidRPr="002B4E0A" w:rsidRDefault="005855E9" w:rsidP="002B4E0A"/>
    <w:p w:rsidR="002B4E0A" w:rsidRPr="002B4E0A" w:rsidRDefault="002B4E0A" w:rsidP="002B4E0A"/>
    <w:sectPr w:rsidR="002B4E0A" w:rsidRPr="002B4E0A" w:rsidSect="002B4E0A">
      <w:headerReference w:type="even" r:id="rId9"/>
      <w:headerReference w:type="default" r:id="rId10"/>
      <w:footerReference w:type="default" r:id="rId11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AE" w:rsidRDefault="00E102AE" w:rsidP="008A188B">
      <w:r>
        <w:separator/>
      </w:r>
    </w:p>
  </w:endnote>
  <w:endnote w:type="continuationSeparator" w:id="0">
    <w:p w:rsidR="00E102AE" w:rsidRDefault="00E102AE" w:rsidP="008A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E102AE">
    <w:pPr>
      <w:pStyle w:val="Footer"/>
    </w:pPr>
    <w:r w:rsidRPr="008C5AC4">
      <w:rPr>
        <w:rFonts w:cs="Arial"/>
        <w:noProof/>
        <w:lang w:eastAsia="en-GB"/>
      </w:rPr>
      <w:drawing>
        <wp:anchor distT="0" distB="0" distL="114300" distR="114300" simplePos="0" relativeHeight="251669504" behindDoc="1" locked="0" layoutInCell="1" allowOverlap="1" wp14:anchorId="1BDC7482" wp14:editId="736E7192">
          <wp:simplePos x="0" y="0"/>
          <wp:positionH relativeFrom="column">
            <wp:posOffset>5514975</wp:posOffset>
          </wp:positionH>
          <wp:positionV relativeFrom="paragraph">
            <wp:posOffset>102235</wp:posOffset>
          </wp:positionV>
          <wp:extent cx="466725" cy="247650"/>
          <wp:effectExtent l="0" t="0" r="9525" b="0"/>
          <wp:wrapTight wrapText="bothSides">
            <wp:wrapPolygon edited="0">
              <wp:start x="0" y="0"/>
              <wp:lineTo x="0" y="19938"/>
              <wp:lineTo x="21159" y="19938"/>
              <wp:lineTo x="21159" y="0"/>
              <wp:lineTo x="0" y="0"/>
            </wp:wrapPolygon>
          </wp:wrapTight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6F07DFC7" wp14:editId="1C20CB28">
          <wp:simplePos x="0" y="0"/>
          <wp:positionH relativeFrom="column">
            <wp:posOffset>4850130</wp:posOffset>
          </wp:positionH>
          <wp:positionV relativeFrom="paragraph">
            <wp:posOffset>208280</wp:posOffset>
          </wp:positionV>
          <wp:extent cx="571500" cy="142875"/>
          <wp:effectExtent l="0" t="0" r="0" b="9525"/>
          <wp:wrapNone/>
          <wp:docPr id="19" name="Picture 2" descr="http://194.61.175.66/communications.nsf/a995f08678e0882f80256688005190dd/abac368ae4e3810880257513003b49aa/$FILE/NCC%20Logo%20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4.61.175.66/communications.nsf/a995f08678e0882f80256688005190dd/abac368ae4e3810880257513003b49aa/$FILE/NCC%20Logo%20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67456" behindDoc="0" locked="0" layoutInCell="1" allowOverlap="1" wp14:anchorId="311E8CBB" wp14:editId="7C09BB8B">
          <wp:simplePos x="0" y="0"/>
          <wp:positionH relativeFrom="column">
            <wp:posOffset>-808355</wp:posOffset>
          </wp:positionH>
          <wp:positionV relativeFrom="paragraph">
            <wp:posOffset>116840</wp:posOffset>
          </wp:positionV>
          <wp:extent cx="843280" cy="171450"/>
          <wp:effectExtent l="0" t="0" r="0" b="0"/>
          <wp:wrapNone/>
          <wp:docPr id="20" name="Picture 5" descr="http://intranet/images/logo_v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/images/logo_ver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color w:val="000080"/>
        <w:lang w:eastAsia="en-GB"/>
      </w:rPr>
      <w:t xml:space="preserve">   </w:t>
    </w:r>
    <w:r w:rsidRPr="008C5AC4">
      <w:rPr>
        <w:rFonts w:cs="Arial"/>
        <w:noProof/>
        <w:color w:val="000080"/>
        <w:lang w:eastAsia="en-GB"/>
      </w:rPr>
      <w:drawing>
        <wp:inline distT="0" distB="0" distL="0" distR="0" wp14:anchorId="1C6CCCFE" wp14:editId="1500EBBE">
          <wp:extent cx="482272" cy="18097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56" cy="1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lang w:eastAsia="en-GB"/>
      </w:rPr>
      <w:t xml:space="preserve"> </w:t>
    </w:r>
    <w:r w:rsidRPr="008C5AC4">
      <w:rPr>
        <w:rFonts w:cs="Arial"/>
        <w:b/>
        <w:bCs/>
        <w:noProof/>
        <w:lang w:eastAsia="en-GB"/>
      </w:rPr>
      <w:drawing>
        <wp:inline distT="0" distB="0" distL="0" distR="0" wp14:anchorId="5F6085BA" wp14:editId="14F72922">
          <wp:extent cx="304132" cy="266700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32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inline distT="0" distB="0" distL="0" distR="0" wp14:anchorId="68F1BACA" wp14:editId="1C97D57D">
          <wp:extent cx="240474" cy="381000"/>
          <wp:effectExtent l="0" t="0" r="7620" b="0"/>
          <wp:docPr id="23" name="Picture 7" descr="HBC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C 20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4" cy="3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lang w:eastAsia="en-GB"/>
      </w:rPr>
      <w:t xml:space="preserve"> </w:t>
    </w:r>
    <w:r w:rsidRPr="008C5AC4">
      <w:rPr>
        <w:rFonts w:cs="Arial"/>
        <w:b/>
        <w:noProof/>
        <w:lang w:eastAsia="en-GB"/>
      </w:rPr>
      <w:drawing>
        <wp:inline distT="0" distB="0" distL="0" distR="0" wp14:anchorId="07E5EACA" wp14:editId="1A6CFAB6">
          <wp:extent cx="516316" cy="2762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19" cy="27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inline distT="0" distB="0" distL="0" distR="0" wp14:anchorId="61DADBDA" wp14:editId="24311BD4">
          <wp:extent cx="668278" cy="179638"/>
          <wp:effectExtent l="0" t="0" r="0" b="0"/>
          <wp:docPr id="25" name="Picture 4" descr="cid:image001.png@01CEFB35.15DE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FB35.15DE46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3" cy="18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t xml:space="preserve"> </w:t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0B05617F" wp14:editId="6879F191">
          <wp:extent cx="438150" cy="257976"/>
          <wp:effectExtent l="0" t="0" r="0" b="8890"/>
          <wp:docPr id="26" name="Picture 26" descr="https://encrypted-tbn1.gstatic.com/images?q=tbn:ANd9GcSVicQ_b1l2bUwvJJ3_YsZ4XFFOBbbQAiqZFBIadzq2Wf2q5faFGvq3Qo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encrypted-tbn1.gstatic.com/images?q=tbn:ANd9GcSVicQ_b1l2bUwvJJ3_YsZ4XFFOBbbQAiqZFBIadzq2Wf2q5faFGvq3Qo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83" cy="25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AC4">
      <w:rPr>
        <w:rFonts w:cs="Arial"/>
        <w:noProof/>
        <w:lang w:eastAsia="en-GB"/>
      </w:rPr>
      <w:drawing>
        <wp:inline distT="0" distB="0" distL="0" distR="0" wp14:anchorId="29353CDE" wp14:editId="7A6CC76B">
          <wp:extent cx="666750" cy="259866"/>
          <wp:effectExtent l="0" t="0" r="0" b="6985"/>
          <wp:docPr id="27" name="Picture 27" descr="cid:_1_048861B004885BE80044CC0680257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48861B004885BE80044CC0680257CAE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3" cy="26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3A2B4B9B" wp14:editId="2A005D31">
          <wp:extent cx="352425" cy="352425"/>
          <wp:effectExtent l="0" t="0" r="9525" b="9525"/>
          <wp:docPr id="28" name="Picture 28" descr="https://encrypted-tbn0.gstatic.com/images?q=tbn:ANd9GcTYi1GHdUERiHrnS6FTQ0xCpVSd3i1NujJuh9LoIb3XrAmNh5lF3atSP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ncrypted-tbn0.gstatic.com/images?q=tbn:ANd9GcTYi1GHdUERiHrnS6FTQ0xCpVSd3i1NujJuh9LoIb3XrAmNh5lF3atSPg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0DAB"/>
        <w:sz w:val="20"/>
        <w:szCs w:val="20"/>
        <w:lang w:eastAsia="en-GB"/>
      </w:rPr>
      <w:drawing>
        <wp:inline distT="0" distB="0" distL="0" distR="0" wp14:anchorId="6B03D925" wp14:editId="0DAE5110">
          <wp:extent cx="800100" cy="218694"/>
          <wp:effectExtent l="0" t="0" r="0" b="0"/>
          <wp:docPr id="29" name="Picture 29" descr="https://encrypted-tbn2.gstatic.com/images?q=tbn:ANd9GcR_JzKiD9pg9WqPOkmzgMr0jeGlB5lgIeC50-_fJHHH-WDJpGbZIaX9y-8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encrypted-tbn2.gstatic.com/images?q=tbn:ANd9GcR_JzKiD9pg9WqPOkmzgMr0jeGlB5lgIeC50-_fJHHH-WDJpGbZIaX9y-8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27" cy="21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AE" w:rsidRDefault="00E102AE" w:rsidP="008A188B">
      <w:r>
        <w:separator/>
      </w:r>
    </w:p>
  </w:footnote>
  <w:footnote w:type="continuationSeparator" w:id="0">
    <w:p w:rsidR="00E102AE" w:rsidRDefault="00E102AE" w:rsidP="008A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E102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E102A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E102A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E102A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margin-left:0;margin-top:0;width:549.45pt;height:86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E102A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  <w:proofErr w:type="gramEnd"/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AE" w:rsidRDefault="00E102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DDF5A2" wp14:editId="09252118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E102A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95B69F6" wp14:editId="02FCE6DA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DF5A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E102A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395B69F6" wp14:editId="02FCE6DA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0735601" wp14:editId="13B75EB9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432B18">
                          <w:r w:rsidRPr="00432B1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97688" cy="664315"/>
                                <wp:effectExtent l="0" t="0" r="254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558" cy="6779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35601" id="Text Box 30" o:spid="_x0000_s1029" type="#_x0000_t202" style="position:absolute;margin-left:348.6pt;margin-top:-11.7pt;width:148.2pt;height:6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432B18">
                    <w:r w:rsidRPr="00432B1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97688" cy="664315"/>
                          <wp:effectExtent l="0" t="0" r="254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558" cy="6779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  <w:r w:rsidRPr="008C5AC4">
      <w:rPr>
        <w:rFonts w:cs="Arial"/>
        <w:noProof/>
        <w:lang w:eastAsia="en-GB"/>
      </w:rPr>
      <w:drawing>
        <wp:anchor distT="0" distB="0" distL="114300" distR="114300" simplePos="0" relativeHeight="251671552" behindDoc="0" locked="1" layoutInCell="1" allowOverlap="1" wp14:anchorId="7CB9AA82" wp14:editId="79CF2C1E">
          <wp:simplePos x="0" y="0"/>
          <wp:positionH relativeFrom="column">
            <wp:posOffset>6113145</wp:posOffset>
          </wp:positionH>
          <wp:positionV relativeFrom="paragraph">
            <wp:posOffset>9610090</wp:posOffset>
          </wp:positionV>
          <wp:extent cx="323850" cy="321310"/>
          <wp:effectExtent l="0" t="0" r="0" b="254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94"/>
    <w:multiLevelType w:val="hybridMultilevel"/>
    <w:tmpl w:val="42F4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269"/>
    <w:multiLevelType w:val="hybridMultilevel"/>
    <w:tmpl w:val="EBB07CB8"/>
    <w:lvl w:ilvl="0" w:tplc="3A8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2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E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0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88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90A19"/>
    <w:multiLevelType w:val="hybridMultilevel"/>
    <w:tmpl w:val="3A82D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CEE"/>
    <w:multiLevelType w:val="hybridMultilevel"/>
    <w:tmpl w:val="9446A83C"/>
    <w:lvl w:ilvl="0" w:tplc="822AE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8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2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6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D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D560DA"/>
    <w:multiLevelType w:val="hybridMultilevel"/>
    <w:tmpl w:val="1F02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729"/>
    <w:multiLevelType w:val="hybridMultilevel"/>
    <w:tmpl w:val="88FE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2038"/>
    <w:multiLevelType w:val="hybridMultilevel"/>
    <w:tmpl w:val="9BD278BC"/>
    <w:lvl w:ilvl="0" w:tplc="389C1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C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E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7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6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6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8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A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80ED7"/>
    <w:multiLevelType w:val="hybridMultilevel"/>
    <w:tmpl w:val="DB888546"/>
    <w:lvl w:ilvl="0" w:tplc="5596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0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4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C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2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0D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9C388B"/>
    <w:multiLevelType w:val="hybridMultilevel"/>
    <w:tmpl w:val="D3306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46481"/>
    <w:multiLevelType w:val="hybridMultilevel"/>
    <w:tmpl w:val="F326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6C96"/>
    <w:multiLevelType w:val="hybridMultilevel"/>
    <w:tmpl w:val="2B84D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008A"/>
    <w:multiLevelType w:val="hybridMultilevel"/>
    <w:tmpl w:val="B6E055B8"/>
    <w:lvl w:ilvl="0" w:tplc="C79C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8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A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28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8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8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D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02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0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B17FC"/>
    <w:multiLevelType w:val="hybridMultilevel"/>
    <w:tmpl w:val="A192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A5CE8"/>
    <w:multiLevelType w:val="hybridMultilevel"/>
    <w:tmpl w:val="E546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0B6D"/>
    <w:multiLevelType w:val="hybridMultilevel"/>
    <w:tmpl w:val="2FC88386"/>
    <w:lvl w:ilvl="0" w:tplc="32B0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8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22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F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0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4B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632FA7"/>
    <w:multiLevelType w:val="hybridMultilevel"/>
    <w:tmpl w:val="C04C9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CC7"/>
    <w:multiLevelType w:val="hybridMultilevel"/>
    <w:tmpl w:val="B136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C51E2"/>
    <w:multiLevelType w:val="hybridMultilevel"/>
    <w:tmpl w:val="08F27784"/>
    <w:lvl w:ilvl="0" w:tplc="8BCA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2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B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4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E337B8"/>
    <w:multiLevelType w:val="hybridMultilevel"/>
    <w:tmpl w:val="418AC72C"/>
    <w:lvl w:ilvl="0" w:tplc="ACC453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3F6669"/>
    <w:multiLevelType w:val="hybridMultilevel"/>
    <w:tmpl w:val="4720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08A5"/>
    <w:multiLevelType w:val="hybridMultilevel"/>
    <w:tmpl w:val="BDAE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20B54"/>
    <w:multiLevelType w:val="hybridMultilevel"/>
    <w:tmpl w:val="9168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D53AE"/>
    <w:multiLevelType w:val="hybridMultilevel"/>
    <w:tmpl w:val="21DE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322C9"/>
    <w:multiLevelType w:val="hybridMultilevel"/>
    <w:tmpl w:val="82E8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C2DD2"/>
    <w:multiLevelType w:val="hybridMultilevel"/>
    <w:tmpl w:val="7E48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32D88"/>
    <w:multiLevelType w:val="hybridMultilevel"/>
    <w:tmpl w:val="C0CC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04F4B"/>
    <w:multiLevelType w:val="hybridMultilevel"/>
    <w:tmpl w:val="8538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44FDE"/>
    <w:multiLevelType w:val="hybridMultilevel"/>
    <w:tmpl w:val="8DBE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EF54A7"/>
    <w:multiLevelType w:val="hybridMultilevel"/>
    <w:tmpl w:val="AF62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E07A8"/>
    <w:multiLevelType w:val="hybridMultilevel"/>
    <w:tmpl w:val="F1D8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776D7"/>
    <w:multiLevelType w:val="hybridMultilevel"/>
    <w:tmpl w:val="F4D2A188"/>
    <w:lvl w:ilvl="0" w:tplc="4D7AC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4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8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C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A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0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EF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5F6178"/>
    <w:multiLevelType w:val="hybridMultilevel"/>
    <w:tmpl w:val="E47E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43C6E"/>
    <w:multiLevelType w:val="hybridMultilevel"/>
    <w:tmpl w:val="12CE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EF4"/>
    <w:multiLevelType w:val="hybridMultilevel"/>
    <w:tmpl w:val="A2F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BEE"/>
    <w:multiLevelType w:val="hybridMultilevel"/>
    <w:tmpl w:val="5538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961DB"/>
    <w:multiLevelType w:val="hybridMultilevel"/>
    <w:tmpl w:val="9CC0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319FB"/>
    <w:multiLevelType w:val="hybridMultilevel"/>
    <w:tmpl w:val="B656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F2B95"/>
    <w:multiLevelType w:val="hybridMultilevel"/>
    <w:tmpl w:val="C876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B5FA3"/>
    <w:multiLevelType w:val="hybridMultilevel"/>
    <w:tmpl w:val="5E42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C36AC"/>
    <w:multiLevelType w:val="hybridMultilevel"/>
    <w:tmpl w:val="8D7C7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35E40"/>
    <w:multiLevelType w:val="hybridMultilevel"/>
    <w:tmpl w:val="03DA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F1E8A"/>
    <w:multiLevelType w:val="hybridMultilevel"/>
    <w:tmpl w:val="752233F2"/>
    <w:lvl w:ilvl="0" w:tplc="51B4F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D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2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F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A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0E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18"/>
  </w:num>
  <w:num w:numId="3">
    <w:abstractNumId w:val="43"/>
  </w:num>
  <w:num w:numId="4">
    <w:abstractNumId w:val="2"/>
  </w:num>
  <w:num w:numId="5">
    <w:abstractNumId w:val="24"/>
  </w:num>
  <w:num w:numId="6">
    <w:abstractNumId w:val="0"/>
  </w:num>
  <w:num w:numId="7">
    <w:abstractNumId w:val="22"/>
  </w:num>
  <w:num w:numId="8">
    <w:abstractNumId w:val="14"/>
  </w:num>
  <w:num w:numId="9">
    <w:abstractNumId w:val="5"/>
  </w:num>
  <w:num w:numId="10">
    <w:abstractNumId w:val="42"/>
  </w:num>
  <w:num w:numId="11">
    <w:abstractNumId w:val="33"/>
  </w:num>
  <w:num w:numId="12">
    <w:abstractNumId w:val="36"/>
  </w:num>
  <w:num w:numId="13">
    <w:abstractNumId w:val="30"/>
  </w:num>
  <w:num w:numId="14">
    <w:abstractNumId w:val="25"/>
  </w:num>
  <w:num w:numId="15">
    <w:abstractNumId w:val="23"/>
  </w:num>
  <w:num w:numId="16">
    <w:abstractNumId w:val="13"/>
  </w:num>
  <w:num w:numId="17">
    <w:abstractNumId w:val="19"/>
  </w:num>
  <w:num w:numId="18">
    <w:abstractNumId w:val="41"/>
  </w:num>
  <w:num w:numId="19">
    <w:abstractNumId w:val="9"/>
  </w:num>
  <w:num w:numId="20">
    <w:abstractNumId w:val="44"/>
  </w:num>
  <w:num w:numId="21">
    <w:abstractNumId w:val="39"/>
  </w:num>
  <w:num w:numId="22">
    <w:abstractNumId w:val="28"/>
  </w:num>
  <w:num w:numId="23">
    <w:abstractNumId w:val="26"/>
  </w:num>
  <w:num w:numId="24">
    <w:abstractNumId w:val="4"/>
  </w:num>
  <w:num w:numId="25">
    <w:abstractNumId w:val="32"/>
  </w:num>
  <w:num w:numId="26">
    <w:abstractNumId w:val="35"/>
  </w:num>
  <w:num w:numId="27">
    <w:abstractNumId w:val="40"/>
  </w:num>
  <w:num w:numId="28">
    <w:abstractNumId w:val="29"/>
  </w:num>
  <w:num w:numId="29">
    <w:abstractNumId w:val="38"/>
  </w:num>
  <w:num w:numId="30">
    <w:abstractNumId w:val="21"/>
  </w:num>
  <w:num w:numId="31">
    <w:abstractNumId w:val="11"/>
  </w:num>
  <w:num w:numId="32">
    <w:abstractNumId w:val="27"/>
  </w:num>
  <w:num w:numId="33">
    <w:abstractNumId w:val="31"/>
  </w:num>
  <w:num w:numId="34">
    <w:abstractNumId w:val="16"/>
  </w:num>
  <w:num w:numId="35">
    <w:abstractNumId w:val="20"/>
  </w:num>
  <w:num w:numId="36">
    <w:abstractNumId w:val="34"/>
  </w:num>
  <w:num w:numId="37">
    <w:abstractNumId w:val="3"/>
  </w:num>
  <w:num w:numId="38">
    <w:abstractNumId w:val="17"/>
  </w:num>
  <w:num w:numId="39">
    <w:abstractNumId w:val="1"/>
  </w:num>
  <w:num w:numId="40">
    <w:abstractNumId w:val="8"/>
  </w:num>
  <w:num w:numId="41">
    <w:abstractNumId w:val="7"/>
  </w:num>
  <w:num w:numId="42">
    <w:abstractNumId w:val="45"/>
  </w:num>
  <w:num w:numId="43">
    <w:abstractNumId w:val="12"/>
  </w:num>
  <w:num w:numId="44">
    <w:abstractNumId w:val="6"/>
  </w:num>
  <w:num w:numId="45">
    <w:abstractNumId w:val="1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11"/>
    <w:rsid w:val="00000636"/>
    <w:rsid w:val="0000564B"/>
    <w:rsid w:val="00005903"/>
    <w:rsid w:val="00022876"/>
    <w:rsid w:val="0003309D"/>
    <w:rsid w:val="000375AA"/>
    <w:rsid w:val="000403AC"/>
    <w:rsid w:val="000438D5"/>
    <w:rsid w:val="00054A60"/>
    <w:rsid w:val="0005669C"/>
    <w:rsid w:val="00065188"/>
    <w:rsid w:val="00084A24"/>
    <w:rsid w:val="00087CE8"/>
    <w:rsid w:val="000901DD"/>
    <w:rsid w:val="00092717"/>
    <w:rsid w:val="00093828"/>
    <w:rsid w:val="00093F18"/>
    <w:rsid w:val="00095BC9"/>
    <w:rsid w:val="00095EC4"/>
    <w:rsid w:val="000966DB"/>
    <w:rsid w:val="000A120C"/>
    <w:rsid w:val="000A6BEB"/>
    <w:rsid w:val="000A7C32"/>
    <w:rsid w:val="000B4165"/>
    <w:rsid w:val="000C4EA2"/>
    <w:rsid w:val="000D1D98"/>
    <w:rsid w:val="000D31DC"/>
    <w:rsid w:val="000E22E5"/>
    <w:rsid w:val="000E37E9"/>
    <w:rsid w:val="000E72A7"/>
    <w:rsid w:val="000F185D"/>
    <w:rsid w:val="000F3DD2"/>
    <w:rsid w:val="00103942"/>
    <w:rsid w:val="00106097"/>
    <w:rsid w:val="001071C0"/>
    <w:rsid w:val="00107EEF"/>
    <w:rsid w:val="00112194"/>
    <w:rsid w:val="001262A4"/>
    <w:rsid w:val="001315BC"/>
    <w:rsid w:val="00133DBD"/>
    <w:rsid w:val="0014056F"/>
    <w:rsid w:val="001430FF"/>
    <w:rsid w:val="00145B01"/>
    <w:rsid w:val="00146870"/>
    <w:rsid w:val="0015159F"/>
    <w:rsid w:val="00153930"/>
    <w:rsid w:val="00153CFD"/>
    <w:rsid w:val="00170095"/>
    <w:rsid w:val="0017353F"/>
    <w:rsid w:val="001742A3"/>
    <w:rsid w:val="00182721"/>
    <w:rsid w:val="00183675"/>
    <w:rsid w:val="00183B5D"/>
    <w:rsid w:val="0018705A"/>
    <w:rsid w:val="00196582"/>
    <w:rsid w:val="001A1644"/>
    <w:rsid w:val="001A5C49"/>
    <w:rsid w:val="001B1ACC"/>
    <w:rsid w:val="001B585E"/>
    <w:rsid w:val="001B69D8"/>
    <w:rsid w:val="001C0397"/>
    <w:rsid w:val="001C3E49"/>
    <w:rsid w:val="001D26E8"/>
    <w:rsid w:val="001D3B61"/>
    <w:rsid w:val="001D3FB3"/>
    <w:rsid w:val="001D478F"/>
    <w:rsid w:val="001D5DA5"/>
    <w:rsid w:val="001F08AC"/>
    <w:rsid w:val="001F2530"/>
    <w:rsid w:val="001F7EE4"/>
    <w:rsid w:val="00206A21"/>
    <w:rsid w:val="0021099D"/>
    <w:rsid w:val="0021166A"/>
    <w:rsid w:val="00211D11"/>
    <w:rsid w:val="00215793"/>
    <w:rsid w:val="00216127"/>
    <w:rsid w:val="00217450"/>
    <w:rsid w:val="002201DB"/>
    <w:rsid w:val="00221693"/>
    <w:rsid w:val="0022182B"/>
    <w:rsid w:val="00221C7A"/>
    <w:rsid w:val="00231345"/>
    <w:rsid w:val="00251AFD"/>
    <w:rsid w:val="0025796E"/>
    <w:rsid w:val="002602AD"/>
    <w:rsid w:val="00260300"/>
    <w:rsid w:val="002640B6"/>
    <w:rsid w:val="00266EF0"/>
    <w:rsid w:val="00270DDB"/>
    <w:rsid w:val="00274329"/>
    <w:rsid w:val="0027592D"/>
    <w:rsid w:val="0027703F"/>
    <w:rsid w:val="0029755E"/>
    <w:rsid w:val="002B4E0A"/>
    <w:rsid w:val="002B7BCD"/>
    <w:rsid w:val="002C13EE"/>
    <w:rsid w:val="002D0B39"/>
    <w:rsid w:val="002D240A"/>
    <w:rsid w:val="002D75AB"/>
    <w:rsid w:val="002E0560"/>
    <w:rsid w:val="002E40E9"/>
    <w:rsid w:val="002E4166"/>
    <w:rsid w:val="002E5910"/>
    <w:rsid w:val="002F1D23"/>
    <w:rsid w:val="002F428A"/>
    <w:rsid w:val="0030092E"/>
    <w:rsid w:val="00300A6F"/>
    <w:rsid w:val="003016A6"/>
    <w:rsid w:val="00302AD8"/>
    <w:rsid w:val="0030745B"/>
    <w:rsid w:val="00307D0A"/>
    <w:rsid w:val="003167CC"/>
    <w:rsid w:val="00316CF8"/>
    <w:rsid w:val="003242FC"/>
    <w:rsid w:val="00326558"/>
    <w:rsid w:val="0033048D"/>
    <w:rsid w:val="00336B77"/>
    <w:rsid w:val="00337BC9"/>
    <w:rsid w:val="00356478"/>
    <w:rsid w:val="00360281"/>
    <w:rsid w:val="0036145D"/>
    <w:rsid w:val="00363248"/>
    <w:rsid w:val="00366E46"/>
    <w:rsid w:val="00370510"/>
    <w:rsid w:val="0038114E"/>
    <w:rsid w:val="003967C7"/>
    <w:rsid w:val="003A03A5"/>
    <w:rsid w:val="003A2248"/>
    <w:rsid w:val="003B0F10"/>
    <w:rsid w:val="003C0015"/>
    <w:rsid w:val="003C44A7"/>
    <w:rsid w:val="003C6260"/>
    <w:rsid w:val="003D0BE8"/>
    <w:rsid w:val="003D15D0"/>
    <w:rsid w:val="003D610B"/>
    <w:rsid w:val="003E135C"/>
    <w:rsid w:val="003E3A2B"/>
    <w:rsid w:val="003E4318"/>
    <w:rsid w:val="003E58F4"/>
    <w:rsid w:val="003F1992"/>
    <w:rsid w:val="003F211E"/>
    <w:rsid w:val="003F46F6"/>
    <w:rsid w:val="004005E8"/>
    <w:rsid w:val="00401CBC"/>
    <w:rsid w:val="00410C46"/>
    <w:rsid w:val="00426B08"/>
    <w:rsid w:val="004279F6"/>
    <w:rsid w:val="00432B18"/>
    <w:rsid w:val="00434146"/>
    <w:rsid w:val="00434994"/>
    <w:rsid w:val="004366B6"/>
    <w:rsid w:val="00450E10"/>
    <w:rsid w:val="00453217"/>
    <w:rsid w:val="00453227"/>
    <w:rsid w:val="00454425"/>
    <w:rsid w:val="00460E08"/>
    <w:rsid w:val="0046127A"/>
    <w:rsid w:val="0046268C"/>
    <w:rsid w:val="004641A0"/>
    <w:rsid w:val="004714C4"/>
    <w:rsid w:val="0047398C"/>
    <w:rsid w:val="00474DC6"/>
    <w:rsid w:val="00477787"/>
    <w:rsid w:val="0048310E"/>
    <w:rsid w:val="004851DD"/>
    <w:rsid w:val="004A6182"/>
    <w:rsid w:val="004B016E"/>
    <w:rsid w:val="004B243B"/>
    <w:rsid w:val="004B2A52"/>
    <w:rsid w:val="004B5CF3"/>
    <w:rsid w:val="004C0D93"/>
    <w:rsid w:val="004C5AED"/>
    <w:rsid w:val="004C5C07"/>
    <w:rsid w:val="004C6534"/>
    <w:rsid w:val="004D3B08"/>
    <w:rsid w:val="004D4213"/>
    <w:rsid w:val="004D6149"/>
    <w:rsid w:val="004E116A"/>
    <w:rsid w:val="004E749A"/>
    <w:rsid w:val="004F232D"/>
    <w:rsid w:val="004F350B"/>
    <w:rsid w:val="005001B9"/>
    <w:rsid w:val="00501E37"/>
    <w:rsid w:val="00507C86"/>
    <w:rsid w:val="005127FA"/>
    <w:rsid w:val="005133A5"/>
    <w:rsid w:val="005140BD"/>
    <w:rsid w:val="00516296"/>
    <w:rsid w:val="005211DE"/>
    <w:rsid w:val="00532B30"/>
    <w:rsid w:val="00533636"/>
    <w:rsid w:val="00543C54"/>
    <w:rsid w:val="005536E5"/>
    <w:rsid w:val="00555D2A"/>
    <w:rsid w:val="00557DF7"/>
    <w:rsid w:val="00561B1A"/>
    <w:rsid w:val="005622A6"/>
    <w:rsid w:val="0057004F"/>
    <w:rsid w:val="005801D1"/>
    <w:rsid w:val="0058314E"/>
    <w:rsid w:val="005855E9"/>
    <w:rsid w:val="00586400"/>
    <w:rsid w:val="0058780C"/>
    <w:rsid w:val="005917C1"/>
    <w:rsid w:val="005946D5"/>
    <w:rsid w:val="005B2784"/>
    <w:rsid w:val="005C0884"/>
    <w:rsid w:val="005C0A32"/>
    <w:rsid w:val="005C118A"/>
    <w:rsid w:val="005C30CF"/>
    <w:rsid w:val="005C669E"/>
    <w:rsid w:val="005D22FE"/>
    <w:rsid w:val="005D376C"/>
    <w:rsid w:val="005D37D5"/>
    <w:rsid w:val="005F519E"/>
    <w:rsid w:val="005F5CA7"/>
    <w:rsid w:val="005F6760"/>
    <w:rsid w:val="006016BD"/>
    <w:rsid w:val="0060224E"/>
    <w:rsid w:val="006049E0"/>
    <w:rsid w:val="0060605E"/>
    <w:rsid w:val="00615E08"/>
    <w:rsid w:val="006172D1"/>
    <w:rsid w:val="00623623"/>
    <w:rsid w:val="006277A4"/>
    <w:rsid w:val="00636F9D"/>
    <w:rsid w:val="00650E11"/>
    <w:rsid w:val="00657F67"/>
    <w:rsid w:val="00667569"/>
    <w:rsid w:val="00680C34"/>
    <w:rsid w:val="0068497B"/>
    <w:rsid w:val="00697BA6"/>
    <w:rsid w:val="006A1265"/>
    <w:rsid w:val="006A5EC5"/>
    <w:rsid w:val="006B00BB"/>
    <w:rsid w:val="006B418A"/>
    <w:rsid w:val="006C2A80"/>
    <w:rsid w:val="006D3C47"/>
    <w:rsid w:val="006D5952"/>
    <w:rsid w:val="006D7B47"/>
    <w:rsid w:val="006E09A9"/>
    <w:rsid w:val="006E49F6"/>
    <w:rsid w:val="006E66B4"/>
    <w:rsid w:val="006F0E8A"/>
    <w:rsid w:val="0070577C"/>
    <w:rsid w:val="00707436"/>
    <w:rsid w:val="00714D8C"/>
    <w:rsid w:val="00723BE4"/>
    <w:rsid w:val="0072402E"/>
    <w:rsid w:val="007272C0"/>
    <w:rsid w:val="00730AB4"/>
    <w:rsid w:val="00744090"/>
    <w:rsid w:val="00745A32"/>
    <w:rsid w:val="00746062"/>
    <w:rsid w:val="007476E9"/>
    <w:rsid w:val="00747EF0"/>
    <w:rsid w:val="0075262C"/>
    <w:rsid w:val="0075265F"/>
    <w:rsid w:val="007616D4"/>
    <w:rsid w:val="00761DE5"/>
    <w:rsid w:val="00764B2D"/>
    <w:rsid w:val="0076672F"/>
    <w:rsid w:val="00766EF2"/>
    <w:rsid w:val="0076776C"/>
    <w:rsid w:val="007727D9"/>
    <w:rsid w:val="00776192"/>
    <w:rsid w:val="00780A7A"/>
    <w:rsid w:val="007811C4"/>
    <w:rsid w:val="00783F7B"/>
    <w:rsid w:val="00784B50"/>
    <w:rsid w:val="00790086"/>
    <w:rsid w:val="007960EB"/>
    <w:rsid w:val="00796EC4"/>
    <w:rsid w:val="007A5269"/>
    <w:rsid w:val="007B3F21"/>
    <w:rsid w:val="007B4A5C"/>
    <w:rsid w:val="007C546D"/>
    <w:rsid w:val="007C5F45"/>
    <w:rsid w:val="007D36C6"/>
    <w:rsid w:val="007D3AB3"/>
    <w:rsid w:val="007D724B"/>
    <w:rsid w:val="007E3CD6"/>
    <w:rsid w:val="007F7248"/>
    <w:rsid w:val="0080161F"/>
    <w:rsid w:val="00803E12"/>
    <w:rsid w:val="00804189"/>
    <w:rsid w:val="0080519B"/>
    <w:rsid w:val="00816489"/>
    <w:rsid w:val="008243B5"/>
    <w:rsid w:val="00853050"/>
    <w:rsid w:val="00853301"/>
    <w:rsid w:val="008550E8"/>
    <w:rsid w:val="00856202"/>
    <w:rsid w:val="00856D1C"/>
    <w:rsid w:val="00864F20"/>
    <w:rsid w:val="0087425C"/>
    <w:rsid w:val="008844B3"/>
    <w:rsid w:val="008A188B"/>
    <w:rsid w:val="008A48E8"/>
    <w:rsid w:val="008A6E75"/>
    <w:rsid w:val="008A72F0"/>
    <w:rsid w:val="008B1384"/>
    <w:rsid w:val="008B6EF6"/>
    <w:rsid w:val="008C3F85"/>
    <w:rsid w:val="008D1D23"/>
    <w:rsid w:val="008D3012"/>
    <w:rsid w:val="008D4F99"/>
    <w:rsid w:val="008D670D"/>
    <w:rsid w:val="008E3C79"/>
    <w:rsid w:val="008E3FAE"/>
    <w:rsid w:val="008F3FE8"/>
    <w:rsid w:val="008F4DB2"/>
    <w:rsid w:val="00900749"/>
    <w:rsid w:val="009014D5"/>
    <w:rsid w:val="009108F9"/>
    <w:rsid w:val="00914902"/>
    <w:rsid w:val="00916897"/>
    <w:rsid w:val="00927EAA"/>
    <w:rsid w:val="009353B2"/>
    <w:rsid w:val="009415E0"/>
    <w:rsid w:val="00943C4E"/>
    <w:rsid w:val="00945931"/>
    <w:rsid w:val="00945E0A"/>
    <w:rsid w:val="00947EC0"/>
    <w:rsid w:val="00957F07"/>
    <w:rsid w:val="009610B4"/>
    <w:rsid w:val="009661FE"/>
    <w:rsid w:val="00972572"/>
    <w:rsid w:val="00983990"/>
    <w:rsid w:val="009A0C69"/>
    <w:rsid w:val="009A57BE"/>
    <w:rsid w:val="009A7FD4"/>
    <w:rsid w:val="009B2422"/>
    <w:rsid w:val="009B6E5A"/>
    <w:rsid w:val="009C5D1C"/>
    <w:rsid w:val="009C5FF5"/>
    <w:rsid w:val="009C6FD9"/>
    <w:rsid w:val="009D15B3"/>
    <w:rsid w:val="009D5F9D"/>
    <w:rsid w:val="009E1249"/>
    <w:rsid w:val="009E4423"/>
    <w:rsid w:val="009F206C"/>
    <w:rsid w:val="009F36D2"/>
    <w:rsid w:val="009F5668"/>
    <w:rsid w:val="00A1328F"/>
    <w:rsid w:val="00A16A5C"/>
    <w:rsid w:val="00A17115"/>
    <w:rsid w:val="00A1711D"/>
    <w:rsid w:val="00A23D27"/>
    <w:rsid w:val="00A26310"/>
    <w:rsid w:val="00A304FA"/>
    <w:rsid w:val="00A32882"/>
    <w:rsid w:val="00A36D96"/>
    <w:rsid w:val="00A37999"/>
    <w:rsid w:val="00A405DB"/>
    <w:rsid w:val="00A51507"/>
    <w:rsid w:val="00A524A1"/>
    <w:rsid w:val="00A54284"/>
    <w:rsid w:val="00A5789F"/>
    <w:rsid w:val="00A57980"/>
    <w:rsid w:val="00A73308"/>
    <w:rsid w:val="00A86C16"/>
    <w:rsid w:val="00A908F5"/>
    <w:rsid w:val="00A909F8"/>
    <w:rsid w:val="00A93770"/>
    <w:rsid w:val="00AA0ACB"/>
    <w:rsid w:val="00AA1B40"/>
    <w:rsid w:val="00AA3350"/>
    <w:rsid w:val="00AA48F3"/>
    <w:rsid w:val="00AB3EC9"/>
    <w:rsid w:val="00AB4D42"/>
    <w:rsid w:val="00AC7E61"/>
    <w:rsid w:val="00AD0424"/>
    <w:rsid w:val="00AD49F6"/>
    <w:rsid w:val="00AE146E"/>
    <w:rsid w:val="00AE17DC"/>
    <w:rsid w:val="00AE200A"/>
    <w:rsid w:val="00AF2480"/>
    <w:rsid w:val="00AF7E14"/>
    <w:rsid w:val="00B0761E"/>
    <w:rsid w:val="00B07E85"/>
    <w:rsid w:val="00B14BAB"/>
    <w:rsid w:val="00B250DB"/>
    <w:rsid w:val="00B25535"/>
    <w:rsid w:val="00B308EA"/>
    <w:rsid w:val="00B316C3"/>
    <w:rsid w:val="00B37FE3"/>
    <w:rsid w:val="00B522DE"/>
    <w:rsid w:val="00B5755E"/>
    <w:rsid w:val="00B6278B"/>
    <w:rsid w:val="00B77D1E"/>
    <w:rsid w:val="00B81AEE"/>
    <w:rsid w:val="00B84A27"/>
    <w:rsid w:val="00B859FB"/>
    <w:rsid w:val="00B87F7B"/>
    <w:rsid w:val="00B91097"/>
    <w:rsid w:val="00B972A5"/>
    <w:rsid w:val="00BB4175"/>
    <w:rsid w:val="00BC2119"/>
    <w:rsid w:val="00BC3730"/>
    <w:rsid w:val="00BD5D74"/>
    <w:rsid w:val="00BE4E44"/>
    <w:rsid w:val="00BE5A24"/>
    <w:rsid w:val="00BE6C6E"/>
    <w:rsid w:val="00BF1DED"/>
    <w:rsid w:val="00BF49D5"/>
    <w:rsid w:val="00C0076C"/>
    <w:rsid w:val="00C14121"/>
    <w:rsid w:val="00C15860"/>
    <w:rsid w:val="00C17F81"/>
    <w:rsid w:val="00C210E6"/>
    <w:rsid w:val="00C217CF"/>
    <w:rsid w:val="00C223EF"/>
    <w:rsid w:val="00C434FA"/>
    <w:rsid w:val="00C452CA"/>
    <w:rsid w:val="00C4608D"/>
    <w:rsid w:val="00C46A42"/>
    <w:rsid w:val="00C516D8"/>
    <w:rsid w:val="00C536BA"/>
    <w:rsid w:val="00C6634A"/>
    <w:rsid w:val="00C73CB8"/>
    <w:rsid w:val="00C81B52"/>
    <w:rsid w:val="00CA7612"/>
    <w:rsid w:val="00CA7E0B"/>
    <w:rsid w:val="00CB2D12"/>
    <w:rsid w:val="00CB30A0"/>
    <w:rsid w:val="00CB3BB0"/>
    <w:rsid w:val="00CC21AB"/>
    <w:rsid w:val="00CC2535"/>
    <w:rsid w:val="00CC548B"/>
    <w:rsid w:val="00CC7ED9"/>
    <w:rsid w:val="00CD1667"/>
    <w:rsid w:val="00CE3CF7"/>
    <w:rsid w:val="00CE3F83"/>
    <w:rsid w:val="00CF1FCB"/>
    <w:rsid w:val="00CF3166"/>
    <w:rsid w:val="00CF4D6D"/>
    <w:rsid w:val="00D0098C"/>
    <w:rsid w:val="00D0510B"/>
    <w:rsid w:val="00D111C4"/>
    <w:rsid w:val="00D142B3"/>
    <w:rsid w:val="00D15863"/>
    <w:rsid w:val="00D17EC4"/>
    <w:rsid w:val="00D26943"/>
    <w:rsid w:val="00D33354"/>
    <w:rsid w:val="00D35C13"/>
    <w:rsid w:val="00D4262C"/>
    <w:rsid w:val="00D47254"/>
    <w:rsid w:val="00D4787F"/>
    <w:rsid w:val="00D5395B"/>
    <w:rsid w:val="00D5482F"/>
    <w:rsid w:val="00D54BDC"/>
    <w:rsid w:val="00D62688"/>
    <w:rsid w:val="00D63FE7"/>
    <w:rsid w:val="00D71FA2"/>
    <w:rsid w:val="00D76306"/>
    <w:rsid w:val="00D81D00"/>
    <w:rsid w:val="00D928D3"/>
    <w:rsid w:val="00DA37C5"/>
    <w:rsid w:val="00DA3CC5"/>
    <w:rsid w:val="00DA4B96"/>
    <w:rsid w:val="00DA7FB6"/>
    <w:rsid w:val="00DB1789"/>
    <w:rsid w:val="00DB40D2"/>
    <w:rsid w:val="00DB631F"/>
    <w:rsid w:val="00DC4C3B"/>
    <w:rsid w:val="00DC51E6"/>
    <w:rsid w:val="00DC586E"/>
    <w:rsid w:val="00DD0E7F"/>
    <w:rsid w:val="00DD4B85"/>
    <w:rsid w:val="00DD5A04"/>
    <w:rsid w:val="00DD6B51"/>
    <w:rsid w:val="00DD749C"/>
    <w:rsid w:val="00DE155B"/>
    <w:rsid w:val="00DE4C8D"/>
    <w:rsid w:val="00DE7DE0"/>
    <w:rsid w:val="00E03FCD"/>
    <w:rsid w:val="00E0753C"/>
    <w:rsid w:val="00E079A3"/>
    <w:rsid w:val="00E102AE"/>
    <w:rsid w:val="00E10D3A"/>
    <w:rsid w:val="00E10EFB"/>
    <w:rsid w:val="00E11343"/>
    <w:rsid w:val="00E17387"/>
    <w:rsid w:val="00E2212E"/>
    <w:rsid w:val="00E44240"/>
    <w:rsid w:val="00E50509"/>
    <w:rsid w:val="00E51183"/>
    <w:rsid w:val="00E5710A"/>
    <w:rsid w:val="00E57270"/>
    <w:rsid w:val="00E6752C"/>
    <w:rsid w:val="00E72A7F"/>
    <w:rsid w:val="00E7531B"/>
    <w:rsid w:val="00E80C02"/>
    <w:rsid w:val="00E827FD"/>
    <w:rsid w:val="00E82E9D"/>
    <w:rsid w:val="00E843CE"/>
    <w:rsid w:val="00E8587B"/>
    <w:rsid w:val="00E91B4A"/>
    <w:rsid w:val="00E91B4F"/>
    <w:rsid w:val="00E9219D"/>
    <w:rsid w:val="00E92AF3"/>
    <w:rsid w:val="00EA1DB7"/>
    <w:rsid w:val="00EA56D7"/>
    <w:rsid w:val="00EA6465"/>
    <w:rsid w:val="00EA64CC"/>
    <w:rsid w:val="00EB000B"/>
    <w:rsid w:val="00EB3235"/>
    <w:rsid w:val="00EC1D37"/>
    <w:rsid w:val="00EC2B3E"/>
    <w:rsid w:val="00EC4A27"/>
    <w:rsid w:val="00EC5BCC"/>
    <w:rsid w:val="00ED2067"/>
    <w:rsid w:val="00EE0C0A"/>
    <w:rsid w:val="00EE0E72"/>
    <w:rsid w:val="00EE4D44"/>
    <w:rsid w:val="00EE5370"/>
    <w:rsid w:val="00EF74D6"/>
    <w:rsid w:val="00EF7B25"/>
    <w:rsid w:val="00F00283"/>
    <w:rsid w:val="00F067C8"/>
    <w:rsid w:val="00F17487"/>
    <w:rsid w:val="00F23C79"/>
    <w:rsid w:val="00F347CE"/>
    <w:rsid w:val="00F34CAA"/>
    <w:rsid w:val="00F366EE"/>
    <w:rsid w:val="00F442B0"/>
    <w:rsid w:val="00F45735"/>
    <w:rsid w:val="00F51C35"/>
    <w:rsid w:val="00F554F1"/>
    <w:rsid w:val="00F5580F"/>
    <w:rsid w:val="00F64EC0"/>
    <w:rsid w:val="00F669A2"/>
    <w:rsid w:val="00F72B7F"/>
    <w:rsid w:val="00F77536"/>
    <w:rsid w:val="00F833EA"/>
    <w:rsid w:val="00F856AF"/>
    <w:rsid w:val="00F96B4B"/>
    <w:rsid w:val="00F96E1A"/>
    <w:rsid w:val="00F970D2"/>
    <w:rsid w:val="00FA6422"/>
    <w:rsid w:val="00FC2657"/>
    <w:rsid w:val="00FC4030"/>
    <w:rsid w:val="00FC7B89"/>
    <w:rsid w:val="00FD2CA9"/>
    <w:rsid w:val="00FD304B"/>
    <w:rsid w:val="00FD56CA"/>
    <w:rsid w:val="00FD621F"/>
    <w:rsid w:val="00FE607C"/>
    <w:rsid w:val="00FF38F7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A1DF08DE-1BEB-42FC-9DFA-6FD5136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8B"/>
  </w:style>
  <w:style w:type="paragraph" w:styleId="Footer">
    <w:name w:val="footer"/>
    <w:basedOn w:val="Normal"/>
    <w:link w:val="FooterChar"/>
    <w:uiPriority w:val="99"/>
    <w:unhideWhenUsed/>
    <w:rsid w:val="008A1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8B"/>
  </w:style>
  <w:style w:type="paragraph" w:styleId="BalloonText">
    <w:name w:val="Balloon Text"/>
    <w:basedOn w:val="Normal"/>
    <w:link w:val="BalloonTextChar"/>
    <w:uiPriority w:val="99"/>
    <w:semiHidden/>
    <w:unhideWhenUsed/>
    <w:rsid w:val="008A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8B"/>
    <w:rPr>
      <w:rFonts w:ascii="Tahoma" w:hAnsi="Tahoma" w:cs="Tahoma"/>
      <w:sz w:val="16"/>
      <w:szCs w:val="16"/>
    </w:rPr>
  </w:style>
  <w:style w:type="character" w:customStyle="1" w:styleId="threadtitle">
    <w:name w:val="threadtitle"/>
    <w:basedOn w:val="DefaultParagraphFont"/>
    <w:rsid w:val="00900749"/>
  </w:style>
  <w:style w:type="paragraph" w:styleId="NormalWeb">
    <w:name w:val="Normal (Web)"/>
    <w:basedOn w:val="Normal"/>
    <w:uiPriority w:val="99"/>
    <w:semiHidden/>
    <w:unhideWhenUsed/>
    <w:rsid w:val="003B0F10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96E1A"/>
    <w:rPr>
      <w:i/>
      <w:iCs/>
    </w:rPr>
  </w:style>
  <w:style w:type="character" w:styleId="Hyperlink">
    <w:name w:val="Hyperlink"/>
    <w:basedOn w:val="DefaultParagraphFont"/>
    <w:uiPriority w:val="99"/>
    <w:unhideWhenUsed/>
    <w:rsid w:val="00E22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ass@newcastl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https://www.google.co.uk/url?q=http://www.necsu.nhs.uk/&amp;sa=U&amp;ei=5-2FU7zsGIOp0QXd2oDQDA&amp;ved=0CD4Q9QEwCA&amp;usg=AFQjCNH4SM_J1F4KwLqVnuF2lLCX4atpkQ" TargetMode="External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12" Type="http://schemas.openxmlformats.org/officeDocument/2006/relationships/image" Target="cid:_1_048861B004885BE80044CC0680257CAE" TargetMode="External"/><Relationship Id="rId2" Type="http://schemas.openxmlformats.org/officeDocument/2006/relationships/image" Target="media/image5.jpeg"/><Relationship Id="rId16" Type="http://schemas.openxmlformats.org/officeDocument/2006/relationships/image" Target="media/image1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3.gif"/><Relationship Id="rId5" Type="http://schemas.openxmlformats.org/officeDocument/2006/relationships/image" Target="media/image8.png"/><Relationship Id="rId15" Type="http://schemas.openxmlformats.org/officeDocument/2006/relationships/hyperlink" Target="https://www.google.co.uk/url?q=http://nepro.org.uk/testimonials/&amp;sa=U&amp;ei=cOqFU9CrNumx0QWJr4GgBg&amp;ved=0CDYQ9QEwBA&amp;usg=AFQjCNH2M1cpt_kWqS0WsK6j7ANBAWmD3g" TargetMode="External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hyperlink" Target="https://www.google.co.uk/url?q=http://www.ipbcommunications.co.uk/site/what_we_do/who_we_work_for/index.htm&amp;sa=U&amp;ei=EOqFU9__OYme7AaH1YDoBA&amp;ved=0CDgQ9QEwBQ&amp;usg=AFQjCNGCA8vgM3138VMtLr8m03ngOoGhJw" TargetMode="External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1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6168-836A-4F71-99B8-B2C6BB0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Libbey, Judi</dc:creator>
  <cp:lastModifiedBy>Bass, Emma</cp:lastModifiedBy>
  <cp:revision>8</cp:revision>
  <cp:lastPrinted>2016-06-30T15:10:00Z</cp:lastPrinted>
  <dcterms:created xsi:type="dcterms:W3CDTF">2016-10-05T10:07:00Z</dcterms:created>
  <dcterms:modified xsi:type="dcterms:W3CDTF">2016-10-06T15:27:00Z</dcterms:modified>
</cp:coreProperties>
</file>