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AEA39" w14:textId="6981FF53" w:rsidR="00232E7D" w:rsidRPr="00BE116B" w:rsidRDefault="00232E7D" w:rsidP="003046C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116B">
        <w:rPr>
          <w:rFonts w:ascii="Arial" w:hAnsi="Arial" w:cs="Arial"/>
          <w:b/>
          <w:bCs/>
          <w:sz w:val="24"/>
          <w:szCs w:val="24"/>
        </w:rPr>
        <w:t>MARKET ENGAGEMENT.</w:t>
      </w:r>
    </w:p>
    <w:p w14:paraId="3B2CF96E" w14:textId="67A9F83B" w:rsidR="00232E7D" w:rsidRPr="00517197" w:rsidRDefault="00232E7D" w:rsidP="00BE116B">
      <w:pPr>
        <w:spacing w:line="360" w:lineRule="auto"/>
        <w:jc w:val="both"/>
        <w:rPr>
          <w:rFonts w:ascii="Arial" w:hAnsi="Arial" w:cs="Arial"/>
        </w:rPr>
      </w:pPr>
      <w:r w:rsidRPr="00517197">
        <w:rPr>
          <w:rFonts w:ascii="Arial" w:hAnsi="Arial" w:cs="Arial"/>
        </w:rPr>
        <w:t xml:space="preserve">Oxfordshire County Council is joining the South West and South Central Independent and </w:t>
      </w:r>
      <w:r w:rsidR="00A55CF8" w:rsidRPr="00517197">
        <w:rPr>
          <w:rFonts w:ascii="Arial" w:hAnsi="Arial" w:cs="Arial"/>
        </w:rPr>
        <w:t>Non</w:t>
      </w:r>
      <w:r w:rsidR="00A55CF8">
        <w:rPr>
          <w:rFonts w:ascii="Arial" w:hAnsi="Arial" w:cs="Arial"/>
        </w:rPr>
        <w:t>-Maintained</w:t>
      </w:r>
      <w:r w:rsidR="002E2B72">
        <w:rPr>
          <w:rFonts w:ascii="Arial" w:hAnsi="Arial" w:cs="Arial"/>
        </w:rPr>
        <w:t xml:space="preserve"> Special </w:t>
      </w:r>
      <w:r w:rsidRPr="00517197">
        <w:rPr>
          <w:rFonts w:ascii="Arial" w:hAnsi="Arial" w:cs="Arial"/>
        </w:rPr>
        <w:t xml:space="preserve">Schools </w:t>
      </w:r>
      <w:r w:rsidR="002E2B72">
        <w:rPr>
          <w:rFonts w:ascii="Arial" w:hAnsi="Arial" w:cs="Arial"/>
        </w:rPr>
        <w:t xml:space="preserve">(INMS) </w:t>
      </w:r>
      <w:r w:rsidRPr="00517197">
        <w:rPr>
          <w:rFonts w:ascii="Arial" w:hAnsi="Arial" w:cs="Arial"/>
        </w:rPr>
        <w:t>DPS and would like to ensure all</w:t>
      </w:r>
      <w:r w:rsidR="002E2B72">
        <w:rPr>
          <w:rFonts w:ascii="Arial" w:hAnsi="Arial" w:cs="Arial"/>
        </w:rPr>
        <w:t xml:space="preserve"> INMS</w:t>
      </w:r>
      <w:r w:rsidRPr="00517197">
        <w:rPr>
          <w:rFonts w:ascii="Arial" w:hAnsi="Arial" w:cs="Arial"/>
        </w:rPr>
        <w:t xml:space="preserve"> that currently work with OCC are engaged and join the framework where possible. Once joined, this DPS </w:t>
      </w:r>
      <w:r w:rsidR="000B25DA" w:rsidRPr="00517197">
        <w:rPr>
          <w:rFonts w:ascii="Arial" w:hAnsi="Arial" w:cs="Arial"/>
        </w:rPr>
        <w:t>will</w:t>
      </w:r>
      <w:r w:rsidRPr="00517197">
        <w:rPr>
          <w:rFonts w:ascii="Arial" w:hAnsi="Arial" w:cs="Arial"/>
        </w:rPr>
        <w:t xml:space="preserve"> become the main route through which all placements are done</w:t>
      </w:r>
      <w:r w:rsidR="000B25DA" w:rsidRPr="00517197">
        <w:rPr>
          <w:rFonts w:ascii="Arial" w:hAnsi="Arial" w:cs="Arial"/>
        </w:rPr>
        <w:t>.</w:t>
      </w:r>
    </w:p>
    <w:p w14:paraId="552C8EB5" w14:textId="5D8D5EF6" w:rsidR="00392598" w:rsidRPr="00517197" w:rsidRDefault="000B25DA" w:rsidP="00BE116B">
      <w:pPr>
        <w:spacing w:line="360" w:lineRule="auto"/>
        <w:jc w:val="both"/>
        <w:rPr>
          <w:rFonts w:ascii="Arial" w:hAnsi="Arial" w:cs="Arial"/>
        </w:rPr>
      </w:pPr>
      <w:r w:rsidRPr="00517197">
        <w:rPr>
          <w:rFonts w:ascii="Arial" w:hAnsi="Arial" w:cs="Arial"/>
        </w:rPr>
        <w:t>As such, O</w:t>
      </w:r>
      <w:r w:rsidR="00392598" w:rsidRPr="00517197">
        <w:rPr>
          <w:rFonts w:ascii="Arial" w:hAnsi="Arial" w:cs="Arial"/>
        </w:rPr>
        <w:t xml:space="preserve">xfordshire County Council </w:t>
      </w:r>
      <w:r w:rsidRPr="00517197">
        <w:rPr>
          <w:rFonts w:ascii="Arial" w:hAnsi="Arial" w:cs="Arial"/>
        </w:rPr>
        <w:t>will be</w:t>
      </w:r>
      <w:r w:rsidR="00392598" w:rsidRPr="00517197">
        <w:rPr>
          <w:rFonts w:ascii="Arial" w:hAnsi="Arial" w:cs="Arial"/>
        </w:rPr>
        <w:t xml:space="preserve"> organising a series of market engagements </w:t>
      </w:r>
      <w:r w:rsidRPr="00517197">
        <w:rPr>
          <w:rFonts w:ascii="Arial" w:hAnsi="Arial" w:cs="Arial"/>
        </w:rPr>
        <w:t>events</w:t>
      </w:r>
      <w:r w:rsidR="00C34466" w:rsidRPr="00517197">
        <w:rPr>
          <w:rFonts w:ascii="Arial" w:hAnsi="Arial" w:cs="Arial"/>
        </w:rPr>
        <w:t xml:space="preserve"> between the 27 July and 30 September 2021.</w:t>
      </w:r>
    </w:p>
    <w:p w14:paraId="79DA74E6" w14:textId="04BDB797" w:rsidR="00392598" w:rsidRPr="00517197" w:rsidRDefault="00392598" w:rsidP="00BE116B">
      <w:pPr>
        <w:spacing w:line="360" w:lineRule="auto"/>
        <w:jc w:val="both"/>
        <w:rPr>
          <w:rFonts w:ascii="Arial" w:hAnsi="Arial" w:cs="Arial"/>
        </w:rPr>
      </w:pPr>
      <w:r w:rsidRPr="00517197">
        <w:rPr>
          <w:rFonts w:ascii="Arial" w:hAnsi="Arial" w:cs="Arial"/>
        </w:rPr>
        <w:t>The series of events</w:t>
      </w:r>
      <w:r w:rsidR="000B25DA" w:rsidRPr="00517197">
        <w:rPr>
          <w:rFonts w:ascii="Arial" w:hAnsi="Arial" w:cs="Arial"/>
        </w:rPr>
        <w:t xml:space="preserve"> will</w:t>
      </w:r>
      <w:r w:rsidRPr="00517197">
        <w:rPr>
          <w:rFonts w:ascii="Arial" w:hAnsi="Arial" w:cs="Arial"/>
        </w:rPr>
        <w:t xml:space="preserve"> serve as a channel to communicate OCCs needs or requirements to suppliers and to discuss about the South-West and South-Central INMS DPS Oxfordshire County Council has joined and from which all placements will be called-off.</w:t>
      </w:r>
    </w:p>
    <w:p w14:paraId="4CC39F94" w14:textId="389A5EBE" w:rsidR="00392598" w:rsidRPr="00517197" w:rsidRDefault="00392598" w:rsidP="00BE116B">
      <w:pPr>
        <w:spacing w:line="360" w:lineRule="auto"/>
        <w:jc w:val="both"/>
        <w:rPr>
          <w:rFonts w:ascii="Arial" w:hAnsi="Arial" w:cs="Arial"/>
        </w:rPr>
      </w:pPr>
      <w:r w:rsidRPr="00517197">
        <w:rPr>
          <w:rFonts w:ascii="Arial" w:hAnsi="Arial" w:cs="Arial"/>
        </w:rPr>
        <w:t>To develop our understanding of the structure and capacity available in the local market to meet our requirements.</w:t>
      </w:r>
    </w:p>
    <w:p w14:paraId="07CDCCB5" w14:textId="7F603071" w:rsidR="00392598" w:rsidRPr="00517197" w:rsidRDefault="00392598" w:rsidP="00BE116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17197">
        <w:rPr>
          <w:rFonts w:ascii="Arial" w:hAnsi="Arial" w:cs="Arial"/>
        </w:rPr>
        <w:t xml:space="preserve">The market engagement will also give providers the opportunity to highlight any possible effects of the proposed DPS on the existing market, or to flag issues with a proposed contract/specification so that you can respond appropriately. </w:t>
      </w:r>
    </w:p>
    <w:p w14:paraId="4DB8F25C" w14:textId="77777777" w:rsidR="00BE116B" w:rsidRPr="00517197" w:rsidRDefault="00BE116B" w:rsidP="00BE116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17197">
        <w:rPr>
          <w:rFonts w:ascii="Arial" w:hAnsi="Arial" w:cs="Arial"/>
        </w:rPr>
        <w:t>G</w:t>
      </w:r>
      <w:r w:rsidR="003046CB" w:rsidRPr="00517197">
        <w:rPr>
          <w:rFonts w:ascii="Arial" w:hAnsi="Arial" w:cs="Arial"/>
        </w:rPr>
        <w:t>ive</w:t>
      </w:r>
      <w:r w:rsidR="00392598" w:rsidRPr="00517197">
        <w:rPr>
          <w:rFonts w:ascii="Arial" w:hAnsi="Arial" w:cs="Arial"/>
        </w:rPr>
        <w:t xml:space="preserve"> providers a better understanding of what we are trying to achieve; this will ultimately help them to meet our needs when it comes to </w:t>
      </w:r>
      <w:r w:rsidRPr="00517197">
        <w:rPr>
          <w:rFonts w:ascii="Arial" w:hAnsi="Arial" w:cs="Arial"/>
        </w:rPr>
        <w:t>bidding.</w:t>
      </w:r>
    </w:p>
    <w:p w14:paraId="7D32EA5B" w14:textId="2A4D355B" w:rsidR="00392598" w:rsidRPr="00517197" w:rsidRDefault="00BE116B" w:rsidP="00BE116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17197">
        <w:rPr>
          <w:rFonts w:ascii="Arial" w:hAnsi="Arial" w:cs="Arial"/>
        </w:rPr>
        <w:t>Support providers to join the DPS and guide them on how to join the DPS.</w:t>
      </w:r>
      <w:r w:rsidR="00392598" w:rsidRPr="00517197">
        <w:rPr>
          <w:rFonts w:ascii="Arial" w:hAnsi="Arial" w:cs="Arial"/>
        </w:rPr>
        <w:t xml:space="preserve"> </w:t>
      </w:r>
    </w:p>
    <w:p w14:paraId="5D51A4D2" w14:textId="2C0FBED8" w:rsidR="009971E9" w:rsidRPr="00517197" w:rsidRDefault="00BE116B" w:rsidP="00BE116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17197">
        <w:rPr>
          <w:rFonts w:ascii="Arial" w:hAnsi="Arial" w:cs="Arial"/>
        </w:rPr>
        <w:t>H</w:t>
      </w:r>
      <w:r w:rsidR="003046CB" w:rsidRPr="00517197">
        <w:rPr>
          <w:rFonts w:ascii="Arial" w:hAnsi="Arial" w:cs="Arial"/>
        </w:rPr>
        <w:t>elp</w:t>
      </w:r>
      <w:r w:rsidR="00392598" w:rsidRPr="00517197">
        <w:rPr>
          <w:rFonts w:ascii="Arial" w:hAnsi="Arial" w:cs="Arial"/>
        </w:rPr>
        <w:t xml:space="preserve"> build good relationships with providers, which is key to effective delivery in the long term.</w:t>
      </w:r>
    </w:p>
    <w:p w14:paraId="5A0D6D40" w14:textId="727AD3B9" w:rsidR="00232E7D" w:rsidRDefault="00232E7D" w:rsidP="003046CB">
      <w:pPr>
        <w:jc w:val="both"/>
        <w:rPr>
          <w:rFonts w:ascii="Arial" w:hAnsi="Arial" w:cs="Arial"/>
        </w:rPr>
      </w:pPr>
      <w:r w:rsidRPr="00517197">
        <w:rPr>
          <w:rFonts w:ascii="Arial" w:hAnsi="Arial" w:cs="Arial"/>
        </w:rPr>
        <w:t xml:space="preserve">If you are interested, please complete the following </w:t>
      </w:r>
      <w:r w:rsidR="000B25DA" w:rsidRPr="00517197">
        <w:rPr>
          <w:rFonts w:ascii="Arial" w:hAnsi="Arial" w:cs="Arial"/>
        </w:rPr>
        <w:t>table,</w:t>
      </w:r>
      <w:r w:rsidRPr="00517197">
        <w:rPr>
          <w:rFonts w:ascii="Arial" w:hAnsi="Arial" w:cs="Arial"/>
        </w:rPr>
        <w:t xml:space="preserve"> and send to us via the portal. We will be organising a series of events via Teams.</w:t>
      </w:r>
    </w:p>
    <w:p w14:paraId="31DAED89" w14:textId="746ADD1C" w:rsidR="00517197" w:rsidRPr="00B947DE" w:rsidRDefault="00B947DE" w:rsidP="00B947DE">
      <w:pPr>
        <w:pStyle w:val="Heading2"/>
        <w:pBdr>
          <w:bottom w:val="single" w:sz="6" w:space="0" w:color="CCCCCC"/>
        </w:pBdr>
        <w:shd w:val="clear" w:color="auto" w:fill="E5E5E5"/>
        <w:spacing w:before="0" w:beforeAutospacing="0" w:after="150" w:afterAutospacing="0" w:line="600" w:lineRule="atLeast"/>
        <w:ind w:left="-150" w:right="-15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hyperlink r:id="rId5" w:history="1">
        <w:r w:rsidRPr="00B947DE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https://procontract.due-north.com</w:t>
        </w:r>
      </w:hyperlink>
      <w:r w:rsidRPr="00B947DE">
        <w:rPr>
          <w:rFonts w:ascii="Arial" w:hAnsi="Arial" w:cs="Arial"/>
          <w:b w:val="0"/>
          <w:bCs w:val="0"/>
          <w:sz w:val="24"/>
          <w:szCs w:val="24"/>
        </w:rPr>
        <w:t xml:space="preserve">. </w:t>
      </w:r>
      <w:r w:rsidRPr="00B947DE">
        <w:rPr>
          <w:rFonts w:ascii="Arial" w:hAnsi="Arial" w:cs="Arial"/>
          <w:b w:val="0"/>
          <w:bCs w:val="0"/>
          <w:color w:val="000000"/>
          <w:sz w:val="24"/>
          <w:szCs w:val="24"/>
        </w:rPr>
        <w:t>DN557674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68"/>
        <w:gridCol w:w="1350"/>
        <w:gridCol w:w="1577"/>
        <w:gridCol w:w="1577"/>
        <w:gridCol w:w="1620"/>
        <w:gridCol w:w="1701"/>
      </w:tblGrid>
      <w:tr w:rsidR="00BE116B" w:rsidRPr="00BE116B" w14:paraId="6C788BA3" w14:textId="77777777" w:rsidTr="00BC111A">
        <w:tc>
          <w:tcPr>
            <w:tcW w:w="1668" w:type="dxa"/>
            <w:shd w:val="clear" w:color="auto" w:fill="D5DCE4" w:themeFill="text2" w:themeFillTint="33"/>
          </w:tcPr>
          <w:p w14:paraId="54C3703E" w14:textId="2B3D9768" w:rsidR="00232E7D" w:rsidRPr="00BE116B" w:rsidRDefault="00232E7D" w:rsidP="003046C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1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of the organisation 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14:paraId="68B5EE5C" w14:textId="798CB580" w:rsidR="00232E7D" w:rsidRPr="00BE116B" w:rsidRDefault="00232E7D" w:rsidP="003046C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16B">
              <w:rPr>
                <w:rFonts w:ascii="Arial" w:hAnsi="Arial" w:cs="Arial"/>
                <w:b/>
                <w:bCs/>
                <w:sz w:val="24"/>
                <w:szCs w:val="24"/>
              </w:rPr>
              <w:t>Contact including email and Address including.</w:t>
            </w:r>
          </w:p>
        </w:tc>
        <w:tc>
          <w:tcPr>
            <w:tcW w:w="1577" w:type="dxa"/>
            <w:shd w:val="clear" w:color="auto" w:fill="D5DCE4" w:themeFill="text2" w:themeFillTint="33"/>
          </w:tcPr>
          <w:p w14:paraId="26863895" w14:textId="4D432C93" w:rsidR="00232E7D" w:rsidRPr="00BE116B" w:rsidRDefault="00232E7D" w:rsidP="003046C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16B">
              <w:rPr>
                <w:rFonts w:ascii="Arial" w:hAnsi="Arial" w:cs="Arial"/>
                <w:b/>
                <w:bCs/>
                <w:sz w:val="24"/>
                <w:szCs w:val="24"/>
              </w:rPr>
              <w:t>Closest school to Oxfordshire</w:t>
            </w:r>
          </w:p>
        </w:tc>
        <w:tc>
          <w:tcPr>
            <w:tcW w:w="1577" w:type="dxa"/>
            <w:shd w:val="clear" w:color="auto" w:fill="D5DCE4" w:themeFill="text2" w:themeFillTint="33"/>
          </w:tcPr>
          <w:p w14:paraId="06357AF5" w14:textId="58C77F56" w:rsidR="00232E7D" w:rsidRPr="00BE116B" w:rsidRDefault="00232E7D" w:rsidP="003046C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16B">
              <w:rPr>
                <w:rFonts w:ascii="Arial" w:hAnsi="Arial" w:cs="Arial"/>
                <w:b/>
                <w:bCs/>
                <w:sz w:val="24"/>
                <w:szCs w:val="24"/>
              </w:rPr>
              <w:t>Do you already have Oxfordshire students? How many?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14:paraId="4CBABFC7" w14:textId="40690BB8" w:rsidR="00232E7D" w:rsidRPr="00BE116B" w:rsidRDefault="00232E7D" w:rsidP="003046C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16B">
              <w:rPr>
                <w:rFonts w:ascii="Arial" w:hAnsi="Arial" w:cs="Arial"/>
                <w:b/>
                <w:bCs/>
                <w:sz w:val="24"/>
                <w:szCs w:val="24"/>
              </w:rPr>
              <w:t>Main contact, name position and contact details, including email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335C06AB" w14:textId="0BF99DEB" w:rsidR="00232E7D" w:rsidRPr="00BE116B" w:rsidRDefault="00232E7D" w:rsidP="003046C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16B">
              <w:rPr>
                <w:rFonts w:ascii="Arial" w:hAnsi="Arial" w:cs="Arial"/>
                <w:b/>
                <w:bCs/>
                <w:sz w:val="24"/>
                <w:szCs w:val="24"/>
              </w:rPr>
              <w:t>Type of needs your organisation can meet and capacity. (number of places available)</w:t>
            </w:r>
          </w:p>
        </w:tc>
      </w:tr>
      <w:tr w:rsidR="00BE116B" w:rsidRPr="00BE116B" w14:paraId="078589A8" w14:textId="77777777" w:rsidTr="00BC111A">
        <w:tc>
          <w:tcPr>
            <w:tcW w:w="1668" w:type="dxa"/>
          </w:tcPr>
          <w:p w14:paraId="6791CAEC" w14:textId="77777777" w:rsidR="00232E7D" w:rsidRPr="00BE116B" w:rsidRDefault="00232E7D" w:rsidP="00304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22B05A" w14:textId="77777777" w:rsidR="00232E7D" w:rsidRPr="00BE116B" w:rsidRDefault="00232E7D" w:rsidP="00304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50D446C2" w14:textId="77777777" w:rsidR="00232E7D" w:rsidRPr="00BE116B" w:rsidRDefault="00232E7D" w:rsidP="00304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AAB670D" w14:textId="77777777" w:rsidR="00232E7D" w:rsidRPr="00BE116B" w:rsidRDefault="00232E7D" w:rsidP="00304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C9D511D" w14:textId="77777777" w:rsidR="00232E7D" w:rsidRPr="00BE116B" w:rsidRDefault="00232E7D" w:rsidP="00304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3D94E2" w14:textId="77777777" w:rsidR="00232E7D" w:rsidRPr="00BE116B" w:rsidRDefault="00232E7D" w:rsidP="00304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16B" w:rsidRPr="00BE116B" w14:paraId="62D7541A" w14:textId="77777777" w:rsidTr="00BC111A">
        <w:tc>
          <w:tcPr>
            <w:tcW w:w="1668" w:type="dxa"/>
          </w:tcPr>
          <w:p w14:paraId="28FEA68F" w14:textId="77777777" w:rsidR="00232E7D" w:rsidRPr="00BE116B" w:rsidRDefault="00232E7D" w:rsidP="00304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C487C16" w14:textId="77777777" w:rsidR="00232E7D" w:rsidRPr="00BE116B" w:rsidRDefault="00232E7D" w:rsidP="00304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13CD446B" w14:textId="77777777" w:rsidR="00232E7D" w:rsidRPr="00BE116B" w:rsidRDefault="00232E7D" w:rsidP="00304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44C669FA" w14:textId="77777777" w:rsidR="00232E7D" w:rsidRPr="00BE116B" w:rsidRDefault="00232E7D" w:rsidP="00304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ADC8300" w14:textId="77777777" w:rsidR="00232E7D" w:rsidRPr="00BE116B" w:rsidRDefault="00232E7D" w:rsidP="00304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9A4F0C" w14:textId="77777777" w:rsidR="00232E7D" w:rsidRPr="00BE116B" w:rsidRDefault="00232E7D" w:rsidP="00304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EE4C37" w14:textId="68FDC795" w:rsidR="00232E7D" w:rsidRPr="00BE116B" w:rsidRDefault="00232E7D" w:rsidP="003046CB">
      <w:pPr>
        <w:jc w:val="both"/>
        <w:rPr>
          <w:rFonts w:ascii="Arial" w:hAnsi="Arial" w:cs="Arial"/>
          <w:sz w:val="24"/>
          <w:szCs w:val="24"/>
        </w:rPr>
      </w:pPr>
    </w:p>
    <w:sectPr w:rsidR="00232E7D" w:rsidRPr="00BE1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35BE8"/>
    <w:multiLevelType w:val="multilevel"/>
    <w:tmpl w:val="5B88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983841"/>
    <w:multiLevelType w:val="multilevel"/>
    <w:tmpl w:val="AA6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03227A"/>
    <w:multiLevelType w:val="hybridMultilevel"/>
    <w:tmpl w:val="A2169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98"/>
    <w:rsid w:val="000B25DA"/>
    <w:rsid w:val="00232E7D"/>
    <w:rsid w:val="002E2B72"/>
    <w:rsid w:val="003046CB"/>
    <w:rsid w:val="00392598"/>
    <w:rsid w:val="00517197"/>
    <w:rsid w:val="005D4209"/>
    <w:rsid w:val="009971E9"/>
    <w:rsid w:val="00A55CF8"/>
    <w:rsid w:val="00B54EAE"/>
    <w:rsid w:val="00B947DE"/>
    <w:rsid w:val="00BC111A"/>
    <w:rsid w:val="00BE116B"/>
    <w:rsid w:val="00C34466"/>
    <w:rsid w:val="00C34D4E"/>
    <w:rsid w:val="00D07B35"/>
    <w:rsid w:val="00F2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7071C"/>
  <w15:chartTrackingRefBased/>
  <w15:docId w15:val="{4C9CE78B-0B45-4AAB-8BD1-E20C7666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47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3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1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2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B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B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B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4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7D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947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94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6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contract.due-north.com/ProjectManagement/ProjectDashboard?projectId=13defed5-35e9-eb11-810d-005056b645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Ngue-Awane</dc:creator>
  <cp:keywords/>
  <dc:description/>
  <cp:lastModifiedBy>Michel Ngue-Awane</cp:lastModifiedBy>
  <cp:revision>3</cp:revision>
  <dcterms:created xsi:type="dcterms:W3CDTF">2021-07-20T12:02:00Z</dcterms:created>
  <dcterms:modified xsi:type="dcterms:W3CDTF">2021-07-21T08:17:00Z</dcterms:modified>
</cp:coreProperties>
</file>