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31EC" w14:textId="77777777" w:rsidR="00996DAC" w:rsidRPr="00D35CC4" w:rsidRDefault="00996DAC" w:rsidP="00996DAC">
      <w:pPr>
        <w:pStyle w:val="01S2CCSubhead2"/>
      </w:pPr>
      <w:bookmarkStart w:id="0" w:name="_Toc376435881"/>
      <w:r w:rsidRPr="00D35CC4">
        <w:t>Commercial</w:t>
      </w:r>
      <w:bookmarkEnd w:id="0"/>
      <w:r>
        <w:t xml:space="preserve"> Document</w:t>
      </w:r>
    </w:p>
    <w:p w14:paraId="59EBFFB4" w14:textId="77777777" w:rsidR="00996DAC" w:rsidRPr="00D35CC4" w:rsidRDefault="00996DAC" w:rsidP="00996DAC">
      <w:pPr>
        <w:pStyle w:val="01BSCCParagraphbodystyle"/>
      </w:pPr>
      <w:r w:rsidRPr="00D35CC4">
        <w:t xml:space="preserve">The commercial element of the evaluation will be carried out after Tenderers have been selected using the Selection Criteria. Only those Tenderers satisfying the Selection Criteria’s requirements will have their commercial submission evaluated.  </w:t>
      </w:r>
    </w:p>
    <w:p w14:paraId="4DBD757B" w14:textId="77777777" w:rsidR="00996DAC" w:rsidRPr="00D35CC4" w:rsidRDefault="00996DAC" w:rsidP="00996DAC">
      <w:pPr>
        <w:pStyle w:val="01BSCCParagraphbodystyle"/>
      </w:pPr>
      <w:r>
        <w:t>This</w:t>
      </w:r>
      <w:r w:rsidRPr="00D35CC4">
        <w:t xml:space="preserve"> </w:t>
      </w:r>
      <w:r>
        <w:t>Commercial</w:t>
      </w:r>
      <w:r w:rsidRPr="00D35CC4">
        <w:t xml:space="preserve"> Document contains the details and requirements relating to the price element of this ITT. This may include, but is not limited to, the inclusion of specific instructions, documents, templates, pricing structures, etc, for the Tenderers to return as part of their Tender submission.</w:t>
      </w:r>
    </w:p>
    <w:p w14:paraId="7850C865" w14:textId="77777777" w:rsidR="00996DAC" w:rsidRPr="00D35CC4" w:rsidRDefault="00996DAC" w:rsidP="00996DAC">
      <w:pPr>
        <w:pStyle w:val="01BSCCParagraphbodystyle"/>
      </w:pPr>
      <w:r w:rsidRPr="00D35CC4">
        <w:t xml:space="preserve">The Tenderer’s prices will be scored on a comparative basis.  </w:t>
      </w:r>
    </w:p>
    <w:p w14:paraId="4E24CD4A" w14:textId="77777777" w:rsidR="00996DAC" w:rsidRPr="00D35CC4" w:rsidRDefault="00996DAC" w:rsidP="00996DAC">
      <w:pPr>
        <w:pStyle w:val="01BSCCParagraphbodystyle"/>
      </w:pPr>
      <w:r w:rsidRPr="00D35CC4">
        <w:t xml:space="preserve">This will be done by recording the lowest price submitted by any of the Tenderers, then for each Tenderer, dividing this lowest price by the Tenderers’ price and then multiplying it by the allocated weighting (e.g. 30% if that is the percentage chosen by the Council).  The equation set out below explains this in a simpler way: </w:t>
      </w:r>
    </w:p>
    <w:p w14:paraId="74E480CC" w14:textId="77777777" w:rsidR="00996DAC" w:rsidRPr="00D35CC4" w:rsidRDefault="00996DAC" w:rsidP="00996DAC">
      <w:pPr>
        <w:pStyle w:val="01BSCCParagraphbodystyle"/>
        <w:jc w:val="center"/>
      </w:pPr>
      <w:r w:rsidRPr="00D35CC4">
        <w:t>(Lowest Price ÷ Tenderer’s price) x Weighting = Score</w:t>
      </w:r>
    </w:p>
    <w:p w14:paraId="7D2E080B" w14:textId="77777777" w:rsidR="00996DAC" w:rsidRPr="00D35CC4" w:rsidRDefault="00996DAC" w:rsidP="00996DAC">
      <w:pPr>
        <w:pStyle w:val="01BSCCParagraphbodystyle"/>
      </w:pPr>
      <w:r w:rsidRPr="00D35CC4">
        <w:t>To accompany the above there is a worked example below to help explain this.  The example assumes only 2 prices were submitted and that price was awarded 50% of the overall marks (i.e. quality was awarded 50%):</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255"/>
        <w:gridCol w:w="1224"/>
        <w:gridCol w:w="1202"/>
        <w:gridCol w:w="1158"/>
        <w:gridCol w:w="1181"/>
        <w:gridCol w:w="1158"/>
      </w:tblGrid>
      <w:tr w:rsidR="00996DAC" w:rsidRPr="00D35CC4" w14:paraId="51165A14" w14:textId="77777777" w:rsidTr="00415964">
        <w:tc>
          <w:tcPr>
            <w:tcW w:w="1540" w:type="dxa"/>
            <w:shd w:val="clear" w:color="auto" w:fill="FABF8F"/>
          </w:tcPr>
          <w:p w14:paraId="69F78A9A" w14:textId="77777777" w:rsidR="00996DAC" w:rsidRPr="00D35CC4" w:rsidRDefault="00996DAC" w:rsidP="00415964">
            <w:pPr>
              <w:pStyle w:val="ParagraphText"/>
              <w:jc w:val="both"/>
              <w:rPr>
                <w:rFonts w:ascii="Verdana" w:hAnsi="Verdana"/>
                <w:sz w:val="18"/>
                <w:szCs w:val="18"/>
                <w:lang w:eastAsia="en-GB"/>
              </w:rPr>
            </w:pPr>
          </w:p>
        </w:tc>
        <w:tc>
          <w:tcPr>
            <w:tcW w:w="1255" w:type="dxa"/>
            <w:shd w:val="clear" w:color="auto" w:fill="FABF8F"/>
          </w:tcPr>
          <w:p w14:paraId="588D127B" w14:textId="77777777" w:rsidR="00996DAC" w:rsidRPr="00D35CC4" w:rsidRDefault="00996DAC" w:rsidP="00415964">
            <w:pPr>
              <w:pStyle w:val="ParagraphText"/>
              <w:jc w:val="both"/>
              <w:rPr>
                <w:rFonts w:ascii="Verdana" w:hAnsi="Verdana"/>
                <w:b/>
                <w:sz w:val="18"/>
                <w:szCs w:val="18"/>
                <w:lang w:eastAsia="en-GB"/>
              </w:rPr>
            </w:pPr>
            <w:r w:rsidRPr="00D35CC4">
              <w:rPr>
                <w:rFonts w:ascii="Verdana" w:hAnsi="Verdana"/>
                <w:b/>
                <w:sz w:val="18"/>
                <w:szCs w:val="18"/>
                <w:lang w:eastAsia="en-GB"/>
              </w:rPr>
              <w:t>L</w:t>
            </w:r>
          </w:p>
        </w:tc>
        <w:tc>
          <w:tcPr>
            <w:tcW w:w="1224" w:type="dxa"/>
            <w:shd w:val="clear" w:color="auto" w:fill="FABF8F"/>
          </w:tcPr>
          <w:p w14:paraId="370ADF09" w14:textId="77777777" w:rsidR="00996DAC" w:rsidRPr="00D35CC4" w:rsidRDefault="00996DAC" w:rsidP="00415964">
            <w:pPr>
              <w:pStyle w:val="ParagraphText"/>
              <w:jc w:val="both"/>
              <w:rPr>
                <w:rFonts w:ascii="Verdana" w:hAnsi="Verdana"/>
                <w:b/>
                <w:sz w:val="18"/>
                <w:szCs w:val="18"/>
                <w:lang w:eastAsia="en-GB"/>
              </w:rPr>
            </w:pPr>
            <w:r w:rsidRPr="00D35CC4">
              <w:rPr>
                <w:rFonts w:ascii="Verdana" w:hAnsi="Verdana"/>
                <w:b/>
                <w:sz w:val="18"/>
                <w:szCs w:val="18"/>
                <w:lang w:eastAsia="en-GB"/>
              </w:rPr>
              <w:t>W</w:t>
            </w:r>
          </w:p>
        </w:tc>
        <w:tc>
          <w:tcPr>
            <w:tcW w:w="2360" w:type="dxa"/>
            <w:gridSpan w:val="2"/>
            <w:shd w:val="clear" w:color="auto" w:fill="FABF8F"/>
          </w:tcPr>
          <w:p w14:paraId="371B3AC1" w14:textId="77777777" w:rsidR="00996DAC" w:rsidRPr="00D35CC4" w:rsidRDefault="00996DAC" w:rsidP="00415964">
            <w:pPr>
              <w:pStyle w:val="ParagraphText"/>
              <w:jc w:val="both"/>
              <w:rPr>
                <w:rFonts w:ascii="Verdana" w:hAnsi="Verdana"/>
                <w:b/>
                <w:sz w:val="18"/>
                <w:szCs w:val="18"/>
                <w:lang w:eastAsia="en-GB"/>
              </w:rPr>
            </w:pPr>
            <w:r w:rsidRPr="00D35CC4">
              <w:rPr>
                <w:rFonts w:ascii="Verdana" w:hAnsi="Verdana"/>
                <w:b/>
                <w:sz w:val="18"/>
                <w:szCs w:val="18"/>
                <w:lang w:eastAsia="en-GB"/>
              </w:rPr>
              <w:t>Tenderer 1</w:t>
            </w:r>
          </w:p>
        </w:tc>
        <w:tc>
          <w:tcPr>
            <w:tcW w:w="2339" w:type="dxa"/>
            <w:gridSpan w:val="2"/>
            <w:shd w:val="clear" w:color="auto" w:fill="FABF8F"/>
          </w:tcPr>
          <w:p w14:paraId="2AA9D9D4" w14:textId="77777777" w:rsidR="00996DAC" w:rsidRPr="00D35CC4" w:rsidRDefault="00996DAC" w:rsidP="00415964">
            <w:pPr>
              <w:pStyle w:val="ParagraphText"/>
              <w:jc w:val="both"/>
              <w:rPr>
                <w:rFonts w:ascii="Verdana" w:hAnsi="Verdana"/>
                <w:b/>
                <w:sz w:val="18"/>
                <w:szCs w:val="18"/>
                <w:lang w:eastAsia="en-GB"/>
              </w:rPr>
            </w:pPr>
            <w:r w:rsidRPr="00D35CC4">
              <w:rPr>
                <w:rFonts w:ascii="Verdana" w:hAnsi="Verdana"/>
                <w:b/>
                <w:sz w:val="18"/>
                <w:szCs w:val="18"/>
                <w:lang w:eastAsia="en-GB"/>
              </w:rPr>
              <w:t>Tenderer 2</w:t>
            </w:r>
          </w:p>
        </w:tc>
      </w:tr>
      <w:tr w:rsidR="00996DAC" w:rsidRPr="00D35CC4" w14:paraId="6E3B7E92" w14:textId="77777777" w:rsidTr="00415964">
        <w:tc>
          <w:tcPr>
            <w:tcW w:w="1540" w:type="dxa"/>
            <w:shd w:val="clear" w:color="auto" w:fill="auto"/>
          </w:tcPr>
          <w:p w14:paraId="618A96B8" w14:textId="77777777" w:rsidR="00996DAC" w:rsidRPr="00D35CC4" w:rsidRDefault="00996DAC" w:rsidP="00415964">
            <w:pPr>
              <w:pStyle w:val="ParagraphText"/>
              <w:jc w:val="both"/>
              <w:rPr>
                <w:rFonts w:ascii="Verdana" w:hAnsi="Verdana"/>
                <w:sz w:val="18"/>
                <w:szCs w:val="18"/>
                <w:lang w:eastAsia="en-GB"/>
              </w:rPr>
            </w:pPr>
            <w:r w:rsidRPr="00D35CC4">
              <w:rPr>
                <w:rFonts w:ascii="Verdana" w:hAnsi="Verdana"/>
                <w:sz w:val="18"/>
                <w:szCs w:val="18"/>
                <w:lang w:eastAsia="en-GB"/>
              </w:rPr>
              <w:t>Evaluation Elements</w:t>
            </w:r>
          </w:p>
        </w:tc>
        <w:tc>
          <w:tcPr>
            <w:tcW w:w="1255" w:type="dxa"/>
            <w:shd w:val="clear" w:color="auto" w:fill="auto"/>
          </w:tcPr>
          <w:p w14:paraId="1CC4E870" w14:textId="77777777" w:rsidR="00996DAC" w:rsidRPr="00D35CC4" w:rsidRDefault="00996DAC" w:rsidP="00415964">
            <w:pPr>
              <w:pStyle w:val="ParagraphText"/>
              <w:jc w:val="both"/>
              <w:rPr>
                <w:rFonts w:ascii="Verdana" w:hAnsi="Verdana"/>
                <w:sz w:val="18"/>
                <w:szCs w:val="18"/>
                <w:lang w:eastAsia="en-GB"/>
              </w:rPr>
            </w:pPr>
            <w:r w:rsidRPr="00D35CC4">
              <w:rPr>
                <w:rFonts w:ascii="Verdana" w:hAnsi="Verdana"/>
                <w:sz w:val="18"/>
                <w:szCs w:val="18"/>
                <w:lang w:eastAsia="en-GB"/>
              </w:rPr>
              <w:t>Lowest Submitted price (£)</w:t>
            </w:r>
          </w:p>
        </w:tc>
        <w:tc>
          <w:tcPr>
            <w:tcW w:w="1224" w:type="dxa"/>
            <w:shd w:val="clear" w:color="auto" w:fill="auto"/>
          </w:tcPr>
          <w:p w14:paraId="4915D120" w14:textId="77777777" w:rsidR="00996DAC" w:rsidRPr="00D35CC4" w:rsidRDefault="00996DAC" w:rsidP="00415964">
            <w:pPr>
              <w:pStyle w:val="ParagraphText"/>
              <w:jc w:val="both"/>
              <w:rPr>
                <w:rFonts w:ascii="Verdana" w:hAnsi="Verdana"/>
                <w:sz w:val="18"/>
                <w:szCs w:val="18"/>
                <w:lang w:eastAsia="en-GB"/>
              </w:rPr>
            </w:pPr>
            <w:r w:rsidRPr="00D35CC4">
              <w:rPr>
                <w:rFonts w:ascii="Verdana" w:hAnsi="Verdana"/>
                <w:sz w:val="18"/>
                <w:szCs w:val="18"/>
                <w:lang w:eastAsia="en-GB"/>
              </w:rPr>
              <w:t>Weighting %</w:t>
            </w:r>
          </w:p>
        </w:tc>
        <w:tc>
          <w:tcPr>
            <w:tcW w:w="1202" w:type="dxa"/>
            <w:shd w:val="clear" w:color="auto" w:fill="auto"/>
          </w:tcPr>
          <w:p w14:paraId="65049A8E" w14:textId="77777777" w:rsidR="00996DAC" w:rsidRPr="00D35CC4" w:rsidRDefault="00996DAC" w:rsidP="00415964">
            <w:pPr>
              <w:pStyle w:val="ParagraphText"/>
              <w:jc w:val="both"/>
              <w:rPr>
                <w:rFonts w:ascii="Verdana" w:hAnsi="Verdana"/>
                <w:sz w:val="18"/>
                <w:szCs w:val="18"/>
                <w:lang w:eastAsia="en-GB"/>
              </w:rPr>
            </w:pPr>
            <w:r w:rsidRPr="00D35CC4">
              <w:rPr>
                <w:rFonts w:ascii="Verdana" w:hAnsi="Verdana"/>
                <w:sz w:val="18"/>
                <w:szCs w:val="18"/>
                <w:lang w:eastAsia="en-GB"/>
              </w:rPr>
              <w:t xml:space="preserve">Tendered Price </w:t>
            </w:r>
          </w:p>
        </w:tc>
        <w:tc>
          <w:tcPr>
            <w:tcW w:w="1158" w:type="dxa"/>
            <w:shd w:val="clear" w:color="auto" w:fill="auto"/>
          </w:tcPr>
          <w:p w14:paraId="7CAA22EF" w14:textId="77777777" w:rsidR="00996DAC" w:rsidRPr="00D35CC4" w:rsidRDefault="00996DAC" w:rsidP="00415964">
            <w:pPr>
              <w:pStyle w:val="ParagraphText"/>
              <w:jc w:val="both"/>
              <w:rPr>
                <w:rFonts w:ascii="Verdana" w:hAnsi="Verdana"/>
                <w:sz w:val="18"/>
                <w:szCs w:val="18"/>
                <w:lang w:eastAsia="en-GB"/>
              </w:rPr>
            </w:pPr>
            <w:r w:rsidRPr="00D35CC4">
              <w:rPr>
                <w:rFonts w:ascii="Verdana" w:hAnsi="Verdana"/>
                <w:sz w:val="18"/>
                <w:szCs w:val="18"/>
                <w:lang w:eastAsia="en-GB"/>
              </w:rPr>
              <w:t xml:space="preserve">Score * </w:t>
            </w:r>
          </w:p>
        </w:tc>
        <w:tc>
          <w:tcPr>
            <w:tcW w:w="1181" w:type="dxa"/>
            <w:shd w:val="clear" w:color="auto" w:fill="auto"/>
          </w:tcPr>
          <w:p w14:paraId="260B1380" w14:textId="77777777" w:rsidR="00996DAC" w:rsidRPr="00D35CC4" w:rsidRDefault="00996DAC" w:rsidP="00415964">
            <w:pPr>
              <w:pStyle w:val="ParagraphText"/>
              <w:jc w:val="both"/>
              <w:rPr>
                <w:rFonts w:ascii="Verdana" w:hAnsi="Verdana"/>
                <w:sz w:val="18"/>
                <w:szCs w:val="18"/>
                <w:lang w:eastAsia="en-GB"/>
              </w:rPr>
            </w:pPr>
            <w:r w:rsidRPr="00D35CC4">
              <w:rPr>
                <w:rFonts w:ascii="Verdana" w:hAnsi="Verdana"/>
                <w:sz w:val="18"/>
                <w:szCs w:val="18"/>
                <w:lang w:eastAsia="en-GB"/>
              </w:rPr>
              <w:t>Tendered Price</w:t>
            </w:r>
          </w:p>
        </w:tc>
        <w:tc>
          <w:tcPr>
            <w:tcW w:w="1158" w:type="dxa"/>
            <w:shd w:val="clear" w:color="auto" w:fill="auto"/>
          </w:tcPr>
          <w:p w14:paraId="11F7E5E7" w14:textId="77777777" w:rsidR="00996DAC" w:rsidRPr="00D35CC4" w:rsidRDefault="00996DAC" w:rsidP="00415964">
            <w:pPr>
              <w:pStyle w:val="ParagraphText"/>
              <w:jc w:val="both"/>
              <w:rPr>
                <w:rFonts w:ascii="Verdana" w:hAnsi="Verdana"/>
                <w:sz w:val="18"/>
                <w:szCs w:val="18"/>
                <w:lang w:eastAsia="en-GB"/>
              </w:rPr>
            </w:pPr>
            <w:r w:rsidRPr="00D35CC4">
              <w:rPr>
                <w:rFonts w:ascii="Verdana" w:hAnsi="Verdana"/>
                <w:sz w:val="18"/>
                <w:szCs w:val="18"/>
                <w:lang w:eastAsia="en-GB"/>
              </w:rPr>
              <w:t xml:space="preserve">Score ** </w:t>
            </w:r>
          </w:p>
        </w:tc>
      </w:tr>
      <w:tr w:rsidR="00996DAC" w:rsidRPr="00D35CC4" w14:paraId="70933950" w14:textId="77777777" w:rsidTr="00415964">
        <w:tc>
          <w:tcPr>
            <w:tcW w:w="1540" w:type="dxa"/>
            <w:shd w:val="clear" w:color="auto" w:fill="auto"/>
          </w:tcPr>
          <w:p w14:paraId="7B7394F5" w14:textId="77777777" w:rsidR="00996DAC" w:rsidRPr="00D35CC4" w:rsidRDefault="00996DAC" w:rsidP="00415964">
            <w:pPr>
              <w:pStyle w:val="ParagraphText"/>
              <w:jc w:val="both"/>
              <w:rPr>
                <w:rFonts w:ascii="Verdana" w:hAnsi="Verdana"/>
                <w:sz w:val="18"/>
                <w:szCs w:val="18"/>
                <w:lang w:eastAsia="en-GB"/>
              </w:rPr>
            </w:pPr>
            <w:r w:rsidRPr="00D35CC4">
              <w:rPr>
                <w:rFonts w:ascii="Verdana" w:hAnsi="Verdana"/>
                <w:sz w:val="18"/>
                <w:szCs w:val="18"/>
                <w:lang w:eastAsia="en-GB"/>
              </w:rPr>
              <w:t>Total Contract Sum</w:t>
            </w:r>
          </w:p>
        </w:tc>
        <w:tc>
          <w:tcPr>
            <w:tcW w:w="1255" w:type="dxa"/>
            <w:shd w:val="clear" w:color="auto" w:fill="auto"/>
          </w:tcPr>
          <w:p w14:paraId="1C2666D4" w14:textId="77777777" w:rsidR="00996DAC" w:rsidRPr="00D35CC4" w:rsidRDefault="00996DAC" w:rsidP="00415964">
            <w:pPr>
              <w:pStyle w:val="ParagraphText"/>
              <w:jc w:val="both"/>
              <w:rPr>
                <w:rFonts w:ascii="Verdana" w:hAnsi="Verdana"/>
                <w:sz w:val="18"/>
                <w:szCs w:val="18"/>
                <w:lang w:eastAsia="en-GB"/>
              </w:rPr>
            </w:pPr>
            <w:r w:rsidRPr="00D35CC4">
              <w:rPr>
                <w:rFonts w:ascii="Verdana" w:hAnsi="Verdana"/>
                <w:sz w:val="18"/>
                <w:szCs w:val="18"/>
                <w:lang w:eastAsia="en-GB"/>
              </w:rPr>
              <w:t>£655,000</w:t>
            </w:r>
          </w:p>
        </w:tc>
        <w:tc>
          <w:tcPr>
            <w:tcW w:w="1224" w:type="dxa"/>
            <w:shd w:val="clear" w:color="auto" w:fill="auto"/>
          </w:tcPr>
          <w:p w14:paraId="0843952E" w14:textId="77777777" w:rsidR="00996DAC" w:rsidRPr="00D35CC4" w:rsidRDefault="00996DAC" w:rsidP="00415964">
            <w:pPr>
              <w:pStyle w:val="ParagraphText"/>
              <w:jc w:val="both"/>
              <w:rPr>
                <w:rFonts w:ascii="Verdana" w:hAnsi="Verdana"/>
                <w:sz w:val="18"/>
                <w:szCs w:val="18"/>
                <w:lang w:eastAsia="en-GB"/>
              </w:rPr>
            </w:pPr>
            <w:r w:rsidRPr="00D35CC4">
              <w:rPr>
                <w:rFonts w:ascii="Verdana" w:hAnsi="Verdana"/>
                <w:sz w:val="18"/>
                <w:szCs w:val="18"/>
                <w:lang w:eastAsia="en-GB"/>
              </w:rPr>
              <w:t>50</w:t>
            </w:r>
          </w:p>
        </w:tc>
        <w:tc>
          <w:tcPr>
            <w:tcW w:w="1202" w:type="dxa"/>
            <w:shd w:val="clear" w:color="auto" w:fill="auto"/>
          </w:tcPr>
          <w:p w14:paraId="23BEC819" w14:textId="77777777" w:rsidR="00996DAC" w:rsidRPr="00D35CC4" w:rsidRDefault="00996DAC" w:rsidP="00415964">
            <w:pPr>
              <w:pStyle w:val="ParagraphText"/>
              <w:jc w:val="both"/>
              <w:rPr>
                <w:rFonts w:ascii="Verdana" w:hAnsi="Verdana"/>
                <w:sz w:val="18"/>
                <w:szCs w:val="18"/>
                <w:lang w:eastAsia="en-GB"/>
              </w:rPr>
            </w:pPr>
            <w:r w:rsidRPr="00D35CC4">
              <w:rPr>
                <w:rFonts w:ascii="Verdana" w:hAnsi="Verdana"/>
                <w:sz w:val="18"/>
                <w:szCs w:val="18"/>
                <w:lang w:eastAsia="en-GB"/>
              </w:rPr>
              <w:t>£680,000</w:t>
            </w:r>
          </w:p>
        </w:tc>
        <w:tc>
          <w:tcPr>
            <w:tcW w:w="1158" w:type="dxa"/>
            <w:shd w:val="clear" w:color="auto" w:fill="auto"/>
          </w:tcPr>
          <w:p w14:paraId="690F3E5F" w14:textId="77777777" w:rsidR="00996DAC" w:rsidRPr="00D35CC4" w:rsidRDefault="00996DAC" w:rsidP="00415964">
            <w:pPr>
              <w:pStyle w:val="ParagraphText"/>
              <w:jc w:val="both"/>
              <w:rPr>
                <w:rFonts w:ascii="Verdana" w:hAnsi="Verdana"/>
                <w:sz w:val="18"/>
                <w:szCs w:val="18"/>
                <w:lang w:eastAsia="en-GB"/>
              </w:rPr>
            </w:pPr>
            <w:r w:rsidRPr="00D35CC4">
              <w:rPr>
                <w:rFonts w:ascii="Verdana" w:hAnsi="Verdana"/>
                <w:sz w:val="18"/>
                <w:szCs w:val="18"/>
                <w:lang w:eastAsia="en-GB"/>
              </w:rPr>
              <w:t>48.2</w:t>
            </w:r>
          </w:p>
        </w:tc>
        <w:tc>
          <w:tcPr>
            <w:tcW w:w="1181" w:type="dxa"/>
            <w:shd w:val="clear" w:color="auto" w:fill="auto"/>
          </w:tcPr>
          <w:p w14:paraId="08D8B3CF" w14:textId="77777777" w:rsidR="00996DAC" w:rsidRPr="00D35CC4" w:rsidRDefault="00996DAC" w:rsidP="00415964">
            <w:pPr>
              <w:pStyle w:val="ParagraphText"/>
              <w:jc w:val="both"/>
              <w:rPr>
                <w:rFonts w:ascii="Verdana" w:hAnsi="Verdana"/>
                <w:sz w:val="18"/>
                <w:szCs w:val="18"/>
                <w:lang w:eastAsia="en-GB"/>
              </w:rPr>
            </w:pPr>
            <w:r w:rsidRPr="00D35CC4">
              <w:rPr>
                <w:rFonts w:ascii="Verdana" w:hAnsi="Verdana"/>
                <w:sz w:val="18"/>
                <w:szCs w:val="18"/>
                <w:lang w:eastAsia="en-GB"/>
              </w:rPr>
              <w:t>£655,000</w:t>
            </w:r>
          </w:p>
        </w:tc>
        <w:tc>
          <w:tcPr>
            <w:tcW w:w="1158" w:type="dxa"/>
            <w:shd w:val="clear" w:color="auto" w:fill="auto"/>
          </w:tcPr>
          <w:p w14:paraId="7C76B1E3" w14:textId="77777777" w:rsidR="00996DAC" w:rsidRPr="00D35CC4" w:rsidRDefault="00996DAC" w:rsidP="00415964">
            <w:pPr>
              <w:pStyle w:val="ParagraphText"/>
              <w:jc w:val="both"/>
              <w:rPr>
                <w:rFonts w:ascii="Verdana" w:hAnsi="Verdana"/>
                <w:sz w:val="18"/>
                <w:szCs w:val="18"/>
                <w:lang w:eastAsia="en-GB"/>
              </w:rPr>
            </w:pPr>
            <w:r w:rsidRPr="00D35CC4">
              <w:rPr>
                <w:rFonts w:ascii="Verdana" w:hAnsi="Verdana"/>
                <w:sz w:val="18"/>
                <w:szCs w:val="18"/>
                <w:lang w:eastAsia="en-GB"/>
              </w:rPr>
              <w:t>50</w:t>
            </w:r>
          </w:p>
        </w:tc>
      </w:tr>
      <w:tr w:rsidR="00996DAC" w:rsidRPr="00D35CC4" w14:paraId="4450C6AC" w14:textId="77777777" w:rsidTr="00415964">
        <w:tc>
          <w:tcPr>
            <w:tcW w:w="1540" w:type="dxa"/>
            <w:shd w:val="clear" w:color="auto" w:fill="auto"/>
          </w:tcPr>
          <w:p w14:paraId="5B0AA8F9" w14:textId="77777777" w:rsidR="00996DAC" w:rsidRPr="00D35CC4" w:rsidRDefault="00996DAC" w:rsidP="00415964">
            <w:pPr>
              <w:pStyle w:val="ParagraphText"/>
              <w:jc w:val="both"/>
              <w:rPr>
                <w:rFonts w:ascii="Verdana" w:hAnsi="Verdana"/>
                <w:b/>
                <w:sz w:val="18"/>
                <w:szCs w:val="18"/>
                <w:lang w:eastAsia="en-GB"/>
              </w:rPr>
            </w:pPr>
            <w:r w:rsidRPr="00D35CC4">
              <w:rPr>
                <w:rFonts w:ascii="Verdana" w:hAnsi="Verdana"/>
                <w:b/>
                <w:sz w:val="18"/>
                <w:szCs w:val="18"/>
                <w:lang w:eastAsia="en-GB"/>
              </w:rPr>
              <w:t>Total Score</w:t>
            </w:r>
          </w:p>
        </w:tc>
        <w:tc>
          <w:tcPr>
            <w:tcW w:w="1255" w:type="dxa"/>
            <w:shd w:val="clear" w:color="auto" w:fill="auto"/>
          </w:tcPr>
          <w:p w14:paraId="43013C7D" w14:textId="77777777" w:rsidR="00996DAC" w:rsidRPr="00D35CC4" w:rsidRDefault="00996DAC" w:rsidP="00415964">
            <w:pPr>
              <w:pStyle w:val="ParagraphText"/>
              <w:jc w:val="both"/>
              <w:rPr>
                <w:rFonts w:ascii="Verdana" w:hAnsi="Verdana"/>
                <w:b/>
                <w:sz w:val="18"/>
                <w:szCs w:val="18"/>
                <w:lang w:eastAsia="en-GB"/>
              </w:rPr>
            </w:pPr>
          </w:p>
        </w:tc>
        <w:tc>
          <w:tcPr>
            <w:tcW w:w="1224" w:type="dxa"/>
            <w:shd w:val="clear" w:color="auto" w:fill="auto"/>
          </w:tcPr>
          <w:p w14:paraId="217A4DB2" w14:textId="77777777" w:rsidR="00996DAC" w:rsidRPr="00D35CC4" w:rsidRDefault="00996DAC" w:rsidP="00415964">
            <w:pPr>
              <w:pStyle w:val="ParagraphText"/>
              <w:jc w:val="both"/>
              <w:rPr>
                <w:rFonts w:ascii="Verdana" w:hAnsi="Verdana"/>
                <w:b/>
                <w:sz w:val="18"/>
                <w:szCs w:val="18"/>
                <w:lang w:eastAsia="en-GB"/>
              </w:rPr>
            </w:pPr>
            <w:r w:rsidRPr="00D35CC4">
              <w:rPr>
                <w:rFonts w:ascii="Verdana" w:hAnsi="Verdana"/>
                <w:b/>
                <w:sz w:val="18"/>
                <w:szCs w:val="18"/>
                <w:lang w:eastAsia="en-GB"/>
              </w:rPr>
              <w:t>50</w:t>
            </w:r>
          </w:p>
        </w:tc>
        <w:tc>
          <w:tcPr>
            <w:tcW w:w="1202" w:type="dxa"/>
            <w:shd w:val="clear" w:color="auto" w:fill="auto"/>
          </w:tcPr>
          <w:p w14:paraId="6C0367AC" w14:textId="77777777" w:rsidR="00996DAC" w:rsidRPr="00D35CC4" w:rsidRDefault="00996DAC" w:rsidP="00415964">
            <w:pPr>
              <w:pStyle w:val="ParagraphText"/>
              <w:jc w:val="both"/>
              <w:rPr>
                <w:rFonts w:ascii="Verdana" w:hAnsi="Verdana"/>
                <w:b/>
                <w:sz w:val="18"/>
                <w:szCs w:val="18"/>
                <w:lang w:eastAsia="en-GB"/>
              </w:rPr>
            </w:pPr>
          </w:p>
        </w:tc>
        <w:tc>
          <w:tcPr>
            <w:tcW w:w="1158" w:type="dxa"/>
            <w:shd w:val="clear" w:color="auto" w:fill="auto"/>
          </w:tcPr>
          <w:p w14:paraId="59AD32A9" w14:textId="77777777" w:rsidR="00996DAC" w:rsidRPr="00D35CC4" w:rsidRDefault="00996DAC" w:rsidP="00415964">
            <w:pPr>
              <w:pStyle w:val="ParagraphText"/>
              <w:jc w:val="both"/>
              <w:rPr>
                <w:rFonts w:ascii="Verdana" w:hAnsi="Verdana"/>
                <w:b/>
                <w:sz w:val="18"/>
                <w:szCs w:val="18"/>
                <w:lang w:eastAsia="en-GB"/>
              </w:rPr>
            </w:pPr>
            <w:r w:rsidRPr="00D35CC4">
              <w:rPr>
                <w:rFonts w:ascii="Verdana" w:hAnsi="Verdana"/>
                <w:b/>
                <w:sz w:val="18"/>
                <w:szCs w:val="18"/>
                <w:lang w:eastAsia="en-GB"/>
              </w:rPr>
              <w:t>48.2</w:t>
            </w:r>
          </w:p>
        </w:tc>
        <w:tc>
          <w:tcPr>
            <w:tcW w:w="1181" w:type="dxa"/>
            <w:shd w:val="clear" w:color="auto" w:fill="auto"/>
          </w:tcPr>
          <w:p w14:paraId="647D5CED" w14:textId="77777777" w:rsidR="00996DAC" w:rsidRPr="00D35CC4" w:rsidRDefault="00996DAC" w:rsidP="00415964">
            <w:pPr>
              <w:pStyle w:val="ParagraphText"/>
              <w:jc w:val="both"/>
              <w:rPr>
                <w:rFonts w:ascii="Verdana" w:hAnsi="Verdana"/>
                <w:b/>
                <w:sz w:val="18"/>
                <w:szCs w:val="18"/>
                <w:lang w:eastAsia="en-GB"/>
              </w:rPr>
            </w:pPr>
          </w:p>
        </w:tc>
        <w:tc>
          <w:tcPr>
            <w:tcW w:w="1158" w:type="dxa"/>
            <w:shd w:val="clear" w:color="auto" w:fill="auto"/>
          </w:tcPr>
          <w:p w14:paraId="3862E0A4" w14:textId="77777777" w:rsidR="00996DAC" w:rsidRPr="00D35CC4" w:rsidRDefault="00996DAC" w:rsidP="00415964">
            <w:pPr>
              <w:pStyle w:val="ParagraphText"/>
              <w:jc w:val="both"/>
              <w:rPr>
                <w:rFonts w:ascii="Verdana" w:hAnsi="Verdana"/>
                <w:b/>
                <w:sz w:val="18"/>
                <w:szCs w:val="18"/>
                <w:lang w:eastAsia="en-GB"/>
              </w:rPr>
            </w:pPr>
            <w:r w:rsidRPr="00D35CC4">
              <w:rPr>
                <w:rFonts w:ascii="Verdana" w:hAnsi="Verdana"/>
                <w:b/>
                <w:sz w:val="18"/>
                <w:szCs w:val="18"/>
                <w:lang w:eastAsia="en-GB"/>
              </w:rPr>
              <w:t>50</w:t>
            </w:r>
          </w:p>
        </w:tc>
      </w:tr>
    </w:tbl>
    <w:p w14:paraId="69E29F2E" w14:textId="77777777" w:rsidR="00996DAC" w:rsidRPr="00D35CC4" w:rsidRDefault="00996DAC" w:rsidP="00996DAC">
      <w:pPr>
        <w:pStyle w:val="01BSCCParagraphbodystyle"/>
      </w:pPr>
    </w:p>
    <w:p w14:paraId="36019ABA" w14:textId="77777777" w:rsidR="00996DAC" w:rsidRPr="00D35CC4" w:rsidRDefault="00996DAC" w:rsidP="00996DAC">
      <w:pPr>
        <w:pStyle w:val="01BSCCParagraphbodystyle"/>
      </w:pPr>
      <w:r w:rsidRPr="00D35CC4">
        <w:t xml:space="preserve">The example above shows that Tenderer 2 scored maximum points because they submitted the lowest Quote price. </w:t>
      </w:r>
    </w:p>
    <w:p w14:paraId="7699A470" w14:textId="77777777" w:rsidR="00996DAC" w:rsidRPr="00D35CC4" w:rsidRDefault="00996DAC" w:rsidP="00996DAC">
      <w:pPr>
        <w:pStyle w:val="01BSCCParagraphbodystyle"/>
      </w:pPr>
      <w:r w:rsidRPr="00D35CC4">
        <w:t>* For Tenderer 1, score = (655,000/680,000) x 50 = 48.2</w:t>
      </w:r>
    </w:p>
    <w:p w14:paraId="7F4658D7" w14:textId="77777777" w:rsidR="00996DAC" w:rsidRPr="00D35CC4" w:rsidRDefault="00996DAC" w:rsidP="00996DAC">
      <w:pPr>
        <w:pStyle w:val="01BSCCParagraphbodystyle"/>
      </w:pPr>
      <w:r w:rsidRPr="00D35CC4">
        <w:t>** For Tenderer 2, score = (655,000/655,000) x 50 = 50</w:t>
      </w:r>
    </w:p>
    <w:p w14:paraId="48CB2F8F" w14:textId="77777777" w:rsidR="00996DAC" w:rsidRPr="00D35CC4" w:rsidRDefault="00996DAC" w:rsidP="00996DAC">
      <w:pPr>
        <w:pStyle w:val="01S2CCSubhead2"/>
      </w:pPr>
    </w:p>
    <w:p w14:paraId="35EC59BD" w14:textId="77777777" w:rsidR="00490F6D" w:rsidRDefault="00490F6D"/>
    <w:sectPr w:rsidR="00490F6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0567" w14:textId="77777777" w:rsidR="00C0082B" w:rsidRDefault="00C0082B" w:rsidP="00C0082B">
      <w:pPr>
        <w:spacing w:after="0" w:line="240" w:lineRule="auto"/>
      </w:pPr>
      <w:r>
        <w:separator/>
      </w:r>
    </w:p>
  </w:endnote>
  <w:endnote w:type="continuationSeparator" w:id="0">
    <w:p w14:paraId="543A4867" w14:textId="77777777" w:rsidR="00C0082B" w:rsidRDefault="00C0082B" w:rsidP="00C0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810D" w14:textId="77777777" w:rsidR="00C0082B" w:rsidRDefault="00C0082B" w:rsidP="00C0082B">
      <w:pPr>
        <w:spacing w:after="0" w:line="240" w:lineRule="auto"/>
      </w:pPr>
      <w:r>
        <w:separator/>
      </w:r>
    </w:p>
  </w:footnote>
  <w:footnote w:type="continuationSeparator" w:id="0">
    <w:p w14:paraId="180A5E1B" w14:textId="77777777" w:rsidR="00C0082B" w:rsidRDefault="00C0082B" w:rsidP="00C00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78F4" w14:textId="7EA49455" w:rsidR="00C0082B" w:rsidRDefault="00C0082B">
    <w:pPr>
      <w:pStyle w:val="Header"/>
    </w:pPr>
    <w:r>
      <w:rPr>
        <w:noProof/>
      </w:rPr>
      <mc:AlternateContent>
        <mc:Choice Requires="wps">
          <w:drawing>
            <wp:anchor distT="0" distB="0" distL="114300" distR="114300" simplePos="0" relativeHeight="251659264" behindDoc="0" locked="0" layoutInCell="0" allowOverlap="1" wp14:anchorId="0ADB74CC" wp14:editId="47678CB4">
              <wp:simplePos x="0" y="0"/>
              <wp:positionH relativeFrom="page">
                <wp:posOffset>0</wp:posOffset>
              </wp:positionH>
              <wp:positionV relativeFrom="page">
                <wp:posOffset>190500</wp:posOffset>
              </wp:positionV>
              <wp:extent cx="7560310" cy="273050"/>
              <wp:effectExtent l="0" t="0" r="0" b="12700"/>
              <wp:wrapNone/>
              <wp:docPr id="1" name="MSIPCM28754b81975c6450cafe77f0"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A7B9B" w14:textId="36A3A849" w:rsidR="00C0082B" w:rsidRPr="00C0082B" w:rsidRDefault="00C0082B" w:rsidP="00C0082B">
                          <w:pPr>
                            <w:spacing w:after="0"/>
                            <w:jc w:val="right"/>
                            <w:rPr>
                              <w:rFonts w:ascii="Calibri" w:hAnsi="Calibri" w:cs="Calibri"/>
                              <w:color w:val="FF8C00"/>
                              <w:sz w:val="20"/>
                            </w:rPr>
                          </w:pPr>
                          <w:r w:rsidRPr="00C0082B">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ADB74CC" id="_x0000_t202" coordsize="21600,21600" o:spt="202" path="m,l,21600r21600,l21600,xe">
              <v:stroke joinstyle="miter"/>
              <v:path gradientshapeok="t" o:connecttype="rect"/>
            </v:shapetype>
            <v:shape id="MSIPCM28754b81975c6450cafe77f0" o:spid="_x0000_s1026" type="#_x0000_t202" alt="{&quot;HashCode&quot;:-213021128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Cpq/vEsAIAAEgFAAAOAAAA&#10;AAAAAAAAAAAAAC4CAABkcnMvZTJvRG9jLnhtbFBLAQItABQABgAIAAAAIQBxnx1f3QAAAAcBAAAP&#10;AAAAAAAAAAAAAAAAAAoFAABkcnMvZG93bnJldi54bWxQSwUGAAAAAAQABADzAAAAFAYAAAAA&#10;" o:allowincell="f" filled="f" stroked="f" strokeweight=".5pt">
              <v:fill o:detectmouseclick="t"/>
              <v:textbox inset=",0,20pt,0">
                <w:txbxContent>
                  <w:p w14:paraId="37DA7B9B" w14:textId="36A3A849" w:rsidR="00C0082B" w:rsidRPr="00C0082B" w:rsidRDefault="00C0082B" w:rsidP="00C0082B">
                    <w:pPr>
                      <w:spacing w:after="0"/>
                      <w:jc w:val="right"/>
                      <w:rPr>
                        <w:rFonts w:ascii="Calibri" w:hAnsi="Calibri" w:cs="Calibri"/>
                        <w:color w:val="FF8C00"/>
                        <w:sz w:val="20"/>
                      </w:rPr>
                    </w:pPr>
                    <w:r w:rsidRPr="00C0082B">
                      <w:rPr>
                        <w:rFonts w:ascii="Calibri" w:hAnsi="Calibri" w:cs="Calibri"/>
                        <w:color w:val="FF8C00"/>
                        <w:sz w:val="20"/>
                      </w:rPr>
                      <w:t>Information Classification: CONTROLLED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AC"/>
    <w:rsid w:val="001D58FC"/>
    <w:rsid w:val="00250DDD"/>
    <w:rsid w:val="00490F6D"/>
    <w:rsid w:val="00996DAC"/>
    <w:rsid w:val="00C00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B2D01"/>
  <w15:docId w15:val="{9E8C3A2A-751F-45AC-A46E-879AE077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SCCParagraphbodystyle">
    <w:name w:val="01BS CC Paragraph body style"/>
    <w:link w:val="01BSCCParagraphbodystyleChar"/>
    <w:rsid w:val="00996DAC"/>
    <w:pPr>
      <w:suppressAutoHyphens/>
      <w:spacing w:after="240" w:line="240" w:lineRule="auto"/>
    </w:pPr>
    <w:rPr>
      <w:rFonts w:ascii="Verdana" w:eastAsia="Times New Roman" w:hAnsi="Verdana" w:cs="Times New Roman"/>
      <w:szCs w:val="20"/>
    </w:rPr>
  </w:style>
  <w:style w:type="paragraph" w:customStyle="1" w:styleId="01S2CCSubhead2">
    <w:name w:val="01S2 CC Subhead 2"/>
    <w:basedOn w:val="Normal"/>
    <w:next w:val="01BSCCParagraphbodystyle"/>
    <w:autoRedefine/>
    <w:rsid w:val="00996DAC"/>
    <w:pPr>
      <w:widowControl w:val="0"/>
      <w:spacing w:before="56" w:after="0" w:line="278" w:lineRule="auto"/>
      <w:ind w:left="1560" w:right="176" w:hanging="1526"/>
    </w:pPr>
    <w:rPr>
      <w:rFonts w:ascii="Verdana" w:eastAsia="Arial" w:hAnsi="Verdana" w:cs="Times New Roman"/>
      <w:b/>
      <w:bCs/>
      <w:color w:val="000000" w:themeColor="text1"/>
      <w:sz w:val="28"/>
      <w:szCs w:val="28"/>
      <w:lang w:val="en-US"/>
    </w:rPr>
  </w:style>
  <w:style w:type="paragraph" w:styleId="CommentText">
    <w:name w:val="annotation text"/>
    <w:basedOn w:val="Normal"/>
    <w:link w:val="CommentTextChar"/>
    <w:rsid w:val="00996DAC"/>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96DAC"/>
    <w:rPr>
      <w:rFonts w:ascii="Times New Roman" w:eastAsia="Times New Roman" w:hAnsi="Times New Roman" w:cs="Times New Roman"/>
      <w:sz w:val="20"/>
      <w:szCs w:val="20"/>
    </w:rPr>
  </w:style>
  <w:style w:type="paragraph" w:customStyle="1" w:styleId="ParagraphText">
    <w:name w:val="Paragraph Text"/>
    <w:link w:val="ParagraphTextChar"/>
    <w:qFormat/>
    <w:rsid w:val="00996DAC"/>
    <w:pPr>
      <w:suppressAutoHyphens/>
      <w:spacing w:before="60" w:after="120" w:line="240" w:lineRule="auto"/>
    </w:pPr>
    <w:rPr>
      <w:rFonts w:ascii="Arial" w:eastAsia="Times New Roman" w:hAnsi="Arial" w:cs="Times New Roman"/>
      <w:sz w:val="20"/>
      <w:szCs w:val="20"/>
    </w:rPr>
  </w:style>
  <w:style w:type="character" w:customStyle="1" w:styleId="ParagraphTextChar">
    <w:name w:val="Paragraph Text Char"/>
    <w:link w:val="ParagraphText"/>
    <w:locked/>
    <w:rsid w:val="00996DAC"/>
    <w:rPr>
      <w:rFonts w:ascii="Arial" w:eastAsia="Times New Roman" w:hAnsi="Arial" w:cs="Times New Roman"/>
      <w:sz w:val="20"/>
      <w:szCs w:val="20"/>
    </w:rPr>
  </w:style>
  <w:style w:type="character" w:customStyle="1" w:styleId="01BSCCParagraphbodystyleChar">
    <w:name w:val="01BS CC Paragraph body style Char"/>
    <w:link w:val="01BSCCParagraphbodystyle"/>
    <w:rsid w:val="00996DAC"/>
    <w:rPr>
      <w:rFonts w:ascii="Verdana" w:eastAsia="Times New Roman" w:hAnsi="Verdana" w:cs="Times New Roman"/>
      <w:szCs w:val="20"/>
    </w:rPr>
  </w:style>
  <w:style w:type="character" w:styleId="CommentReference">
    <w:name w:val="annotation reference"/>
    <w:rsid w:val="00996DAC"/>
    <w:rPr>
      <w:sz w:val="16"/>
      <w:szCs w:val="16"/>
    </w:rPr>
  </w:style>
  <w:style w:type="paragraph" w:styleId="BalloonText">
    <w:name w:val="Balloon Text"/>
    <w:basedOn w:val="Normal"/>
    <w:link w:val="BalloonTextChar"/>
    <w:uiPriority w:val="99"/>
    <w:semiHidden/>
    <w:unhideWhenUsed/>
    <w:rsid w:val="0099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C"/>
    <w:rPr>
      <w:rFonts w:ascii="Tahoma" w:hAnsi="Tahoma" w:cs="Tahoma"/>
      <w:sz w:val="16"/>
      <w:szCs w:val="16"/>
    </w:rPr>
  </w:style>
  <w:style w:type="paragraph" w:styleId="Header">
    <w:name w:val="header"/>
    <w:basedOn w:val="Normal"/>
    <w:link w:val="HeaderChar"/>
    <w:uiPriority w:val="99"/>
    <w:unhideWhenUsed/>
    <w:rsid w:val="00C00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82B"/>
  </w:style>
  <w:style w:type="paragraph" w:styleId="Footer">
    <w:name w:val="footer"/>
    <w:basedOn w:val="Normal"/>
    <w:link w:val="FooterChar"/>
    <w:uiPriority w:val="99"/>
    <w:unhideWhenUsed/>
    <w:rsid w:val="00C00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David (Procurement)</dc:creator>
  <cp:lastModifiedBy>Christine Stone</cp:lastModifiedBy>
  <cp:revision>2</cp:revision>
  <dcterms:created xsi:type="dcterms:W3CDTF">2022-06-17T09:00:00Z</dcterms:created>
  <dcterms:modified xsi:type="dcterms:W3CDTF">2022-06-17T09:00:00Z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2022-06-17T08:59:56Z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cc70a89f-dad0-4566-a2e8-bdce61f868ca</vt:lpwstr>
  </property>
  <property fmtid="{D5CDD505-2E9C-101B-9397-08002B2CF9AE}" pid="8" name="MSIP_Label_65bade86-969a-4cfc-8d70-99d1f0adeaba_ContentBits">
    <vt:lpwstr>1</vt:lpwstr>
  </property>
</Properties>
</file>