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EEA" w:rsidRDefault="00FE2EEA" w:rsidP="00FE2EEA">
      <w:pPr>
        <w:jc w:val="center"/>
      </w:pPr>
      <w:r>
        <w:rPr>
          <w:noProof/>
          <w:lang w:val="en-US" w:eastAsia="en-US"/>
        </w:rPr>
        <w:drawing>
          <wp:inline distT="0" distB="0" distL="0" distR="0">
            <wp:extent cx="1416190" cy="1171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6190" cy="1171575"/>
                    </a:xfrm>
                    <a:prstGeom prst="rect">
                      <a:avLst/>
                    </a:prstGeom>
                    <a:noFill/>
                    <a:ln w="9525">
                      <a:noFill/>
                      <a:miter lim="800000"/>
                      <a:headEnd/>
                      <a:tailEnd/>
                    </a:ln>
                  </pic:spPr>
                </pic:pic>
              </a:graphicData>
            </a:graphic>
          </wp:inline>
        </w:drawing>
      </w:r>
    </w:p>
    <w:p w:rsidR="00FE2EEA" w:rsidRDefault="00FE2EEA">
      <w:pPr>
        <w:rPr>
          <w:rFonts w:ascii="Arial" w:hAnsi="Arial" w:cs="Arial"/>
          <w:b/>
          <w:sz w:val="28"/>
          <w:szCs w:val="28"/>
          <w:u w:val="single"/>
        </w:rPr>
      </w:pPr>
    </w:p>
    <w:p w:rsidR="00FE2EEA" w:rsidRDefault="00FE2EEA">
      <w:pPr>
        <w:rPr>
          <w:rFonts w:ascii="Arial" w:hAnsi="Arial" w:cs="Arial"/>
          <w:b/>
          <w:sz w:val="28"/>
          <w:szCs w:val="28"/>
          <w:u w:val="single"/>
        </w:rPr>
      </w:pPr>
    </w:p>
    <w:p w:rsidR="00630240" w:rsidRPr="00A830FC" w:rsidRDefault="009873DF" w:rsidP="00A830FC">
      <w:pPr>
        <w:jc w:val="center"/>
        <w:rPr>
          <w:rFonts w:ascii="Arial" w:hAnsi="Arial" w:cs="Arial"/>
          <w:b/>
          <w:sz w:val="48"/>
          <w:szCs w:val="48"/>
        </w:rPr>
      </w:pPr>
      <w:r w:rsidRPr="00A830FC">
        <w:rPr>
          <w:rFonts w:ascii="Arial" w:hAnsi="Arial" w:cs="Arial"/>
          <w:b/>
          <w:sz w:val="48"/>
          <w:szCs w:val="48"/>
        </w:rPr>
        <w:t xml:space="preserve">Pest Control </w:t>
      </w:r>
      <w:r w:rsidR="004B337D" w:rsidRPr="00A830FC">
        <w:rPr>
          <w:rFonts w:ascii="Arial" w:hAnsi="Arial" w:cs="Arial"/>
          <w:b/>
          <w:sz w:val="48"/>
          <w:szCs w:val="48"/>
        </w:rPr>
        <w:t>Specification</w:t>
      </w:r>
    </w:p>
    <w:p w:rsidR="004B337D" w:rsidRPr="009873DF" w:rsidRDefault="004B337D">
      <w:pPr>
        <w:rPr>
          <w:rFonts w:ascii="Arial" w:hAnsi="Arial" w:cs="Arial"/>
          <w:b/>
          <w:sz w:val="32"/>
          <w:szCs w:val="32"/>
          <w:u w:val="single"/>
        </w:rPr>
      </w:pPr>
    </w:p>
    <w:p w:rsidR="004B337D" w:rsidRDefault="004B337D">
      <w:pPr>
        <w:rPr>
          <w:rFonts w:ascii="Arial" w:hAnsi="Arial" w:cs="Arial"/>
          <w:b/>
          <w:sz w:val="28"/>
          <w:szCs w:val="28"/>
          <w:u w:val="single"/>
        </w:rPr>
      </w:pPr>
    </w:p>
    <w:p w:rsidR="009873DF" w:rsidRDefault="006E4C41" w:rsidP="006E4C41">
      <w:pPr>
        <w:ind w:left="426" w:hanging="426"/>
        <w:rPr>
          <w:rFonts w:ascii="Arial" w:hAnsi="Arial" w:cs="Arial"/>
          <w:b/>
          <w:sz w:val="28"/>
          <w:szCs w:val="28"/>
        </w:rPr>
      </w:pPr>
      <w:r>
        <w:rPr>
          <w:rFonts w:ascii="Arial" w:hAnsi="Arial" w:cs="Arial"/>
          <w:b/>
          <w:sz w:val="28"/>
          <w:szCs w:val="28"/>
        </w:rPr>
        <w:tab/>
      </w:r>
      <w:r w:rsidR="009873DF" w:rsidRPr="009873DF">
        <w:rPr>
          <w:rFonts w:ascii="Arial" w:hAnsi="Arial" w:cs="Arial"/>
          <w:b/>
          <w:sz w:val="28"/>
          <w:szCs w:val="28"/>
        </w:rPr>
        <w:t>Description of the Service</w:t>
      </w:r>
    </w:p>
    <w:p w:rsidR="00A7340A" w:rsidRDefault="009873DF" w:rsidP="00A830FC">
      <w:pPr>
        <w:pStyle w:val="ListParagraph"/>
        <w:numPr>
          <w:ilvl w:val="0"/>
          <w:numId w:val="1"/>
        </w:numPr>
        <w:ind w:left="426" w:hanging="426"/>
        <w:rPr>
          <w:rFonts w:ascii="Arial" w:hAnsi="Arial" w:cs="Arial"/>
        </w:rPr>
      </w:pPr>
      <w:r>
        <w:rPr>
          <w:rFonts w:ascii="Arial" w:hAnsi="Arial" w:cs="Arial"/>
        </w:rPr>
        <w:t xml:space="preserve">The </w:t>
      </w:r>
      <w:r w:rsidR="004B337D" w:rsidRPr="004B337D">
        <w:rPr>
          <w:rFonts w:ascii="Arial" w:hAnsi="Arial" w:cs="Arial"/>
        </w:rPr>
        <w:t xml:space="preserve">Contractor </w:t>
      </w:r>
      <w:r>
        <w:rPr>
          <w:rFonts w:ascii="Arial" w:hAnsi="Arial" w:cs="Arial"/>
        </w:rPr>
        <w:t>is required to provide a pest treatment service</w:t>
      </w:r>
      <w:r w:rsidR="00A7340A">
        <w:rPr>
          <w:rFonts w:ascii="Arial" w:hAnsi="Arial" w:cs="Arial"/>
        </w:rPr>
        <w:t xml:space="preserve"> to</w:t>
      </w:r>
      <w:r w:rsidR="001A74DD">
        <w:rPr>
          <w:rFonts w:ascii="Arial" w:hAnsi="Arial" w:cs="Arial"/>
        </w:rPr>
        <w:t xml:space="preserve"> properties</w:t>
      </w:r>
      <w:r w:rsidR="00A7340A">
        <w:rPr>
          <w:rFonts w:ascii="Arial" w:hAnsi="Arial" w:cs="Arial"/>
        </w:rPr>
        <w:t xml:space="preserve"> of Magenta Living </w:t>
      </w:r>
      <w:r w:rsidR="00CC7824">
        <w:rPr>
          <w:rFonts w:ascii="Arial" w:hAnsi="Arial" w:cs="Arial"/>
        </w:rPr>
        <w:t>wh</w:t>
      </w:r>
      <w:r w:rsidR="001A74DD">
        <w:rPr>
          <w:rFonts w:ascii="Arial" w:hAnsi="Arial" w:cs="Arial"/>
        </w:rPr>
        <w:t>ich will include: all communal areas and the inside of flats, houses, bungalows, maisonettes</w:t>
      </w:r>
      <w:r w:rsidR="00A761EF">
        <w:rPr>
          <w:rFonts w:ascii="Arial" w:hAnsi="Arial" w:cs="Arial"/>
        </w:rPr>
        <w:t xml:space="preserve"> and high-rise blocks</w:t>
      </w:r>
      <w:r w:rsidR="001A74DD">
        <w:rPr>
          <w:rFonts w:ascii="Arial" w:hAnsi="Arial" w:cs="Arial"/>
        </w:rPr>
        <w:t xml:space="preserve"> located </w:t>
      </w:r>
      <w:r w:rsidR="00A7340A">
        <w:rPr>
          <w:rFonts w:ascii="Arial" w:hAnsi="Arial" w:cs="Arial"/>
        </w:rPr>
        <w:t>across Wirral, Ellesmere Port and Cheshire</w:t>
      </w:r>
      <w:r w:rsidR="00706BB1">
        <w:rPr>
          <w:rFonts w:ascii="Arial" w:hAnsi="Arial" w:cs="Arial"/>
        </w:rPr>
        <w:t>.</w:t>
      </w:r>
    </w:p>
    <w:p w:rsidR="00A7340A" w:rsidRPr="00A7340A" w:rsidRDefault="00A7340A" w:rsidP="00A830FC">
      <w:pPr>
        <w:ind w:left="426" w:hanging="426"/>
        <w:rPr>
          <w:rFonts w:ascii="Arial" w:hAnsi="Arial" w:cs="Arial"/>
        </w:rPr>
      </w:pPr>
      <w:r w:rsidRPr="00A7340A">
        <w:rPr>
          <w:rFonts w:ascii="Arial" w:hAnsi="Arial" w:cs="Arial"/>
        </w:rPr>
        <w:t xml:space="preserve"> </w:t>
      </w:r>
    </w:p>
    <w:p w:rsidR="00CC7824" w:rsidRDefault="00A7340A" w:rsidP="00CC7824">
      <w:pPr>
        <w:pStyle w:val="ListParagraph"/>
        <w:numPr>
          <w:ilvl w:val="0"/>
          <w:numId w:val="1"/>
        </w:numPr>
        <w:spacing w:after="120"/>
        <w:ind w:left="425" w:hanging="425"/>
        <w:contextualSpacing w:val="0"/>
        <w:rPr>
          <w:rFonts w:ascii="Arial" w:hAnsi="Arial" w:cs="Arial"/>
        </w:rPr>
      </w:pPr>
      <w:r w:rsidRPr="00E50F41">
        <w:rPr>
          <w:rFonts w:ascii="Arial" w:hAnsi="Arial" w:cs="Arial"/>
        </w:rPr>
        <w:t xml:space="preserve">The service will </w:t>
      </w:r>
      <w:r w:rsidR="00CC7824">
        <w:rPr>
          <w:rFonts w:ascii="Arial" w:hAnsi="Arial" w:cs="Arial"/>
        </w:rPr>
        <w:t>consist of:</w:t>
      </w:r>
    </w:p>
    <w:p w:rsidR="004B337D" w:rsidRDefault="00CC7824" w:rsidP="00CC7824">
      <w:pPr>
        <w:pStyle w:val="ListParagraph"/>
        <w:spacing w:after="120"/>
        <w:ind w:left="425" w:hanging="425"/>
        <w:contextualSpacing w:val="0"/>
        <w:rPr>
          <w:rFonts w:ascii="Arial" w:hAnsi="Arial" w:cs="Arial"/>
          <w:b/>
        </w:rPr>
      </w:pPr>
      <w:r>
        <w:rPr>
          <w:rFonts w:ascii="Arial" w:hAnsi="Arial" w:cs="Arial"/>
        </w:rPr>
        <w:t>a)</w:t>
      </w:r>
      <w:r>
        <w:rPr>
          <w:rFonts w:ascii="Arial" w:hAnsi="Arial" w:cs="Arial"/>
        </w:rPr>
        <w:tab/>
        <w:t xml:space="preserve">Responsive </w:t>
      </w:r>
      <w:r w:rsidR="00A7340A" w:rsidRPr="00E50F41">
        <w:rPr>
          <w:rFonts w:ascii="Arial" w:hAnsi="Arial" w:cs="Arial"/>
        </w:rPr>
        <w:t xml:space="preserve">pest control treatments </w:t>
      </w:r>
      <w:r w:rsidR="00E50F41" w:rsidRPr="00E50F41">
        <w:rPr>
          <w:rFonts w:ascii="Arial" w:hAnsi="Arial" w:cs="Arial"/>
        </w:rPr>
        <w:t xml:space="preserve">on a price per treatment basis, which means the adequate control of the infestation; </w:t>
      </w:r>
      <w:r w:rsidR="002F0181">
        <w:rPr>
          <w:rFonts w:ascii="Arial" w:hAnsi="Arial" w:cs="Arial"/>
        </w:rPr>
        <w:t xml:space="preserve">this </w:t>
      </w:r>
      <w:r w:rsidR="00E50F41" w:rsidRPr="00E50F41">
        <w:rPr>
          <w:rFonts w:ascii="Arial" w:hAnsi="Arial" w:cs="Arial"/>
        </w:rPr>
        <w:t xml:space="preserve">may </w:t>
      </w:r>
      <w:r w:rsidR="00355BF9">
        <w:rPr>
          <w:rFonts w:ascii="Arial" w:hAnsi="Arial" w:cs="Arial"/>
        </w:rPr>
        <w:t xml:space="preserve">require </w:t>
      </w:r>
      <w:r w:rsidR="00E50F41" w:rsidRPr="00E50F41">
        <w:rPr>
          <w:rFonts w:ascii="Arial" w:hAnsi="Arial" w:cs="Arial"/>
        </w:rPr>
        <w:t xml:space="preserve">repeat visits until the infestation is satisfactorily treated. Magenta Living expects the contractor to adequately control the </w:t>
      </w:r>
      <w:r w:rsidR="001A74DD" w:rsidRPr="00E50F41">
        <w:rPr>
          <w:rFonts w:ascii="Arial" w:hAnsi="Arial" w:cs="Arial"/>
        </w:rPr>
        <w:t>infestation.</w:t>
      </w:r>
      <w:r w:rsidR="001A74DD">
        <w:rPr>
          <w:rFonts w:ascii="Arial" w:hAnsi="Arial" w:cs="Arial"/>
        </w:rPr>
        <w:t xml:space="preserve"> </w:t>
      </w:r>
      <w:r>
        <w:rPr>
          <w:rFonts w:ascii="Arial" w:hAnsi="Arial" w:cs="Arial"/>
        </w:rPr>
        <w:t xml:space="preserve"> </w:t>
      </w:r>
      <w:r w:rsidR="00E50F41" w:rsidRPr="00CC7824">
        <w:rPr>
          <w:rFonts w:ascii="Arial" w:hAnsi="Arial" w:cs="Arial"/>
        </w:rPr>
        <w:t>The contractor is required to</w:t>
      </w:r>
      <w:r w:rsidR="00596C02" w:rsidRPr="00CC7824">
        <w:rPr>
          <w:rFonts w:ascii="Arial" w:hAnsi="Arial" w:cs="Arial"/>
        </w:rPr>
        <w:t xml:space="preserve"> carry out an assessment plus </w:t>
      </w:r>
      <w:r w:rsidR="00E16B23" w:rsidRPr="00CC7824">
        <w:rPr>
          <w:rFonts w:ascii="Arial" w:hAnsi="Arial" w:cs="Arial"/>
        </w:rPr>
        <w:t>1-</w:t>
      </w:r>
      <w:r w:rsidR="001A74DD" w:rsidRPr="00CC7824">
        <w:rPr>
          <w:rFonts w:ascii="Arial" w:hAnsi="Arial" w:cs="Arial"/>
        </w:rPr>
        <w:t>2</w:t>
      </w:r>
      <w:r w:rsidR="00E50F41" w:rsidRPr="00CC7824">
        <w:rPr>
          <w:rFonts w:ascii="Arial" w:hAnsi="Arial" w:cs="Arial"/>
        </w:rPr>
        <w:t xml:space="preserve"> </w:t>
      </w:r>
      <w:r w:rsidR="00596C02" w:rsidRPr="00CC7824">
        <w:rPr>
          <w:rFonts w:ascii="Arial" w:hAnsi="Arial" w:cs="Arial"/>
        </w:rPr>
        <w:t>treatments</w:t>
      </w:r>
      <w:r w:rsidR="00596C02">
        <w:rPr>
          <w:rFonts w:ascii="Arial" w:hAnsi="Arial" w:cs="Arial"/>
        </w:rPr>
        <w:t xml:space="preserve"> </w:t>
      </w:r>
      <w:r w:rsidR="001A74DD">
        <w:rPr>
          <w:rFonts w:ascii="Arial" w:hAnsi="Arial" w:cs="Arial"/>
        </w:rPr>
        <w:t xml:space="preserve">depending upon the severity of the problem </w:t>
      </w:r>
      <w:r w:rsidR="00E50F41">
        <w:rPr>
          <w:rFonts w:ascii="Arial" w:hAnsi="Arial" w:cs="Arial"/>
        </w:rPr>
        <w:t xml:space="preserve">when treating all rodents (includes Rats, Mice &amp; Squirrels), baiting and treatment </w:t>
      </w:r>
      <w:r w:rsidR="002F0181">
        <w:rPr>
          <w:rFonts w:ascii="Arial" w:hAnsi="Arial" w:cs="Arial"/>
        </w:rPr>
        <w:t>may be</w:t>
      </w:r>
      <w:r w:rsidR="00E50F41">
        <w:rPr>
          <w:rFonts w:ascii="Arial" w:hAnsi="Arial" w:cs="Arial"/>
        </w:rPr>
        <w:t xml:space="preserve"> required.</w:t>
      </w:r>
      <w:r w:rsidR="006E4C41">
        <w:rPr>
          <w:rFonts w:ascii="Arial" w:hAnsi="Arial" w:cs="Arial"/>
        </w:rPr>
        <w:t xml:space="preserve">  </w:t>
      </w:r>
      <w:r w:rsidR="006E4C41" w:rsidRPr="006E4C41">
        <w:rPr>
          <w:rFonts w:ascii="Arial" w:hAnsi="Arial" w:cs="Arial"/>
          <w:b/>
        </w:rPr>
        <w:t>Please check the Price Assumption worksheet within Document 3 – Price Response Document for guidance on service required</w:t>
      </w:r>
      <w:r>
        <w:rPr>
          <w:rFonts w:ascii="Arial" w:hAnsi="Arial" w:cs="Arial"/>
          <w:b/>
        </w:rPr>
        <w:t>.</w:t>
      </w:r>
    </w:p>
    <w:p w:rsidR="00CC7824" w:rsidRPr="00CC7824" w:rsidRDefault="00CC7824" w:rsidP="00CC7824">
      <w:pPr>
        <w:pStyle w:val="ListParagraph"/>
        <w:spacing w:after="120"/>
        <w:ind w:left="425" w:hanging="425"/>
        <w:rPr>
          <w:rFonts w:ascii="Arial" w:hAnsi="Arial" w:cs="Arial"/>
        </w:rPr>
      </w:pPr>
      <w:r w:rsidRPr="00CC7824">
        <w:rPr>
          <w:rFonts w:ascii="Arial" w:hAnsi="Arial" w:cs="Arial"/>
        </w:rPr>
        <w:t>b)</w:t>
      </w:r>
      <w:r w:rsidRPr="00CC7824">
        <w:rPr>
          <w:rFonts w:ascii="Arial" w:hAnsi="Arial" w:cs="Arial"/>
        </w:rPr>
        <w:tab/>
      </w:r>
      <w:r>
        <w:rPr>
          <w:rFonts w:ascii="Arial" w:hAnsi="Arial" w:cs="Arial"/>
        </w:rPr>
        <w:t>A cyclical pest control service to eight high-rise blocks owned or managed by Magenta Living.  This will consist of quarterly visits to inspect the premises, treat infestations and undertake any small proofing works (fitting vents, pointing, filling holes etc)</w:t>
      </w:r>
      <w:bookmarkStart w:id="0" w:name="_GoBack"/>
      <w:bookmarkEnd w:id="0"/>
      <w:r>
        <w:rPr>
          <w:rFonts w:ascii="Arial" w:hAnsi="Arial" w:cs="Arial"/>
        </w:rPr>
        <w:t>.</w:t>
      </w:r>
    </w:p>
    <w:p w:rsidR="004B337D" w:rsidRPr="004B337D" w:rsidRDefault="004B337D" w:rsidP="00A830FC">
      <w:pPr>
        <w:pStyle w:val="ListParagraph"/>
        <w:ind w:left="426" w:hanging="426"/>
        <w:rPr>
          <w:rFonts w:ascii="Arial" w:hAnsi="Arial" w:cs="Arial"/>
        </w:rPr>
      </w:pPr>
    </w:p>
    <w:p w:rsidR="004B337D" w:rsidRDefault="00E50F41" w:rsidP="00A830FC">
      <w:pPr>
        <w:pStyle w:val="ListParagraph"/>
        <w:numPr>
          <w:ilvl w:val="0"/>
          <w:numId w:val="1"/>
        </w:numPr>
        <w:ind w:left="426" w:hanging="426"/>
        <w:rPr>
          <w:rFonts w:ascii="Arial" w:hAnsi="Arial" w:cs="Arial"/>
        </w:rPr>
      </w:pPr>
      <w:r>
        <w:rPr>
          <w:rFonts w:ascii="Arial" w:hAnsi="Arial" w:cs="Arial"/>
        </w:rPr>
        <w:t xml:space="preserve">The contractor </w:t>
      </w:r>
      <w:r w:rsidR="002F0181">
        <w:rPr>
          <w:rFonts w:ascii="Arial" w:hAnsi="Arial" w:cs="Arial"/>
        </w:rPr>
        <w:t>shall charge Magenta Living the cost for the treatment using a price list as part of this tender</w:t>
      </w:r>
      <w:r w:rsidR="001E3695">
        <w:rPr>
          <w:rFonts w:ascii="Arial" w:hAnsi="Arial" w:cs="Arial"/>
        </w:rPr>
        <w:t>.</w:t>
      </w:r>
    </w:p>
    <w:p w:rsidR="001E3695" w:rsidRPr="001E3695" w:rsidRDefault="001E3695" w:rsidP="00A830FC">
      <w:pPr>
        <w:pStyle w:val="ListParagraph"/>
        <w:ind w:left="426" w:hanging="426"/>
        <w:rPr>
          <w:rFonts w:ascii="Arial" w:hAnsi="Arial" w:cs="Arial"/>
        </w:rPr>
      </w:pPr>
    </w:p>
    <w:p w:rsidR="001E3695" w:rsidRDefault="001E3695" w:rsidP="00A830FC">
      <w:pPr>
        <w:pStyle w:val="ListParagraph"/>
        <w:numPr>
          <w:ilvl w:val="0"/>
          <w:numId w:val="1"/>
        </w:numPr>
        <w:ind w:left="426" w:hanging="426"/>
        <w:rPr>
          <w:rFonts w:ascii="Arial" w:hAnsi="Arial" w:cs="Arial"/>
        </w:rPr>
      </w:pPr>
      <w:r>
        <w:rPr>
          <w:rFonts w:ascii="Arial" w:hAnsi="Arial" w:cs="Arial"/>
        </w:rPr>
        <w:t>The contractor shall assess and provide advice on any proofing work required</w:t>
      </w:r>
      <w:r w:rsidR="00A761EF">
        <w:rPr>
          <w:rFonts w:ascii="Arial" w:hAnsi="Arial" w:cs="Arial"/>
        </w:rPr>
        <w:t xml:space="preserve">.  </w:t>
      </w:r>
      <w:r w:rsidR="00CC7824">
        <w:rPr>
          <w:rFonts w:ascii="Arial" w:hAnsi="Arial" w:cs="Arial"/>
        </w:rPr>
        <w:t xml:space="preserve">This will include the supply and fit of vents or minor pointing and filling of brick and blockwork.  </w:t>
      </w:r>
      <w:r w:rsidR="00A761EF">
        <w:rPr>
          <w:rFonts w:ascii="Arial" w:hAnsi="Arial" w:cs="Arial"/>
        </w:rPr>
        <w:t>For minor proofing works up to a value of £</w:t>
      </w:r>
      <w:r w:rsidR="00CC7824">
        <w:rPr>
          <w:rFonts w:ascii="Arial" w:hAnsi="Arial" w:cs="Arial"/>
        </w:rPr>
        <w:t>20</w:t>
      </w:r>
      <w:r w:rsidR="00A761EF">
        <w:rPr>
          <w:rFonts w:ascii="Arial" w:hAnsi="Arial" w:cs="Arial"/>
        </w:rPr>
        <w:t>, these may be performed and invoiced for while undertaking treatment inspections and visits.  For all proofing works over a value of £</w:t>
      </w:r>
      <w:r w:rsidR="00CC7824">
        <w:rPr>
          <w:rFonts w:ascii="Arial" w:hAnsi="Arial" w:cs="Arial"/>
        </w:rPr>
        <w:t>20</w:t>
      </w:r>
      <w:r w:rsidR="00A761EF">
        <w:rPr>
          <w:rFonts w:ascii="Arial" w:hAnsi="Arial" w:cs="Arial"/>
        </w:rPr>
        <w:t xml:space="preserve">, a </w:t>
      </w:r>
      <w:r>
        <w:rPr>
          <w:rFonts w:ascii="Arial" w:hAnsi="Arial" w:cs="Arial"/>
        </w:rPr>
        <w:t xml:space="preserve">quote for this work </w:t>
      </w:r>
      <w:r w:rsidR="00A761EF">
        <w:rPr>
          <w:rFonts w:ascii="Arial" w:hAnsi="Arial" w:cs="Arial"/>
        </w:rPr>
        <w:t>should first be provided and agreement obtained before undertaking any such works.</w:t>
      </w:r>
      <w:r>
        <w:rPr>
          <w:rFonts w:ascii="Arial" w:hAnsi="Arial" w:cs="Arial"/>
        </w:rPr>
        <w:t xml:space="preserve"> Where possible photographic evidence should be supplied.</w:t>
      </w:r>
    </w:p>
    <w:p w:rsidR="00E16B23" w:rsidRPr="00E16B23" w:rsidRDefault="00E16B23" w:rsidP="00A830FC">
      <w:pPr>
        <w:pStyle w:val="ListParagraph"/>
        <w:ind w:left="426" w:hanging="426"/>
        <w:rPr>
          <w:rFonts w:ascii="Arial" w:hAnsi="Arial" w:cs="Arial"/>
        </w:rPr>
      </w:pPr>
    </w:p>
    <w:p w:rsidR="00E16B23" w:rsidRDefault="00E16B23" w:rsidP="00A830FC">
      <w:pPr>
        <w:pStyle w:val="ListParagraph"/>
        <w:numPr>
          <w:ilvl w:val="0"/>
          <w:numId w:val="1"/>
        </w:numPr>
        <w:ind w:left="426" w:hanging="426"/>
        <w:rPr>
          <w:rFonts w:ascii="Arial" w:hAnsi="Arial" w:cs="Arial"/>
        </w:rPr>
      </w:pPr>
      <w:r>
        <w:rPr>
          <w:rFonts w:ascii="Arial" w:hAnsi="Arial" w:cs="Arial"/>
        </w:rPr>
        <w:t xml:space="preserve">The contractor may be required to provide a survey of the internals to a property for proofing recommendations for a standard fee.  Any remedial work recommended should be priced separately. The client is under </w:t>
      </w:r>
      <w:r w:rsidR="00BA310C">
        <w:rPr>
          <w:rFonts w:ascii="Arial" w:hAnsi="Arial" w:cs="Arial"/>
        </w:rPr>
        <w:t>no obligation</w:t>
      </w:r>
      <w:r>
        <w:rPr>
          <w:rFonts w:ascii="Arial" w:hAnsi="Arial" w:cs="Arial"/>
        </w:rPr>
        <w:t xml:space="preserve"> to proceed with the quote provided.</w:t>
      </w:r>
    </w:p>
    <w:p w:rsidR="004B337D" w:rsidRPr="004B337D" w:rsidRDefault="004B337D" w:rsidP="004B337D">
      <w:pPr>
        <w:pStyle w:val="ListParagraph"/>
        <w:rPr>
          <w:rFonts w:ascii="Arial" w:hAnsi="Arial" w:cs="Arial"/>
        </w:rPr>
      </w:pPr>
    </w:p>
    <w:p w:rsidR="002F0181" w:rsidRDefault="002F0181" w:rsidP="00A830FC">
      <w:pPr>
        <w:pStyle w:val="ListParagraph"/>
        <w:numPr>
          <w:ilvl w:val="0"/>
          <w:numId w:val="1"/>
        </w:numPr>
        <w:ind w:left="426" w:hanging="426"/>
        <w:rPr>
          <w:rFonts w:ascii="Arial" w:hAnsi="Arial" w:cs="Arial"/>
        </w:rPr>
      </w:pPr>
      <w:r>
        <w:rPr>
          <w:rFonts w:ascii="Arial" w:hAnsi="Arial" w:cs="Arial"/>
        </w:rPr>
        <w:lastRenderedPageBreak/>
        <w:t>The contractor should provide a dedicated number and email address so Magenta Living can book appointments</w:t>
      </w:r>
    </w:p>
    <w:p w:rsidR="002F0181" w:rsidRPr="002F0181" w:rsidRDefault="002F0181" w:rsidP="00A830FC">
      <w:pPr>
        <w:pStyle w:val="ListParagraph"/>
        <w:ind w:left="426" w:hanging="426"/>
        <w:rPr>
          <w:rFonts w:ascii="Arial" w:hAnsi="Arial" w:cs="Arial"/>
        </w:rPr>
      </w:pPr>
    </w:p>
    <w:p w:rsidR="004B337D" w:rsidRDefault="002F0181" w:rsidP="00A830FC">
      <w:pPr>
        <w:pStyle w:val="ListParagraph"/>
        <w:numPr>
          <w:ilvl w:val="0"/>
          <w:numId w:val="1"/>
        </w:numPr>
        <w:ind w:left="426" w:hanging="426"/>
        <w:rPr>
          <w:rFonts w:ascii="Arial" w:hAnsi="Arial" w:cs="Arial"/>
        </w:rPr>
      </w:pPr>
      <w:r>
        <w:rPr>
          <w:rFonts w:ascii="Arial" w:hAnsi="Arial" w:cs="Arial"/>
        </w:rPr>
        <w:t xml:space="preserve">The contractor will provide all labour, materials, equipment, vehicles and any other items necessary to fulfil the requirements of this contract. The </w:t>
      </w:r>
      <w:r w:rsidR="00AB0078">
        <w:rPr>
          <w:rFonts w:ascii="Arial" w:hAnsi="Arial" w:cs="Arial"/>
        </w:rPr>
        <w:t>contractor’s</w:t>
      </w:r>
      <w:r>
        <w:rPr>
          <w:rFonts w:ascii="Arial" w:hAnsi="Arial" w:cs="Arial"/>
        </w:rPr>
        <w:t xml:space="preserve"> price for the treatment </w:t>
      </w:r>
      <w:r w:rsidR="00BA77FA">
        <w:rPr>
          <w:rFonts w:ascii="Arial" w:hAnsi="Arial" w:cs="Arial"/>
        </w:rPr>
        <w:t xml:space="preserve">shall be inclusive </w:t>
      </w:r>
      <w:r w:rsidR="00AB0078">
        <w:rPr>
          <w:rFonts w:ascii="Arial" w:hAnsi="Arial" w:cs="Arial"/>
        </w:rPr>
        <w:t>of all charges and costs.</w:t>
      </w:r>
      <w:r>
        <w:rPr>
          <w:rFonts w:ascii="Arial" w:hAnsi="Arial" w:cs="Arial"/>
        </w:rPr>
        <w:t xml:space="preserve"> </w:t>
      </w:r>
      <w:r w:rsidR="001F1341">
        <w:rPr>
          <w:rFonts w:ascii="Arial" w:hAnsi="Arial" w:cs="Arial"/>
        </w:rPr>
        <w:t xml:space="preserve"> </w:t>
      </w:r>
    </w:p>
    <w:p w:rsidR="004B337D" w:rsidRPr="004B337D" w:rsidRDefault="004B337D" w:rsidP="00A830FC">
      <w:pPr>
        <w:pStyle w:val="ListParagraph"/>
        <w:ind w:left="426" w:hanging="426"/>
        <w:rPr>
          <w:rFonts w:ascii="Arial" w:hAnsi="Arial" w:cs="Arial"/>
        </w:rPr>
      </w:pPr>
    </w:p>
    <w:p w:rsidR="00C42CF0" w:rsidRDefault="00AB0078" w:rsidP="00A830FC">
      <w:pPr>
        <w:pStyle w:val="ListParagraph"/>
        <w:numPr>
          <w:ilvl w:val="0"/>
          <w:numId w:val="1"/>
        </w:numPr>
        <w:ind w:left="426" w:hanging="426"/>
        <w:rPr>
          <w:rFonts w:ascii="Arial" w:hAnsi="Arial" w:cs="Arial"/>
        </w:rPr>
      </w:pPr>
      <w:r>
        <w:rPr>
          <w:rFonts w:ascii="Arial" w:hAnsi="Arial" w:cs="Arial"/>
        </w:rPr>
        <w:t>The contractor</w:t>
      </w:r>
      <w:r w:rsidR="00A761EF">
        <w:rPr>
          <w:rFonts w:ascii="Arial" w:hAnsi="Arial" w:cs="Arial"/>
        </w:rPr>
        <w:t>’</w:t>
      </w:r>
      <w:r>
        <w:rPr>
          <w:rFonts w:ascii="Arial" w:hAnsi="Arial" w:cs="Arial"/>
        </w:rPr>
        <w:t xml:space="preserve">s </w:t>
      </w:r>
      <w:r w:rsidR="00A761EF">
        <w:rPr>
          <w:rFonts w:ascii="Arial" w:hAnsi="Arial" w:cs="Arial"/>
        </w:rPr>
        <w:t>t</w:t>
      </w:r>
      <w:r>
        <w:rPr>
          <w:rFonts w:ascii="Arial" w:hAnsi="Arial" w:cs="Arial"/>
        </w:rPr>
        <w:t xml:space="preserve">echnicians shall be fully trained and qualified to perform pest control duties competently. They shall decide on the methods, equipments and materials that should </w:t>
      </w:r>
      <w:r w:rsidR="00C42CF0">
        <w:rPr>
          <w:rFonts w:ascii="Arial" w:hAnsi="Arial" w:cs="Arial"/>
        </w:rPr>
        <w:t>be used in a treatment with due regard for the health and safety of the service user, the public, contractors staff, any household pets or other animals.</w:t>
      </w:r>
    </w:p>
    <w:p w:rsidR="00355BF9" w:rsidRPr="00355BF9" w:rsidRDefault="00355BF9" w:rsidP="00A830FC">
      <w:pPr>
        <w:pStyle w:val="ListParagraph"/>
        <w:ind w:hanging="426"/>
        <w:rPr>
          <w:rFonts w:ascii="Arial" w:hAnsi="Arial" w:cs="Arial"/>
        </w:rPr>
      </w:pPr>
    </w:p>
    <w:p w:rsidR="00355BF9" w:rsidRDefault="00355BF9" w:rsidP="00A830FC">
      <w:pPr>
        <w:pStyle w:val="ListParagraph"/>
        <w:numPr>
          <w:ilvl w:val="0"/>
          <w:numId w:val="1"/>
        </w:numPr>
        <w:ind w:left="426" w:hanging="426"/>
        <w:rPr>
          <w:rFonts w:ascii="Arial" w:hAnsi="Arial" w:cs="Arial"/>
        </w:rPr>
      </w:pPr>
      <w:r>
        <w:rPr>
          <w:rFonts w:ascii="Arial" w:hAnsi="Arial" w:cs="Arial"/>
        </w:rPr>
        <w:t xml:space="preserve">The contractor will carry out the service in accordance with the code of practice issued by the British Pest Control Association. This includes any future changes to the code, or such guidance.   </w:t>
      </w:r>
    </w:p>
    <w:p w:rsidR="00C42CF0" w:rsidRPr="00C42CF0" w:rsidRDefault="00C42CF0" w:rsidP="00A830FC">
      <w:pPr>
        <w:pStyle w:val="ListParagraph"/>
        <w:ind w:left="426" w:hanging="426"/>
        <w:rPr>
          <w:rFonts w:ascii="Arial" w:hAnsi="Arial" w:cs="Arial"/>
        </w:rPr>
      </w:pPr>
    </w:p>
    <w:p w:rsidR="001F1341" w:rsidRDefault="00355BF9" w:rsidP="00A830FC">
      <w:pPr>
        <w:pStyle w:val="ListParagraph"/>
        <w:numPr>
          <w:ilvl w:val="0"/>
          <w:numId w:val="1"/>
        </w:numPr>
        <w:ind w:left="426" w:hanging="426"/>
        <w:rPr>
          <w:rFonts w:ascii="Arial" w:hAnsi="Arial" w:cs="Arial"/>
        </w:rPr>
      </w:pPr>
      <w:r>
        <w:rPr>
          <w:rFonts w:ascii="Arial" w:hAnsi="Arial" w:cs="Arial"/>
        </w:rPr>
        <w:t xml:space="preserve">The contractor shall provide and carry out the services in compliance with all relevant other </w:t>
      </w:r>
      <w:r w:rsidR="00BE23F6">
        <w:rPr>
          <w:rFonts w:ascii="Arial" w:hAnsi="Arial" w:cs="Arial"/>
        </w:rPr>
        <w:t xml:space="preserve">statutory requirements, including regulations, circulars and codes of practice. The contractor should carry out services in accordance with their Health &amp; </w:t>
      </w:r>
      <w:r w:rsidR="00A830FC">
        <w:rPr>
          <w:rFonts w:ascii="Arial" w:hAnsi="Arial" w:cs="Arial"/>
        </w:rPr>
        <w:t>S</w:t>
      </w:r>
      <w:r w:rsidR="00BE23F6">
        <w:rPr>
          <w:rFonts w:ascii="Arial" w:hAnsi="Arial" w:cs="Arial"/>
        </w:rPr>
        <w:t>afety Policy, risk assessments and method statements.</w:t>
      </w:r>
    </w:p>
    <w:p w:rsidR="00355BF9" w:rsidRPr="00355BF9" w:rsidRDefault="00355BF9" w:rsidP="00A830FC">
      <w:pPr>
        <w:pStyle w:val="ListParagraph"/>
        <w:ind w:left="426" w:hanging="426"/>
        <w:rPr>
          <w:rFonts w:ascii="Arial" w:hAnsi="Arial" w:cs="Arial"/>
        </w:rPr>
      </w:pPr>
    </w:p>
    <w:p w:rsidR="00355BF9" w:rsidRDefault="00355BF9" w:rsidP="00A830FC">
      <w:pPr>
        <w:pStyle w:val="ListParagraph"/>
        <w:numPr>
          <w:ilvl w:val="0"/>
          <w:numId w:val="1"/>
        </w:numPr>
        <w:ind w:left="426" w:hanging="426"/>
        <w:rPr>
          <w:rFonts w:ascii="Arial" w:hAnsi="Arial" w:cs="Arial"/>
        </w:rPr>
      </w:pPr>
      <w:r>
        <w:rPr>
          <w:rFonts w:ascii="Arial" w:hAnsi="Arial" w:cs="Arial"/>
        </w:rPr>
        <w:t xml:space="preserve">Pest Control referral numbers may fluctuate according to seasons. Fluctuations will be </w:t>
      </w:r>
      <w:proofErr w:type="gramStart"/>
      <w:r>
        <w:rPr>
          <w:rFonts w:ascii="Arial" w:hAnsi="Arial" w:cs="Arial"/>
        </w:rPr>
        <w:t>monitored</w:t>
      </w:r>
      <w:proofErr w:type="gramEnd"/>
      <w:r>
        <w:rPr>
          <w:rFonts w:ascii="Arial" w:hAnsi="Arial" w:cs="Arial"/>
        </w:rPr>
        <w:t xml:space="preserve"> and periodic higher referral levels must be catered for</w:t>
      </w:r>
      <w:r w:rsidR="00A761EF">
        <w:rPr>
          <w:rFonts w:ascii="Arial" w:hAnsi="Arial" w:cs="Arial"/>
        </w:rPr>
        <w:t>.</w:t>
      </w:r>
    </w:p>
    <w:p w:rsidR="00793A6C" w:rsidRDefault="00793A6C" w:rsidP="00793A6C">
      <w:pPr>
        <w:pStyle w:val="ListParagraph"/>
        <w:ind w:left="426"/>
        <w:rPr>
          <w:rFonts w:ascii="Arial" w:hAnsi="Arial" w:cs="Arial"/>
        </w:rPr>
      </w:pPr>
    </w:p>
    <w:p w:rsidR="00793A6C" w:rsidRPr="00793A6C" w:rsidRDefault="00793A6C" w:rsidP="00A830FC">
      <w:pPr>
        <w:pStyle w:val="ListParagraph"/>
        <w:numPr>
          <w:ilvl w:val="0"/>
          <w:numId w:val="1"/>
        </w:numPr>
        <w:ind w:left="426" w:hanging="426"/>
        <w:rPr>
          <w:rFonts w:ascii="Arial" w:hAnsi="Arial" w:cs="Arial"/>
          <w:b/>
          <w:color w:val="FF0000"/>
        </w:rPr>
      </w:pPr>
      <w:r w:rsidRPr="00793A6C">
        <w:rPr>
          <w:rFonts w:ascii="Arial" w:hAnsi="Arial" w:cs="Arial"/>
          <w:b/>
          <w:color w:val="FF0000"/>
        </w:rPr>
        <w:t xml:space="preserve">When attending tenanted properties, your approach to service delivery must be </w:t>
      </w:r>
      <w:proofErr w:type="spellStart"/>
      <w:r w:rsidRPr="00793A6C">
        <w:rPr>
          <w:rFonts w:ascii="Arial" w:hAnsi="Arial" w:cs="Arial"/>
          <w:b/>
          <w:color w:val="FF0000"/>
        </w:rPr>
        <w:t>Covid</w:t>
      </w:r>
      <w:proofErr w:type="spellEnd"/>
      <w:r w:rsidRPr="00793A6C">
        <w:rPr>
          <w:rFonts w:ascii="Arial" w:hAnsi="Arial" w:cs="Arial"/>
          <w:b/>
          <w:color w:val="FF0000"/>
        </w:rPr>
        <w:t>-Safe/</w:t>
      </w:r>
      <w:proofErr w:type="spellStart"/>
      <w:r w:rsidRPr="00793A6C">
        <w:rPr>
          <w:rFonts w:ascii="Arial" w:hAnsi="Arial" w:cs="Arial"/>
          <w:b/>
          <w:color w:val="FF0000"/>
        </w:rPr>
        <w:t>Covid</w:t>
      </w:r>
      <w:proofErr w:type="spellEnd"/>
      <w:r w:rsidRPr="00793A6C">
        <w:rPr>
          <w:rFonts w:ascii="Arial" w:hAnsi="Arial" w:cs="Arial"/>
          <w:b/>
          <w:color w:val="FF0000"/>
        </w:rPr>
        <w:t>-Secure.</w:t>
      </w:r>
    </w:p>
    <w:p w:rsidR="00BE23F6" w:rsidRDefault="00BE23F6" w:rsidP="00BE23F6">
      <w:pPr>
        <w:rPr>
          <w:rFonts w:ascii="Arial" w:hAnsi="Arial" w:cs="Arial"/>
        </w:rPr>
      </w:pPr>
    </w:p>
    <w:p w:rsidR="00BE23F6" w:rsidRDefault="00BE23F6" w:rsidP="00BE23F6">
      <w:pPr>
        <w:rPr>
          <w:rFonts w:ascii="Arial" w:hAnsi="Arial" w:cs="Arial"/>
        </w:rPr>
      </w:pPr>
    </w:p>
    <w:p w:rsidR="00BE23F6" w:rsidRDefault="00BE23F6" w:rsidP="00BE23F6">
      <w:pPr>
        <w:rPr>
          <w:rFonts w:ascii="Arial" w:hAnsi="Arial" w:cs="Arial"/>
          <w:b/>
          <w:sz w:val="28"/>
          <w:szCs w:val="28"/>
        </w:rPr>
      </w:pPr>
      <w:r w:rsidRPr="00BE23F6">
        <w:rPr>
          <w:rFonts w:ascii="Arial" w:hAnsi="Arial" w:cs="Arial"/>
          <w:b/>
          <w:sz w:val="28"/>
          <w:szCs w:val="28"/>
        </w:rPr>
        <w:t xml:space="preserve">Operating </w:t>
      </w:r>
      <w:r w:rsidR="0039467B">
        <w:rPr>
          <w:rFonts w:ascii="Arial" w:hAnsi="Arial" w:cs="Arial"/>
          <w:b/>
          <w:sz w:val="28"/>
          <w:szCs w:val="28"/>
        </w:rPr>
        <w:t>T</w:t>
      </w:r>
      <w:r w:rsidRPr="00BE23F6">
        <w:rPr>
          <w:rFonts w:ascii="Arial" w:hAnsi="Arial" w:cs="Arial"/>
          <w:b/>
          <w:sz w:val="28"/>
          <w:szCs w:val="28"/>
        </w:rPr>
        <w:t>imes</w:t>
      </w:r>
    </w:p>
    <w:p w:rsidR="00BE23F6" w:rsidRPr="00FD6963" w:rsidRDefault="00BE23F6" w:rsidP="00A830FC">
      <w:pPr>
        <w:pStyle w:val="ListParagraph"/>
        <w:ind w:left="0"/>
        <w:rPr>
          <w:rFonts w:ascii="Arial" w:hAnsi="Arial" w:cs="Arial"/>
          <w:b/>
        </w:rPr>
      </w:pPr>
      <w:r w:rsidRPr="00BE23F6">
        <w:rPr>
          <w:rFonts w:ascii="Arial" w:hAnsi="Arial" w:cs="Arial"/>
        </w:rPr>
        <w:t>The contractor should provide the ser</w:t>
      </w:r>
      <w:r>
        <w:rPr>
          <w:rFonts w:ascii="Arial" w:hAnsi="Arial" w:cs="Arial"/>
        </w:rPr>
        <w:t xml:space="preserve">vice between the hours of 08:00 and </w:t>
      </w:r>
      <w:r w:rsidR="00FD6963">
        <w:rPr>
          <w:rFonts w:ascii="Arial" w:hAnsi="Arial" w:cs="Arial"/>
        </w:rPr>
        <w:t xml:space="preserve">17:00 </w:t>
      </w:r>
      <w:r w:rsidR="00D9319C">
        <w:rPr>
          <w:rFonts w:ascii="Arial" w:hAnsi="Arial" w:cs="Arial"/>
        </w:rPr>
        <w:t>Monday to Friday except for Bank Holidays</w:t>
      </w:r>
      <w:r w:rsidR="00A830FC">
        <w:rPr>
          <w:rFonts w:ascii="Arial" w:hAnsi="Arial" w:cs="Arial"/>
        </w:rPr>
        <w:t xml:space="preserve">.  </w:t>
      </w:r>
      <w:r w:rsidR="00FD6963">
        <w:rPr>
          <w:rFonts w:ascii="Arial" w:hAnsi="Arial" w:cs="Arial"/>
        </w:rPr>
        <w:t>Treatments can be carried out at other times by agreement between Magenta Living and the contractor.</w:t>
      </w:r>
    </w:p>
    <w:p w:rsidR="00FD6963" w:rsidRDefault="00FD6963" w:rsidP="00FD6963">
      <w:pPr>
        <w:rPr>
          <w:rFonts w:ascii="Arial" w:hAnsi="Arial" w:cs="Arial"/>
          <w:b/>
        </w:rPr>
      </w:pPr>
    </w:p>
    <w:p w:rsidR="00FD6963" w:rsidRDefault="00FD6963" w:rsidP="00FD6963">
      <w:pPr>
        <w:rPr>
          <w:rFonts w:ascii="Arial" w:hAnsi="Arial" w:cs="Arial"/>
          <w:b/>
        </w:rPr>
      </w:pPr>
    </w:p>
    <w:p w:rsidR="00FD6963" w:rsidRDefault="00A761EF" w:rsidP="00A830FC">
      <w:pPr>
        <w:ind w:left="426" w:hanging="426"/>
        <w:rPr>
          <w:rFonts w:ascii="Arial" w:hAnsi="Arial" w:cs="Arial"/>
          <w:b/>
          <w:sz w:val="28"/>
          <w:szCs w:val="28"/>
        </w:rPr>
      </w:pPr>
      <w:r>
        <w:rPr>
          <w:rFonts w:ascii="Arial" w:hAnsi="Arial" w:cs="Arial"/>
          <w:b/>
          <w:sz w:val="28"/>
          <w:szCs w:val="28"/>
        </w:rPr>
        <w:tab/>
      </w:r>
      <w:r w:rsidR="00FD6963">
        <w:rPr>
          <w:rFonts w:ascii="Arial" w:hAnsi="Arial" w:cs="Arial"/>
          <w:b/>
          <w:sz w:val="28"/>
          <w:szCs w:val="28"/>
        </w:rPr>
        <w:t xml:space="preserve">Service </w:t>
      </w:r>
      <w:r w:rsidR="0039467B">
        <w:rPr>
          <w:rFonts w:ascii="Arial" w:hAnsi="Arial" w:cs="Arial"/>
          <w:b/>
          <w:sz w:val="28"/>
          <w:szCs w:val="28"/>
        </w:rPr>
        <w:t>S</w:t>
      </w:r>
      <w:r w:rsidR="00FD6963">
        <w:rPr>
          <w:rFonts w:ascii="Arial" w:hAnsi="Arial" w:cs="Arial"/>
          <w:b/>
          <w:sz w:val="28"/>
          <w:szCs w:val="28"/>
        </w:rPr>
        <w:t>tandard</w:t>
      </w:r>
    </w:p>
    <w:p w:rsidR="00FD6963" w:rsidRDefault="00FD6963" w:rsidP="00A830FC">
      <w:pPr>
        <w:pStyle w:val="ListParagraph"/>
        <w:numPr>
          <w:ilvl w:val="0"/>
          <w:numId w:val="3"/>
        </w:numPr>
        <w:ind w:left="426" w:hanging="426"/>
        <w:rPr>
          <w:rFonts w:ascii="Arial" w:hAnsi="Arial" w:cs="Arial"/>
        </w:rPr>
      </w:pPr>
      <w:r w:rsidRPr="00FD6963">
        <w:rPr>
          <w:rFonts w:ascii="Arial" w:hAnsi="Arial" w:cs="Arial"/>
        </w:rPr>
        <w:t>Magenta Living</w:t>
      </w:r>
      <w:r>
        <w:rPr>
          <w:rFonts w:ascii="Arial" w:hAnsi="Arial" w:cs="Arial"/>
        </w:rPr>
        <w:t xml:space="preserve"> expect</w:t>
      </w:r>
      <w:r w:rsidRPr="00FD6963">
        <w:rPr>
          <w:rFonts w:ascii="Arial" w:hAnsi="Arial" w:cs="Arial"/>
        </w:rPr>
        <w:t xml:space="preserve"> </w:t>
      </w:r>
      <w:r w:rsidR="00D9319C">
        <w:rPr>
          <w:rFonts w:ascii="Arial" w:hAnsi="Arial" w:cs="Arial"/>
        </w:rPr>
        <w:t xml:space="preserve">the contractor to respond to a service request within one working day </w:t>
      </w:r>
      <w:r w:rsidR="007F7C74">
        <w:rPr>
          <w:rFonts w:ascii="Arial" w:hAnsi="Arial" w:cs="Arial"/>
        </w:rPr>
        <w:t xml:space="preserve">to arrange a convenient time to either </w:t>
      </w:r>
      <w:r w:rsidR="001A74DD">
        <w:rPr>
          <w:rFonts w:ascii="Arial" w:hAnsi="Arial" w:cs="Arial"/>
        </w:rPr>
        <w:t>carry out an assessment or to arrange for a treatment.</w:t>
      </w:r>
    </w:p>
    <w:p w:rsidR="007F7C74" w:rsidRPr="007F7C74" w:rsidRDefault="007F7C74" w:rsidP="00A830FC">
      <w:pPr>
        <w:ind w:left="426" w:hanging="426"/>
        <w:rPr>
          <w:rFonts w:ascii="Arial" w:hAnsi="Arial" w:cs="Arial"/>
        </w:rPr>
      </w:pPr>
    </w:p>
    <w:p w:rsidR="003215BB" w:rsidRDefault="007F7C74" w:rsidP="00A830FC">
      <w:pPr>
        <w:pStyle w:val="ListParagraph"/>
        <w:numPr>
          <w:ilvl w:val="0"/>
          <w:numId w:val="3"/>
        </w:numPr>
        <w:ind w:left="426" w:hanging="426"/>
        <w:rPr>
          <w:rFonts w:ascii="Arial" w:hAnsi="Arial" w:cs="Arial"/>
        </w:rPr>
      </w:pPr>
      <w:r>
        <w:rPr>
          <w:rFonts w:ascii="Arial" w:hAnsi="Arial" w:cs="Arial"/>
        </w:rPr>
        <w:t xml:space="preserve">Magenta Living </w:t>
      </w:r>
      <w:r w:rsidR="002009E0">
        <w:rPr>
          <w:rFonts w:ascii="Arial" w:hAnsi="Arial" w:cs="Arial"/>
        </w:rPr>
        <w:t>expects</w:t>
      </w:r>
      <w:r>
        <w:rPr>
          <w:rFonts w:ascii="Arial" w:hAnsi="Arial" w:cs="Arial"/>
        </w:rPr>
        <w:t xml:space="preserve"> a treatment to commence within 5 working days of the initial service request</w:t>
      </w:r>
      <w:r w:rsidR="003215BB">
        <w:rPr>
          <w:rFonts w:ascii="Arial" w:hAnsi="Arial" w:cs="Arial"/>
        </w:rPr>
        <w:t>.</w:t>
      </w:r>
    </w:p>
    <w:p w:rsidR="003215BB" w:rsidRPr="003215BB" w:rsidRDefault="003215BB" w:rsidP="00A830FC">
      <w:pPr>
        <w:pStyle w:val="ListParagraph"/>
        <w:ind w:left="426" w:hanging="426"/>
        <w:rPr>
          <w:rFonts w:ascii="Arial" w:hAnsi="Arial" w:cs="Arial"/>
        </w:rPr>
      </w:pPr>
    </w:p>
    <w:p w:rsidR="003215BB" w:rsidRDefault="003215BB" w:rsidP="00A830FC">
      <w:pPr>
        <w:pStyle w:val="ListParagraph"/>
        <w:numPr>
          <w:ilvl w:val="0"/>
          <w:numId w:val="3"/>
        </w:numPr>
        <w:ind w:left="426" w:hanging="426"/>
        <w:rPr>
          <w:rFonts w:ascii="Arial" w:hAnsi="Arial" w:cs="Arial"/>
        </w:rPr>
      </w:pPr>
      <w:r>
        <w:rPr>
          <w:rFonts w:ascii="Arial" w:hAnsi="Arial" w:cs="Arial"/>
        </w:rPr>
        <w:t xml:space="preserve">The contractor shall keep adequate records of all treatments and provide </w:t>
      </w:r>
      <w:r w:rsidR="002009E0">
        <w:rPr>
          <w:rFonts w:ascii="Arial" w:hAnsi="Arial" w:cs="Arial"/>
        </w:rPr>
        <w:t xml:space="preserve">quarterly </w:t>
      </w:r>
      <w:r>
        <w:rPr>
          <w:rFonts w:ascii="Arial" w:hAnsi="Arial" w:cs="Arial"/>
        </w:rPr>
        <w:t>reports or as requested.</w:t>
      </w:r>
      <w:r w:rsidR="00E16B23">
        <w:rPr>
          <w:rFonts w:ascii="Arial" w:hAnsi="Arial" w:cs="Arial"/>
        </w:rPr>
        <w:t xml:space="preserve"> There are occasions when the client will require detailed reports from the contractor of their findings and recommendations regarding the type of pest and how to eradicate.</w:t>
      </w:r>
    </w:p>
    <w:p w:rsidR="003215BB" w:rsidRPr="003215BB" w:rsidRDefault="003215BB" w:rsidP="00A830FC">
      <w:pPr>
        <w:pStyle w:val="ListParagraph"/>
        <w:ind w:left="426" w:hanging="426"/>
        <w:rPr>
          <w:rFonts w:ascii="Arial" w:hAnsi="Arial" w:cs="Arial"/>
        </w:rPr>
      </w:pPr>
    </w:p>
    <w:p w:rsidR="0039467B" w:rsidRDefault="003215BB" w:rsidP="00A830FC">
      <w:pPr>
        <w:pStyle w:val="ListParagraph"/>
        <w:numPr>
          <w:ilvl w:val="0"/>
          <w:numId w:val="3"/>
        </w:numPr>
        <w:ind w:left="426" w:hanging="426"/>
        <w:rPr>
          <w:rFonts w:ascii="Arial" w:hAnsi="Arial" w:cs="Arial"/>
        </w:rPr>
      </w:pPr>
      <w:r>
        <w:rPr>
          <w:rFonts w:ascii="Arial" w:hAnsi="Arial" w:cs="Arial"/>
        </w:rPr>
        <w:t xml:space="preserve">At the end of each treatment, in the case of rodents, all baiting kits and any remaining pesticides shall be removed from the location. The storage, use and </w:t>
      </w:r>
      <w:r>
        <w:rPr>
          <w:rFonts w:ascii="Arial" w:hAnsi="Arial" w:cs="Arial"/>
        </w:rPr>
        <w:lastRenderedPageBreak/>
        <w:t xml:space="preserve">disposal of pesticides, together with the disposal of the </w:t>
      </w:r>
      <w:r w:rsidR="0039467B">
        <w:rPr>
          <w:rFonts w:ascii="Arial" w:hAnsi="Arial" w:cs="Arial"/>
        </w:rPr>
        <w:t>pests shall all be undertaken in accordance with current legislation and relevant Codes of Practice.</w:t>
      </w:r>
    </w:p>
    <w:p w:rsidR="0039467B" w:rsidRPr="0039467B" w:rsidRDefault="0039467B" w:rsidP="00A830FC">
      <w:pPr>
        <w:pStyle w:val="ListParagraph"/>
        <w:ind w:left="426" w:hanging="426"/>
        <w:rPr>
          <w:rFonts w:ascii="Arial" w:hAnsi="Arial" w:cs="Arial"/>
        </w:rPr>
      </w:pPr>
    </w:p>
    <w:p w:rsidR="0039467B" w:rsidRDefault="0039467B" w:rsidP="00A830FC">
      <w:pPr>
        <w:pStyle w:val="ListParagraph"/>
        <w:numPr>
          <w:ilvl w:val="0"/>
          <w:numId w:val="3"/>
        </w:numPr>
        <w:ind w:left="426" w:hanging="426"/>
        <w:rPr>
          <w:rFonts w:ascii="Arial" w:hAnsi="Arial" w:cs="Arial"/>
        </w:rPr>
      </w:pPr>
      <w:r>
        <w:rPr>
          <w:rFonts w:ascii="Arial" w:hAnsi="Arial" w:cs="Arial"/>
        </w:rPr>
        <w:t xml:space="preserve">The </w:t>
      </w:r>
      <w:r w:rsidR="00D05CE1">
        <w:rPr>
          <w:rFonts w:ascii="Arial" w:hAnsi="Arial" w:cs="Arial"/>
        </w:rPr>
        <w:t>c</w:t>
      </w:r>
      <w:r w:rsidR="005A377D">
        <w:rPr>
          <w:rFonts w:ascii="Arial" w:hAnsi="Arial" w:cs="Arial"/>
        </w:rPr>
        <w:t>ontractors shall have a professional</w:t>
      </w:r>
      <w:r>
        <w:rPr>
          <w:rFonts w:ascii="Arial" w:hAnsi="Arial" w:cs="Arial"/>
        </w:rPr>
        <w:t xml:space="preserve"> appearance and wear clothing that is appropriate for the service provided and should wear ID badges at all times.</w:t>
      </w:r>
    </w:p>
    <w:p w:rsidR="0039467B" w:rsidRPr="0039467B" w:rsidRDefault="0039467B" w:rsidP="00A830FC">
      <w:pPr>
        <w:pStyle w:val="ListParagraph"/>
        <w:ind w:left="426" w:hanging="426"/>
        <w:rPr>
          <w:rFonts w:ascii="Arial" w:hAnsi="Arial" w:cs="Arial"/>
        </w:rPr>
      </w:pPr>
    </w:p>
    <w:p w:rsidR="002009E0" w:rsidRDefault="00D05CE1" w:rsidP="00A830FC">
      <w:pPr>
        <w:pStyle w:val="ListParagraph"/>
        <w:numPr>
          <w:ilvl w:val="0"/>
          <w:numId w:val="3"/>
        </w:numPr>
        <w:ind w:left="426" w:hanging="426"/>
        <w:rPr>
          <w:rFonts w:ascii="Arial" w:hAnsi="Arial" w:cs="Arial"/>
        </w:rPr>
      </w:pPr>
      <w:r w:rsidRPr="00D05CE1">
        <w:rPr>
          <w:rFonts w:ascii="Arial" w:hAnsi="Arial" w:cs="Arial"/>
        </w:rPr>
        <w:t xml:space="preserve">The contractor will be required to cooperate in </w:t>
      </w:r>
      <w:r>
        <w:rPr>
          <w:rFonts w:ascii="Arial" w:hAnsi="Arial" w:cs="Arial"/>
        </w:rPr>
        <w:t xml:space="preserve">all </w:t>
      </w:r>
      <w:r w:rsidRPr="00D05CE1">
        <w:rPr>
          <w:rFonts w:ascii="Arial" w:hAnsi="Arial" w:cs="Arial"/>
        </w:rPr>
        <w:t>cases of service complaint</w:t>
      </w:r>
      <w:r>
        <w:rPr>
          <w:rFonts w:ascii="Arial" w:hAnsi="Arial" w:cs="Arial"/>
        </w:rPr>
        <w:t>. The contractor will be required to attend site meetings held to resolve service complaints at no cost to Magenta Living.</w:t>
      </w:r>
    </w:p>
    <w:p w:rsidR="00890EFA" w:rsidRDefault="00890EFA" w:rsidP="00890EFA">
      <w:pPr>
        <w:pStyle w:val="ListParagraph"/>
        <w:ind w:left="426"/>
        <w:rPr>
          <w:rFonts w:ascii="Arial" w:hAnsi="Arial" w:cs="Arial"/>
        </w:rPr>
      </w:pPr>
    </w:p>
    <w:p w:rsidR="002009E0" w:rsidRPr="002009E0" w:rsidRDefault="002009E0" w:rsidP="002009E0">
      <w:pPr>
        <w:pStyle w:val="ListParagraph"/>
        <w:rPr>
          <w:rFonts w:ascii="Arial" w:hAnsi="Arial" w:cs="Arial"/>
        </w:rPr>
      </w:pPr>
    </w:p>
    <w:p w:rsidR="0039467B" w:rsidRPr="002009E0" w:rsidRDefault="002009E0" w:rsidP="00890EFA">
      <w:pPr>
        <w:keepNext/>
        <w:rPr>
          <w:rFonts w:ascii="Arial" w:hAnsi="Arial" w:cs="Arial"/>
          <w:b/>
          <w:sz w:val="32"/>
          <w:szCs w:val="32"/>
        </w:rPr>
      </w:pPr>
      <w:r w:rsidRPr="002009E0">
        <w:rPr>
          <w:rFonts w:ascii="Arial" w:hAnsi="Arial" w:cs="Arial"/>
          <w:b/>
          <w:sz w:val="32"/>
          <w:szCs w:val="32"/>
        </w:rPr>
        <w:t xml:space="preserve">Key </w:t>
      </w:r>
      <w:r w:rsidR="00A830FC" w:rsidRPr="002009E0">
        <w:rPr>
          <w:rFonts w:ascii="Arial" w:hAnsi="Arial" w:cs="Arial"/>
          <w:b/>
          <w:sz w:val="32"/>
          <w:szCs w:val="32"/>
        </w:rPr>
        <w:t xml:space="preserve">Performance Indicators  </w:t>
      </w:r>
    </w:p>
    <w:p w:rsidR="002009E0" w:rsidRPr="002009E0" w:rsidRDefault="002009E0" w:rsidP="007E79C2">
      <w:pPr>
        <w:pStyle w:val="ListParagraph"/>
        <w:ind w:left="765"/>
        <w:rPr>
          <w:rFonts w:ascii="Arial" w:hAnsi="Arial" w:cs="Arial"/>
        </w:rPr>
      </w:pPr>
    </w:p>
    <w:tbl>
      <w:tblPr>
        <w:tblStyle w:val="TableGrid"/>
        <w:tblW w:w="0" w:type="auto"/>
        <w:tblLook w:val="04A0" w:firstRow="1" w:lastRow="0" w:firstColumn="1" w:lastColumn="0" w:noHBand="0" w:noVBand="1"/>
      </w:tblPr>
      <w:tblGrid>
        <w:gridCol w:w="5216"/>
        <w:gridCol w:w="1984"/>
        <w:gridCol w:w="1644"/>
      </w:tblGrid>
      <w:tr w:rsidR="00890EFA" w:rsidTr="00890EFA">
        <w:tc>
          <w:tcPr>
            <w:tcW w:w="5216" w:type="dxa"/>
          </w:tcPr>
          <w:p w:rsidR="002009E0" w:rsidRPr="002009E0" w:rsidRDefault="002009E0" w:rsidP="00890EFA">
            <w:pPr>
              <w:spacing w:before="120" w:after="120"/>
              <w:rPr>
                <w:rFonts w:ascii="Arial" w:hAnsi="Arial" w:cs="Arial"/>
                <w:b/>
              </w:rPr>
            </w:pPr>
            <w:r w:rsidRPr="002009E0">
              <w:rPr>
                <w:rFonts w:ascii="Arial" w:hAnsi="Arial" w:cs="Arial"/>
                <w:b/>
              </w:rPr>
              <w:t>KPI</w:t>
            </w:r>
          </w:p>
        </w:tc>
        <w:tc>
          <w:tcPr>
            <w:tcW w:w="1984" w:type="dxa"/>
            <w:vAlign w:val="center"/>
          </w:tcPr>
          <w:p w:rsidR="002009E0" w:rsidRPr="00A830FC" w:rsidRDefault="00A830FC" w:rsidP="00890EFA">
            <w:pPr>
              <w:spacing w:before="120" w:after="120"/>
              <w:jc w:val="center"/>
              <w:rPr>
                <w:rFonts w:ascii="Arial" w:hAnsi="Arial" w:cs="Arial"/>
                <w:b/>
              </w:rPr>
            </w:pPr>
            <w:r w:rsidRPr="00A830FC">
              <w:rPr>
                <w:rFonts w:ascii="Arial" w:hAnsi="Arial" w:cs="Arial"/>
                <w:b/>
              </w:rPr>
              <w:t>Measure</w:t>
            </w:r>
          </w:p>
        </w:tc>
        <w:tc>
          <w:tcPr>
            <w:tcW w:w="1644" w:type="dxa"/>
            <w:vAlign w:val="center"/>
          </w:tcPr>
          <w:p w:rsidR="002009E0" w:rsidRPr="002009E0" w:rsidRDefault="002009E0" w:rsidP="00890EFA">
            <w:pPr>
              <w:spacing w:before="120" w:after="120"/>
              <w:jc w:val="center"/>
              <w:rPr>
                <w:rFonts w:ascii="Arial" w:hAnsi="Arial" w:cs="Arial"/>
                <w:b/>
              </w:rPr>
            </w:pPr>
            <w:r w:rsidRPr="002009E0">
              <w:rPr>
                <w:rFonts w:ascii="Arial" w:hAnsi="Arial" w:cs="Arial"/>
                <w:b/>
              </w:rPr>
              <w:t>Target</w:t>
            </w:r>
          </w:p>
        </w:tc>
      </w:tr>
      <w:tr w:rsidR="00890EFA" w:rsidTr="00890EFA">
        <w:tc>
          <w:tcPr>
            <w:tcW w:w="5216" w:type="dxa"/>
          </w:tcPr>
          <w:p w:rsidR="002009E0" w:rsidRPr="00A830FC" w:rsidRDefault="002009E0" w:rsidP="00890EFA">
            <w:pPr>
              <w:spacing w:before="120" w:after="120"/>
              <w:rPr>
                <w:rFonts w:ascii="Arial" w:hAnsi="Arial" w:cs="Arial"/>
                <w:sz w:val="20"/>
                <w:szCs w:val="20"/>
              </w:rPr>
            </w:pPr>
            <w:r w:rsidRPr="00A830FC">
              <w:rPr>
                <w:rFonts w:ascii="Arial" w:hAnsi="Arial" w:cs="Arial"/>
                <w:sz w:val="20"/>
                <w:szCs w:val="20"/>
              </w:rPr>
              <w:t xml:space="preserve">Time Service </w:t>
            </w:r>
            <w:r w:rsidR="00A830FC">
              <w:rPr>
                <w:rFonts w:ascii="Arial" w:hAnsi="Arial" w:cs="Arial"/>
                <w:sz w:val="20"/>
                <w:szCs w:val="20"/>
              </w:rPr>
              <w:t>U</w:t>
            </w:r>
            <w:r w:rsidRPr="00A830FC">
              <w:rPr>
                <w:rFonts w:ascii="Arial" w:hAnsi="Arial" w:cs="Arial"/>
                <w:sz w:val="20"/>
                <w:szCs w:val="20"/>
              </w:rPr>
              <w:t xml:space="preserve">ser </w:t>
            </w:r>
            <w:r w:rsidR="00A830FC">
              <w:rPr>
                <w:rFonts w:ascii="Arial" w:hAnsi="Arial" w:cs="Arial"/>
                <w:sz w:val="20"/>
                <w:szCs w:val="20"/>
              </w:rPr>
              <w:t>C</w:t>
            </w:r>
            <w:r w:rsidRPr="00A830FC">
              <w:rPr>
                <w:rFonts w:ascii="Arial" w:hAnsi="Arial" w:cs="Arial"/>
                <w:sz w:val="20"/>
                <w:szCs w:val="20"/>
              </w:rPr>
              <w:t>ontacted after service request</w:t>
            </w:r>
          </w:p>
        </w:tc>
        <w:tc>
          <w:tcPr>
            <w:tcW w:w="1984" w:type="dxa"/>
            <w:vAlign w:val="center"/>
          </w:tcPr>
          <w:p w:rsidR="002009E0" w:rsidRPr="00A830FC" w:rsidRDefault="00A830FC" w:rsidP="00890EFA">
            <w:pPr>
              <w:spacing w:before="120" w:after="120"/>
              <w:jc w:val="center"/>
              <w:rPr>
                <w:rFonts w:ascii="Arial" w:hAnsi="Arial" w:cs="Arial"/>
                <w:sz w:val="20"/>
                <w:szCs w:val="20"/>
              </w:rPr>
            </w:pPr>
            <w:r>
              <w:rPr>
                <w:rFonts w:ascii="Arial" w:hAnsi="Arial" w:cs="Arial"/>
                <w:sz w:val="20"/>
                <w:szCs w:val="20"/>
              </w:rPr>
              <w:t>&gt;</w:t>
            </w:r>
            <w:r w:rsidR="002009E0" w:rsidRPr="00A830FC">
              <w:rPr>
                <w:rFonts w:ascii="Arial" w:hAnsi="Arial" w:cs="Arial"/>
                <w:sz w:val="20"/>
                <w:szCs w:val="20"/>
              </w:rPr>
              <w:t>1 working day</w:t>
            </w:r>
          </w:p>
        </w:tc>
        <w:tc>
          <w:tcPr>
            <w:tcW w:w="1644" w:type="dxa"/>
            <w:vAlign w:val="center"/>
          </w:tcPr>
          <w:p w:rsidR="002009E0" w:rsidRPr="00A830FC" w:rsidRDefault="002009E0" w:rsidP="00890EFA">
            <w:pPr>
              <w:spacing w:before="120" w:after="120"/>
              <w:jc w:val="center"/>
              <w:rPr>
                <w:rFonts w:ascii="Arial" w:hAnsi="Arial" w:cs="Arial"/>
                <w:sz w:val="20"/>
                <w:szCs w:val="20"/>
              </w:rPr>
            </w:pPr>
            <w:r w:rsidRPr="00A830FC">
              <w:rPr>
                <w:rFonts w:ascii="Arial" w:hAnsi="Arial" w:cs="Arial"/>
                <w:sz w:val="20"/>
                <w:szCs w:val="20"/>
              </w:rPr>
              <w:t>95%</w:t>
            </w:r>
          </w:p>
        </w:tc>
      </w:tr>
      <w:tr w:rsidR="00890EFA" w:rsidTr="00890EFA">
        <w:tc>
          <w:tcPr>
            <w:tcW w:w="5216" w:type="dxa"/>
          </w:tcPr>
          <w:p w:rsidR="002009E0" w:rsidRPr="00A830FC" w:rsidRDefault="002009E0" w:rsidP="00890EFA">
            <w:pPr>
              <w:spacing w:before="120" w:after="120"/>
              <w:rPr>
                <w:rFonts w:ascii="Arial" w:hAnsi="Arial" w:cs="Arial"/>
                <w:sz w:val="20"/>
                <w:szCs w:val="20"/>
              </w:rPr>
            </w:pPr>
            <w:r w:rsidRPr="00A830FC">
              <w:rPr>
                <w:rFonts w:ascii="Arial" w:hAnsi="Arial" w:cs="Arial"/>
                <w:sz w:val="20"/>
                <w:szCs w:val="20"/>
              </w:rPr>
              <w:t xml:space="preserve">Time taken to </w:t>
            </w:r>
            <w:r w:rsidR="00A830FC">
              <w:rPr>
                <w:rFonts w:ascii="Arial" w:hAnsi="Arial" w:cs="Arial"/>
                <w:sz w:val="20"/>
                <w:szCs w:val="20"/>
              </w:rPr>
              <w:t>I</w:t>
            </w:r>
            <w:r w:rsidRPr="00A830FC">
              <w:rPr>
                <w:rFonts w:ascii="Arial" w:hAnsi="Arial" w:cs="Arial"/>
                <w:sz w:val="20"/>
                <w:szCs w:val="20"/>
              </w:rPr>
              <w:t xml:space="preserve">nitiate </w:t>
            </w:r>
            <w:r w:rsidR="00A830FC">
              <w:rPr>
                <w:rFonts w:ascii="Arial" w:hAnsi="Arial" w:cs="Arial"/>
                <w:sz w:val="20"/>
                <w:szCs w:val="20"/>
              </w:rPr>
              <w:t>T</w:t>
            </w:r>
            <w:r w:rsidRPr="00A830FC">
              <w:rPr>
                <w:rFonts w:ascii="Arial" w:hAnsi="Arial" w:cs="Arial"/>
                <w:sz w:val="20"/>
                <w:szCs w:val="20"/>
              </w:rPr>
              <w:t>reatment</w:t>
            </w:r>
          </w:p>
        </w:tc>
        <w:tc>
          <w:tcPr>
            <w:tcW w:w="1984" w:type="dxa"/>
            <w:vAlign w:val="center"/>
          </w:tcPr>
          <w:p w:rsidR="002009E0" w:rsidRPr="00A830FC" w:rsidRDefault="00A830FC" w:rsidP="00890EFA">
            <w:pPr>
              <w:spacing w:before="120" w:after="120"/>
              <w:jc w:val="center"/>
              <w:rPr>
                <w:rFonts w:ascii="Arial" w:hAnsi="Arial" w:cs="Arial"/>
                <w:sz w:val="20"/>
                <w:szCs w:val="20"/>
              </w:rPr>
            </w:pPr>
            <w:r>
              <w:rPr>
                <w:rFonts w:ascii="Arial" w:hAnsi="Arial" w:cs="Arial"/>
                <w:sz w:val="20"/>
                <w:szCs w:val="20"/>
              </w:rPr>
              <w:t>&gt;</w:t>
            </w:r>
            <w:r w:rsidR="002009E0" w:rsidRPr="00A830FC">
              <w:rPr>
                <w:rFonts w:ascii="Arial" w:hAnsi="Arial" w:cs="Arial"/>
                <w:sz w:val="20"/>
                <w:szCs w:val="20"/>
              </w:rPr>
              <w:t>5 working days</w:t>
            </w:r>
          </w:p>
        </w:tc>
        <w:tc>
          <w:tcPr>
            <w:tcW w:w="1644" w:type="dxa"/>
            <w:vAlign w:val="center"/>
          </w:tcPr>
          <w:p w:rsidR="002009E0" w:rsidRPr="00A830FC" w:rsidRDefault="002009E0" w:rsidP="00890EFA">
            <w:pPr>
              <w:spacing w:before="120" w:after="120"/>
              <w:jc w:val="center"/>
              <w:rPr>
                <w:rFonts w:ascii="Arial" w:hAnsi="Arial" w:cs="Arial"/>
                <w:sz w:val="20"/>
                <w:szCs w:val="20"/>
              </w:rPr>
            </w:pPr>
            <w:r w:rsidRPr="00A830FC">
              <w:rPr>
                <w:rFonts w:ascii="Arial" w:hAnsi="Arial" w:cs="Arial"/>
                <w:sz w:val="20"/>
                <w:szCs w:val="20"/>
              </w:rPr>
              <w:t>95%</w:t>
            </w:r>
          </w:p>
        </w:tc>
      </w:tr>
      <w:tr w:rsidR="00890EFA" w:rsidTr="00890EFA">
        <w:tc>
          <w:tcPr>
            <w:tcW w:w="5216" w:type="dxa"/>
          </w:tcPr>
          <w:p w:rsidR="00E16B23" w:rsidRPr="00A830FC" w:rsidRDefault="00E16B23" w:rsidP="00890EFA">
            <w:pPr>
              <w:spacing w:before="120" w:after="120"/>
              <w:rPr>
                <w:rFonts w:ascii="Arial" w:hAnsi="Arial" w:cs="Arial"/>
                <w:sz w:val="20"/>
                <w:szCs w:val="20"/>
              </w:rPr>
            </w:pPr>
            <w:r w:rsidRPr="00A830FC">
              <w:rPr>
                <w:rFonts w:ascii="Arial" w:hAnsi="Arial" w:cs="Arial"/>
                <w:sz w:val="20"/>
                <w:szCs w:val="20"/>
              </w:rPr>
              <w:t>Customer Satisfaction upon completion of work</w:t>
            </w:r>
          </w:p>
        </w:tc>
        <w:tc>
          <w:tcPr>
            <w:tcW w:w="1984" w:type="dxa"/>
            <w:vAlign w:val="center"/>
          </w:tcPr>
          <w:p w:rsidR="00E16B23" w:rsidRPr="00A830FC" w:rsidRDefault="00E16B23" w:rsidP="00890EFA">
            <w:pPr>
              <w:spacing w:before="120" w:after="120"/>
              <w:jc w:val="center"/>
              <w:rPr>
                <w:rFonts w:ascii="Arial" w:hAnsi="Arial" w:cs="Arial"/>
                <w:sz w:val="20"/>
                <w:szCs w:val="20"/>
              </w:rPr>
            </w:pPr>
          </w:p>
        </w:tc>
        <w:tc>
          <w:tcPr>
            <w:tcW w:w="1644" w:type="dxa"/>
            <w:vAlign w:val="center"/>
          </w:tcPr>
          <w:p w:rsidR="00E16B23" w:rsidRPr="00A830FC" w:rsidRDefault="00E16B23" w:rsidP="00890EFA">
            <w:pPr>
              <w:spacing w:before="120" w:after="120"/>
              <w:jc w:val="center"/>
              <w:rPr>
                <w:rFonts w:ascii="Arial" w:hAnsi="Arial" w:cs="Arial"/>
                <w:sz w:val="20"/>
                <w:szCs w:val="20"/>
              </w:rPr>
            </w:pPr>
            <w:r w:rsidRPr="00A830FC">
              <w:rPr>
                <w:rFonts w:ascii="Arial" w:hAnsi="Arial" w:cs="Arial"/>
                <w:sz w:val="20"/>
                <w:szCs w:val="20"/>
              </w:rPr>
              <w:t>98%</w:t>
            </w:r>
          </w:p>
        </w:tc>
      </w:tr>
    </w:tbl>
    <w:p w:rsidR="00175516" w:rsidRDefault="00175516" w:rsidP="00A830FC">
      <w:pPr>
        <w:rPr>
          <w:rFonts w:ascii="Arial" w:hAnsi="Arial" w:cs="Arial"/>
        </w:rPr>
      </w:pPr>
    </w:p>
    <w:p w:rsidR="0039467B" w:rsidRDefault="002009E0" w:rsidP="00A830FC">
      <w:pPr>
        <w:rPr>
          <w:rFonts w:ascii="Arial" w:hAnsi="Arial" w:cs="Arial"/>
        </w:rPr>
      </w:pPr>
      <w:r w:rsidRPr="00B44374">
        <w:rPr>
          <w:rFonts w:ascii="Arial" w:hAnsi="Arial" w:cs="Arial"/>
        </w:rPr>
        <w:t>The contractor shall provide performance data including the KPI targets as above.</w:t>
      </w:r>
    </w:p>
    <w:p w:rsidR="00175516" w:rsidRDefault="00175516" w:rsidP="00B44374">
      <w:pPr>
        <w:ind w:left="765"/>
        <w:rPr>
          <w:rFonts w:ascii="Arial" w:hAnsi="Arial" w:cs="Arial"/>
        </w:rPr>
      </w:pPr>
    </w:p>
    <w:p w:rsidR="00890EFA" w:rsidRPr="00B44374" w:rsidRDefault="00890EFA" w:rsidP="00B44374">
      <w:pPr>
        <w:ind w:left="765"/>
        <w:rPr>
          <w:rFonts w:ascii="Arial" w:hAnsi="Arial" w:cs="Arial"/>
        </w:rPr>
      </w:pPr>
    </w:p>
    <w:p w:rsidR="0039467B" w:rsidRDefault="0039467B" w:rsidP="00890EFA">
      <w:pPr>
        <w:rPr>
          <w:rFonts w:ascii="Arial" w:hAnsi="Arial" w:cs="Arial"/>
          <w:b/>
          <w:sz w:val="32"/>
          <w:szCs w:val="32"/>
        </w:rPr>
      </w:pPr>
      <w:r w:rsidRPr="0039467B">
        <w:rPr>
          <w:rFonts w:ascii="Arial" w:hAnsi="Arial" w:cs="Arial"/>
          <w:b/>
          <w:sz w:val="32"/>
          <w:szCs w:val="32"/>
        </w:rPr>
        <w:t xml:space="preserve">Risk </w:t>
      </w:r>
      <w:r>
        <w:rPr>
          <w:rFonts w:ascii="Arial" w:hAnsi="Arial" w:cs="Arial"/>
          <w:b/>
          <w:sz w:val="32"/>
          <w:szCs w:val="32"/>
        </w:rPr>
        <w:t>A</w:t>
      </w:r>
      <w:r w:rsidRPr="0039467B">
        <w:rPr>
          <w:rFonts w:ascii="Arial" w:hAnsi="Arial" w:cs="Arial"/>
          <w:b/>
          <w:sz w:val="32"/>
          <w:szCs w:val="32"/>
        </w:rPr>
        <w:t>ssessments</w:t>
      </w:r>
    </w:p>
    <w:p w:rsidR="003215BB" w:rsidRDefault="0039467B" w:rsidP="00890EFA">
      <w:pPr>
        <w:rPr>
          <w:rFonts w:ascii="Arial" w:hAnsi="Arial" w:cs="Arial"/>
        </w:rPr>
      </w:pPr>
      <w:r w:rsidRPr="0039467B">
        <w:rPr>
          <w:rFonts w:ascii="Arial" w:hAnsi="Arial" w:cs="Arial"/>
        </w:rPr>
        <w:t xml:space="preserve">Risk </w:t>
      </w:r>
      <w:r w:rsidR="00890EFA">
        <w:rPr>
          <w:rFonts w:ascii="Arial" w:hAnsi="Arial" w:cs="Arial"/>
        </w:rPr>
        <w:t>A</w:t>
      </w:r>
      <w:r w:rsidRPr="0039467B">
        <w:rPr>
          <w:rFonts w:ascii="Arial" w:hAnsi="Arial" w:cs="Arial"/>
        </w:rPr>
        <w:t xml:space="preserve">ssessments </w:t>
      </w:r>
      <w:r>
        <w:rPr>
          <w:rFonts w:ascii="Arial" w:hAnsi="Arial" w:cs="Arial"/>
        </w:rPr>
        <w:t xml:space="preserve">must be completed before the contractor undertakes any </w:t>
      </w:r>
      <w:r w:rsidR="00890EFA">
        <w:rPr>
          <w:rFonts w:ascii="Arial" w:hAnsi="Arial" w:cs="Arial"/>
        </w:rPr>
        <w:t>t</w:t>
      </w:r>
      <w:r>
        <w:rPr>
          <w:rFonts w:ascii="Arial" w:hAnsi="Arial" w:cs="Arial"/>
        </w:rPr>
        <w:t>reatment. The Contractors Operative must have regard for the outcome of the risk assessment before commencing the work.</w:t>
      </w:r>
      <w:r w:rsidR="00890EFA">
        <w:rPr>
          <w:rFonts w:ascii="Arial" w:hAnsi="Arial" w:cs="Arial"/>
        </w:rPr>
        <w:t xml:space="preserve">  </w:t>
      </w:r>
      <w:r w:rsidRPr="00890EFA">
        <w:rPr>
          <w:rFonts w:ascii="Arial" w:hAnsi="Arial" w:cs="Arial"/>
          <w:b/>
          <w:color w:val="FF0000"/>
        </w:rPr>
        <w:t>The contractor shall provide a COSHH assessment for pesticides and rodent treatments used.</w:t>
      </w:r>
    </w:p>
    <w:p w:rsidR="00175516" w:rsidRPr="00175516" w:rsidRDefault="00175516" w:rsidP="00175516">
      <w:pPr>
        <w:rPr>
          <w:rFonts w:ascii="Arial" w:hAnsi="Arial" w:cs="Arial"/>
        </w:rPr>
      </w:pPr>
    </w:p>
    <w:tbl>
      <w:tblPr>
        <w:tblStyle w:val="TableGrid"/>
        <w:tblW w:w="9215" w:type="dxa"/>
        <w:jc w:val="center"/>
        <w:tblLook w:val="04A0" w:firstRow="1" w:lastRow="0" w:firstColumn="1" w:lastColumn="0" w:noHBand="0" w:noVBand="1"/>
      </w:tblPr>
      <w:tblGrid>
        <w:gridCol w:w="3827"/>
        <w:gridCol w:w="2553"/>
        <w:gridCol w:w="2835"/>
      </w:tblGrid>
      <w:tr w:rsidR="00EB20EE" w:rsidTr="00890EFA">
        <w:trPr>
          <w:jc w:val="center"/>
        </w:trPr>
        <w:tc>
          <w:tcPr>
            <w:tcW w:w="9215" w:type="dxa"/>
            <w:gridSpan w:val="3"/>
          </w:tcPr>
          <w:p w:rsidR="00EB20EE" w:rsidRPr="00EB20EE" w:rsidRDefault="00EB20EE" w:rsidP="00890EFA">
            <w:pPr>
              <w:pStyle w:val="ListParagraph"/>
              <w:ind w:left="0"/>
              <w:rPr>
                <w:rFonts w:ascii="Arial" w:hAnsi="Arial" w:cs="Arial"/>
                <w:b/>
                <w:sz w:val="32"/>
                <w:szCs w:val="32"/>
              </w:rPr>
            </w:pPr>
            <w:r w:rsidRPr="00EB20EE">
              <w:rPr>
                <w:rFonts w:ascii="Arial" w:hAnsi="Arial" w:cs="Arial"/>
                <w:b/>
                <w:sz w:val="32"/>
                <w:szCs w:val="32"/>
              </w:rPr>
              <w:t>PESTS TO BE INCLUDED IN THIS SERVICE</w:t>
            </w:r>
          </w:p>
        </w:tc>
      </w:tr>
      <w:tr w:rsidR="00EB20EE" w:rsidTr="00890EFA">
        <w:trPr>
          <w:jc w:val="center"/>
        </w:trPr>
        <w:tc>
          <w:tcPr>
            <w:tcW w:w="9215" w:type="dxa"/>
            <w:gridSpan w:val="3"/>
          </w:tcPr>
          <w:p w:rsidR="00EB20EE" w:rsidRDefault="00EB20EE" w:rsidP="001A74DD">
            <w:pPr>
              <w:pStyle w:val="ListParagraph"/>
              <w:ind w:left="0"/>
              <w:rPr>
                <w:rFonts w:ascii="Arial" w:hAnsi="Arial" w:cs="Arial"/>
              </w:rPr>
            </w:pPr>
            <w:r>
              <w:rPr>
                <w:rFonts w:ascii="Arial" w:hAnsi="Arial" w:cs="Arial"/>
              </w:rPr>
              <w:t xml:space="preserve">Rodents (includes Rats &amp; Mice) </w:t>
            </w:r>
          </w:p>
        </w:tc>
      </w:tr>
      <w:tr w:rsidR="00EB20EE" w:rsidTr="00890EFA">
        <w:trPr>
          <w:jc w:val="center"/>
        </w:trPr>
        <w:tc>
          <w:tcPr>
            <w:tcW w:w="9215" w:type="dxa"/>
            <w:gridSpan w:val="3"/>
          </w:tcPr>
          <w:p w:rsidR="00EB20EE" w:rsidRDefault="00EB20EE" w:rsidP="00EB20EE">
            <w:pPr>
              <w:pStyle w:val="ListParagraph"/>
              <w:ind w:left="0"/>
              <w:rPr>
                <w:rFonts w:ascii="Arial" w:hAnsi="Arial" w:cs="Arial"/>
              </w:rPr>
            </w:pPr>
            <w:r>
              <w:rPr>
                <w:rFonts w:ascii="Arial" w:hAnsi="Arial" w:cs="Arial"/>
              </w:rPr>
              <w:t>Squirrels inside lofts communal areas</w:t>
            </w:r>
          </w:p>
        </w:tc>
      </w:tr>
      <w:tr w:rsidR="00EB20EE" w:rsidTr="00890EFA">
        <w:trPr>
          <w:jc w:val="center"/>
        </w:trPr>
        <w:tc>
          <w:tcPr>
            <w:tcW w:w="9215" w:type="dxa"/>
            <w:gridSpan w:val="3"/>
          </w:tcPr>
          <w:p w:rsidR="00EB20EE" w:rsidRDefault="00EB20EE" w:rsidP="00EB20EE">
            <w:pPr>
              <w:pStyle w:val="ListParagraph"/>
              <w:ind w:left="0"/>
              <w:rPr>
                <w:rFonts w:ascii="Arial" w:hAnsi="Arial" w:cs="Arial"/>
              </w:rPr>
            </w:pPr>
            <w:r>
              <w:rPr>
                <w:rFonts w:ascii="Arial" w:hAnsi="Arial" w:cs="Arial"/>
              </w:rPr>
              <w:t>Wasps/Hornets</w:t>
            </w:r>
            <w:r w:rsidR="00FB7225">
              <w:rPr>
                <w:rFonts w:ascii="Arial" w:hAnsi="Arial" w:cs="Arial"/>
              </w:rPr>
              <w:t xml:space="preserve"> communal areas</w:t>
            </w:r>
          </w:p>
        </w:tc>
      </w:tr>
      <w:tr w:rsidR="00EB20EE" w:rsidTr="00890EFA">
        <w:trPr>
          <w:jc w:val="center"/>
        </w:trPr>
        <w:tc>
          <w:tcPr>
            <w:tcW w:w="9215" w:type="dxa"/>
            <w:gridSpan w:val="3"/>
          </w:tcPr>
          <w:p w:rsidR="00EB20EE" w:rsidRDefault="00EB20EE" w:rsidP="00EB20EE">
            <w:pPr>
              <w:pStyle w:val="ListParagraph"/>
              <w:ind w:left="0"/>
              <w:rPr>
                <w:rFonts w:ascii="Arial" w:hAnsi="Arial" w:cs="Arial"/>
              </w:rPr>
            </w:pPr>
            <w:r>
              <w:rPr>
                <w:rFonts w:ascii="Arial" w:hAnsi="Arial" w:cs="Arial"/>
              </w:rPr>
              <w:t xml:space="preserve">Cluster flies </w:t>
            </w:r>
            <w:r w:rsidR="00FB7225">
              <w:rPr>
                <w:rFonts w:ascii="Arial" w:hAnsi="Arial" w:cs="Arial"/>
              </w:rPr>
              <w:t>communal areas</w:t>
            </w:r>
          </w:p>
        </w:tc>
      </w:tr>
      <w:tr w:rsidR="00EB20EE" w:rsidTr="00890EFA">
        <w:trPr>
          <w:jc w:val="center"/>
        </w:trPr>
        <w:tc>
          <w:tcPr>
            <w:tcW w:w="9215" w:type="dxa"/>
            <w:gridSpan w:val="3"/>
          </w:tcPr>
          <w:p w:rsidR="00EB20EE" w:rsidRDefault="00FB7225" w:rsidP="00FB7225">
            <w:pPr>
              <w:pStyle w:val="ListParagraph"/>
              <w:ind w:left="0"/>
              <w:rPr>
                <w:rFonts w:ascii="Arial" w:hAnsi="Arial" w:cs="Arial"/>
              </w:rPr>
            </w:pPr>
            <w:r>
              <w:rPr>
                <w:rFonts w:ascii="Arial" w:hAnsi="Arial" w:cs="Arial"/>
              </w:rPr>
              <w:t>Bed Bugs major infestation</w:t>
            </w:r>
          </w:p>
        </w:tc>
      </w:tr>
      <w:tr w:rsidR="00EB20EE" w:rsidTr="00890EFA">
        <w:trPr>
          <w:jc w:val="center"/>
        </w:trPr>
        <w:tc>
          <w:tcPr>
            <w:tcW w:w="9215" w:type="dxa"/>
            <w:gridSpan w:val="3"/>
          </w:tcPr>
          <w:p w:rsidR="00EB20EE" w:rsidRDefault="00FB7225" w:rsidP="00EB20EE">
            <w:pPr>
              <w:pStyle w:val="ListParagraph"/>
              <w:ind w:left="0"/>
              <w:rPr>
                <w:rFonts w:ascii="Arial" w:hAnsi="Arial" w:cs="Arial"/>
              </w:rPr>
            </w:pPr>
            <w:r>
              <w:rPr>
                <w:rFonts w:ascii="Arial" w:hAnsi="Arial" w:cs="Arial"/>
              </w:rPr>
              <w:t xml:space="preserve">Fleas communal areas </w:t>
            </w:r>
            <w:r w:rsidR="00D757DB">
              <w:rPr>
                <w:rFonts w:ascii="Arial" w:hAnsi="Arial" w:cs="Arial"/>
              </w:rPr>
              <w:t>/ void properties</w:t>
            </w:r>
          </w:p>
        </w:tc>
      </w:tr>
      <w:tr w:rsidR="00EB20EE" w:rsidTr="00890EFA">
        <w:trPr>
          <w:jc w:val="center"/>
        </w:trPr>
        <w:tc>
          <w:tcPr>
            <w:tcW w:w="9215" w:type="dxa"/>
            <w:gridSpan w:val="3"/>
          </w:tcPr>
          <w:p w:rsidR="00EB20EE" w:rsidRDefault="00FB7225" w:rsidP="00EB20EE">
            <w:pPr>
              <w:pStyle w:val="ListParagraph"/>
              <w:ind w:left="0"/>
              <w:rPr>
                <w:rFonts w:ascii="Arial" w:hAnsi="Arial" w:cs="Arial"/>
              </w:rPr>
            </w:pPr>
            <w:r>
              <w:rPr>
                <w:rFonts w:ascii="Arial" w:hAnsi="Arial" w:cs="Arial"/>
              </w:rPr>
              <w:t>Cockroaches communal areas</w:t>
            </w:r>
          </w:p>
        </w:tc>
      </w:tr>
      <w:tr w:rsidR="00175516" w:rsidTr="00890EFA">
        <w:trPr>
          <w:jc w:val="center"/>
        </w:trPr>
        <w:tc>
          <w:tcPr>
            <w:tcW w:w="3827" w:type="dxa"/>
          </w:tcPr>
          <w:p w:rsidR="00175516" w:rsidRPr="00175516" w:rsidRDefault="00175516" w:rsidP="00EB20EE">
            <w:pPr>
              <w:rPr>
                <w:rFonts w:ascii="Arial" w:hAnsi="Arial" w:cs="Arial"/>
              </w:rPr>
            </w:pPr>
          </w:p>
          <w:p w:rsidR="00175516" w:rsidRPr="00175516" w:rsidRDefault="00175516" w:rsidP="00175516">
            <w:pPr>
              <w:ind w:left="720"/>
              <w:rPr>
                <w:rFonts w:ascii="Arial" w:hAnsi="Arial" w:cs="Arial"/>
                <w:b/>
                <w:sz w:val="32"/>
                <w:szCs w:val="32"/>
              </w:rPr>
            </w:pPr>
            <w:r w:rsidRPr="00175516">
              <w:rPr>
                <w:rFonts w:ascii="Arial" w:hAnsi="Arial" w:cs="Arial"/>
                <w:b/>
                <w:sz w:val="32"/>
                <w:szCs w:val="32"/>
              </w:rPr>
              <w:t xml:space="preserve">       PEST </w:t>
            </w:r>
          </w:p>
        </w:tc>
        <w:tc>
          <w:tcPr>
            <w:tcW w:w="2553" w:type="dxa"/>
          </w:tcPr>
          <w:p w:rsidR="00175516" w:rsidRPr="00175516" w:rsidRDefault="00175516" w:rsidP="007F13B3">
            <w:pPr>
              <w:jc w:val="center"/>
              <w:rPr>
                <w:rFonts w:ascii="Arial" w:hAnsi="Arial" w:cs="Arial"/>
              </w:rPr>
            </w:pPr>
            <w:r w:rsidRPr="00175516">
              <w:rPr>
                <w:rFonts w:ascii="Arial" w:hAnsi="Arial" w:cs="Arial"/>
              </w:rPr>
              <w:t>Service requests in April 2019</w:t>
            </w:r>
            <w:r w:rsidR="00260C37">
              <w:rPr>
                <w:rFonts w:ascii="Arial" w:hAnsi="Arial" w:cs="Arial"/>
              </w:rPr>
              <w:t>/20</w:t>
            </w:r>
          </w:p>
        </w:tc>
        <w:tc>
          <w:tcPr>
            <w:tcW w:w="2835" w:type="dxa"/>
          </w:tcPr>
          <w:p w:rsidR="00175516" w:rsidRPr="00175516" w:rsidRDefault="00175516" w:rsidP="007F13B3">
            <w:pPr>
              <w:jc w:val="center"/>
              <w:rPr>
                <w:rFonts w:ascii="Arial" w:hAnsi="Arial" w:cs="Arial"/>
              </w:rPr>
            </w:pPr>
            <w:r w:rsidRPr="00175516">
              <w:rPr>
                <w:rFonts w:ascii="Arial" w:hAnsi="Arial" w:cs="Arial"/>
              </w:rPr>
              <w:t>Total no’ of visits 2019/20</w:t>
            </w:r>
          </w:p>
        </w:tc>
      </w:tr>
      <w:tr w:rsidR="00175516" w:rsidTr="00890EFA">
        <w:trPr>
          <w:jc w:val="center"/>
        </w:trPr>
        <w:tc>
          <w:tcPr>
            <w:tcW w:w="3827" w:type="dxa"/>
          </w:tcPr>
          <w:p w:rsidR="00175516" w:rsidRPr="00175516" w:rsidRDefault="00175516" w:rsidP="00EB20EE">
            <w:pPr>
              <w:rPr>
                <w:rFonts w:ascii="Arial" w:hAnsi="Arial" w:cs="Arial"/>
              </w:rPr>
            </w:pPr>
            <w:r w:rsidRPr="00175516">
              <w:rPr>
                <w:rFonts w:ascii="Arial" w:hAnsi="Arial" w:cs="Arial"/>
              </w:rPr>
              <w:t>R</w:t>
            </w:r>
            <w:r w:rsidR="00BB6FED">
              <w:rPr>
                <w:rFonts w:ascii="Arial" w:hAnsi="Arial" w:cs="Arial"/>
              </w:rPr>
              <w:t>odents</w:t>
            </w:r>
          </w:p>
        </w:tc>
        <w:tc>
          <w:tcPr>
            <w:tcW w:w="2553" w:type="dxa"/>
          </w:tcPr>
          <w:p w:rsidR="00260C37" w:rsidRDefault="0053781C" w:rsidP="00260C37">
            <w:pPr>
              <w:jc w:val="center"/>
              <w:rPr>
                <w:rFonts w:ascii="Arial" w:hAnsi="Arial" w:cs="Arial"/>
              </w:rPr>
            </w:pPr>
            <w:r>
              <w:rPr>
                <w:rFonts w:ascii="Arial" w:hAnsi="Arial" w:cs="Arial"/>
              </w:rPr>
              <w:t>113</w:t>
            </w:r>
          </w:p>
        </w:tc>
        <w:tc>
          <w:tcPr>
            <w:tcW w:w="2835" w:type="dxa"/>
          </w:tcPr>
          <w:p w:rsidR="00175516" w:rsidRDefault="0053781C" w:rsidP="00175516">
            <w:pPr>
              <w:jc w:val="center"/>
              <w:rPr>
                <w:rFonts w:ascii="Arial" w:hAnsi="Arial" w:cs="Arial"/>
              </w:rPr>
            </w:pPr>
            <w:r>
              <w:rPr>
                <w:rFonts w:ascii="Arial" w:hAnsi="Arial" w:cs="Arial"/>
              </w:rPr>
              <w:t>226</w:t>
            </w:r>
          </w:p>
        </w:tc>
      </w:tr>
      <w:tr w:rsidR="00175516" w:rsidTr="00890EFA">
        <w:trPr>
          <w:jc w:val="center"/>
        </w:trPr>
        <w:tc>
          <w:tcPr>
            <w:tcW w:w="3827" w:type="dxa"/>
          </w:tcPr>
          <w:p w:rsidR="00175516" w:rsidRPr="00175516" w:rsidRDefault="00175516" w:rsidP="00EB20EE">
            <w:pPr>
              <w:rPr>
                <w:rFonts w:ascii="Arial" w:hAnsi="Arial" w:cs="Arial"/>
              </w:rPr>
            </w:pPr>
            <w:r w:rsidRPr="00175516">
              <w:rPr>
                <w:rFonts w:ascii="Arial" w:hAnsi="Arial" w:cs="Arial"/>
              </w:rPr>
              <w:t>Squirrels inside lofts</w:t>
            </w:r>
          </w:p>
        </w:tc>
        <w:tc>
          <w:tcPr>
            <w:tcW w:w="2553" w:type="dxa"/>
          </w:tcPr>
          <w:p w:rsidR="00175516" w:rsidRDefault="00260C37" w:rsidP="00175516">
            <w:pPr>
              <w:jc w:val="center"/>
              <w:rPr>
                <w:rFonts w:ascii="Arial" w:hAnsi="Arial" w:cs="Arial"/>
              </w:rPr>
            </w:pPr>
            <w:r>
              <w:rPr>
                <w:rFonts w:ascii="Arial" w:hAnsi="Arial" w:cs="Arial"/>
              </w:rPr>
              <w:t>1</w:t>
            </w:r>
          </w:p>
        </w:tc>
        <w:tc>
          <w:tcPr>
            <w:tcW w:w="2835" w:type="dxa"/>
          </w:tcPr>
          <w:p w:rsidR="00175516" w:rsidRDefault="00890EFA" w:rsidP="00175516">
            <w:pPr>
              <w:jc w:val="center"/>
              <w:rPr>
                <w:rFonts w:ascii="Arial" w:hAnsi="Arial" w:cs="Arial"/>
              </w:rPr>
            </w:pPr>
            <w:r>
              <w:rPr>
                <w:rFonts w:ascii="Arial" w:hAnsi="Arial" w:cs="Arial"/>
              </w:rPr>
              <w:t>4</w:t>
            </w:r>
          </w:p>
        </w:tc>
      </w:tr>
      <w:tr w:rsidR="00175516" w:rsidTr="00890EFA">
        <w:trPr>
          <w:jc w:val="center"/>
        </w:trPr>
        <w:tc>
          <w:tcPr>
            <w:tcW w:w="3827" w:type="dxa"/>
          </w:tcPr>
          <w:p w:rsidR="00175516" w:rsidRPr="00175516" w:rsidRDefault="00175516" w:rsidP="00EB20EE">
            <w:pPr>
              <w:rPr>
                <w:rFonts w:ascii="Arial" w:hAnsi="Arial" w:cs="Arial"/>
              </w:rPr>
            </w:pPr>
            <w:r w:rsidRPr="00175516">
              <w:rPr>
                <w:rFonts w:ascii="Arial" w:hAnsi="Arial" w:cs="Arial"/>
              </w:rPr>
              <w:t>Wasps/Hornets</w:t>
            </w:r>
          </w:p>
        </w:tc>
        <w:tc>
          <w:tcPr>
            <w:tcW w:w="2553" w:type="dxa"/>
          </w:tcPr>
          <w:p w:rsidR="00175516" w:rsidRDefault="00260C37" w:rsidP="00175516">
            <w:pPr>
              <w:jc w:val="center"/>
              <w:rPr>
                <w:rFonts w:ascii="Arial" w:hAnsi="Arial" w:cs="Arial"/>
              </w:rPr>
            </w:pPr>
            <w:r>
              <w:rPr>
                <w:rFonts w:ascii="Arial" w:hAnsi="Arial" w:cs="Arial"/>
              </w:rPr>
              <w:t>15</w:t>
            </w:r>
          </w:p>
        </w:tc>
        <w:tc>
          <w:tcPr>
            <w:tcW w:w="2835" w:type="dxa"/>
          </w:tcPr>
          <w:p w:rsidR="00175516" w:rsidRDefault="00895C3F" w:rsidP="00175516">
            <w:pPr>
              <w:jc w:val="center"/>
              <w:rPr>
                <w:rFonts w:ascii="Arial" w:hAnsi="Arial" w:cs="Arial"/>
              </w:rPr>
            </w:pPr>
            <w:r>
              <w:rPr>
                <w:rFonts w:ascii="Arial" w:hAnsi="Arial" w:cs="Arial"/>
              </w:rPr>
              <w:t>15</w:t>
            </w:r>
          </w:p>
        </w:tc>
      </w:tr>
      <w:tr w:rsidR="00175516" w:rsidTr="00890EFA">
        <w:trPr>
          <w:jc w:val="center"/>
        </w:trPr>
        <w:tc>
          <w:tcPr>
            <w:tcW w:w="3827" w:type="dxa"/>
          </w:tcPr>
          <w:p w:rsidR="00175516" w:rsidRPr="00175516" w:rsidRDefault="00175516" w:rsidP="00EB20EE">
            <w:pPr>
              <w:rPr>
                <w:rFonts w:ascii="Arial" w:hAnsi="Arial" w:cs="Arial"/>
              </w:rPr>
            </w:pPr>
            <w:r w:rsidRPr="00175516">
              <w:rPr>
                <w:rFonts w:ascii="Arial" w:hAnsi="Arial" w:cs="Arial"/>
              </w:rPr>
              <w:t>Cluster Flies</w:t>
            </w:r>
          </w:p>
        </w:tc>
        <w:tc>
          <w:tcPr>
            <w:tcW w:w="2553" w:type="dxa"/>
          </w:tcPr>
          <w:p w:rsidR="00175516" w:rsidRDefault="00260C37" w:rsidP="00175516">
            <w:pPr>
              <w:jc w:val="center"/>
              <w:rPr>
                <w:rFonts w:ascii="Arial" w:hAnsi="Arial" w:cs="Arial"/>
              </w:rPr>
            </w:pPr>
            <w:r>
              <w:rPr>
                <w:rFonts w:ascii="Arial" w:hAnsi="Arial" w:cs="Arial"/>
              </w:rPr>
              <w:t>0</w:t>
            </w:r>
          </w:p>
        </w:tc>
        <w:tc>
          <w:tcPr>
            <w:tcW w:w="2835" w:type="dxa"/>
          </w:tcPr>
          <w:p w:rsidR="00175516" w:rsidRDefault="00895C3F" w:rsidP="00175516">
            <w:pPr>
              <w:jc w:val="center"/>
              <w:rPr>
                <w:rFonts w:ascii="Arial" w:hAnsi="Arial" w:cs="Arial"/>
              </w:rPr>
            </w:pPr>
            <w:r>
              <w:rPr>
                <w:rFonts w:ascii="Arial" w:hAnsi="Arial" w:cs="Arial"/>
              </w:rPr>
              <w:t>0</w:t>
            </w:r>
          </w:p>
        </w:tc>
      </w:tr>
      <w:tr w:rsidR="00175516" w:rsidTr="00890EFA">
        <w:trPr>
          <w:jc w:val="center"/>
        </w:trPr>
        <w:tc>
          <w:tcPr>
            <w:tcW w:w="3827" w:type="dxa"/>
          </w:tcPr>
          <w:p w:rsidR="00175516" w:rsidRPr="00175516" w:rsidRDefault="00175516" w:rsidP="00EB20EE">
            <w:pPr>
              <w:rPr>
                <w:rFonts w:ascii="Arial" w:hAnsi="Arial" w:cs="Arial"/>
              </w:rPr>
            </w:pPr>
            <w:r w:rsidRPr="00175516">
              <w:rPr>
                <w:rFonts w:ascii="Arial" w:hAnsi="Arial" w:cs="Arial"/>
              </w:rPr>
              <w:t>Bed Bugs</w:t>
            </w:r>
          </w:p>
        </w:tc>
        <w:tc>
          <w:tcPr>
            <w:tcW w:w="2553" w:type="dxa"/>
          </w:tcPr>
          <w:p w:rsidR="00175516" w:rsidRDefault="00260C37" w:rsidP="00175516">
            <w:pPr>
              <w:jc w:val="center"/>
              <w:rPr>
                <w:rFonts w:ascii="Arial" w:hAnsi="Arial" w:cs="Arial"/>
              </w:rPr>
            </w:pPr>
            <w:r>
              <w:rPr>
                <w:rFonts w:ascii="Arial" w:hAnsi="Arial" w:cs="Arial"/>
              </w:rPr>
              <w:t>0</w:t>
            </w:r>
          </w:p>
        </w:tc>
        <w:tc>
          <w:tcPr>
            <w:tcW w:w="2835" w:type="dxa"/>
          </w:tcPr>
          <w:p w:rsidR="00175516" w:rsidRDefault="00260C37" w:rsidP="00175516">
            <w:pPr>
              <w:jc w:val="center"/>
              <w:rPr>
                <w:rFonts w:ascii="Arial" w:hAnsi="Arial" w:cs="Arial"/>
              </w:rPr>
            </w:pPr>
            <w:r>
              <w:rPr>
                <w:rFonts w:ascii="Arial" w:hAnsi="Arial" w:cs="Arial"/>
              </w:rPr>
              <w:t>0</w:t>
            </w:r>
          </w:p>
        </w:tc>
      </w:tr>
      <w:tr w:rsidR="00175516" w:rsidTr="00890EFA">
        <w:trPr>
          <w:jc w:val="center"/>
        </w:trPr>
        <w:tc>
          <w:tcPr>
            <w:tcW w:w="3827" w:type="dxa"/>
          </w:tcPr>
          <w:p w:rsidR="00175516" w:rsidRPr="00175516" w:rsidRDefault="00175516" w:rsidP="00EB20EE">
            <w:pPr>
              <w:rPr>
                <w:rFonts w:ascii="Arial" w:hAnsi="Arial" w:cs="Arial"/>
              </w:rPr>
            </w:pPr>
            <w:r w:rsidRPr="00175516">
              <w:rPr>
                <w:rFonts w:ascii="Arial" w:hAnsi="Arial" w:cs="Arial"/>
              </w:rPr>
              <w:t>Fleas</w:t>
            </w:r>
          </w:p>
        </w:tc>
        <w:tc>
          <w:tcPr>
            <w:tcW w:w="2553" w:type="dxa"/>
          </w:tcPr>
          <w:p w:rsidR="00175516" w:rsidRDefault="00260C37" w:rsidP="00175516">
            <w:pPr>
              <w:jc w:val="center"/>
              <w:rPr>
                <w:rFonts w:ascii="Arial" w:hAnsi="Arial" w:cs="Arial"/>
              </w:rPr>
            </w:pPr>
            <w:r>
              <w:rPr>
                <w:rFonts w:ascii="Arial" w:hAnsi="Arial" w:cs="Arial"/>
              </w:rPr>
              <w:t>7</w:t>
            </w:r>
          </w:p>
        </w:tc>
        <w:tc>
          <w:tcPr>
            <w:tcW w:w="2835" w:type="dxa"/>
          </w:tcPr>
          <w:p w:rsidR="00175516" w:rsidRDefault="00260C37" w:rsidP="00175516">
            <w:pPr>
              <w:jc w:val="center"/>
              <w:rPr>
                <w:rFonts w:ascii="Arial" w:hAnsi="Arial" w:cs="Arial"/>
              </w:rPr>
            </w:pPr>
            <w:r>
              <w:rPr>
                <w:rFonts w:ascii="Arial" w:hAnsi="Arial" w:cs="Arial"/>
              </w:rPr>
              <w:t>14</w:t>
            </w:r>
          </w:p>
        </w:tc>
      </w:tr>
      <w:tr w:rsidR="00175516" w:rsidTr="00890EFA">
        <w:trPr>
          <w:jc w:val="center"/>
        </w:trPr>
        <w:tc>
          <w:tcPr>
            <w:tcW w:w="3827" w:type="dxa"/>
          </w:tcPr>
          <w:p w:rsidR="00175516" w:rsidRPr="00175516" w:rsidRDefault="00175516" w:rsidP="00EB20EE">
            <w:pPr>
              <w:rPr>
                <w:rFonts w:ascii="Arial" w:hAnsi="Arial" w:cs="Arial"/>
              </w:rPr>
            </w:pPr>
            <w:r w:rsidRPr="00175516">
              <w:rPr>
                <w:rFonts w:ascii="Arial" w:hAnsi="Arial" w:cs="Arial"/>
              </w:rPr>
              <w:t>Cockroaches</w:t>
            </w:r>
          </w:p>
        </w:tc>
        <w:tc>
          <w:tcPr>
            <w:tcW w:w="2553" w:type="dxa"/>
          </w:tcPr>
          <w:p w:rsidR="00175516" w:rsidRDefault="00260C37" w:rsidP="00175516">
            <w:pPr>
              <w:jc w:val="center"/>
              <w:rPr>
                <w:rFonts w:ascii="Arial" w:hAnsi="Arial" w:cs="Arial"/>
              </w:rPr>
            </w:pPr>
            <w:r>
              <w:rPr>
                <w:rFonts w:ascii="Arial" w:hAnsi="Arial" w:cs="Arial"/>
              </w:rPr>
              <w:t>0</w:t>
            </w:r>
          </w:p>
        </w:tc>
        <w:tc>
          <w:tcPr>
            <w:tcW w:w="2835" w:type="dxa"/>
          </w:tcPr>
          <w:p w:rsidR="00175516" w:rsidRDefault="00260C37" w:rsidP="00175516">
            <w:pPr>
              <w:jc w:val="center"/>
              <w:rPr>
                <w:rFonts w:ascii="Arial" w:hAnsi="Arial" w:cs="Arial"/>
              </w:rPr>
            </w:pPr>
            <w:r>
              <w:rPr>
                <w:rFonts w:ascii="Arial" w:hAnsi="Arial" w:cs="Arial"/>
              </w:rPr>
              <w:t>0</w:t>
            </w:r>
          </w:p>
        </w:tc>
      </w:tr>
      <w:tr w:rsidR="00175516" w:rsidTr="00890EFA">
        <w:trPr>
          <w:jc w:val="center"/>
        </w:trPr>
        <w:tc>
          <w:tcPr>
            <w:tcW w:w="3827" w:type="dxa"/>
          </w:tcPr>
          <w:p w:rsidR="00175516" w:rsidRPr="00175516" w:rsidRDefault="00175516" w:rsidP="00EB20EE">
            <w:pPr>
              <w:rPr>
                <w:rFonts w:ascii="Arial" w:hAnsi="Arial" w:cs="Arial"/>
              </w:rPr>
            </w:pPr>
            <w:r w:rsidRPr="00175516">
              <w:rPr>
                <w:rFonts w:ascii="Arial" w:hAnsi="Arial" w:cs="Arial"/>
              </w:rPr>
              <w:t xml:space="preserve">Silverfish </w:t>
            </w:r>
          </w:p>
        </w:tc>
        <w:tc>
          <w:tcPr>
            <w:tcW w:w="2553" w:type="dxa"/>
          </w:tcPr>
          <w:p w:rsidR="00175516" w:rsidRDefault="00260C37" w:rsidP="00175516">
            <w:pPr>
              <w:jc w:val="center"/>
              <w:rPr>
                <w:rFonts w:ascii="Arial" w:hAnsi="Arial" w:cs="Arial"/>
              </w:rPr>
            </w:pPr>
            <w:r>
              <w:rPr>
                <w:rFonts w:ascii="Arial" w:hAnsi="Arial" w:cs="Arial"/>
              </w:rPr>
              <w:t>0</w:t>
            </w:r>
          </w:p>
        </w:tc>
        <w:tc>
          <w:tcPr>
            <w:tcW w:w="2835" w:type="dxa"/>
          </w:tcPr>
          <w:p w:rsidR="00175516" w:rsidRDefault="00260C37" w:rsidP="00175516">
            <w:pPr>
              <w:jc w:val="center"/>
              <w:rPr>
                <w:rFonts w:ascii="Arial" w:hAnsi="Arial" w:cs="Arial"/>
              </w:rPr>
            </w:pPr>
            <w:r>
              <w:rPr>
                <w:rFonts w:ascii="Arial" w:hAnsi="Arial" w:cs="Arial"/>
              </w:rPr>
              <w:t>0</w:t>
            </w:r>
          </w:p>
        </w:tc>
      </w:tr>
      <w:tr w:rsidR="00175516" w:rsidTr="00890EFA">
        <w:trPr>
          <w:jc w:val="center"/>
        </w:trPr>
        <w:tc>
          <w:tcPr>
            <w:tcW w:w="3827" w:type="dxa"/>
          </w:tcPr>
          <w:p w:rsidR="00175516" w:rsidRPr="00175516" w:rsidRDefault="00175516" w:rsidP="00EB20EE">
            <w:pPr>
              <w:rPr>
                <w:rFonts w:ascii="Arial" w:hAnsi="Arial" w:cs="Arial"/>
              </w:rPr>
            </w:pPr>
            <w:r w:rsidRPr="00175516">
              <w:rPr>
                <w:rFonts w:ascii="Arial" w:hAnsi="Arial" w:cs="Arial"/>
              </w:rPr>
              <w:lastRenderedPageBreak/>
              <w:t xml:space="preserve">Starling Nest </w:t>
            </w:r>
          </w:p>
        </w:tc>
        <w:tc>
          <w:tcPr>
            <w:tcW w:w="2553" w:type="dxa"/>
          </w:tcPr>
          <w:p w:rsidR="00175516" w:rsidRDefault="00DA3722" w:rsidP="00175516">
            <w:pPr>
              <w:jc w:val="center"/>
              <w:rPr>
                <w:rFonts w:ascii="Arial" w:hAnsi="Arial" w:cs="Arial"/>
              </w:rPr>
            </w:pPr>
            <w:r>
              <w:rPr>
                <w:rFonts w:ascii="Arial" w:hAnsi="Arial" w:cs="Arial"/>
              </w:rPr>
              <w:t>1</w:t>
            </w:r>
          </w:p>
        </w:tc>
        <w:tc>
          <w:tcPr>
            <w:tcW w:w="2835" w:type="dxa"/>
          </w:tcPr>
          <w:p w:rsidR="00175516" w:rsidRDefault="00DA3722" w:rsidP="00175516">
            <w:pPr>
              <w:jc w:val="center"/>
              <w:rPr>
                <w:rFonts w:ascii="Arial" w:hAnsi="Arial" w:cs="Arial"/>
              </w:rPr>
            </w:pPr>
            <w:r>
              <w:rPr>
                <w:rFonts w:ascii="Arial" w:hAnsi="Arial" w:cs="Arial"/>
              </w:rPr>
              <w:t>1</w:t>
            </w:r>
          </w:p>
        </w:tc>
      </w:tr>
      <w:tr w:rsidR="00856E40" w:rsidTr="00890EFA">
        <w:trPr>
          <w:jc w:val="center"/>
        </w:trPr>
        <w:tc>
          <w:tcPr>
            <w:tcW w:w="3827" w:type="dxa"/>
          </w:tcPr>
          <w:p w:rsidR="00856E40" w:rsidRPr="00175516" w:rsidRDefault="00856E40" w:rsidP="00EB20EE">
            <w:pPr>
              <w:rPr>
                <w:rFonts w:ascii="Arial" w:hAnsi="Arial" w:cs="Arial"/>
              </w:rPr>
            </w:pPr>
            <w:r>
              <w:rPr>
                <w:rFonts w:ascii="Arial" w:hAnsi="Arial" w:cs="Arial"/>
              </w:rPr>
              <w:t>Proofing</w:t>
            </w:r>
          </w:p>
        </w:tc>
        <w:tc>
          <w:tcPr>
            <w:tcW w:w="2553" w:type="dxa"/>
          </w:tcPr>
          <w:p w:rsidR="00856E40" w:rsidRDefault="00856E40" w:rsidP="00175516">
            <w:pPr>
              <w:jc w:val="center"/>
              <w:rPr>
                <w:rFonts w:ascii="Arial" w:hAnsi="Arial" w:cs="Arial"/>
              </w:rPr>
            </w:pPr>
            <w:r>
              <w:rPr>
                <w:rFonts w:ascii="Arial" w:hAnsi="Arial" w:cs="Arial"/>
              </w:rPr>
              <w:t>29</w:t>
            </w:r>
          </w:p>
        </w:tc>
        <w:tc>
          <w:tcPr>
            <w:tcW w:w="2835" w:type="dxa"/>
          </w:tcPr>
          <w:p w:rsidR="00856E40" w:rsidRDefault="00856E40" w:rsidP="00175516">
            <w:pPr>
              <w:jc w:val="center"/>
              <w:rPr>
                <w:rFonts w:ascii="Arial" w:hAnsi="Arial" w:cs="Arial"/>
              </w:rPr>
            </w:pPr>
            <w:r>
              <w:rPr>
                <w:rFonts w:ascii="Arial" w:hAnsi="Arial" w:cs="Arial"/>
              </w:rPr>
              <w:t>29</w:t>
            </w:r>
          </w:p>
        </w:tc>
      </w:tr>
    </w:tbl>
    <w:p w:rsidR="00EB20EE" w:rsidRDefault="00EB20EE" w:rsidP="007E79C2">
      <w:pPr>
        <w:rPr>
          <w:rFonts w:ascii="Arial" w:hAnsi="Arial" w:cs="Arial"/>
        </w:rPr>
      </w:pPr>
    </w:p>
    <w:sectPr w:rsidR="00EB20EE" w:rsidSect="00A830FC">
      <w:footerReference w:type="default" r:id="rId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589" w:rsidRDefault="00F40589" w:rsidP="007E79C2">
      <w:r>
        <w:separator/>
      </w:r>
    </w:p>
  </w:endnote>
  <w:endnote w:type="continuationSeparator" w:id="0">
    <w:p w:rsidR="00F40589" w:rsidRDefault="00F40589" w:rsidP="007E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89167"/>
      <w:docPartObj>
        <w:docPartGallery w:val="Page Numbers (Bottom of Page)"/>
        <w:docPartUnique/>
      </w:docPartObj>
    </w:sdtPr>
    <w:sdtEndPr/>
    <w:sdtContent>
      <w:p w:rsidR="00F40589" w:rsidRDefault="00175516">
        <w:pPr>
          <w:pStyle w:val="Footer"/>
        </w:pPr>
        <w:r>
          <w:fldChar w:fldCharType="begin"/>
        </w:r>
        <w:r>
          <w:instrText xml:space="preserve"> PAGE   \* MERGEFORMAT </w:instrText>
        </w:r>
        <w:r>
          <w:fldChar w:fldCharType="separate"/>
        </w:r>
        <w:r w:rsidR="00B44374">
          <w:rPr>
            <w:noProof/>
          </w:rPr>
          <w:t>3</w:t>
        </w:r>
        <w:r>
          <w:rPr>
            <w:noProof/>
          </w:rPr>
          <w:fldChar w:fldCharType="end"/>
        </w:r>
      </w:p>
    </w:sdtContent>
  </w:sdt>
  <w:p w:rsidR="00F40589" w:rsidRDefault="00F4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589" w:rsidRDefault="00F40589" w:rsidP="007E79C2">
      <w:r>
        <w:separator/>
      </w:r>
    </w:p>
  </w:footnote>
  <w:footnote w:type="continuationSeparator" w:id="0">
    <w:p w:rsidR="00F40589" w:rsidRDefault="00F40589" w:rsidP="007E7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2FB"/>
    <w:multiLevelType w:val="hybridMultilevel"/>
    <w:tmpl w:val="319817D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4602397"/>
    <w:multiLevelType w:val="hybridMultilevel"/>
    <w:tmpl w:val="8FC2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24B3D"/>
    <w:multiLevelType w:val="hybridMultilevel"/>
    <w:tmpl w:val="4F722630"/>
    <w:lvl w:ilvl="0" w:tplc="5504145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D08E7"/>
    <w:multiLevelType w:val="hybridMultilevel"/>
    <w:tmpl w:val="7E3421DC"/>
    <w:lvl w:ilvl="0" w:tplc="43CA02C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9132D"/>
    <w:multiLevelType w:val="hybridMultilevel"/>
    <w:tmpl w:val="467A215C"/>
    <w:lvl w:ilvl="0" w:tplc="DA023EC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C5CA5"/>
    <w:multiLevelType w:val="hybridMultilevel"/>
    <w:tmpl w:val="3AD43C14"/>
    <w:lvl w:ilvl="0" w:tplc="3C9A5B48">
      <w:numFmt w:val="bullet"/>
      <w:lvlText w:val=""/>
      <w:lvlJc w:val="left"/>
      <w:pPr>
        <w:ind w:left="1125" w:hanging="360"/>
      </w:pPr>
      <w:rPr>
        <w:rFonts w:ascii="Symbol" w:eastAsia="Times New Roman" w:hAnsi="Symbo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37D"/>
    <w:rsid w:val="00005955"/>
    <w:rsid w:val="00007137"/>
    <w:rsid w:val="00007508"/>
    <w:rsid w:val="00011D31"/>
    <w:rsid w:val="00014C2D"/>
    <w:rsid w:val="00021630"/>
    <w:rsid w:val="00033482"/>
    <w:rsid w:val="00036702"/>
    <w:rsid w:val="0003679C"/>
    <w:rsid w:val="00043318"/>
    <w:rsid w:val="00044B6A"/>
    <w:rsid w:val="00047755"/>
    <w:rsid w:val="00051D3D"/>
    <w:rsid w:val="00055945"/>
    <w:rsid w:val="00061255"/>
    <w:rsid w:val="00067BE1"/>
    <w:rsid w:val="00071B46"/>
    <w:rsid w:val="00073376"/>
    <w:rsid w:val="00075CC0"/>
    <w:rsid w:val="00081B80"/>
    <w:rsid w:val="0008577A"/>
    <w:rsid w:val="0009348B"/>
    <w:rsid w:val="000A0BF5"/>
    <w:rsid w:val="000A18C7"/>
    <w:rsid w:val="000B0077"/>
    <w:rsid w:val="000B02EC"/>
    <w:rsid w:val="000B0993"/>
    <w:rsid w:val="000B38D7"/>
    <w:rsid w:val="000D5E58"/>
    <w:rsid w:val="000F03EF"/>
    <w:rsid w:val="000F2D3E"/>
    <w:rsid w:val="001030CB"/>
    <w:rsid w:val="00104050"/>
    <w:rsid w:val="001117BB"/>
    <w:rsid w:val="00112460"/>
    <w:rsid w:val="00114772"/>
    <w:rsid w:val="00115E20"/>
    <w:rsid w:val="001232BD"/>
    <w:rsid w:val="00125A28"/>
    <w:rsid w:val="001271E9"/>
    <w:rsid w:val="00127248"/>
    <w:rsid w:val="00131586"/>
    <w:rsid w:val="00134D62"/>
    <w:rsid w:val="00144CF8"/>
    <w:rsid w:val="00151C23"/>
    <w:rsid w:val="00155EF3"/>
    <w:rsid w:val="00165D1D"/>
    <w:rsid w:val="00165EEE"/>
    <w:rsid w:val="00175516"/>
    <w:rsid w:val="00176304"/>
    <w:rsid w:val="00194FF9"/>
    <w:rsid w:val="001A1060"/>
    <w:rsid w:val="001A74DD"/>
    <w:rsid w:val="001C2CAB"/>
    <w:rsid w:val="001C5DE5"/>
    <w:rsid w:val="001C65DC"/>
    <w:rsid w:val="001D6138"/>
    <w:rsid w:val="001E3695"/>
    <w:rsid w:val="001E5142"/>
    <w:rsid w:val="001F1341"/>
    <w:rsid w:val="002009E0"/>
    <w:rsid w:val="00200D5D"/>
    <w:rsid w:val="00207A6A"/>
    <w:rsid w:val="002177FA"/>
    <w:rsid w:val="0022001A"/>
    <w:rsid w:val="002406C1"/>
    <w:rsid w:val="00250C3C"/>
    <w:rsid w:val="00252F28"/>
    <w:rsid w:val="00254C67"/>
    <w:rsid w:val="00260C37"/>
    <w:rsid w:val="002643A4"/>
    <w:rsid w:val="00267B2B"/>
    <w:rsid w:val="00277EE6"/>
    <w:rsid w:val="00285784"/>
    <w:rsid w:val="0029289F"/>
    <w:rsid w:val="002A1165"/>
    <w:rsid w:val="002A3B6E"/>
    <w:rsid w:val="002B217F"/>
    <w:rsid w:val="002B6F0A"/>
    <w:rsid w:val="002C1860"/>
    <w:rsid w:val="002C4324"/>
    <w:rsid w:val="002F0181"/>
    <w:rsid w:val="002F322F"/>
    <w:rsid w:val="002F5057"/>
    <w:rsid w:val="003215BB"/>
    <w:rsid w:val="00326A70"/>
    <w:rsid w:val="00327247"/>
    <w:rsid w:val="00343630"/>
    <w:rsid w:val="00343818"/>
    <w:rsid w:val="00344528"/>
    <w:rsid w:val="00346382"/>
    <w:rsid w:val="00355BF9"/>
    <w:rsid w:val="00356131"/>
    <w:rsid w:val="003645AA"/>
    <w:rsid w:val="00364DED"/>
    <w:rsid w:val="00366603"/>
    <w:rsid w:val="00375BF6"/>
    <w:rsid w:val="0037683D"/>
    <w:rsid w:val="0039467B"/>
    <w:rsid w:val="003A1970"/>
    <w:rsid w:val="003B2260"/>
    <w:rsid w:val="003B6559"/>
    <w:rsid w:val="003B65E0"/>
    <w:rsid w:val="003C1A4F"/>
    <w:rsid w:val="003C4175"/>
    <w:rsid w:val="003F1B57"/>
    <w:rsid w:val="003F4E8F"/>
    <w:rsid w:val="0041055B"/>
    <w:rsid w:val="0041372A"/>
    <w:rsid w:val="004169F7"/>
    <w:rsid w:val="00425088"/>
    <w:rsid w:val="004256AC"/>
    <w:rsid w:val="00434D6F"/>
    <w:rsid w:val="004419B7"/>
    <w:rsid w:val="004439B6"/>
    <w:rsid w:val="0045349A"/>
    <w:rsid w:val="00453614"/>
    <w:rsid w:val="00453B5A"/>
    <w:rsid w:val="0045453A"/>
    <w:rsid w:val="00454782"/>
    <w:rsid w:val="00457787"/>
    <w:rsid w:val="00465944"/>
    <w:rsid w:val="004663D8"/>
    <w:rsid w:val="00477574"/>
    <w:rsid w:val="0048308F"/>
    <w:rsid w:val="004970F0"/>
    <w:rsid w:val="00497DEC"/>
    <w:rsid w:val="004A799D"/>
    <w:rsid w:val="004B1A79"/>
    <w:rsid w:val="004B337D"/>
    <w:rsid w:val="004B3CFD"/>
    <w:rsid w:val="004D26AE"/>
    <w:rsid w:val="004E192A"/>
    <w:rsid w:val="004F0A8D"/>
    <w:rsid w:val="004F1107"/>
    <w:rsid w:val="004F5E14"/>
    <w:rsid w:val="00505234"/>
    <w:rsid w:val="00507366"/>
    <w:rsid w:val="00507F30"/>
    <w:rsid w:val="005119B3"/>
    <w:rsid w:val="00532CF8"/>
    <w:rsid w:val="00532D56"/>
    <w:rsid w:val="0053781C"/>
    <w:rsid w:val="0054172C"/>
    <w:rsid w:val="00555A62"/>
    <w:rsid w:val="00555D38"/>
    <w:rsid w:val="00556AA9"/>
    <w:rsid w:val="005616F2"/>
    <w:rsid w:val="0056698C"/>
    <w:rsid w:val="005771C0"/>
    <w:rsid w:val="00577AEC"/>
    <w:rsid w:val="00582DF9"/>
    <w:rsid w:val="00586DF9"/>
    <w:rsid w:val="00596C02"/>
    <w:rsid w:val="0059797E"/>
    <w:rsid w:val="005A377D"/>
    <w:rsid w:val="005A4207"/>
    <w:rsid w:val="005B3A0D"/>
    <w:rsid w:val="005B6017"/>
    <w:rsid w:val="005C0058"/>
    <w:rsid w:val="005C19F8"/>
    <w:rsid w:val="005E152C"/>
    <w:rsid w:val="005E6355"/>
    <w:rsid w:val="00610CB7"/>
    <w:rsid w:val="006176B2"/>
    <w:rsid w:val="00623EF5"/>
    <w:rsid w:val="00625620"/>
    <w:rsid w:val="00630240"/>
    <w:rsid w:val="00632A57"/>
    <w:rsid w:val="00633F69"/>
    <w:rsid w:val="006354D9"/>
    <w:rsid w:val="006558F6"/>
    <w:rsid w:val="006655C3"/>
    <w:rsid w:val="00675CDB"/>
    <w:rsid w:val="00677245"/>
    <w:rsid w:val="006912B1"/>
    <w:rsid w:val="0069370A"/>
    <w:rsid w:val="00694660"/>
    <w:rsid w:val="00695AA8"/>
    <w:rsid w:val="00696284"/>
    <w:rsid w:val="006A466D"/>
    <w:rsid w:val="006A6026"/>
    <w:rsid w:val="006A7373"/>
    <w:rsid w:val="006B7137"/>
    <w:rsid w:val="006C7CAF"/>
    <w:rsid w:val="006D62F4"/>
    <w:rsid w:val="006E4C41"/>
    <w:rsid w:val="006E5436"/>
    <w:rsid w:val="006F2487"/>
    <w:rsid w:val="006F4A99"/>
    <w:rsid w:val="006F6095"/>
    <w:rsid w:val="00700DF0"/>
    <w:rsid w:val="00702B85"/>
    <w:rsid w:val="00703FE1"/>
    <w:rsid w:val="00706BB1"/>
    <w:rsid w:val="00707065"/>
    <w:rsid w:val="00707B2B"/>
    <w:rsid w:val="00707BF2"/>
    <w:rsid w:val="00715232"/>
    <w:rsid w:val="00715A08"/>
    <w:rsid w:val="00722791"/>
    <w:rsid w:val="007272F5"/>
    <w:rsid w:val="00734180"/>
    <w:rsid w:val="007349BF"/>
    <w:rsid w:val="007372B3"/>
    <w:rsid w:val="00740904"/>
    <w:rsid w:val="00741E53"/>
    <w:rsid w:val="007556EE"/>
    <w:rsid w:val="00756E50"/>
    <w:rsid w:val="007602BF"/>
    <w:rsid w:val="00770B56"/>
    <w:rsid w:val="007736D6"/>
    <w:rsid w:val="007774BC"/>
    <w:rsid w:val="007801A5"/>
    <w:rsid w:val="00787AE8"/>
    <w:rsid w:val="00793A6C"/>
    <w:rsid w:val="007A4477"/>
    <w:rsid w:val="007A5CA5"/>
    <w:rsid w:val="007B16C0"/>
    <w:rsid w:val="007B47AA"/>
    <w:rsid w:val="007B6F65"/>
    <w:rsid w:val="007B7542"/>
    <w:rsid w:val="007C0720"/>
    <w:rsid w:val="007C6AC9"/>
    <w:rsid w:val="007D227C"/>
    <w:rsid w:val="007D3558"/>
    <w:rsid w:val="007D5EE2"/>
    <w:rsid w:val="007E5D1A"/>
    <w:rsid w:val="007E79C2"/>
    <w:rsid w:val="007F13B3"/>
    <w:rsid w:val="007F319F"/>
    <w:rsid w:val="007F7C74"/>
    <w:rsid w:val="008007AA"/>
    <w:rsid w:val="00806D32"/>
    <w:rsid w:val="00810744"/>
    <w:rsid w:val="00813906"/>
    <w:rsid w:val="00817ABB"/>
    <w:rsid w:val="00832EE0"/>
    <w:rsid w:val="00833522"/>
    <w:rsid w:val="00833746"/>
    <w:rsid w:val="0083589A"/>
    <w:rsid w:val="00835B41"/>
    <w:rsid w:val="00835DA6"/>
    <w:rsid w:val="0085629B"/>
    <w:rsid w:val="00856E40"/>
    <w:rsid w:val="0086001D"/>
    <w:rsid w:val="008637CD"/>
    <w:rsid w:val="00870F10"/>
    <w:rsid w:val="00876C0E"/>
    <w:rsid w:val="00882BB0"/>
    <w:rsid w:val="008900AF"/>
    <w:rsid w:val="00890EFA"/>
    <w:rsid w:val="00891B99"/>
    <w:rsid w:val="00895C3F"/>
    <w:rsid w:val="0089651B"/>
    <w:rsid w:val="008A56C9"/>
    <w:rsid w:val="008B019A"/>
    <w:rsid w:val="008D2C1C"/>
    <w:rsid w:val="008D3A48"/>
    <w:rsid w:val="008E6D52"/>
    <w:rsid w:val="00901FAF"/>
    <w:rsid w:val="0091215A"/>
    <w:rsid w:val="009153E2"/>
    <w:rsid w:val="00915E8F"/>
    <w:rsid w:val="0091626C"/>
    <w:rsid w:val="00946C0B"/>
    <w:rsid w:val="00963303"/>
    <w:rsid w:val="00981213"/>
    <w:rsid w:val="009822FA"/>
    <w:rsid w:val="009873DF"/>
    <w:rsid w:val="00991DC9"/>
    <w:rsid w:val="009A6232"/>
    <w:rsid w:val="009A64A9"/>
    <w:rsid w:val="009B23C1"/>
    <w:rsid w:val="009E5ED2"/>
    <w:rsid w:val="009F40E9"/>
    <w:rsid w:val="00A02EF1"/>
    <w:rsid w:val="00A03ECC"/>
    <w:rsid w:val="00A066CA"/>
    <w:rsid w:val="00A1498D"/>
    <w:rsid w:val="00A171E9"/>
    <w:rsid w:val="00A2371A"/>
    <w:rsid w:val="00A33931"/>
    <w:rsid w:val="00A41BF6"/>
    <w:rsid w:val="00A4402E"/>
    <w:rsid w:val="00A45229"/>
    <w:rsid w:val="00A53B87"/>
    <w:rsid w:val="00A62D42"/>
    <w:rsid w:val="00A62E0A"/>
    <w:rsid w:val="00A664CE"/>
    <w:rsid w:val="00A668D6"/>
    <w:rsid w:val="00A710F9"/>
    <w:rsid w:val="00A7340A"/>
    <w:rsid w:val="00A752B7"/>
    <w:rsid w:val="00A761EF"/>
    <w:rsid w:val="00A7710E"/>
    <w:rsid w:val="00A83015"/>
    <w:rsid w:val="00A830FC"/>
    <w:rsid w:val="00A857C7"/>
    <w:rsid w:val="00A90A0E"/>
    <w:rsid w:val="00A91CE6"/>
    <w:rsid w:val="00A94257"/>
    <w:rsid w:val="00A9439F"/>
    <w:rsid w:val="00AB0078"/>
    <w:rsid w:val="00AB2BB7"/>
    <w:rsid w:val="00AB5618"/>
    <w:rsid w:val="00AB7132"/>
    <w:rsid w:val="00AD0B05"/>
    <w:rsid w:val="00AF214D"/>
    <w:rsid w:val="00AF4E49"/>
    <w:rsid w:val="00B27F85"/>
    <w:rsid w:val="00B35691"/>
    <w:rsid w:val="00B3654D"/>
    <w:rsid w:val="00B41F8D"/>
    <w:rsid w:val="00B44374"/>
    <w:rsid w:val="00B47CA4"/>
    <w:rsid w:val="00B53B40"/>
    <w:rsid w:val="00B65BF5"/>
    <w:rsid w:val="00B66535"/>
    <w:rsid w:val="00B672EC"/>
    <w:rsid w:val="00B704BE"/>
    <w:rsid w:val="00B829A2"/>
    <w:rsid w:val="00B83C7A"/>
    <w:rsid w:val="00B9694E"/>
    <w:rsid w:val="00B97CAB"/>
    <w:rsid w:val="00BA310C"/>
    <w:rsid w:val="00BA580B"/>
    <w:rsid w:val="00BA77FA"/>
    <w:rsid w:val="00BB52E0"/>
    <w:rsid w:val="00BB6FED"/>
    <w:rsid w:val="00BB739F"/>
    <w:rsid w:val="00BC2638"/>
    <w:rsid w:val="00BC64E3"/>
    <w:rsid w:val="00BD0219"/>
    <w:rsid w:val="00BD4253"/>
    <w:rsid w:val="00BD61D8"/>
    <w:rsid w:val="00BE1B13"/>
    <w:rsid w:val="00BE23F6"/>
    <w:rsid w:val="00BE2900"/>
    <w:rsid w:val="00BE3385"/>
    <w:rsid w:val="00BE5597"/>
    <w:rsid w:val="00BE5B79"/>
    <w:rsid w:val="00BE6E96"/>
    <w:rsid w:val="00C00096"/>
    <w:rsid w:val="00C01257"/>
    <w:rsid w:val="00C04782"/>
    <w:rsid w:val="00C1515C"/>
    <w:rsid w:val="00C215D9"/>
    <w:rsid w:val="00C23C4F"/>
    <w:rsid w:val="00C24C08"/>
    <w:rsid w:val="00C26391"/>
    <w:rsid w:val="00C311CB"/>
    <w:rsid w:val="00C313B5"/>
    <w:rsid w:val="00C3255C"/>
    <w:rsid w:val="00C3549A"/>
    <w:rsid w:val="00C42CF0"/>
    <w:rsid w:val="00C524D1"/>
    <w:rsid w:val="00C56C81"/>
    <w:rsid w:val="00C65059"/>
    <w:rsid w:val="00C71601"/>
    <w:rsid w:val="00C72C46"/>
    <w:rsid w:val="00C76E3B"/>
    <w:rsid w:val="00C84D55"/>
    <w:rsid w:val="00C85BF6"/>
    <w:rsid w:val="00C94AE4"/>
    <w:rsid w:val="00C95B1D"/>
    <w:rsid w:val="00C97CE3"/>
    <w:rsid w:val="00CA0CD4"/>
    <w:rsid w:val="00CA1D12"/>
    <w:rsid w:val="00CA6E3C"/>
    <w:rsid w:val="00CB1AAF"/>
    <w:rsid w:val="00CB1D45"/>
    <w:rsid w:val="00CC5C58"/>
    <w:rsid w:val="00CC7824"/>
    <w:rsid w:val="00CD4131"/>
    <w:rsid w:val="00CD50BB"/>
    <w:rsid w:val="00CD5D77"/>
    <w:rsid w:val="00CE4539"/>
    <w:rsid w:val="00CE6A99"/>
    <w:rsid w:val="00CF0C3E"/>
    <w:rsid w:val="00D002F3"/>
    <w:rsid w:val="00D05CE1"/>
    <w:rsid w:val="00D13630"/>
    <w:rsid w:val="00D20314"/>
    <w:rsid w:val="00D20858"/>
    <w:rsid w:val="00D23F08"/>
    <w:rsid w:val="00D246ED"/>
    <w:rsid w:val="00D34123"/>
    <w:rsid w:val="00D360ED"/>
    <w:rsid w:val="00D535D7"/>
    <w:rsid w:val="00D57687"/>
    <w:rsid w:val="00D629B6"/>
    <w:rsid w:val="00D73AF4"/>
    <w:rsid w:val="00D757DB"/>
    <w:rsid w:val="00D80E53"/>
    <w:rsid w:val="00D9319C"/>
    <w:rsid w:val="00DA33B7"/>
    <w:rsid w:val="00DA3722"/>
    <w:rsid w:val="00DB0DB2"/>
    <w:rsid w:val="00DD3A82"/>
    <w:rsid w:val="00DE5D8A"/>
    <w:rsid w:val="00DE73BE"/>
    <w:rsid w:val="00DF0991"/>
    <w:rsid w:val="00E16B23"/>
    <w:rsid w:val="00E34533"/>
    <w:rsid w:val="00E46472"/>
    <w:rsid w:val="00E466F8"/>
    <w:rsid w:val="00E50A7C"/>
    <w:rsid w:val="00E50F41"/>
    <w:rsid w:val="00E65E81"/>
    <w:rsid w:val="00E66158"/>
    <w:rsid w:val="00E67173"/>
    <w:rsid w:val="00E726AC"/>
    <w:rsid w:val="00E76EF9"/>
    <w:rsid w:val="00E85342"/>
    <w:rsid w:val="00E91D64"/>
    <w:rsid w:val="00E91F33"/>
    <w:rsid w:val="00E976F5"/>
    <w:rsid w:val="00EA027F"/>
    <w:rsid w:val="00EB1FA3"/>
    <w:rsid w:val="00EB20EE"/>
    <w:rsid w:val="00EB3BA8"/>
    <w:rsid w:val="00EB5DB1"/>
    <w:rsid w:val="00ED0378"/>
    <w:rsid w:val="00EE1413"/>
    <w:rsid w:val="00EF5282"/>
    <w:rsid w:val="00EF7440"/>
    <w:rsid w:val="00F02D61"/>
    <w:rsid w:val="00F033B9"/>
    <w:rsid w:val="00F15250"/>
    <w:rsid w:val="00F1540B"/>
    <w:rsid w:val="00F21096"/>
    <w:rsid w:val="00F226B8"/>
    <w:rsid w:val="00F2297A"/>
    <w:rsid w:val="00F25EB0"/>
    <w:rsid w:val="00F266DC"/>
    <w:rsid w:val="00F272DB"/>
    <w:rsid w:val="00F35F15"/>
    <w:rsid w:val="00F40589"/>
    <w:rsid w:val="00F505BA"/>
    <w:rsid w:val="00F56656"/>
    <w:rsid w:val="00F73E37"/>
    <w:rsid w:val="00F842C5"/>
    <w:rsid w:val="00F86077"/>
    <w:rsid w:val="00F92931"/>
    <w:rsid w:val="00FA12F0"/>
    <w:rsid w:val="00FA2494"/>
    <w:rsid w:val="00FB7225"/>
    <w:rsid w:val="00FC7E94"/>
    <w:rsid w:val="00FD5C7E"/>
    <w:rsid w:val="00FD6963"/>
    <w:rsid w:val="00FD7ADA"/>
    <w:rsid w:val="00FE2EEA"/>
    <w:rsid w:val="00FE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EF574"/>
  <w15:docId w15:val="{68888308-DA45-48A4-9C69-EAF6A90B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09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7D"/>
    <w:pPr>
      <w:ind w:left="720"/>
      <w:contextualSpacing/>
    </w:pPr>
  </w:style>
  <w:style w:type="paragraph" w:styleId="BalloonText">
    <w:name w:val="Balloon Text"/>
    <w:basedOn w:val="Normal"/>
    <w:link w:val="BalloonTextChar"/>
    <w:rsid w:val="00FE2EEA"/>
    <w:rPr>
      <w:rFonts w:ascii="Tahoma" w:hAnsi="Tahoma" w:cs="Tahoma"/>
      <w:sz w:val="16"/>
      <w:szCs w:val="16"/>
    </w:rPr>
  </w:style>
  <w:style w:type="character" w:customStyle="1" w:styleId="BalloonTextChar">
    <w:name w:val="Balloon Text Char"/>
    <w:basedOn w:val="DefaultParagraphFont"/>
    <w:link w:val="BalloonText"/>
    <w:rsid w:val="00FE2EEA"/>
    <w:rPr>
      <w:rFonts w:ascii="Tahoma" w:hAnsi="Tahoma" w:cs="Tahoma"/>
      <w:sz w:val="16"/>
      <w:szCs w:val="16"/>
      <w:lang w:val="en-GB" w:eastAsia="en-GB"/>
    </w:rPr>
  </w:style>
  <w:style w:type="table" w:styleId="TableGrid">
    <w:name w:val="Table Grid"/>
    <w:basedOn w:val="TableNormal"/>
    <w:rsid w:val="00200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79C2"/>
    <w:pPr>
      <w:tabs>
        <w:tab w:val="center" w:pos="4680"/>
        <w:tab w:val="right" w:pos="9360"/>
      </w:tabs>
    </w:pPr>
  </w:style>
  <w:style w:type="character" w:customStyle="1" w:styleId="HeaderChar">
    <w:name w:val="Header Char"/>
    <w:basedOn w:val="DefaultParagraphFont"/>
    <w:link w:val="Header"/>
    <w:rsid w:val="007E79C2"/>
    <w:rPr>
      <w:sz w:val="24"/>
      <w:szCs w:val="24"/>
      <w:lang w:val="en-GB" w:eastAsia="en-GB"/>
    </w:rPr>
  </w:style>
  <w:style w:type="paragraph" w:styleId="Footer">
    <w:name w:val="footer"/>
    <w:basedOn w:val="Normal"/>
    <w:link w:val="FooterChar"/>
    <w:uiPriority w:val="99"/>
    <w:rsid w:val="007E79C2"/>
    <w:pPr>
      <w:tabs>
        <w:tab w:val="center" w:pos="4680"/>
        <w:tab w:val="right" w:pos="9360"/>
      </w:tabs>
    </w:pPr>
  </w:style>
  <w:style w:type="character" w:customStyle="1" w:styleId="FooterChar">
    <w:name w:val="Footer Char"/>
    <w:basedOn w:val="DefaultParagraphFont"/>
    <w:link w:val="Footer"/>
    <w:uiPriority w:val="99"/>
    <w:rsid w:val="007E79C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Wirral Partnership Homes LTD</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maureendavies</dc:creator>
  <cp:lastModifiedBy>Jerry Spencer</cp:lastModifiedBy>
  <cp:revision>13</cp:revision>
  <cp:lastPrinted>2017-05-08T14:00:00Z</cp:lastPrinted>
  <dcterms:created xsi:type="dcterms:W3CDTF">2020-09-09T09:23:00Z</dcterms:created>
  <dcterms:modified xsi:type="dcterms:W3CDTF">2020-10-14T07:51:00Z</dcterms:modified>
</cp:coreProperties>
</file>