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627E" w14:textId="77777777" w:rsidR="00AB124C" w:rsidRPr="00AB124C" w:rsidRDefault="00AB124C" w:rsidP="00AB124C">
      <w:pPr>
        <w:jc w:val="both"/>
        <w:rPr>
          <w:b/>
          <w:lang w:val="en-US"/>
        </w:rPr>
      </w:pPr>
    </w:p>
    <w:p w14:paraId="392D6F04" w14:textId="3BF52009" w:rsidR="00A6728A" w:rsidRPr="00AB124C" w:rsidRDefault="00A6728A" w:rsidP="009716EA">
      <w:pPr>
        <w:jc w:val="center"/>
        <w:rPr>
          <w:b/>
          <w:lang w:val="en-US"/>
        </w:rPr>
      </w:pPr>
      <w:r w:rsidRPr="00AB124C">
        <w:rPr>
          <w:b/>
          <w:lang w:val="en-US"/>
        </w:rPr>
        <w:t>GOSPORT BOROUGH COUNCIL (</w:t>
      </w:r>
      <w:r w:rsidR="006C05DE">
        <w:rPr>
          <w:b/>
          <w:lang w:val="en-US"/>
        </w:rPr>
        <w:t>The Council)</w:t>
      </w:r>
    </w:p>
    <w:p w14:paraId="1F08ADDE" w14:textId="77777777" w:rsidR="00A6728A" w:rsidRPr="00AB124C" w:rsidRDefault="00A6728A" w:rsidP="009716EA">
      <w:pPr>
        <w:jc w:val="center"/>
        <w:rPr>
          <w:b/>
          <w:lang w:val="en-US"/>
        </w:rPr>
      </w:pPr>
    </w:p>
    <w:p w14:paraId="2B02E714" w14:textId="77777777" w:rsidR="008320E9" w:rsidRPr="00AB124C" w:rsidRDefault="00C00D19" w:rsidP="009716EA">
      <w:pPr>
        <w:jc w:val="center"/>
        <w:rPr>
          <w:b/>
          <w:lang w:val="en-US"/>
        </w:rPr>
      </w:pPr>
      <w:r w:rsidRPr="00AB124C">
        <w:rPr>
          <w:b/>
          <w:lang w:val="en-US"/>
        </w:rPr>
        <w:t>INVITATION TO QUOTE (ITQ)</w:t>
      </w:r>
    </w:p>
    <w:p w14:paraId="2967C468" w14:textId="77777777" w:rsidR="00C00D19" w:rsidRPr="00AB124C" w:rsidRDefault="00C00D19" w:rsidP="009716EA">
      <w:pPr>
        <w:jc w:val="center"/>
        <w:rPr>
          <w:b/>
          <w:lang w:val="en-US"/>
        </w:rPr>
      </w:pPr>
    </w:p>
    <w:p w14:paraId="0CE690F7" w14:textId="4032D623" w:rsidR="00C00D19" w:rsidRPr="00AB124C" w:rsidRDefault="00C00D19" w:rsidP="009716EA">
      <w:pPr>
        <w:jc w:val="center"/>
        <w:rPr>
          <w:b/>
          <w:lang w:val="en-US"/>
        </w:rPr>
      </w:pPr>
      <w:r w:rsidRPr="00AB124C">
        <w:rPr>
          <w:b/>
          <w:lang w:val="en-US"/>
        </w:rPr>
        <w:t xml:space="preserve">PUBLISHED: </w:t>
      </w:r>
      <w:r w:rsidR="00212CFB">
        <w:rPr>
          <w:b/>
          <w:color w:val="auto"/>
          <w:lang w:val="en-US"/>
        </w:rPr>
        <w:t>7</w:t>
      </w:r>
      <w:r w:rsidR="00212CFB" w:rsidRPr="00212CFB">
        <w:rPr>
          <w:b/>
          <w:color w:val="auto"/>
          <w:vertAlign w:val="superscript"/>
          <w:lang w:val="en-US"/>
        </w:rPr>
        <w:t>th</w:t>
      </w:r>
      <w:r w:rsidR="00212CFB">
        <w:rPr>
          <w:b/>
          <w:color w:val="auto"/>
          <w:lang w:val="en-US"/>
        </w:rPr>
        <w:t xml:space="preserve"> March</w:t>
      </w:r>
      <w:r w:rsidR="004A1DDB" w:rsidRPr="004A1DDB">
        <w:rPr>
          <w:b/>
          <w:color w:val="auto"/>
          <w:lang w:val="en-US"/>
        </w:rPr>
        <w:t xml:space="preserve"> 2024</w:t>
      </w:r>
      <w:r w:rsidR="004A1DDB">
        <w:rPr>
          <w:b/>
          <w:color w:val="auto"/>
          <w:lang w:val="en-US"/>
        </w:rPr>
        <w:t xml:space="preserve"> </w:t>
      </w:r>
      <w:r w:rsidRPr="00AB124C">
        <w:rPr>
          <w:b/>
          <w:lang w:val="en-US"/>
        </w:rPr>
        <w:t>FOR:</w:t>
      </w:r>
    </w:p>
    <w:p w14:paraId="04541CA4" w14:textId="77777777" w:rsidR="00C00D19" w:rsidRPr="00AB124C" w:rsidRDefault="00C00D19" w:rsidP="009716EA">
      <w:pPr>
        <w:jc w:val="center"/>
        <w:rPr>
          <w:b/>
          <w:lang w:val="en-US"/>
        </w:rPr>
      </w:pPr>
    </w:p>
    <w:p w14:paraId="29DB68F1" w14:textId="77777777" w:rsidR="00C454D3" w:rsidRPr="00C454D3" w:rsidRDefault="00C454D3" w:rsidP="00C454D3">
      <w:pPr>
        <w:jc w:val="center"/>
        <w:rPr>
          <w:b/>
        </w:rPr>
      </w:pPr>
      <w:r w:rsidRPr="00C454D3">
        <w:rPr>
          <w:b/>
        </w:rPr>
        <w:t>Footfall and Visitor Behaviour Reporting</w:t>
      </w:r>
    </w:p>
    <w:p w14:paraId="6155A337" w14:textId="77777777" w:rsidR="00C00D19" w:rsidRPr="00AB124C" w:rsidRDefault="00C00D19" w:rsidP="009716EA">
      <w:pPr>
        <w:jc w:val="center"/>
        <w:rPr>
          <w:b/>
          <w:lang w:val="en-US"/>
        </w:rPr>
      </w:pPr>
    </w:p>
    <w:p w14:paraId="2D6361A1" w14:textId="0EFFE061" w:rsidR="00C00D19" w:rsidRPr="00AB124C" w:rsidRDefault="00C00D19" w:rsidP="009716EA">
      <w:pPr>
        <w:jc w:val="center"/>
        <w:rPr>
          <w:b/>
          <w:lang w:val="en-US"/>
        </w:rPr>
      </w:pPr>
      <w:r w:rsidRPr="00AB124C">
        <w:rPr>
          <w:b/>
          <w:lang w:val="en-US"/>
        </w:rPr>
        <w:t>RESPONSE DEADLINE</w:t>
      </w:r>
      <w:r w:rsidRPr="004A1DDB">
        <w:rPr>
          <w:b/>
          <w:lang w:val="en-US"/>
        </w:rPr>
        <w:t xml:space="preserve">: </w:t>
      </w:r>
      <w:r w:rsidR="00212CFB">
        <w:rPr>
          <w:b/>
          <w:lang w:val="en-US"/>
        </w:rPr>
        <w:t>28</w:t>
      </w:r>
      <w:r w:rsidR="004A1DDB" w:rsidRPr="004A1DDB">
        <w:rPr>
          <w:b/>
          <w:vertAlign w:val="superscript"/>
          <w:lang w:val="en-US"/>
        </w:rPr>
        <w:t>th</w:t>
      </w:r>
      <w:r w:rsidR="004A1DDB" w:rsidRPr="004A1DDB">
        <w:rPr>
          <w:b/>
          <w:lang w:val="en-US"/>
        </w:rPr>
        <w:t xml:space="preserve"> March 2024</w:t>
      </w:r>
      <w:r w:rsidR="00C0061F">
        <w:rPr>
          <w:b/>
          <w:lang w:val="en-US"/>
        </w:rPr>
        <w:t>, 12.00</w:t>
      </w:r>
      <w:r w:rsidR="00B21C29">
        <w:rPr>
          <w:b/>
          <w:lang w:val="en-US"/>
        </w:rPr>
        <w:t>pm</w:t>
      </w:r>
      <w:r w:rsidR="00C0061F">
        <w:rPr>
          <w:b/>
          <w:lang w:val="en-US"/>
        </w:rPr>
        <w:t xml:space="preserve"> </w:t>
      </w:r>
      <w:r w:rsidR="00B21C29">
        <w:rPr>
          <w:b/>
          <w:lang w:val="en-US"/>
        </w:rPr>
        <w:t>(</w:t>
      </w:r>
      <w:r w:rsidR="00C0061F">
        <w:rPr>
          <w:b/>
          <w:lang w:val="en-US"/>
        </w:rPr>
        <w:t>noon</w:t>
      </w:r>
      <w:r w:rsidR="00B21C29">
        <w:rPr>
          <w:b/>
          <w:lang w:val="en-US"/>
        </w:rPr>
        <w:t>)</w:t>
      </w:r>
    </w:p>
    <w:p w14:paraId="58A51F80" w14:textId="77777777" w:rsidR="00C00D19" w:rsidRPr="00AB124C" w:rsidRDefault="00C00D19" w:rsidP="00AB124C">
      <w:pPr>
        <w:jc w:val="both"/>
        <w:rPr>
          <w:b/>
          <w:lang w:val="en-US"/>
        </w:rPr>
      </w:pPr>
    </w:p>
    <w:sdt>
      <w:sdtPr>
        <w:rPr>
          <w:rFonts w:eastAsiaTheme="minorHAnsi" w:cs="Arial"/>
          <w:b w:val="0"/>
          <w:color w:val="000000" w:themeColor="text1"/>
          <w:szCs w:val="24"/>
          <w:u w:val="none"/>
          <w:lang w:val="en-GB"/>
        </w:rPr>
        <w:id w:val="750856773"/>
        <w:docPartObj>
          <w:docPartGallery w:val="Table of Contents"/>
          <w:docPartUnique/>
        </w:docPartObj>
      </w:sdtPr>
      <w:sdtEndPr>
        <w:rPr>
          <w:bCs/>
          <w:noProof/>
        </w:rPr>
      </w:sdtEndPr>
      <w:sdtContent>
        <w:p w14:paraId="51B64C50" w14:textId="77777777" w:rsidR="00C00D19" w:rsidRPr="00AB124C" w:rsidRDefault="00C00D19" w:rsidP="00AB124C">
          <w:pPr>
            <w:pStyle w:val="TOCHeading"/>
            <w:jc w:val="both"/>
            <w:rPr>
              <w:rFonts w:cs="Arial"/>
              <w:szCs w:val="24"/>
            </w:rPr>
          </w:pPr>
          <w:r w:rsidRPr="00AB124C">
            <w:rPr>
              <w:rFonts w:cs="Arial"/>
              <w:szCs w:val="24"/>
            </w:rPr>
            <w:t>Contents</w:t>
          </w:r>
        </w:p>
        <w:p w14:paraId="599A7898" w14:textId="77777777" w:rsidR="00A76F29" w:rsidRPr="00AB124C" w:rsidRDefault="00A76F29" w:rsidP="00AB124C">
          <w:pPr>
            <w:jc w:val="both"/>
            <w:rPr>
              <w:lang w:val="en-US"/>
            </w:rPr>
          </w:pPr>
        </w:p>
        <w:p w14:paraId="0B11D960" w14:textId="13D654FA" w:rsidR="0029454D" w:rsidRDefault="00C00D19">
          <w:pPr>
            <w:pStyle w:val="TOC1"/>
            <w:tabs>
              <w:tab w:val="left" w:pos="440"/>
              <w:tab w:val="right" w:leader="dot" w:pos="9016"/>
            </w:tabs>
            <w:rPr>
              <w:rFonts w:asciiTheme="minorHAnsi" w:eastAsiaTheme="minorEastAsia" w:hAnsiTheme="minorHAnsi" w:cstheme="minorBidi"/>
              <w:noProof/>
              <w:color w:val="auto"/>
              <w:sz w:val="22"/>
              <w:szCs w:val="22"/>
              <w:lang w:eastAsia="en-GB"/>
            </w:rPr>
          </w:pPr>
          <w:r w:rsidRPr="00AB124C">
            <w:lastRenderedPageBreak/>
            <w:fldChar w:fldCharType="begin"/>
          </w:r>
          <w:r w:rsidRPr="00AB124C">
            <w:instrText xml:space="preserve"> TOC \o "1-3" \h \z \u </w:instrText>
          </w:r>
          <w:r w:rsidRPr="00AB124C">
            <w:fldChar w:fldCharType="separate"/>
          </w:r>
          <w:hyperlink w:anchor="_Toc160547775" w:history="1">
            <w:r w:rsidR="0029454D" w:rsidRPr="005E1180">
              <w:rPr>
                <w:rStyle w:val="Hyperlink"/>
                <w:noProof/>
                <w:lang w:val="en-US"/>
              </w:rPr>
              <w:t>1.</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Introduction</w:t>
            </w:r>
            <w:r w:rsidR="0029454D">
              <w:rPr>
                <w:noProof/>
                <w:webHidden/>
              </w:rPr>
              <w:tab/>
            </w:r>
            <w:r w:rsidR="0029454D">
              <w:rPr>
                <w:noProof/>
                <w:webHidden/>
              </w:rPr>
              <w:fldChar w:fldCharType="begin"/>
            </w:r>
            <w:r w:rsidR="0029454D">
              <w:rPr>
                <w:noProof/>
                <w:webHidden/>
              </w:rPr>
              <w:instrText xml:space="preserve"> PAGEREF _Toc160547775 \h </w:instrText>
            </w:r>
            <w:r w:rsidR="0029454D">
              <w:rPr>
                <w:noProof/>
                <w:webHidden/>
              </w:rPr>
            </w:r>
            <w:r w:rsidR="0029454D">
              <w:rPr>
                <w:noProof/>
                <w:webHidden/>
              </w:rPr>
              <w:fldChar w:fldCharType="separate"/>
            </w:r>
            <w:r w:rsidR="0029454D">
              <w:rPr>
                <w:noProof/>
                <w:webHidden/>
              </w:rPr>
              <w:t>2</w:t>
            </w:r>
            <w:r w:rsidR="0029454D">
              <w:rPr>
                <w:noProof/>
                <w:webHidden/>
              </w:rPr>
              <w:fldChar w:fldCharType="end"/>
            </w:r>
          </w:hyperlink>
        </w:p>
        <w:p w14:paraId="46CCF564" w14:textId="7ABA1214"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76" w:history="1">
            <w:r w:rsidR="0029454D" w:rsidRPr="005E1180">
              <w:rPr>
                <w:rStyle w:val="Hyperlink"/>
                <w:noProof/>
                <w:lang w:val="en-US"/>
              </w:rPr>
              <w:t>2.</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Specification / Requirements</w:t>
            </w:r>
            <w:r w:rsidR="0029454D">
              <w:rPr>
                <w:noProof/>
                <w:webHidden/>
              </w:rPr>
              <w:tab/>
            </w:r>
            <w:r w:rsidR="0029454D">
              <w:rPr>
                <w:noProof/>
                <w:webHidden/>
              </w:rPr>
              <w:fldChar w:fldCharType="begin"/>
            </w:r>
            <w:r w:rsidR="0029454D">
              <w:rPr>
                <w:noProof/>
                <w:webHidden/>
              </w:rPr>
              <w:instrText xml:space="preserve"> PAGEREF _Toc160547776 \h </w:instrText>
            </w:r>
            <w:r w:rsidR="0029454D">
              <w:rPr>
                <w:noProof/>
                <w:webHidden/>
              </w:rPr>
            </w:r>
            <w:r w:rsidR="0029454D">
              <w:rPr>
                <w:noProof/>
                <w:webHidden/>
              </w:rPr>
              <w:fldChar w:fldCharType="separate"/>
            </w:r>
            <w:r w:rsidR="0029454D">
              <w:rPr>
                <w:noProof/>
                <w:webHidden/>
              </w:rPr>
              <w:t>2</w:t>
            </w:r>
            <w:r w:rsidR="0029454D">
              <w:rPr>
                <w:noProof/>
                <w:webHidden/>
              </w:rPr>
              <w:fldChar w:fldCharType="end"/>
            </w:r>
          </w:hyperlink>
        </w:p>
        <w:p w14:paraId="3FEEDC0A" w14:textId="582C3562"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77" w:history="1">
            <w:r w:rsidR="0029454D" w:rsidRPr="005E1180">
              <w:rPr>
                <w:rStyle w:val="Hyperlink"/>
                <w:noProof/>
                <w:lang w:val="en-US"/>
              </w:rPr>
              <w:t>3.</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Insurance</w:t>
            </w:r>
            <w:r w:rsidR="0029454D">
              <w:rPr>
                <w:noProof/>
                <w:webHidden/>
              </w:rPr>
              <w:tab/>
            </w:r>
            <w:r w:rsidR="0029454D">
              <w:rPr>
                <w:noProof/>
                <w:webHidden/>
              </w:rPr>
              <w:fldChar w:fldCharType="begin"/>
            </w:r>
            <w:r w:rsidR="0029454D">
              <w:rPr>
                <w:noProof/>
                <w:webHidden/>
              </w:rPr>
              <w:instrText xml:space="preserve"> PAGEREF _Toc160547777 \h </w:instrText>
            </w:r>
            <w:r w:rsidR="0029454D">
              <w:rPr>
                <w:noProof/>
                <w:webHidden/>
              </w:rPr>
            </w:r>
            <w:r w:rsidR="0029454D">
              <w:rPr>
                <w:noProof/>
                <w:webHidden/>
              </w:rPr>
              <w:fldChar w:fldCharType="separate"/>
            </w:r>
            <w:r w:rsidR="0029454D">
              <w:rPr>
                <w:noProof/>
                <w:webHidden/>
              </w:rPr>
              <w:t>3</w:t>
            </w:r>
            <w:r w:rsidR="0029454D">
              <w:rPr>
                <w:noProof/>
                <w:webHidden/>
              </w:rPr>
              <w:fldChar w:fldCharType="end"/>
            </w:r>
          </w:hyperlink>
        </w:p>
        <w:p w14:paraId="497C35E3" w14:textId="75F77225"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78" w:history="1">
            <w:r w:rsidR="0029454D" w:rsidRPr="005E1180">
              <w:rPr>
                <w:rStyle w:val="Hyperlink"/>
                <w:noProof/>
                <w:lang w:val="en-US"/>
              </w:rPr>
              <w:t>4.</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Procurement Timetable</w:t>
            </w:r>
            <w:r w:rsidR="0029454D">
              <w:rPr>
                <w:noProof/>
                <w:webHidden/>
              </w:rPr>
              <w:tab/>
            </w:r>
            <w:r w:rsidR="0029454D">
              <w:rPr>
                <w:noProof/>
                <w:webHidden/>
              </w:rPr>
              <w:fldChar w:fldCharType="begin"/>
            </w:r>
            <w:r w:rsidR="0029454D">
              <w:rPr>
                <w:noProof/>
                <w:webHidden/>
              </w:rPr>
              <w:instrText xml:space="preserve"> PAGEREF _Toc160547778 \h </w:instrText>
            </w:r>
            <w:r w:rsidR="0029454D">
              <w:rPr>
                <w:noProof/>
                <w:webHidden/>
              </w:rPr>
            </w:r>
            <w:r w:rsidR="0029454D">
              <w:rPr>
                <w:noProof/>
                <w:webHidden/>
              </w:rPr>
              <w:fldChar w:fldCharType="separate"/>
            </w:r>
            <w:r w:rsidR="0029454D">
              <w:rPr>
                <w:noProof/>
                <w:webHidden/>
              </w:rPr>
              <w:t>3</w:t>
            </w:r>
            <w:r w:rsidR="0029454D">
              <w:rPr>
                <w:noProof/>
                <w:webHidden/>
              </w:rPr>
              <w:fldChar w:fldCharType="end"/>
            </w:r>
          </w:hyperlink>
        </w:p>
        <w:p w14:paraId="3D2C1F87" w14:textId="3B9863BE"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79" w:history="1">
            <w:r w:rsidR="0029454D" w:rsidRPr="005E1180">
              <w:rPr>
                <w:rStyle w:val="Hyperlink"/>
                <w:noProof/>
                <w:lang w:val="en-US"/>
              </w:rPr>
              <w:t>5.</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Instructions on submitting a response</w:t>
            </w:r>
            <w:r w:rsidR="0029454D">
              <w:rPr>
                <w:noProof/>
                <w:webHidden/>
              </w:rPr>
              <w:tab/>
            </w:r>
            <w:r w:rsidR="0029454D">
              <w:rPr>
                <w:noProof/>
                <w:webHidden/>
              </w:rPr>
              <w:fldChar w:fldCharType="begin"/>
            </w:r>
            <w:r w:rsidR="0029454D">
              <w:rPr>
                <w:noProof/>
                <w:webHidden/>
              </w:rPr>
              <w:instrText xml:space="preserve"> PAGEREF _Toc160547779 \h </w:instrText>
            </w:r>
            <w:r w:rsidR="0029454D">
              <w:rPr>
                <w:noProof/>
                <w:webHidden/>
              </w:rPr>
            </w:r>
            <w:r w:rsidR="0029454D">
              <w:rPr>
                <w:noProof/>
                <w:webHidden/>
              </w:rPr>
              <w:fldChar w:fldCharType="separate"/>
            </w:r>
            <w:r w:rsidR="0029454D">
              <w:rPr>
                <w:noProof/>
                <w:webHidden/>
              </w:rPr>
              <w:t>4</w:t>
            </w:r>
            <w:r w:rsidR="0029454D">
              <w:rPr>
                <w:noProof/>
                <w:webHidden/>
              </w:rPr>
              <w:fldChar w:fldCharType="end"/>
            </w:r>
          </w:hyperlink>
        </w:p>
        <w:p w14:paraId="60C2649E" w14:textId="726556C2"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80" w:history="1">
            <w:r w:rsidR="0029454D" w:rsidRPr="005E1180">
              <w:rPr>
                <w:rStyle w:val="Hyperlink"/>
                <w:noProof/>
                <w:lang w:val="en-US"/>
              </w:rPr>
              <w:t>6.</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Clarifications</w:t>
            </w:r>
            <w:r w:rsidR="0029454D">
              <w:rPr>
                <w:noProof/>
                <w:webHidden/>
              </w:rPr>
              <w:tab/>
            </w:r>
            <w:r w:rsidR="0029454D">
              <w:rPr>
                <w:noProof/>
                <w:webHidden/>
              </w:rPr>
              <w:fldChar w:fldCharType="begin"/>
            </w:r>
            <w:r w:rsidR="0029454D">
              <w:rPr>
                <w:noProof/>
                <w:webHidden/>
              </w:rPr>
              <w:instrText xml:space="preserve"> PAGEREF _Toc160547780 \h </w:instrText>
            </w:r>
            <w:r w:rsidR="0029454D">
              <w:rPr>
                <w:noProof/>
                <w:webHidden/>
              </w:rPr>
            </w:r>
            <w:r w:rsidR="0029454D">
              <w:rPr>
                <w:noProof/>
                <w:webHidden/>
              </w:rPr>
              <w:fldChar w:fldCharType="separate"/>
            </w:r>
            <w:r w:rsidR="0029454D">
              <w:rPr>
                <w:noProof/>
                <w:webHidden/>
              </w:rPr>
              <w:t>5</w:t>
            </w:r>
            <w:r w:rsidR="0029454D">
              <w:rPr>
                <w:noProof/>
                <w:webHidden/>
              </w:rPr>
              <w:fldChar w:fldCharType="end"/>
            </w:r>
          </w:hyperlink>
        </w:p>
        <w:p w14:paraId="1C9AF4CA" w14:textId="17B854A8"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81" w:history="1">
            <w:r w:rsidR="0029454D" w:rsidRPr="005E1180">
              <w:rPr>
                <w:rStyle w:val="Hyperlink"/>
                <w:noProof/>
                <w:lang w:val="en-US"/>
              </w:rPr>
              <w:t>7.</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Evaluation</w:t>
            </w:r>
            <w:r w:rsidR="0029454D">
              <w:rPr>
                <w:noProof/>
                <w:webHidden/>
              </w:rPr>
              <w:tab/>
            </w:r>
            <w:r w:rsidR="0029454D">
              <w:rPr>
                <w:noProof/>
                <w:webHidden/>
              </w:rPr>
              <w:fldChar w:fldCharType="begin"/>
            </w:r>
            <w:r w:rsidR="0029454D">
              <w:rPr>
                <w:noProof/>
                <w:webHidden/>
              </w:rPr>
              <w:instrText xml:space="preserve"> PAGEREF _Toc160547781 \h </w:instrText>
            </w:r>
            <w:r w:rsidR="0029454D">
              <w:rPr>
                <w:noProof/>
                <w:webHidden/>
              </w:rPr>
            </w:r>
            <w:r w:rsidR="0029454D">
              <w:rPr>
                <w:noProof/>
                <w:webHidden/>
              </w:rPr>
              <w:fldChar w:fldCharType="separate"/>
            </w:r>
            <w:r w:rsidR="0029454D">
              <w:rPr>
                <w:noProof/>
                <w:webHidden/>
              </w:rPr>
              <w:t>5</w:t>
            </w:r>
            <w:r w:rsidR="0029454D">
              <w:rPr>
                <w:noProof/>
                <w:webHidden/>
              </w:rPr>
              <w:fldChar w:fldCharType="end"/>
            </w:r>
          </w:hyperlink>
        </w:p>
        <w:p w14:paraId="7FADB8BA" w14:textId="3468D046"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82" w:history="1">
            <w:r w:rsidR="0029454D" w:rsidRPr="005E1180">
              <w:rPr>
                <w:rStyle w:val="Hyperlink"/>
                <w:noProof/>
                <w:lang w:val="en-US"/>
              </w:rPr>
              <w:t>8.</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Award</w:t>
            </w:r>
            <w:r w:rsidR="0029454D">
              <w:rPr>
                <w:noProof/>
                <w:webHidden/>
              </w:rPr>
              <w:tab/>
            </w:r>
            <w:r w:rsidR="0029454D">
              <w:rPr>
                <w:noProof/>
                <w:webHidden/>
              </w:rPr>
              <w:fldChar w:fldCharType="begin"/>
            </w:r>
            <w:r w:rsidR="0029454D">
              <w:rPr>
                <w:noProof/>
                <w:webHidden/>
              </w:rPr>
              <w:instrText xml:space="preserve"> PAGEREF _Toc160547782 \h </w:instrText>
            </w:r>
            <w:r w:rsidR="0029454D">
              <w:rPr>
                <w:noProof/>
                <w:webHidden/>
              </w:rPr>
            </w:r>
            <w:r w:rsidR="0029454D">
              <w:rPr>
                <w:noProof/>
                <w:webHidden/>
              </w:rPr>
              <w:fldChar w:fldCharType="separate"/>
            </w:r>
            <w:r w:rsidR="0029454D">
              <w:rPr>
                <w:noProof/>
                <w:webHidden/>
              </w:rPr>
              <w:t>7</w:t>
            </w:r>
            <w:r w:rsidR="0029454D">
              <w:rPr>
                <w:noProof/>
                <w:webHidden/>
              </w:rPr>
              <w:fldChar w:fldCharType="end"/>
            </w:r>
          </w:hyperlink>
        </w:p>
        <w:p w14:paraId="4694C57C" w14:textId="0BA7F0FD" w:rsidR="0029454D" w:rsidRDefault="0075717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160547783" w:history="1">
            <w:r w:rsidR="0029454D" w:rsidRPr="005E1180">
              <w:rPr>
                <w:rStyle w:val="Hyperlink"/>
                <w:noProof/>
                <w:lang w:val="en-US"/>
              </w:rPr>
              <w:t>9.</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Terms and Conditions</w:t>
            </w:r>
            <w:r w:rsidR="0029454D">
              <w:rPr>
                <w:noProof/>
                <w:webHidden/>
              </w:rPr>
              <w:tab/>
            </w:r>
            <w:r w:rsidR="0029454D">
              <w:rPr>
                <w:noProof/>
                <w:webHidden/>
              </w:rPr>
              <w:fldChar w:fldCharType="begin"/>
            </w:r>
            <w:r w:rsidR="0029454D">
              <w:rPr>
                <w:noProof/>
                <w:webHidden/>
              </w:rPr>
              <w:instrText xml:space="preserve"> PAGEREF _Toc160547783 \h </w:instrText>
            </w:r>
            <w:r w:rsidR="0029454D">
              <w:rPr>
                <w:noProof/>
                <w:webHidden/>
              </w:rPr>
            </w:r>
            <w:r w:rsidR="0029454D">
              <w:rPr>
                <w:noProof/>
                <w:webHidden/>
              </w:rPr>
              <w:fldChar w:fldCharType="separate"/>
            </w:r>
            <w:r w:rsidR="0029454D">
              <w:rPr>
                <w:noProof/>
                <w:webHidden/>
              </w:rPr>
              <w:t>8</w:t>
            </w:r>
            <w:r w:rsidR="0029454D">
              <w:rPr>
                <w:noProof/>
                <w:webHidden/>
              </w:rPr>
              <w:fldChar w:fldCharType="end"/>
            </w:r>
          </w:hyperlink>
        </w:p>
        <w:p w14:paraId="54690115" w14:textId="2C38853D" w:rsidR="0029454D" w:rsidRDefault="00757173">
          <w:pPr>
            <w:pStyle w:val="TOC1"/>
            <w:tabs>
              <w:tab w:val="left" w:pos="660"/>
              <w:tab w:val="right" w:leader="dot" w:pos="9016"/>
            </w:tabs>
            <w:rPr>
              <w:rFonts w:asciiTheme="minorHAnsi" w:eastAsiaTheme="minorEastAsia" w:hAnsiTheme="minorHAnsi" w:cstheme="minorBidi"/>
              <w:noProof/>
              <w:color w:val="auto"/>
              <w:sz w:val="22"/>
              <w:szCs w:val="22"/>
              <w:lang w:eastAsia="en-GB"/>
            </w:rPr>
          </w:pPr>
          <w:hyperlink w:anchor="_Toc160547784" w:history="1">
            <w:r w:rsidR="0029454D" w:rsidRPr="005E1180">
              <w:rPr>
                <w:rStyle w:val="Hyperlink"/>
                <w:noProof/>
                <w:lang w:val="en-US"/>
              </w:rPr>
              <w:t>10.</w:t>
            </w:r>
            <w:r w:rsidR="0029454D">
              <w:rPr>
                <w:rFonts w:asciiTheme="minorHAnsi" w:eastAsiaTheme="minorEastAsia" w:hAnsiTheme="minorHAnsi" w:cstheme="minorBidi"/>
                <w:noProof/>
                <w:color w:val="auto"/>
                <w:sz w:val="22"/>
                <w:szCs w:val="22"/>
                <w:lang w:eastAsia="en-GB"/>
              </w:rPr>
              <w:tab/>
            </w:r>
            <w:r w:rsidR="0029454D" w:rsidRPr="005E1180">
              <w:rPr>
                <w:rStyle w:val="Hyperlink"/>
                <w:noProof/>
                <w:lang w:val="en-US"/>
              </w:rPr>
              <w:t>Conduct and Conflicts of interest</w:t>
            </w:r>
            <w:r w:rsidR="0029454D">
              <w:rPr>
                <w:noProof/>
                <w:webHidden/>
              </w:rPr>
              <w:tab/>
            </w:r>
            <w:r w:rsidR="0029454D">
              <w:rPr>
                <w:noProof/>
                <w:webHidden/>
              </w:rPr>
              <w:fldChar w:fldCharType="begin"/>
            </w:r>
            <w:r w:rsidR="0029454D">
              <w:rPr>
                <w:noProof/>
                <w:webHidden/>
              </w:rPr>
              <w:instrText xml:space="preserve"> PAGEREF _Toc160547784 \h </w:instrText>
            </w:r>
            <w:r w:rsidR="0029454D">
              <w:rPr>
                <w:noProof/>
                <w:webHidden/>
              </w:rPr>
            </w:r>
            <w:r w:rsidR="0029454D">
              <w:rPr>
                <w:noProof/>
                <w:webHidden/>
              </w:rPr>
              <w:fldChar w:fldCharType="separate"/>
            </w:r>
            <w:r w:rsidR="0029454D">
              <w:rPr>
                <w:noProof/>
                <w:webHidden/>
              </w:rPr>
              <w:t>8</w:t>
            </w:r>
            <w:r w:rsidR="0029454D">
              <w:rPr>
                <w:noProof/>
                <w:webHidden/>
              </w:rPr>
              <w:fldChar w:fldCharType="end"/>
            </w:r>
          </w:hyperlink>
        </w:p>
        <w:p w14:paraId="492C1F38" w14:textId="718EB710" w:rsidR="00C00D19" w:rsidRPr="00AB124C" w:rsidRDefault="00C00D19" w:rsidP="00AB124C">
          <w:pPr>
            <w:jc w:val="both"/>
          </w:pPr>
          <w:r w:rsidRPr="00AB124C">
            <w:rPr>
              <w:b/>
              <w:bCs/>
              <w:noProof/>
            </w:rPr>
            <w:fldChar w:fldCharType="end"/>
          </w:r>
        </w:p>
      </w:sdtContent>
    </w:sdt>
    <w:p w14:paraId="522870D6" w14:textId="77777777" w:rsidR="006C05DE" w:rsidRDefault="00132092" w:rsidP="006C05DE">
      <w:pPr>
        <w:jc w:val="both"/>
        <w:rPr>
          <w:lang w:val="en-US"/>
        </w:rPr>
      </w:pPr>
      <w:r>
        <w:rPr>
          <w:lang w:val="en-US"/>
        </w:rPr>
        <w:t>Appendices:</w:t>
      </w:r>
    </w:p>
    <w:p w14:paraId="4F3ABD4D" w14:textId="1BCDD61B" w:rsidR="006C05DE" w:rsidRPr="006C05DE" w:rsidRDefault="006C05DE" w:rsidP="0029454D">
      <w:pPr>
        <w:pStyle w:val="ListParagraph"/>
        <w:numPr>
          <w:ilvl w:val="0"/>
          <w:numId w:val="18"/>
        </w:numPr>
        <w:jc w:val="both"/>
        <w:rPr>
          <w:lang w:val="en-US"/>
        </w:rPr>
      </w:pPr>
      <w:r w:rsidRPr="006C05DE">
        <w:rPr>
          <w:lang w:val="en-US"/>
        </w:rPr>
        <w:lastRenderedPageBreak/>
        <w:t>ITQ Response Document</w:t>
      </w:r>
    </w:p>
    <w:p w14:paraId="2F4133F1" w14:textId="1D32DC01" w:rsidR="006C05DE" w:rsidRDefault="006C05DE" w:rsidP="0029454D">
      <w:pPr>
        <w:pStyle w:val="ListParagraph"/>
        <w:numPr>
          <w:ilvl w:val="0"/>
          <w:numId w:val="18"/>
        </w:numPr>
        <w:jc w:val="both"/>
        <w:rPr>
          <w:lang w:val="en-US"/>
        </w:rPr>
      </w:pPr>
      <w:r w:rsidRPr="006C05DE">
        <w:rPr>
          <w:lang w:val="en-US"/>
        </w:rPr>
        <w:t>Contract Draft</w:t>
      </w:r>
    </w:p>
    <w:p w14:paraId="432ED247" w14:textId="77777777" w:rsidR="006C05DE" w:rsidRPr="006C05DE" w:rsidRDefault="006C05DE" w:rsidP="006C05DE">
      <w:pPr>
        <w:pStyle w:val="ListParagraph"/>
        <w:ind w:left="1080"/>
        <w:jc w:val="both"/>
        <w:rPr>
          <w:lang w:val="en-US"/>
        </w:rPr>
      </w:pPr>
    </w:p>
    <w:p w14:paraId="3CB6818F" w14:textId="598A71EB" w:rsidR="00415D04" w:rsidRPr="006C05DE" w:rsidRDefault="00415D04" w:rsidP="006C05DE">
      <w:pPr>
        <w:pStyle w:val="ListParagraph"/>
        <w:numPr>
          <w:ilvl w:val="0"/>
          <w:numId w:val="17"/>
        </w:numPr>
        <w:jc w:val="both"/>
        <w:rPr>
          <w:lang w:val="en-US"/>
        </w:rPr>
      </w:pPr>
      <w:r w:rsidRPr="006C05DE">
        <w:rPr>
          <w:lang w:val="en-US"/>
        </w:rPr>
        <w:br w:type="page"/>
      </w:r>
    </w:p>
    <w:p w14:paraId="4095191A" w14:textId="77777777" w:rsidR="00C00D19" w:rsidRPr="00AB124C" w:rsidRDefault="00C00D19" w:rsidP="00AB124C">
      <w:pPr>
        <w:pStyle w:val="Heading1"/>
        <w:numPr>
          <w:ilvl w:val="0"/>
          <w:numId w:val="1"/>
        </w:numPr>
        <w:ind w:left="426" w:hanging="426"/>
        <w:jc w:val="both"/>
        <w:rPr>
          <w:rFonts w:cs="Arial"/>
          <w:szCs w:val="24"/>
          <w:lang w:val="en-US"/>
        </w:rPr>
      </w:pPr>
      <w:bookmarkStart w:id="0" w:name="_Toc160547775"/>
      <w:r w:rsidRPr="00AB124C">
        <w:rPr>
          <w:rFonts w:cs="Arial"/>
          <w:szCs w:val="24"/>
          <w:lang w:val="en-US"/>
        </w:rPr>
        <w:lastRenderedPageBreak/>
        <w:t>Introduction</w:t>
      </w:r>
      <w:bookmarkEnd w:id="0"/>
    </w:p>
    <w:p w14:paraId="58E50A88" w14:textId="0FAE1110" w:rsidR="00D85C57" w:rsidRDefault="006C05DE" w:rsidP="00AB124C">
      <w:pPr>
        <w:jc w:val="both"/>
        <w:rPr>
          <w:color w:val="auto"/>
          <w:lang w:val="en-US"/>
        </w:rPr>
      </w:pPr>
      <w:r>
        <w:rPr>
          <w:color w:val="auto"/>
          <w:lang w:val="en-US"/>
        </w:rPr>
        <w:t>The Council</w:t>
      </w:r>
      <w:r w:rsidR="00C454D3" w:rsidRPr="006A78A6">
        <w:rPr>
          <w:color w:val="auto"/>
          <w:lang w:val="en-US"/>
        </w:rPr>
        <w:t xml:space="preserve"> is inviting quotations for the provision of footfall and visitor behavior data to inform policy and investment in the area. </w:t>
      </w:r>
    </w:p>
    <w:p w14:paraId="65D1E3E9" w14:textId="77777777" w:rsidR="00C5163E" w:rsidRDefault="00C5163E" w:rsidP="00AB124C">
      <w:pPr>
        <w:jc w:val="both"/>
        <w:rPr>
          <w:color w:val="auto"/>
          <w:lang w:val="en-US"/>
        </w:rPr>
      </w:pPr>
    </w:p>
    <w:p w14:paraId="4021600D" w14:textId="1E069EDB" w:rsidR="00C5163E" w:rsidRPr="00C454D3" w:rsidRDefault="003523D7" w:rsidP="00C5163E">
      <w:pPr>
        <w:jc w:val="both"/>
        <w:rPr>
          <w:color w:val="auto"/>
          <w:lang w:val="en-US"/>
        </w:rPr>
      </w:pPr>
      <w:r>
        <w:rPr>
          <w:color w:val="auto"/>
          <w:lang w:val="en-US"/>
        </w:rPr>
        <w:t>The Council</w:t>
      </w:r>
      <w:r w:rsidR="006C05DE">
        <w:rPr>
          <w:color w:val="auto"/>
          <w:lang w:val="en-US"/>
        </w:rPr>
        <w:t xml:space="preserve"> is</w:t>
      </w:r>
      <w:r w:rsidR="00C5163E">
        <w:rPr>
          <w:color w:val="auto"/>
          <w:lang w:val="en-US"/>
        </w:rPr>
        <w:t xml:space="preserve"> looking to commi</w:t>
      </w:r>
      <w:r>
        <w:rPr>
          <w:color w:val="auto"/>
          <w:lang w:val="en-US"/>
        </w:rPr>
        <w:t>ss</w:t>
      </w:r>
      <w:r w:rsidR="006C05DE">
        <w:rPr>
          <w:color w:val="auto"/>
          <w:lang w:val="en-US"/>
        </w:rPr>
        <w:t>ion a programme that allows it</w:t>
      </w:r>
      <w:r w:rsidR="00C5163E">
        <w:rPr>
          <w:color w:val="auto"/>
          <w:lang w:val="en-US"/>
        </w:rPr>
        <w:t xml:space="preserve"> to monitor this information across </w:t>
      </w:r>
      <w:r w:rsidR="00394AEA">
        <w:rPr>
          <w:color w:val="auto"/>
          <w:lang w:val="en-US"/>
        </w:rPr>
        <w:t>the town</w:t>
      </w:r>
      <w:r w:rsidR="00C5163E">
        <w:rPr>
          <w:color w:val="auto"/>
          <w:lang w:val="en-US"/>
        </w:rPr>
        <w:t xml:space="preserve">, with the ability to hone into </w:t>
      </w:r>
      <w:r>
        <w:rPr>
          <w:color w:val="auto"/>
          <w:lang w:val="en-US"/>
        </w:rPr>
        <w:t>smaller geographical areas as</w:t>
      </w:r>
      <w:r w:rsidR="00C5163E">
        <w:rPr>
          <w:color w:val="auto"/>
          <w:lang w:val="en-US"/>
        </w:rPr>
        <w:t xml:space="preserve"> require</w:t>
      </w:r>
      <w:r>
        <w:rPr>
          <w:color w:val="auto"/>
          <w:lang w:val="en-US"/>
        </w:rPr>
        <w:t>d</w:t>
      </w:r>
      <w:r w:rsidR="00C5163E">
        <w:rPr>
          <w:color w:val="auto"/>
          <w:lang w:val="en-US"/>
        </w:rPr>
        <w:t xml:space="preserve">, the provision of a monthly summary report, showing trends and comparisons against historic data for the larger areas, and access to demographic data on a digital platform that can be accessed by </w:t>
      </w:r>
      <w:r w:rsidR="00394AEA">
        <w:rPr>
          <w:color w:val="auto"/>
          <w:lang w:val="en-US"/>
        </w:rPr>
        <w:t>Council staff.  The</w:t>
      </w:r>
      <w:r w:rsidR="00C5163E">
        <w:rPr>
          <w:color w:val="auto"/>
          <w:lang w:val="en-US"/>
        </w:rPr>
        <w:t xml:space="preserve"> contract price should cover costs associated with training </w:t>
      </w:r>
      <w:r w:rsidR="00394AEA">
        <w:rPr>
          <w:color w:val="auto"/>
          <w:lang w:val="en-US"/>
        </w:rPr>
        <w:t>Council</w:t>
      </w:r>
      <w:r w:rsidR="00C5163E">
        <w:rPr>
          <w:color w:val="auto"/>
          <w:lang w:val="en-US"/>
        </w:rPr>
        <w:t xml:space="preserve"> staff (for the duration of the contract) to use this platform to extrapolate data in-house and offer continuing support as and when required.</w:t>
      </w:r>
    </w:p>
    <w:p w14:paraId="3C94A7E1" w14:textId="77777777" w:rsidR="00D85C57" w:rsidRPr="00AB124C" w:rsidRDefault="00D85C57" w:rsidP="00AB124C">
      <w:pPr>
        <w:jc w:val="both"/>
        <w:rPr>
          <w:color w:val="4F81BD" w:themeColor="accent1"/>
          <w:lang w:val="en-US"/>
        </w:rPr>
      </w:pPr>
    </w:p>
    <w:p w14:paraId="2DF927F9" w14:textId="77777777" w:rsidR="00C00D19" w:rsidRPr="00AB124C" w:rsidRDefault="00C00D19" w:rsidP="00AB124C">
      <w:pPr>
        <w:pStyle w:val="Heading1"/>
        <w:numPr>
          <w:ilvl w:val="0"/>
          <w:numId w:val="1"/>
        </w:numPr>
        <w:ind w:left="426" w:hanging="426"/>
        <w:jc w:val="both"/>
        <w:rPr>
          <w:rFonts w:cs="Arial"/>
          <w:szCs w:val="24"/>
          <w:lang w:val="en-US"/>
        </w:rPr>
      </w:pPr>
      <w:bookmarkStart w:id="1" w:name="_Toc160547776"/>
      <w:r w:rsidRPr="00AB124C">
        <w:rPr>
          <w:rFonts w:cs="Arial"/>
          <w:szCs w:val="24"/>
          <w:lang w:val="en-US"/>
        </w:rPr>
        <w:lastRenderedPageBreak/>
        <w:t>Specification / Requirements</w:t>
      </w:r>
      <w:bookmarkEnd w:id="1"/>
    </w:p>
    <w:p w14:paraId="1106A126" w14:textId="11A40C2B" w:rsidR="00C5163E" w:rsidRDefault="006C05DE" w:rsidP="006A78A6">
      <w:pPr>
        <w:rPr>
          <w:color w:val="auto"/>
          <w:lang w:val="en-US"/>
        </w:rPr>
      </w:pPr>
      <w:r>
        <w:rPr>
          <w:color w:val="auto"/>
          <w:lang w:val="en-US"/>
        </w:rPr>
        <w:t>The</w:t>
      </w:r>
      <w:r w:rsidR="00C454D3">
        <w:rPr>
          <w:color w:val="auto"/>
          <w:lang w:val="en-US"/>
        </w:rPr>
        <w:t xml:space="preserve"> Council </w:t>
      </w:r>
      <w:r w:rsidR="00C0061F">
        <w:rPr>
          <w:color w:val="auto"/>
          <w:lang w:val="en-US"/>
        </w:rPr>
        <w:t>is looking to commission</w:t>
      </w:r>
      <w:r w:rsidR="00C454D3">
        <w:rPr>
          <w:color w:val="auto"/>
          <w:lang w:val="en-US"/>
        </w:rPr>
        <w:t xml:space="preserve"> the provision of data relating to footfall in and around the </w:t>
      </w:r>
      <w:r w:rsidR="008E5333">
        <w:rPr>
          <w:color w:val="auto"/>
          <w:lang w:val="en-US"/>
        </w:rPr>
        <w:t>specified areas of the borough</w:t>
      </w:r>
      <w:r w:rsidR="008A3C21">
        <w:rPr>
          <w:color w:val="auto"/>
          <w:lang w:val="en-US"/>
        </w:rPr>
        <w:t xml:space="preserve">.  </w:t>
      </w:r>
    </w:p>
    <w:p w14:paraId="4660E2BB" w14:textId="35376000" w:rsidR="00C5163E" w:rsidRDefault="008A3C21" w:rsidP="006A78A6">
      <w:pPr>
        <w:rPr>
          <w:color w:val="auto"/>
          <w:lang w:val="en-US"/>
        </w:rPr>
      </w:pPr>
      <w:r>
        <w:rPr>
          <w:color w:val="auto"/>
          <w:lang w:val="en-US"/>
        </w:rPr>
        <w:t xml:space="preserve">This information </w:t>
      </w:r>
      <w:r w:rsidR="00C0061F">
        <w:rPr>
          <w:color w:val="auto"/>
          <w:lang w:val="en-US"/>
        </w:rPr>
        <w:t>will</w:t>
      </w:r>
      <w:r>
        <w:rPr>
          <w:color w:val="auto"/>
          <w:lang w:val="en-US"/>
        </w:rPr>
        <w:t xml:space="preserve"> </w:t>
      </w:r>
      <w:r w:rsidR="00C0061F">
        <w:rPr>
          <w:color w:val="auto"/>
          <w:lang w:val="en-US"/>
        </w:rPr>
        <w:t xml:space="preserve">enable </w:t>
      </w:r>
      <w:r w:rsidR="006C05DE">
        <w:rPr>
          <w:color w:val="auto"/>
          <w:lang w:val="en-US"/>
        </w:rPr>
        <w:t>The</w:t>
      </w:r>
      <w:r w:rsidR="00C0061F">
        <w:rPr>
          <w:color w:val="auto"/>
          <w:lang w:val="en-US"/>
        </w:rPr>
        <w:t xml:space="preserve"> Council</w:t>
      </w:r>
      <w:r>
        <w:rPr>
          <w:color w:val="auto"/>
          <w:lang w:val="en-US"/>
        </w:rPr>
        <w:t xml:space="preserve"> to analyse footfall and visitor behavior to understand trends</w:t>
      </w:r>
      <w:r w:rsidR="00632E53">
        <w:rPr>
          <w:color w:val="auto"/>
          <w:lang w:val="en-US"/>
        </w:rPr>
        <w:t xml:space="preserve">. </w:t>
      </w:r>
      <w:r w:rsidR="00E13BD2">
        <w:rPr>
          <w:color w:val="auto"/>
          <w:lang w:val="en-US"/>
        </w:rPr>
        <w:t xml:space="preserve"> </w:t>
      </w:r>
    </w:p>
    <w:p w14:paraId="0DE6F50E" w14:textId="77C74621" w:rsidR="00C454D3" w:rsidRDefault="006C05DE" w:rsidP="006A78A6">
      <w:pPr>
        <w:rPr>
          <w:color w:val="auto"/>
          <w:lang w:val="en-US"/>
        </w:rPr>
      </w:pPr>
      <w:r>
        <w:rPr>
          <w:color w:val="auto"/>
          <w:lang w:val="en-US"/>
        </w:rPr>
        <w:t>The</w:t>
      </w:r>
      <w:r w:rsidR="00C0061F">
        <w:rPr>
          <w:color w:val="auto"/>
          <w:lang w:val="en-US"/>
        </w:rPr>
        <w:t xml:space="preserve"> Council is lo</w:t>
      </w:r>
      <w:r w:rsidR="00E13BD2">
        <w:rPr>
          <w:color w:val="auto"/>
          <w:lang w:val="en-US"/>
        </w:rPr>
        <w:t xml:space="preserve">oking to commission </w:t>
      </w:r>
      <w:r w:rsidR="00C0061F">
        <w:rPr>
          <w:color w:val="auto"/>
          <w:lang w:val="en-US"/>
        </w:rPr>
        <w:t>this</w:t>
      </w:r>
      <w:r w:rsidR="00E13BD2">
        <w:rPr>
          <w:color w:val="auto"/>
          <w:lang w:val="en-US"/>
        </w:rPr>
        <w:t xml:space="preserve"> supply of data for the next 3 years.</w:t>
      </w:r>
    </w:p>
    <w:p w14:paraId="7053DABF" w14:textId="6DDEC4A6" w:rsidR="00C5163E" w:rsidRDefault="00C5163E" w:rsidP="006A78A6">
      <w:pPr>
        <w:rPr>
          <w:color w:val="auto"/>
          <w:lang w:val="en-US"/>
        </w:rPr>
      </w:pPr>
      <w:r>
        <w:rPr>
          <w:color w:val="auto"/>
          <w:lang w:val="en-US"/>
        </w:rPr>
        <w:t xml:space="preserve">The </w:t>
      </w:r>
      <w:r w:rsidR="00C0061F">
        <w:rPr>
          <w:color w:val="auto"/>
          <w:lang w:val="en-US"/>
        </w:rPr>
        <w:t>requirements of</w:t>
      </w:r>
      <w:r>
        <w:rPr>
          <w:color w:val="auto"/>
          <w:lang w:val="en-US"/>
        </w:rPr>
        <w:t xml:space="preserve"> this </w:t>
      </w:r>
      <w:r w:rsidR="005A0B3F">
        <w:rPr>
          <w:color w:val="auto"/>
          <w:lang w:val="en-US"/>
        </w:rPr>
        <w:t>contract</w:t>
      </w:r>
      <w:r>
        <w:rPr>
          <w:color w:val="auto"/>
          <w:lang w:val="en-US"/>
        </w:rPr>
        <w:t xml:space="preserve"> are</w:t>
      </w:r>
      <w:r w:rsidR="00132092">
        <w:rPr>
          <w:color w:val="auto"/>
          <w:lang w:val="en-US"/>
        </w:rPr>
        <w:t xml:space="preserve"> to provide</w:t>
      </w:r>
      <w:r>
        <w:rPr>
          <w:color w:val="auto"/>
          <w:lang w:val="en-US"/>
        </w:rPr>
        <w:t>:</w:t>
      </w:r>
    </w:p>
    <w:p w14:paraId="5BFBC839" w14:textId="77777777" w:rsidR="00C5163E" w:rsidRDefault="00C5163E" w:rsidP="00C5163E">
      <w:pPr>
        <w:pStyle w:val="ListParagraph"/>
        <w:numPr>
          <w:ilvl w:val="0"/>
          <w:numId w:val="11"/>
        </w:numPr>
        <w:rPr>
          <w:color w:val="auto"/>
          <w:lang w:val="en-US"/>
        </w:rPr>
      </w:pPr>
      <w:r>
        <w:rPr>
          <w:color w:val="auto"/>
          <w:lang w:val="en-US"/>
        </w:rPr>
        <w:t xml:space="preserve">The identification and tracking of </w:t>
      </w:r>
      <w:r w:rsidR="00E13BD2" w:rsidRPr="00C5163E">
        <w:rPr>
          <w:color w:val="auto"/>
          <w:lang w:val="en-US"/>
        </w:rPr>
        <w:t>visitors by their demographic</w:t>
      </w:r>
    </w:p>
    <w:p w14:paraId="653D0FD7" w14:textId="77777777" w:rsidR="00C5163E" w:rsidRDefault="00C5163E" w:rsidP="00C5163E">
      <w:pPr>
        <w:pStyle w:val="ListParagraph"/>
        <w:numPr>
          <w:ilvl w:val="0"/>
          <w:numId w:val="11"/>
        </w:numPr>
        <w:rPr>
          <w:color w:val="auto"/>
          <w:lang w:val="en-US"/>
        </w:rPr>
      </w:pPr>
      <w:r>
        <w:rPr>
          <w:color w:val="auto"/>
          <w:lang w:val="en-US"/>
        </w:rPr>
        <w:t>Identification of where visitors</w:t>
      </w:r>
      <w:r w:rsidR="00E13BD2" w:rsidRPr="00C5163E">
        <w:rPr>
          <w:color w:val="auto"/>
          <w:lang w:val="en-US"/>
        </w:rPr>
        <w:t xml:space="preserve"> live and work, t</w:t>
      </w:r>
      <w:r>
        <w:rPr>
          <w:color w:val="auto"/>
          <w:lang w:val="en-US"/>
        </w:rPr>
        <w:t>heir preferences and behaviours</w:t>
      </w:r>
    </w:p>
    <w:p w14:paraId="7295A2D7" w14:textId="1D3E6989" w:rsidR="009778F9" w:rsidRDefault="00212CFB" w:rsidP="00C5163E">
      <w:pPr>
        <w:pStyle w:val="ListParagraph"/>
        <w:numPr>
          <w:ilvl w:val="0"/>
          <w:numId w:val="11"/>
        </w:numPr>
        <w:rPr>
          <w:color w:val="auto"/>
          <w:lang w:val="en-US"/>
        </w:rPr>
      </w:pPr>
      <w:r>
        <w:rPr>
          <w:color w:val="auto"/>
          <w:lang w:val="en-US"/>
        </w:rPr>
        <w:t>To provide a</w:t>
      </w:r>
      <w:r w:rsidR="00C5163E">
        <w:rPr>
          <w:color w:val="auto"/>
          <w:lang w:val="en-US"/>
        </w:rPr>
        <w:t xml:space="preserve">n </w:t>
      </w:r>
      <w:r w:rsidR="009778F9" w:rsidRPr="00C5163E">
        <w:rPr>
          <w:color w:val="auto"/>
          <w:lang w:val="en-US"/>
        </w:rPr>
        <w:t>understand</w:t>
      </w:r>
      <w:r w:rsidR="00C5163E">
        <w:rPr>
          <w:color w:val="auto"/>
          <w:lang w:val="en-US"/>
        </w:rPr>
        <w:t>ing of</w:t>
      </w:r>
      <w:r w:rsidR="00E13BD2" w:rsidRPr="00C5163E">
        <w:rPr>
          <w:color w:val="auto"/>
          <w:lang w:val="en-US"/>
        </w:rPr>
        <w:t xml:space="preserve"> the amount of time </w:t>
      </w:r>
      <w:r w:rsidR="00C5163E">
        <w:rPr>
          <w:color w:val="auto"/>
          <w:lang w:val="en-US"/>
        </w:rPr>
        <w:t xml:space="preserve">individuals </w:t>
      </w:r>
      <w:r w:rsidR="008E5333">
        <w:rPr>
          <w:color w:val="auto"/>
          <w:lang w:val="en-US"/>
        </w:rPr>
        <w:t>spend in a specified location</w:t>
      </w:r>
      <w:r w:rsidR="00E13BD2" w:rsidRPr="00C5163E">
        <w:rPr>
          <w:color w:val="auto"/>
          <w:lang w:val="en-US"/>
        </w:rPr>
        <w:t>, how many businesses</w:t>
      </w:r>
      <w:r w:rsidR="008E5333">
        <w:rPr>
          <w:color w:val="auto"/>
          <w:lang w:val="en-US"/>
        </w:rPr>
        <w:t>/locations</w:t>
      </w:r>
      <w:r w:rsidR="00E13BD2" w:rsidRPr="00C5163E">
        <w:rPr>
          <w:color w:val="auto"/>
          <w:lang w:val="en-US"/>
        </w:rPr>
        <w:t xml:space="preserve"> they visit and information on the </w:t>
      </w:r>
      <w:r w:rsidR="00C72F49" w:rsidRPr="00C5163E">
        <w:rPr>
          <w:color w:val="auto"/>
          <w:lang w:val="en-US"/>
        </w:rPr>
        <w:t>patt</w:t>
      </w:r>
      <w:r w:rsidR="009778F9" w:rsidRPr="00C5163E">
        <w:rPr>
          <w:color w:val="auto"/>
          <w:lang w:val="en-US"/>
        </w:rPr>
        <w:t xml:space="preserve">erns and changes in behaviour over weeks/months.  </w:t>
      </w:r>
    </w:p>
    <w:p w14:paraId="7194F5FB" w14:textId="77777777" w:rsidR="008E5333" w:rsidRDefault="008E5333" w:rsidP="008E5333">
      <w:pPr>
        <w:pStyle w:val="ListParagraph"/>
        <w:numPr>
          <w:ilvl w:val="0"/>
          <w:numId w:val="11"/>
        </w:numPr>
        <w:rPr>
          <w:color w:val="auto"/>
          <w:lang w:val="en-US"/>
        </w:rPr>
      </w:pPr>
      <w:r>
        <w:rPr>
          <w:color w:val="auto"/>
          <w:lang w:val="en-US"/>
        </w:rPr>
        <w:t>The ability to determine geographical areas from which data is collected and amend these as and when required throughout the life of the contract.</w:t>
      </w:r>
    </w:p>
    <w:p w14:paraId="7AADA354" w14:textId="77777777" w:rsidR="008E5333" w:rsidRPr="008E5333" w:rsidRDefault="008E5333" w:rsidP="008E5333">
      <w:pPr>
        <w:pStyle w:val="ListParagraph"/>
        <w:numPr>
          <w:ilvl w:val="0"/>
          <w:numId w:val="11"/>
        </w:numPr>
        <w:rPr>
          <w:color w:val="auto"/>
          <w:lang w:val="en-US"/>
        </w:rPr>
      </w:pPr>
      <w:r>
        <w:rPr>
          <w:color w:val="auto"/>
          <w:lang w:val="en-US"/>
        </w:rPr>
        <w:lastRenderedPageBreak/>
        <w:t xml:space="preserve">The ability to compare local data with that collected in other areas of the country </w:t>
      </w:r>
    </w:p>
    <w:p w14:paraId="725FC52C" w14:textId="77777777" w:rsidR="00C5163E" w:rsidRDefault="00C5163E" w:rsidP="00C5163E">
      <w:pPr>
        <w:pStyle w:val="ListParagraph"/>
        <w:numPr>
          <w:ilvl w:val="0"/>
          <w:numId w:val="11"/>
        </w:numPr>
        <w:rPr>
          <w:color w:val="auto"/>
          <w:lang w:val="en-US"/>
        </w:rPr>
      </w:pPr>
      <w:r w:rsidRPr="00C5163E">
        <w:rPr>
          <w:color w:val="auto"/>
          <w:lang w:val="en-US"/>
        </w:rPr>
        <w:t xml:space="preserve">The ability </w:t>
      </w:r>
      <w:r w:rsidR="005A0B3F">
        <w:rPr>
          <w:color w:val="auto"/>
          <w:lang w:val="en-US"/>
        </w:rPr>
        <w:t xml:space="preserve">for the collected data </w:t>
      </w:r>
      <w:r w:rsidRPr="00C5163E">
        <w:rPr>
          <w:color w:val="auto"/>
          <w:lang w:val="en-US"/>
        </w:rPr>
        <w:t>to be</w:t>
      </w:r>
      <w:r w:rsidR="009778F9" w:rsidRPr="00C5163E">
        <w:rPr>
          <w:color w:val="auto"/>
          <w:lang w:val="en-US"/>
        </w:rPr>
        <w:t xml:space="preserve"> directly compared t</w:t>
      </w:r>
      <w:r w:rsidR="00C0061F">
        <w:rPr>
          <w:color w:val="auto"/>
          <w:lang w:val="en-US"/>
        </w:rPr>
        <w:t xml:space="preserve">o historic data in order that </w:t>
      </w:r>
      <w:r w:rsidR="00C0061F" w:rsidRPr="00C5163E">
        <w:rPr>
          <w:color w:val="auto"/>
          <w:lang w:val="en-US"/>
        </w:rPr>
        <w:t>changes</w:t>
      </w:r>
      <w:r w:rsidR="009778F9" w:rsidRPr="00C5163E">
        <w:rPr>
          <w:color w:val="auto"/>
          <w:lang w:val="en-US"/>
        </w:rPr>
        <w:t xml:space="preserve"> in trends </w:t>
      </w:r>
      <w:r w:rsidR="00C0061F">
        <w:rPr>
          <w:color w:val="auto"/>
          <w:lang w:val="en-US"/>
        </w:rPr>
        <w:t xml:space="preserve">can be identified </w:t>
      </w:r>
      <w:r w:rsidR="009778F9" w:rsidRPr="00C5163E">
        <w:rPr>
          <w:color w:val="auto"/>
          <w:lang w:val="en-US"/>
        </w:rPr>
        <w:t xml:space="preserve">and </w:t>
      </w:r>
      <w:r w:rsidR="00C0061F">
        <w:rPr>
          <w:color w:val="auto"/>
          <w:lang w:val="en-US"/>
        </w:rPr>
        <w:t>how</w:t>
      </w:r>
      <w:r w:rsidR="009778F9" w:rsidRPr="00C5163E">
        <w:rPr>
          <w:color w:val="auto"/>
          <w:lang w:val="en-US"/>
        </w:rPr>
        <w:t xml:space="preserve"> initiatives and events </w:t>
      </w:r>
      <w:r w:rsidR="000A413F" w:rsidRPr="00C5163E">
        <w:rPr>
          <w:color w:val="auto"/>
          <w:lang w:val="en-US"/>
        </w:rPr>
        <w:t>impact</w:t>
      </w:r>
      <w:r w:rsidR="000A413F">
        <w:rPr>
          <w:color w:val="auto"/>
          <w:lang w:val="en-US"/>
        </w:rPr>
        <w:t xml:space="preserve"> </w:t>
      </w:r>
      <w:r w:rsidR="00C0061F">
        <w:rPr>
          <w:color w:val="auto"/>
          <w:lang w:val="en-US"/>
        </w:rPr>
        <w:t>visitor numbers can be demonstrated</w:t>
      </w:r>
      <w:r w:rsidR="005A0B3F">
        <w:rPr>
          <w:color w:val="auto"/>
          <w:lang w:val="en-US"/>
        </w:rPr>
        <w:t>.</w:t>
      </w:r>
    </w:p>
    <w:p w14:paraId="5F1C2C55" w14:textId="77777777" w:rsidR="00E13BD2" w:rsidRDefault="005A0B3F" w:rsidP="00C5163E">
      <w:pPr>
        <w:pStyle w:val="ListParagraph"/>
        <w:numPr>
          <w:ilvl w:val="0"/>
          <w:numId w:val="11"/>
        </w:numPr>
        <w:rPr>
          <w:color w:val="auto"/>
          <w:lang w:val="en-US"/>
        </w:rPr>
      </w:pPr>
      <w:r>
        <w:rPr>
          <w:color w:val="auto"/>
          <w:lang w:val="en-US"/>
        </w:rPr>
        <w:t>Immediate access to data that can be used to positively support</w:t>
      </w:r>
      <w:r w:rsidR="009778F9" w:rsidRPr="00C5163E">
        <w:rPr>
          <w:color w:val="auto"/>
          <w:lang w:val="en-US"/>
        </w:rPr>
        <w:t xml:space="preserve"> applications for new grant funding to initiate schemes that will contribute to the Councils Corporate Strategies. </w:t>
      </w:r>
    </w:p>
    <w:p w14:paraId="56DDA2C0" w14:textId="77777777" w:rsidR="005A0B3F" w:rsidRDefault="005A0B3F" w:rsidP="00C5163E">
      <w:pPr>
        <w:pStyle w:val="ListParagraph"/>
        <w:numPr>
          <w:ilvl w:val="0"/>
          <w:numId w:val="11"/>
        </w:numPr>
        <w:rPr>
          <w:color w:val="auto"/>
          <w:lang w:val="en-US"/>
        </w:rPr>
      </w:pPr>
      <w:r>
        <w:rPr>
          <w:color w:val="auto"/>
          <w:lang w:val="en-US"/>
        </w:rPr>
        <w:t xml:space="preserve">In-house access to the data platform from which staff can extrapolate collected information </w:t>
      </w:r>
      <w:r w:rsidR="00E042D7">
        <w:rPr>
          <w:color w:val="auto"/>
          <w:lang w:val="en-US"/>
        </w:rPr>
        <w:t>as</w:t>
      </w:r>
      <w:r w:rsidR="00C0061F">
        <w:rPr>
          <w:color w:val="auto"/>
          <w:lang w:val="en-US"/>
        </w:rPr>
        <w:t xml:space="preserve"> and</w:t>
      </w:r>
      <w:r w:rsidR="00E042D7">
        <w:rPr>
          <w:color w:val="auto"/>
          <w:lang w:val="en-US"/>
        </w:rPr>
        <w:t xml:space="preserve"> </w:t>
      </w:r>
      <w:r>
        <w:rPr>
          <w:color w:val="auto"/>
          <w:lang w:val="en-US"/>
        </w:rPr>
        <w:t>when required</w:t>
      </w:r>
    </w:p>
    <w:p w14:paraId="0FB992D8" w14:textId="77777777" w:rsidR="005A0B3F" w:rsidRDefault="005A0B3F" w:rsidP="00C5163E">
      <w:pPr>
        <w:pStyle w:val="ListParagraph"/>
        <w:numPr>
          <w:ilvl w:val="0"/>
          <w:numId w:val="11"/>
        </w:numPr>
        <w:rPr>
          <w:color w:val="auto"/>
          <w:lang w:val="en-US"/>
        </w:rPr>
      </w:pPr>
      <w:r>
        <w:rPr>
          <w:color w:val="auto"/>
          <w:lang w:val="en-US"/>
        </w:rPr>
        <w:t xml:space="preserve">On-going training and support for </w:t>
      </w:r>
      <w:r w:rsidR="00C8140A">
        <w:rPr>
          <w:color w:val="auto"/>
          <w:lang w:val="en-US"/>
        </w:rPr>
        <w:t>existing Council</w:t>
      </w:r>
      <w:r>
        <w:rPr>
          <w:color w:val="auto"/>
          <w:lang w:val="en-US"/>
        </w:rPr>
        <w:t xml:space="preserve"> staff</w:t>
      </w:r>
      <w:r w:rsidR="00C8140A">
        <w:rPr>
          <w:color w:val="auto"/>
          <w:lang w:val="en-US"/>
        </w:rPr>
        <w:t xml:space="preserve"> and new starters</w:t>
      </w:r>
      <w:r>
        <w:rPr>
          <w:color w:val="auto"/>
          <w:lang w:val="en-US"/>
        </w:rPr>
        <w:t xml:space="preserve"> on</w:t>
      </w:r>
      <w:r w:rsidR="00C8140A">
        <w:rPr>
          <w:color w:val="auto"/>
          <w:lang w:val="en-US"/>
        </w:rPr>
        <w:t xml:space="preserve"> the</w:t>
      </w:r>
      <w:r>
        <w:rPr>
          <w:color w:val="auto"/>
          <w:lang w:val="en-US"/>
        </w:rPr>
        <w:t xml:space="preserve"> use of the platform</w:t>
      </w:r>
      <w:r w:rsidR="00C8140A">
        <w:rPr>
          <w:color w:val="auto"/>
          <w:lang w:val="en-US"/>
        </w:rPr>
        <w:t xml:space="preserve"> </w:t>
      </w:r>
      <w:r>
        <w:rPr>
          <w:color w:val="auto"/>
          <w:lang w:val="en-US"/>
        </w:rPr>
        <w:t xml:space="preserve">and </w:t>
      </w:r>
      <w:r w:rsidR="00C8140A">
        <w:rPr>
          <w:color w:val="auto"/>
          <w:lang w:val="en-US"/>
        </w:rPr>
        <w:t>additional training throughout the life of the contract where there are updates made to the system or software or whenever t</w:t>
      </w:r>
      <w:r w:rsidR="007E4E77">
        <w:rPr>
          <w:color w:val="auto"/>
          <w:lang w:val="en-US"/>
        </w:rPr>
        <w:t>his is requested by the Council</w:t>
      </w:r>
      <w:r>
        <w:rPr>
          <w:color w:val="auto"/>
          <w:lang w:val="en-US"/>
        </w:rPr>
        <w:t>.</w:t>
      </w:r>
    </w:p>
    <w:p w14:paraId="7293E495" w14:textId="2BAD48BC" w:rsidR="008E5333" w:rsidRPr="0029454D" w:rsidRDefault="008E5333" w:rsidP="0029454D">
      <w:pPr>
        <w:pStyle w:val="ListParagraph"/>
        <w:numPr>
          <w:ilvl w:val="0"/>
          <w:numId w:val="11"/>
        </w:numPr>
        <w:rPr>
          <w:color w:val="auto"/>
          <w:lang w:val="en-US"/>
        </w:rPr>
      </w:pPr>
      <w:r>
        <w:rPr>
          <w:color w:val="auto"/>
          <w:lang w:val="en-US"/>
        </w:rPr>
        <w:t>An e-mailed monthly summary report of footfall and other headline data as required by the Council</w:t>
      </w:r>
    </w:p>
    <w:p w14:paraId="2EB527E2" w14:textId="77777777" w:rsidR="005A0B3F" w:rsidRPr="00C5163E" w:rsidRDefault="005A0B3F" w:rsidP="005A0B3F">
      <w:pPr>
        <w:pStyle w:val="ListParagraph"/>
        <w:rPr>
          <w:color w:val="auto"/>
          <w:lang w:val="en-US"/>
        </w:rPr>
      </w:pPr>
    </w:p>
    <w:p w14:paraId="76C7D766" w14:textId="0143EBB8" w:rsidR="00643F40" w:rsidRPr="006A78A6" w:rsidRDefault="00643F40" w:rsidP="00643F40">
      <w:pPr>
        <w:rPr>
          <w:color w:val="auto"/>
          <w:lang w:val="en-US"/>
        </w:rPr>
      </w:pPr>
      <w:r w:rsidRPr="006A78A6">
        <w:rPr>
          <w:color w:val="auto"/>
          <w:lang w:val="en-US"/>
        </w:rPr>
        <w:lastRenderedPageBreak/>
        <w:t xml:space="preserve">The </w:t>
      </w:r>
      <w:r w:rsidR="00BE0858" w:rsidRPr="006A78A6">
        <w:rPr>
          <w:color w:val="auto"/>
          <w:lang w:val="en-US"/>
        </w:rPr>
        <w:t>Supplier</w:t>
      </w:r>
      <w:r w:rsidRPr="006A78A6">
        <w:rPr>
          <w:color w:val="auto"/>
          <w:lang w:val="en-US"/>
        </w:rPr>
        <w:t xml:space="preserve"> must offer open lines of communication via phone and email for </w:t>
      </w:r>
      <w:r w:rsidR="006C05DE">
        <w:rPr>
          <w:color w:val="auto"/>
          <w:lang w:val="en-US"/>
        </w:rPr>
        <w:t>The Council</w:t>
      </w:r>
      <w:r w:rsidRPr="006A78A6">
        <w:rPr>
          <w:color w:val="auto"/>
          <w:lang w:val="en-US"/>
        </w:rPr>
        <w:t xml:space="preserve"> staff to receive advice and discuss requirements.  This must be available Monday to Friday from 9am until 5pm.</w:t>
      </w:r>
    </w:p>
    <w:p w14:paraId="2E1BB328" w14:textId="05D8F168" w:rsidR="00C00D19" w:rsidRPr="00AB124C" w:rsidRDefault="00C00D19" w:rsidP="0029454D">
      <w:pPr>
        <w:jc w:val="both"/>
        <w:rPr>
          <w:lang w:val="en-US"/>
        </w:rPr>
      </w:pPr>
    </w:p>
    <w:p w14:paraId="77B4DD7E" w14:textId="764D448C" w:rsidR="00C00D19" w:rsidRDefault="00C00D19" w:rsidP="00AB124C">
      <w:pPr>
        <w:pStyle w:val="Heading1"/>
        <w:numPr>
          <w:ilvl w:val="0"/>
          <w:numId w:val="1"/>
        </w:numPr>
        <w:ind w:left="426" w:hanging="426"/>
        <w:jc w:val="both"/>
        <w:rPr>
          <w:rFonts w:cs="Arial"/>
          <w:szCs w:val="24"/>
          <w:lang w:val="en-US"/>
        </w:rPr>
      </w:pPr>
      <w:bookmarkStart w:id="2" w:name="_Toc160547777"/>
      <w:r w:rsidRPr="00AB124C">
        <w:rPr>
          <w:rFonts w:cs="Arial"/>
          <w:szCs w:val="24"/>
          <w:lang w:val="en-US"/>
        </w:rPr>
        <w:t>Insurance</w:t>
      </w:r>
      <w:bookmarkEnd w:id="2"/>
    </w:p>
    <w:p w14:paraId="3018C28D" w14:textId="77777777" w:rsidR="006C05DE" w:rsidRDefault="006C05DE" w:rsidP="006C05DE">
      <w:pPr>
        <w:autoSpaceDE w:val="0"/>
        <w:autoSpaceDN w:val="0"/>
        <w:adjustRightInd w:val="0"/>
        <w:spacing w:line="240" w:lineRule="auto"/>
        <w:jc w:val="both"/>
        <w:rPr>
          <w:color w:val="4F81BD" w:themeColor="accent1"/>
        </w:rPr>
      </w:pPr>
    </w:p>
    <w:p w14:paraId="6CF82C60" w14:textId="4D64D3A8" w:rsidR="00132092" w:rsidRPr="006C05DE" w:rsidRDefault="00132092" w:rsidP="006C05DE">
      <w:pPr>
        <w:autoSpaceDE w:val="0"/>
        <w:autoSpaceDN w:val="0"/>
        <w:adjustRightInd w:val="0"/>
        <w:spacing w:line="240" w:lineRule="auto"/>
        <w:jc w:val="both"/>
        <w:rPr>
          <w:color w:val="auto"/>
        </w:rPr>
      </w:pPr>
      <w:r w:rsidRPr="006C05DE">
        <w:rPr>
          <w:color w:val="auto"/>
        </w:rPr>
        <w:t>The successful supplier shall hold and continue to hold valid insurance, such as public and employee liability and professional indemnity, throughout the service provision. The service provider must provide evidence of cover to the Council at any time when requested by the Council</w:t>
      </w:r>
    </w:p>
    <w:p w14:paraId="70A2346A" w14:textId="0DBC3939" w:rsidR="004374A9" w:rsidRDefault="004374A9">
      <w:pPr>
        <w:rPr>
          <w:lang w:val="en-US"/>
        </w:rPr>
      </w:pPr>
    </w:p>
    <w:p w14:paraId="19C1BA46" w14:textId="77777777" w:rsidR="00C00D19" w:rsidRPr="00AB124C" w:rsidRDefault="00ED1BA4" w:rsidP="00AB124C">
      <w:pPr>
        <w:pStyle w:val="Heading1"/>
        <w:numPr>
          <w:ilvl w:val="0"/>
          <w:numId w:val="1"/>
        </w:numPr>
        <w:ind w:left="426" w:hanging="426"/>
        <w:jc w:val="both"/>
        <w:rPr>
          <w:rFonts w:cs="Arial"/>
          <w:szCs w:val="24"/>
          <w:lang w:val="en-US"/>
        </w:rPr>
      </w:pPr>
      <w:bookmarkStart w:id="3" w:name="_Toc160547778"/>
      <w:r>
        <w:rPr>
          <w:rFonts w:cs="Arial"/>
          <w:szCs w:val="24"/>
          <w:lang w:val="en-US"/>
        </w:rPr>
        <w:t xml:space="preserve">Procurement </w:t>
      </w:r>
      <w:r w:rsidR="00C00D19" w:rsidRPr="00AB124C">
        <w:rPr>
          <w:rFonts w:cs="Arial"/>
          <w:szCs w:val="24"/>
          <w:lang w:val="en-US"/>
        </w:rPr>
        <w:t>Timetable</w:t>
      </w:r>
      <w:bookmarkEnd w:id="3"/>
    </w:p>
    <w:tbl>
      <w:tblPr>
        <w:tblStyle w:val="TableGrid"/>
        <w:tblW w:w="0" w:type="auto"/>
        <w:tblInd w:w="108" w:type="dxa"/>
        <w:tblLook w:val="04A0" w:firstRow="1" w:lastRow="0" w:firstColumn="1" w:lastColumn="0" w:noHBand="0" w:noVBand="1"/>
      </w:tblPr>
      <w:tblGrid>
        <w:gridCol w:w="5238"/>
        <w:gridCol w:w="3670"/>
      </w:tblGrid>
      <w:tr w:rsidR="00A76F29" w:rsidRPr="006A78A6" w14:paraId="173B6C50" w14:textId="77777777" w:rsidTr="00E71793">
        <w:tc>
          <w:tcPr>
            <w:tcW w:w="5238" w:type="dxa"/>
          </w:tcPr>
          <w:p w14:paraId="6CD225CA" w14:textId="77777777" w:rsidR="00A76F29" w:rsidRPr="006A78A6" w:rsidRDefault="00A76F29" w:rsidP="00AB124C">
            <w:pPr>
              <w:jc w:val="both"/>
              <w:rPr>
                <w:rFonts w:ascii="Arial" w:hAnsi="Arial" w:cs="Arial"/>
                <w:b/>
                <w:lang w:val="en-US"/>
              </w:rPr>
            </w:pPr>
            <w:r w:rsidRPr="006A78A6">
              <w:rPr>
                <w:rFonts w:ascii="Arial" w:hAnsi="Arial" w:cs="Arial"/>
                <w:b/>
                <w:lang w:val="en-US"/>
              </w:rPr>
              <w:t>Event</w:t>
            </w:r>
          </w:p>
        </w:tc>
        <w:tc>
          <w:tcPr>
            <w:tcW w:w="3670" w:type="dxa"/>
          </w:tcPr>
          <w:p w14:paraId="5500B563" w14:textId="77777777" w:rsidR="00A76F29" w:rsidRPr="006A78A6" w:rsidRDefault="00A76F29" w:rsidP="00AB124C">
            <w:pPr>
              <w:jc w:val="both"/>
              <w:rPr>
                <w:rFonts w:ascii="Arial" w:hAnsi="Arial" w:cs="Arial"/>
                <w:b/>
                <w:lang w:val="en-US"/>
              </w:rPr>
            </w:pPr>
            <w:r w:rsidRPr="006A78A6">
              <w:rPr>
                <w:rFonts w:ascii="Arial" w:hAnsi="Arial" w:cs="Arial"/>
                <w:b/>
                <w:lang w:val="en-US"/>
              </w:rPr>
              <w:t>Indicative Date</w:t>
            </w:r>
          </w:p>
        </w:tc>
      </w:tr>
      <w:tr w:rsidR="00A76F29" w:rsidRPr="006A78A6" w14:paraId="165E9376" w14:textId="77777777" w:rsidTr="00E71793">
        <w:tc>
          <w:tcPr>
            <w:tcW w:w="5238" w:type="dxa"/>
          </w:tcPr>
          <w:p w14:paraId="5DB6E844" w14:textId="77777777" w:rsidR="00C00D19" w:rsidRPr="006A78A6" w:rsidRDefault="00A76F29" w:rsidP="00AB124C">
            <w:pPr>
              <w:jc w:val="both"/>
              <w:rPr>
                <w:rFonts w:ascii="Arial" w:hAnsi="Arial" w:cs="Arial"/>
                <w:lang w:val="en-US"/>
              </w:rPr>
            </w:pPr>
            <w:r w:rsidRPr="006A78A6">
              <w:rPr>
                <w:rFonts w:ascii="Arial" w:hAnsi="Arial" w:cs="Arial"/>
                <w:lang w:val="en-US"/>
              </w:rPr>
              <w:t>Invitation to Quote published</w:t>
            </w:r>
          </w:p>
        </w:tc>
        <w:tc>
          <w:tcPr>
            <w:tcW w:w="3670" w:type="dxa"/>
          </w:tcPr>
          <w:p w14:paraId="4CF9632D" w14:textId="475143E4" w:rsidR="00C00D19" w:rsidRPr="004A1DDB" w:rsidRDefault="00212CFB" w:rsidP="00AB124C">
            <w:pPr>
              <w:jc w:val="both"/>
              <w:rPr>
                <w:rFonts w:ascii="Arial" w:hAnsi="Arial" w:cs="Arial"/>
                <w:lang w:val="en-US"/>
              </w:rPr>
            </w:pPr>
            <w:r>
              <w:rPr>
                <w:rFonts w:ascii="Arial" w:hAnsi="Arial" w:cs="Arial"/>
                <w:lang w:val="en-US"/>
              </w:rPr>
              <w:t>7</w:t>
            </w:r>
            <w:r w:rsidRPr="00212CFB">
              <w:rPr>
                <w:rFonts w:ascii="Arial" w:hAnsi="Arial" w:cs="Arial"/>
                <w:vertAlign w:val="superscript"/>
                <w:lang w:val="en-US"/>
              </w:rPr>
              <w:t>th</w:t>
            </w:r>
            <w:r>
              <w:rPr>
                <w:rFonts w:ascii="Arial" w:hAnsi="Arial" w:cs="Arial"/>
                <w:lang w:val="en-US"/>
              </w:rPr>
              <w:t xml:space="preserve"> March 2024</w:t>
            </w:r>
          </w:p>
        </w:tc>
      </w:tr>
      <w:tr w:rsidR="00E44AD6" w:rsidRPr="006A78A6" w14:paraId="26716319" w14:textId="77777777" w:rsidTr="00E71793">
        <w:tc>
          <w:tcPr>
            <w:tcW w:w="5238" w:type="dxa"/>
          </w:tcPr>
          <w:p w14:paraId="454BCEBD" w14:textId="77777777" w:rsidR="00E44AD6" w:rsidRPr="004A1DDB" w:rsidRDefault="00E44AD6" w:rsidP="00AB124C">
            <w:pPr>
              <w:jc w:val="both"/>
              <w:rPr>
                <w:rFonts w:ascii="Arial" w:hAnsi="Arial" w:cs="Arial"/>
                <w:lang w:val="en-US"/>
              </w:rPr>
            </w:pPr>
            <w:r w:rsidRPr="004A1DDB">
              <w:rPr>
                <w:rFonts w:ascii="Arial" w:hAnsi="Arial" w:cs="Arial"/>
                <w:lang w:val="en-US"/>
              </w:rPr>
              <w:t>Deadline for clarifications</w:t>
            </w:r>
          </w:p>
        </w:tc>
        <w:tc>
          <w:tcPr>
            <w:tcW w:w="3670" w:type="dxa"/>
          </w:tcPr>
          <w:p w14:paraId="0846FD55" w14:textId="109A095E" w:rsidR="00E44AD6" w:rsidRPr="004A1DDB" w:rsidRDefault="00212CFB" w:rsidP="00AB124C">
            <w:pPr>
              <w:jc w:val="both"/>
              <w:rPr>
                <w:rFonts w:ascii="Arial" w:hAnsi="Arial" w:cs="Arial"/>
                <w:lang w:val="en-US"/>
              </w:rPr>
            </w:pPr>
            <w:r>
              <w:rPr>
                <w:rFonts w:ascii="Arial" w:hAnsi="Arial" w:cs="Arial"/>
                <w:lang w:val="en-US"/>
              </w:rPr>
              <w:t>18</w:t>
            </w:r>
            <w:r w:rsidRPr="00212CFB">
              <w:rPr>
                <w:rFonts w:ascii="Arial" w:hAnsi="Arial" w:cs="Arial"/>
                <w:vertAlign w:val="superscript"/>
                <w:lang w:val="en-US"/>
              </w:rPr>
              <w:t>th</w:t>
            </w:r>
            <w:r w:rsidR="00E44AD6" w:rsidRPr="004A1DDB">
              <w:rPr>
                <w:rFonts w:ascii="Arial" w:hAnsi="Arial" w:cs="Arial"/>
                <w:lang w:val="en-US"/>
              </w:rPr>
              <w:t xml:space="preserve"> March 2024</w:t>
            </w:r>
          </w:p>
        </w:tc>
      </w:tr>
      <w:tr w:rsidR="00A76F29" w:rsidRPr="006A78A6" w14:paraId="3AF4CCBD" w14:textId="77777777" w:rsidTr="00E71793">
        <w:tc>
          <w:tcPr>
            <w:tcW w:w="5238" w:type="dxa"/>
          </w:tcPr>
          <w:p w14:paraId="66F378EB" w14:textId="77777777" w:rsidR="00C00D19" w:rsidRPr="006A78A6" w:rsidRDefault="00A76F29" w:rsidP="00AB124C">
            <w:pPr>
              <w:jc w:val="both"/>
              <w:rPr>
                <w:rFonts w:ascii="Arial" w:hAnsi="Arial" w:cs="Arial"/>
                <w:lang w:val="en-US"/>
              </w:rPr>
            </w:pPr>
            <w:r w:rsidRPr="006A78A6">
              <w:rPr>
                <w:rFonts w:ascii="Arial" w:hAnsi="Arial" w:cs="Arial"/>
                <w:lang w:val="en-US"/>
              </w:rPr>
              <w:t>Deadline for receipt of quotes</w:t>
            </w:r>
          </w:p>
        </w:tc>
        <w:tc>
          <w:tcPr>
            <w:tcW w:w="3670" w:type="dxa"/>
          </w:tcPr>
          <w:p w14:paraId="2572AA1C" w14:textId="2AF42C9B" w:rsidR="00C00D19" w:rsidRPr="004A1DDB" w:rsidRDefault="00B21C29" w:rsidP="00AB124C">
            <w:pPr>
              <w:jc w:val="both"/>
              <w:rPr>
                <w:rFonts w:ascii="Arial" w:hAnsi="Arial" w:cs="Arial"/>
                <w:lang w:val="en-US"/>
              </w:rPr>
            </w:pPr>
            <w:r>
              <w:rPr>
                <w:rFonts w:ascii="Arial" w:hAnsi="Arial" w:cs="Arial"/>
                <w:lang w:val="en-US"/>
              </w:rPr>
              <w:t xml:space="preserve">12:00pm, </w:t>
            </w:r>
            <w:r w:rsidR="00212CFB">
              <w:rPr>
                <w:rFonts w:ascii="Arial" w:hAnsi="Arial" w:cs="Arial"/>
                <w:lang w:val="en-US"/>
              </w:rPr>
              <w:t>28</w:t>
            </w:r>
            <w:r w:rsidR="00E44AD6" w:rsidRPr="004A1DDB">
              <w:rPr>
                <w:rFonts w:ascii="Arial" w:hAnsi="Arial" w:cs="Arial"/>
                <w:vertAlign w:val="superscript"/>
                <w:lang w:val="en-US"/>
              </w:rPr>
              <w:t>th</w:t>
            </w:r>
            <w:r w:rsidR="00E44AD6" w:rsidRPr="004A1DDB">
              <w:rPr>
                <w:rFonts w:ascii="Arial" w:hAnsi="Arial" w:cs="Arial"/>
                <w:lang w:val="en-US"/>
              </w:rPr>
              <w:t xml:space="preserve"> March 2024</w:t>
            </w:r>
          </w:p>
        </w:tc>
      </w:tr>
      <w:tr w:rsidR="00A76F29" w:rsidRPr="006A78A6" w14:paraId="764F4635" w14:textId="77777777" w:rsidTr="00E71793">
        <w:tc>
          <w:tcPr>
            <w:tcW w:w="5238" w:type="dxa"/>
          </w:tcPr>
          <w:p w14:paraId="5C5F3CF5" w14:textId="77777777" w:rsidR="00A76F29" w:rsidRPr="006A78A6" w:rsidRDefault="00A76F29" w:rsidP="00AB124C">
            <w:pPr>
              <w:jc w:val="both"/>
              <w:rPr>
                <w:rFonts w:ascii="Arial" w:hAnsi="Arial" w:cs="Arial"/>
                <w:lang w:val="en-US"/>
              </w:rPr>
            </w:pPr>
            <w:r w:rsidRPr="006A78A6">
              <w:rPr>
                <w:rFonts w:ascii="Arial" w:hAnsi="Arial" w:cs="Arial"/>
                <w:lang w:val="en-US"/>
              </w:rPr>
              <w:t>Notification of award decision</w:t>
            </w:r>
          </w:p>
        </w:tc>
        <w:tc>
          <w:tcPr>
            <w:tcW w:w="3670" w:type="dxa"/>
          </w:tcPr>
          <w:p w14:paraId="4CB27C16" w14:textId="4BFCADE8" w:rsidR="00A76F29" w:rsidRPr="004A1DDB" w:rsidRDefault="00212CFB" w:rsidP="00AB124C">
            <w:pPr>
              <w:jc w:val="both"/>
              <w:rPr>
                <w:rFonts w:ascii="Arial" w:hAnsi="Arial" w:cs="Arial"/>
                <w:lang w:val="en-US"/>
              </w:rPr>
            </w:pPr>
            <w:r>
              <w:rPr>
                <w:rFonts w:ascii="Arial" w:hAnsi="Arial" w:cs="Arial"/>
                <w:lang w:val="en-US"/>
              </w:rPr>
              <w:t>4</w:t>
            </w:r>
            <w:r w:rsidRPr="00212CFB">
              <w:rPr>
                <w:rFonts w:ascii="Arial" w:hAnsi="Arial" w:cs="Arial"/>
                <w:vertAlign w:val="superscript"/>
                <w:lang w:val="en-US"/>
              </w:rPr>
              <w:t>th</w:t>
            </w:r>
            <w:r>
              <w:rPr>
                <w:rFonts w:ascii="Arial" w:hAnsi="Arial" w:cs="Arial"/>
                <w:lang w:val="en-US"/>
              </w:rPr>
              <w:t xml:space="preserve"> April 2024</w:t>
            </w:r>
            <w:r w:rsidR="00415D04" w:rsidRPr="004A1DDB">
              <w:rPr>
                <w:rFonts w:ascii="Arial" w:hAnsi="Arial" w:cs="Arial"/>
                <w:lang w:val="en-US"/>
              </w:rPr>
              <w:t xml:space="preserve"> </w:t>
            </w:r>
          </w:p>
        </w:tc>
      </w:tr>
      <w:tr w:rsidR="00A76F29" w:rsidRPr="006A78A6" w14:paraId="145193A8" w14:textId="77777777" w:rsidTr="00E71793">
        <w:tc>
          <w:tcPr>
            <w:tcW w:w="5238" w:type="dxa"/>
          </w:tcPr>
          <w:p w14:paraId="5A4566DF" w14:textId="77777777" w:rsidR="00A76F29" w:rsidRPr="006A78A6" w:rsidRDefault="00A76F29" w:rsidP="00AB124C">
            <w:pPr>
              <w:jc w:val="both"/>
              <w:rPr>
                <w:rFonts w:ascii="Arial" w:hAnsi="Arial" w:cs="Arial"/>
                <w:lang w:val="en-US"/>
              </w:rPr>
            </w:pPr>
            <w:r w:rsidRPr="006A78A6">
              <w:rPr>
                <w:rFonts w:ascii="Arial" w:hAnsi="Arial" w:cs="Arial"/>
                <w:lang w:val="en-US"/>
              </w:rPr>
              <w:t>Commencement date</w:t>
            </w:r>
          </w:p>
        </w:tc>
        <w:tc>
          <w:tcPr>
            <w:tcW w:w="3670" w:type="dxa"/>
          </w:tcPr>
          <w:p w14:paraId="33887086" w14:textId="01E11678" w:rsidR="00A76F29" w:rsidRPr="004A1DDB" w:rsidRDefault="00E44AD6" w:rsidP="00387E47">
            <w:pPr>
              <w:jc w:val="both"/>
              <w:rPr>
                <w:rFonts w:ascii="Arial" w:hAnsi="Arial" w:cs="Arial"/>
                <w:lang w:val="en-US"/>
              </w:rPr>
            </w:pPr>
            <w:r w:rsidRPr="004A1DDB">
              <w:rPr>
                <w:rFonts w:ascii="Arial" w:hAnsi="Arial" w:cs="Arial"/>
                <w:lang w:val="en-US"/>
              </w:rPr>
              <w:t>5</w:t>
            </w:r>
            <w:r w:rsidRPr="004A1DDB">
              <w:rPr>
                <w:rFonts w:ascii="Arial" w:hAnsi="Arial" w:cs="Arial"/>
                <w:vertAlign w:val="superscript"/>
                <w:lang w:val="en-US"/>
              </w:rPr>
              <w:t>th</w:t>
            </w:r>
            <w:r w:rsidR="00212CFB">
              <w:rPr>
                <w:rFonts w:ascii="Arial" w:hAnsi="Arial" w:cs="Arial"/>
                <w:lang w:val="en-US"/>
              </w:rPr>
              <w:t xml:space="preserve"> April</w:t>
            </w:r>
            <w:r w:rsidRPr="004A1DDB">
              <w:rPr>
                <w:rFonts w:ascii="Arial" w:hAnsi="Arial" w:cs="Arial"/>
                <w:lang w:val="en-US"/>
              </w:rPr>
              <w:t xml:space="preserve"> 2024</w:t>
            </w:r>
          </w:p>
        </w:tc>
      </w:tr>
      <w:tr w:rsidR="00A76F29" w:rsidRPr="006A78A6" w14:paraId="0502CECD" w14:textId="77777777" w:rsidTr="00E71793">
        <w:tc>
          <w:tcPr>
            <w:tcW w:w="5238" w:type="dxa"/>
          </w:tcPr>
          <w:p w14:paraId="189A58BE" w14:textId="77777777" w:rsidR="00A76F29" w:rsidRPr="006A78A6" w:rsidRDefault="00A76F29" w:rsidP="00AB124C">
            <w:pPr>
              <w:jc w:val="both"/>
              <w:rPr>
                <w:rFonts w:ascii="Arial" w:hAnsi="Arial" w:cs="Arial"/>
                <w:lang w:val="en-US"/>
              </w:rPr>
            </w:pPr>
            <w:r w:rsidRPr="006A78A6">
              <w:rPr>
                <w:rFonts w:ascii="Arial" w:hAnsi="Arial" w:cs="Arial"/>
                <w:lang w:val="en-US"/>
              </w:rPr>
              <w:t>Completion date</w:t>
            </w:r>
          </w:p>
        </w:tc>
        <w:tc>
          <w:tcPr>
            <w:tcW w:w="3670" w:type="dxa"/>
          </w:tcPr>
          <w:p w14:paraId="744B3A27" w14:textId="09ACDB7B" w:rsidR="00A76F29" w:rsidRPr="004A1DDB" w:rsidRDefault="00212CFB" w:rsidP="00AB124C">
            <w:pPr>
              <w:jc w:val="both"/>
              <w:rPr>
                <w:rFonts w:ascii="Arial" w:hAnsi="Arial" w:cs="Arial"/>
                <w:lang w:val="en-US"/>
              </w:rPr>
            </w:pPr>
            <w:r>
              <w:rPr>
                <w:rFonts w:ascii="Arial" w:hAnsi="Arial" w:cs="Arial"/>
                <w:lang w:val="en-US"/>
              </w:rPr>
              <w:t>14</w:t>
            </w:r>
            <w:r w:rsidR="004A1DDB" w:rsidRPr="004A1DDB">
              <w:rPr>
                <w:rFonts w:ascii="Arial" w:hAnsi="Arial" w:cs="Arial"/>
                <w:vertAlign w:val="superscript"/>
                <w:lang w:val="en-US"/>
              </w:rPr>
              <w:t>th</w:t>
            </w:r>
            <w:r>
              <w:rPr>
                <w:rFonts w:ascii="Arial" w:hAnsi="Arial" w:cs="Arial"/>
                <w:lang w:val="en-US"/>
              </w:rPr>
              <w:t xml:space="preserve"> April</w:t>
            </w:r>
            <w:r w:rsidR="004A1DDB" w:rsidRPr="004A1DDB">
              <w:rPr>
                <w:rFonts w:ascii="Arial" w:hAnsi="Arial" w:cs="Arial"/>
                <w:lang w:val="en-US"/>
              </w:rPr>
              <w:t xml:space="preserve"> 2027</w:t>
            </w:r>
          </w:p>
        </w:tc>
      </w:tr>
    </w:tbl>
    <w:p w14:paraId="1ED25C93" w14:textId="4A495D85" w:rsidR="001830B3" w:rsidRDefault="001830B3">
      <w:pPr>
        <w:rPr>
          <w:rFonts w:eastAsiaTheme="majorEastAsia"/>
          <w:b/>
          <w:color w:val="auto"/>
          <w:u w:val="single"/>
          <w:lang w:val="en-US"/>
        </w:rPr>
      </w:pPr>
    </w:p>
    <w:p w14:paraId="7B9594D3" w14:textId="3D7D01D1" w:rsidR="0029454D" w:rsidRDefault="0029454D">
      <w:pPr>
        <w:rPr>
          <w:rFonts w:eastAsiaTheme="majorEastAsia"/>
          <w:b/>
          <w:color w:val="auto"/>
          <w:u w:val="single"/>
          <w:lang w:val="en-US"/>
        </w:rPr>
      </w:pPr>
    </w:p>
    <w:p w14:paraId="7FBB7B46" w14:textId="57EBF4FB" w:rsidR="0029454D" w:rsidRDefault="0029454D">
      <w:pPr>
        <w:rPr>
          <w:rFonts w:eastAsiaTheme="majorEastAsia"/>
          <w:b/>
          <w:color w:val="auto"/>
          <w:u w:val="single"/>
          <w:lang w:val="en-US"/>
        </w:rPr>
      </w:pPr>
    </w:p>
    <w:p w14:paraId="1222284A" w14:textId="77777777" w:rsidR="0029454D" w:rsidRDefault="0029454D">
      <w:pPr>
        <w:rPr>
          <w:rFonts w:eastAsiaTheme="majorEastAsia"/>
          <w:b/>
          <w:color w:val="auto"/>
          <w:u w:val="single"/>
          <w:lang w:val="en-US"/>
        </w:rPr>
      </w:pPr>
    </w:p>
    <w:p w14:paraId="073626BB" w14:textId="4456146E" w:rsidR="00C00D19" w:rsidRPr="0029454D" w:rsidRDefault="00C00D19" w:rsidP="0029454D">
      <w:pPr>
        <w:pStyle w:val="Heading1"/>
        <w:numPr>
          <w:ilvl w:val="0"/>
          <w:numId w:val="1"/>
        </w:numPr>
        <w:ind w:left="426" w:hanging="426"/>
        <w:jc w:val="both"/>
        <w:rPr>
          <w:rFonts w:cs="Arial"/>
          <w:szCs w:val="24"/>
          <w:lang w:val="en-US"/>
        </w:rPr>
      </w:pPr>
      <w:bookmarkStart w:id="4" w:name="_Toc160547779"/>
      <w:r w:rsidRPr="00AB124C">
        <w:rPr>
          <w:rFonts w:cs="Arial"/>
          <w:szCs w:val="24"/>
          <w:lang w:val="en-US"/>
        </w:rPr>
        <w:t>Instruction</w:t>
      </w:r>
      <w:r w:rsidRPr="0029454D">
        <w:rPr>
          <w:rFonts w:cs="Arial"/>
          <w:szCs w:val="24"/>
          <w:lang w:val="en-US"/>
        </w:rPr>
        <w:t>s on submitting a response</w:t>
      </w:r>
      <w:bookmarkEnd w:id="4"/>
    </w:p>
    <w:p w14:paraId="437897AB" w14:textId="77777777" w:rsidR="00A76F29" w:rsidRPr="00AB124C" w:rsidRDefault="00A76F29" w:rsidP="00AB124C">
      <w:pPr>
        <w:ind w:left="426" w:hanging="426"/>
        <w:jc w:val="both"/>
        <w:rPr>
          <w:lang w:val="en-US"/>
        </w:rPr>
      </w:pPr>
    </w:p>
    <w:p w14:paraId="045F5CC2" w14:textId="77777777" w:rsidR="00643F40" w:rsidRPr="006A78A6" w:rsidRDefault="00643F40" w:rsidP="00643F40">
      <w:pPr>
        <w:rPr>
          <w:color w:val="auto"/>
          <w:lang w:val="en-US"/>
        </w:rPr>
      </w:pPr>
      <w:r w:rsidRPr="006A78A6">
        <w:rPr>
          <w:color w:val="auto"/>
          <w:lang w:val="en-US"/>
        </w:rPr>
        <w:t xml:space="preserve">Responses/quotes must be uploaded via the Proactis portal, also known as the South East Business Portal: </w:t>
      </w:r>
      <w:hyperlink r:id="rId8" w:history="1">
        <w:r w:rsidRPr="006A78A6">
          <w:rPr>
            <w:rStyle w:val="Hyperlink"/>
            <w:color w:val="auto"/>
          </w:rPr>
          <w:t>https://sebp.due-north.com/</w:t>
        </w:r>
      </w:hyperlink>
      <w:r w:rsidR="003C72DD" w:rsidRPr="006A78A6">
        <w:rPr>
          <w:rStyle w:val="Hyperlink"/>
          <w:color w:val="auto"/>
          <w:u w:val="none"/>
        </w:rPr>
        <w:t xml:space="preserve">, </w:t>
      </w:r>
      <w:r w:rsidR="00FD0BAA" w:rsidRPr="006A78A6">
        <w:rPr>
          <w:rStyle w:val="Hyperlink"/>
          <w:color w:val="auto"/>
          <w:u w:val="none"/>
        </w:rPr>
        <w:t xml:space="preserve">and submitted </w:t>
      </w:r>
      <w:r w:rsidR="005E3F40" w:rsidRPr="006A78A6">
        <w:rPr>
          <w:color w:val="auto"/>
          <w:lang w:val="en-US"/>
        </w:rPr>
        <w:t xml:space="preserve">no later than the time and date specified in the </w:t>
      </w:r>
      <w:r w:rsidR="003C72DD" w:rsidRPr="006A78A6">
        <w:rPr>
          <w:color w:val="auto"/>
          <w:lang w:val="en-US"/>
        </w:rPr>
        <w:t>procurement</w:t>
      </w:r>
      <w:r w:rsidR="005E3F40" w:rsidRPr="006A78A6">
        <w:rPr>
          <w:color w:val="auto"/>
          <w:lang w:val="en-US"/>
        </w:rPr>
        <w:t xml:space="preserve"> timetable.</w:t>
      </w:r>
      <w:r w:rsidRPr="006A78A6">
        <w:rPr>
          <w:color w:val="auto"/>
          <w:lang w:val="en-US"/>
        </w:rPr>
        <w:t xml:space="preserve"> </w:t>
      </w:r>
    </w:p>
    <w:p w14:paraId="59762597" w14:textId="77777777" w:rsidR="005E3F40" w:rsidRPr="006A78A6" w:rsidRDefault="005E3F40" w:rsidP="00AB124C">
      <w:pPr>
        <w:jc w:val="both"/>
        <w:rPr>
          <w:color w:val="auto"/>
          <w:lang w:val="en-US"/>
        </w:rPr>
      </w:pPr>
    </w:p>
    <w:p w14:paraId="248CE4A7" w14:textId="77777777" w:rsidR="00F36213" w:rsidRPr="00107CBB" w:rsidRDefault="005E3F40" w:rsidP="007C13E2">
      <w:pPr>
        <w:jc w:val="both"/>
        <w:rPr>
          <w:color w:val="auto"/>
          <w:lang w:val="en-US"/>
        </w:rPr>
      </w:pPr>
      <w:r w:rsidRPr="006A78A6">
        <w:rPr>
          <w:color w:val="auto"/>
          <w:lang w:val="en-US"/>
        </w:rPr>
        <w:t>Your quote must include</w:t>
      </w:r>
      <w:r w:rsidR="00E71793" w:rsidRPr="006A78A6">
        <w:rPr>
          <w:color w:val="auto"/>
          <w:lang w:val="en-US"/>
        </w:rPr>
        <w:t xml:space="preserve"> costs per an</w:t>
      </w:r>
      <w:r w:rsidR="007C13E2">
        <w:rPr>
          <w:color w:val="auto"/>
          <w:lang w:val="en-US"/>
        </w:rPr>
        <w:t xml:space="preserve">num and a total for the 3 years </w:t>
      </w:r>
      <w:r w:rsidR="007C13E2" w:rsidRPr="007C13E2">
        <w:rPr>
          <w:color w:val="auto"/>
          <w:lang w:val="en-US"/>
        </w:rPr>
        <w:t>and</w:t>
      </w:r>
      <w:r w:rsidR="00F36213" w:rsidRPr="007C13E2">
        <w:rPr>
          <w:color w:val="auto"/>
          <w:lang w:val="en-US"/>
        </w:rPr>
        <w:t xml:space="preserve"> must include a completed quotation response document (template provided), as this sets out what you need to include in your quote and how each element will be weighted.  This will </w:t>
      </w:r>
      <w:r w:rsidR="00F36213" w:rsidRPr="00107CBB">
        <w:rPr>
          <w:color w:val="auto"/>
          <w:lang w:val="en-US"/>
        </w:rPr>
        <w:t xml:space="preserve">include the following criteria: </w:t>
      </w:r>
    </w:p>
    <w:p w14:paraId="4C2CA97E" w14:textId="77777777" w:rsidR="00107CBB" w:rsidRPr="00107CBB" w:rsidRDefault="00F36213" w:rsidP="00107CBB">
      <w:pPr>
        <w:pStyle w:val="ListParagraph"/>
        <w:numPr>
          <w:ilvl w:val="0"/>
          <w:numId w:val="14"/>
        </w:numPr>
        <w:jc w:val="both"/>
        <w:rPr>
          <w:color w:val="auto"/>
          <w:lang w:val="en-US"/>
        </w:rPr>
      </w:pPr>
      <w:r w:rsidRPr="00107CBB">
        <w:rPr>
          <w:color w:val="auto"/>
          <w:lang w:val="en-US"/>
        </w:rPr>
        <w:t>A</w:t>
      </w:r>
      <w:r w:rsidR="007C13E2" w:rsidRPr="00107CBB">
        <w:rPr>
          <w:color w:val="auto"/>
          <w:lang w:val="en-US"/>
        </w:rPr>
        <w:t xml:space="preserve">n overview of what the platform can provide in terms of </w:t>
      </w:r>
      <w:r w:rsidR="00107CBB" w:rsidRPr="00107CBB">
        <w:rPr>
          <w:color w:val="auto"/>
          <w:lang w:val="en-US"/>
        </w:rPr>
        <w:t>demographic data, preferences and behaviour of visitors and comparison to historic data</w:t>
      </w:r>
      <w:r w:rsidRPr="00107CBB">
        <w:rPr>
          <w:color w:val="auto"/>
          <w:lang w:val="en-US"/>
        </w:rPr>
        <w:t xml:space="preserve"> </w:t>
      </w:r>
    </w:p>
    <w:p w14:paraId="686F23E8" w14:textId="77777777" w:rsidR="00F36213" w:rsidRPr="007C13E2" w:rsidRDefault="00F36213" w:rsidP="00F36213">
      <w:pPr>
        <w:pStyle w:val="ListParagraph"/>
        <w:numPr>
          <w:ilvl w:val="0"/>
          <w:numId w:val="14"/>
        </w:numPr>
        <w:jc w:val="both"/>
        <w:rPr>
          <w:color w:val="auto"/>
          <w:lang w:val="en-US"/>
        </w:rPr>
      </w:pPr>
      <w:r w:rsidRPr="00107CBB">
        <w:rPr>
          <w:color w:val="auto"/>
          <w:lang w:val="en-US"/>
        </w:rPr>
        <w:lastRenderedPageBreak/>
        <w:t xml:space="preserve">Evidence </w:t>
      </w:r>
      <w:r w:rsidRPr="007C13E2">
        <w:rPr>
          <w:color w:val="auto"/>
          <w:lang w:val="en-US"/>
        </w:rPr>
        <w:t xml:space="preserve">of </w:t>
      </w:r>
      <w:r w:rsidR="007C13E2" w:rsidRPr="007C13E2">
        <w:rPr>
          <w:color w:val="auto"/>
          <w:lang w:val="en-US"/>
        </w:rPr>
        <w:t>how the data can be extrapolated at a micro and macro level and examples of the demographic data that can be obtained</w:t>
      </w:r>
      <w:r w:rsidRPr="007C13E2">
        <w:rPr>
          <w:color w:val="auto"/>
          <w:lang w:val="en-US"/>
        </w:rPr>
        <w:t xml:space="preserve">. </w:t>
      </w:r>
    </w:p>
    <w:p w14:paraId="0AC17305" w14:textId="77777777" w:rsidR="00F36213" w:rsidRPr="00107CBB" w:rsidRDefault="00107CBB" w:rsidP="00F36213">
      <w:pPr>
        <w:pStyle w:val="ListParagraph"/>
        <w:numPr>
          <w:ilvl w:val="0"/>
          <w:numId w:val="14"/>
        </w:numPr>
        <w:jc w:val="both"/>
        <w:rPr>
          <w:color w:val="auto"/>
          <w:lang w:val="en-US"/>
        </w:rPr>
      </w:pPr>
      <w:r w:rsidRPr="00107CBB">
        <w:rPr>
          <w:color w:val="auto"/>
          <w:lang w:val="en-US"/>
        </w:rPr>
        <w:t>Confirmation that council staff will be given ongoing training and support to access and extrapolate information from the data platform</w:t>
      </w:r>
    </w:p>
    <w:p w14:paraId="3A664455" w14:textId="40DF3710" w:rsidR="00107CBB" w:rsidRPr="00107CBB" w:rsidRDefault="00107CBB" w:rsidP="00107CBB">
      <w:pPr>
        <w:pStyle w:val="ListParagraph"/>
        <w:numPr>
          <w:ilvl w:val="0"/>
          <w:numId w:val="14"/>
        </w:numPr>
        <w:jc w:val="both"/>
        <w:rPr>
          <w:color w:val="auto"/>
          <w:lang w:val="en-US"/>
        </w:rPr>
      </w:pPr>
      <w:r w:rsidRPr="00107CBB">
        <w:rPr>
          <w:color w:val="auto"/>
          <w:lang w:val="en-US"/>
        </w:rPr>
        <w:t xml:space="preserve">Confirmation that the Council will be given ownership of the data extrapolated by and provided to </w:t>
      </w:r>
      <w:r w:rsidR="006C05DE">
        <w:rPr>
          <w:color w:val="auto"/>
          <w:lang w:val="en-US"/>
        </w:rPr>
        <w:t xml:space="preserve">The Council </w:t>
      </w:r>
      <w:r w:rsidRPr="00107CBB">
        <w:rPr>
          <w:color w:val="auto"/>
          <w:lang w:val="en-US"/>
        </w:rPr>
        <w:t xml:space="preserve">staff for use as required.  </w:t>
      </w:r>
    </w:p>
    <w:p w14:paraId="56F21E1C" w14:textId="4A70D258" w:rsidR="007C13E2" w:rsidRPr="004374A9" w:rsidRDefault="007C13E2" w:rsidP="004374A9">
      <w:pPr>
        <w:jc w:val="both"/>
        <w:rPr>
          <w:color w:val="FF0000"/>
          <w:lang w:val="en-US"/>
        </w:rPr>
      </w:pPr>
    </w:p>
    <w:p w14:paraId="2179F23D" w14:textId="77777777" w:rsidR="00F36213" w:rsidRPr="007C13E2" w:rsidRDefault="00F36213" w:rsidP="00F36213">
      <w:pPr>
        <w:jc w:val="both"/>
        <w:rPr>
          <w:color w:val="auto"/>
          <w:lang w:val="en-US"/>
        </w:rPr>
      </w:pPr>
      <w:r w:rsidRPr="007C13E2">
        <w:rPr>
          <w:color w:val="auto"/>
          <w:lang w:val="en-US"/>
        </w:rPr>
        <w:t>Payment milestones:</w:t>
      </w:r>
    </w:p>
    <w:p w14:paraId="5E4EDCC2" w14:textId="77777777" w:rsidR="00F36213" w:rsidRPr="007C13E2" w:rsidRDefault="00F36213" w:rsidP="00F36213">
      <w:pPr>
        <w:pStyle w:val="ListParagraph"/>
        <w:numPr>
          <w:ilvl w:val="0"/>
          <w:numId w:val="15"/>
        </w:numPr>
        <w:jc w:val="both"/>
        <w:rPr>
          <w:color w:val="auto"/>
          <w:lang w:val="en-US"/>
        </w:rPr>
      </w:pPr>
      <w:r w:rsidRPr="007C13E2">
        <w:rPr>
          <w:color w:val="auto"/>
          <w:lang w:val="en-US"/>
        </w:rPr>
        <w:t xml:space="preserve">Payment for the project will be broken down into three individual payments for each </w:t>
      </w:r>
      <w:r w:rsidR="007C13E2">
        <w:rPr>
          <w:color w:val="auto"/>
          <w:lang w:val="en-US"/>
        </w:rPr>
        <w:t xml:space="preserve">year </w:t>
      </w:r>
      <w:r w:rsidRPr="007C13E2">
        <w:rPr>
          <w:color w:val="auto"/>
          <w:lang w:val="en-US"/>
        </w:rPr>
        <w:t xml:space="preserve">of the project. </w:t>
      </w:r>
    </w:p>
    <w:p w14:paraId="1277ED13" w14:textId="6B63B27F" w:rsidR="00F36213" w:rsidRPr="007C13E2" w:rsidRDefault="00F36213" w:rsidP="00F36213">
      <w:pPr>
        <w:pStyle w:val="ListParagraph"/>
        <w:numPr>
          <w:ilvl w:val="0"/>
          <w:numId w:val="16"/>
        </w:numPr>
        <w:jc w:val="both"/>
        <w:rPr>
          <w:color w:val="auto"/>
          <w:lang w:val="en-US"/>
        </w:rPr>
      </w:pPr>
      <w:r w:rsidRPr="007C13E2">
        <w:rPr>
          <w:color w:val="auto"/>
          <w:lang w:val="en-US"/>
        </w:rPr>
        <w:t xml:space="preserve">Payment 1: </w:t>
      </w:r>
      <w:r w:rsidR="00212CFB">
        <w:rPr>
          <w:color w:val="auto"/>
          <w:lang w:val="en-US"/>
        </w:rPr>
        <w:t>1</w:t>
      </w:r>
      <w:r w:rsidR="00C0061F">
        <w:rPr>
          <w:color w:val="auto"/>
          <w:lang w:val="en-US"/>
        </w:rPr>
        <w:t>5</w:t>
      </w:r>
      <w:r w:rsidR="00C0061F" w:rsidRPr="00C0061F">
        <w:rPr>
          <w:color w:val="auto"/>
          <w:vertAlign w:val="superscript"/>
          <w:lang w:val="en-US"/>
        </w:rPr>
        <w:t>th</w:t>
      </w:r>
      <w:r w:rsidR="00C0061F">
        <w:rPr>
          <w:color w:val="auto"/>
          <w:lang w:val="en-US"/>
        </w:rPr>
        <w:t xml:space="preserve"> August</w:t>
      </w:r>
      <w:r w:rsidR="007C13E2" w:rsidRPr="007C13E2">
        <w:rPr>
          <w:color w:val="auto"/>
          <w:lang w:val="en-US"/>
        </w:rPr>
        <w:t xml:space="preserve"> 2024</w:t>
      </w:r>
    </w:p>
    <w:p w14:paraId="1DCEA947" w14:textId="0CB9E85E" w:rsidR="00F36213" w:rsidRPr="007C13E2" w:rsidRDefault="00F36213" w:rsidP="00F36213">
      <w:pPr>
        <w:pStyle w:val="ListParagraph"/>
        <w:numPr>
          <w:ilvl w:val="0"/>
          <w:numId w:val="16"/>
        </w:numPr>
        <w:jc w:val="both"/>
        <w:rPr>
          <w:color w:val="auto"/>
          <w:lang w:val="en-US"/>
        </w:rPr>
      </w:pPr>
      <w:r w:rsidRPr="007C13E2">
        <w:rPr>
          <w:color w:val="auto"/>
          <w:lang w:val="en-US"/>
        </w:rPr>
        <w:t xml:space="preserve">Payment 2: </w:t>
      </w:r>
      <w:r w:rsidR="00212CFB">
        <w:rPr>
          <w:color w:val="auto"/>
          <w:lang w:val="en-US"/>
        </w:rPr>
        <w:t>1</w:t>
      </w:r>
      <w:r w:rsidR="00C0061F">
        <w:rPr>
          <w:color w:val="auto"/>
          <w:lang w:val="en-US"/>
        </w:rPr>
        <w:t>5</w:t>
      </w:r>
      <w:r w:rsidR="00C0061F" w:rsidRPr="00C0061F">
        <w:rPr>
          <w:color w:val="auto"/>
          <w:vertAlign w:val="superscript"/>
          <w:lang w:val="en-US"/>
        </w:rPr>
        <w:t>th</w:t>
      </w:r>
      <w:r w:rsidR="00C0061F">
        <w:rPr>
          <w:color w:val="auto"/>
          <w:lang w:val="en-US"/>
        </w:rPr>
        <w:t xml:space="preserve"> August</w:t>
      </w:r>
      <w:r w:rsidR="007C13E2" w:rsidRPr="007C13E2">
        <w:rPr>
          <w:color w:val="auto"/>
          <w:lang w:val="en-US"/>
        </w:rPr>
        <w:t xml:space="preserve"> 2025</w:t>
      </w:r>
    </w:p>
    <w:p w14:paraId="1C40C530" w14:textId="20F83FBB" w:rsidR="00E35E91" w:rsidRPr="007C13E2" w:rsidRDefault="00E35E91" w:rsidP="00E35E91">
      <w:pPr>
        <w:pStyle w:val="ListParagraph"/>
        <w:numPr>
          <w:ilvl w:val="0"/>
          <w:numId w:val="16"/>
        </w:numPr>
        <w:jc w:val="both"/>
        <w:rPr>
          <w:color w:val="auto"/>
          <w:lang w:val="en-US"/>
        </w:rPr>
      </w:pPr>
      <w:r w:rsidRPr="007C13E2">
        <w:rPr>
          <w:color w:val="auto"/>
          <w:lang w:val="en-US"/>
        </w:rPr>
        <w:t xml:space="preserve">Payment 3: </w:t>
      </w:r>
      <w:r w:rsidR="00212CFB">
        <w:rPr>
          <w:color w:val="auto"/>
          <w:lang w:val="en-US"/>
        </w:rPr>
        <w:t>1</w:t>
      </w:r>
      <w:r w:rsidR="00C0061F">
        <w:rPr>
          <w:color w:val="auto"/>
          <w:lang w:val="en-US"/>
        </w:rPr>
        <w:t>5</w:t>
      </w:r>
      <w:r w:rsidR="00C0061F" w:rsidRPr="00C0061F">
        <w:rPr>
          <w:color w:val="auto"/>
          <w:vertAlign w:val="superscript"/>
          <w:lang w:val="en-US"/>
        </w:rPr>
        <w:t>th</w:t>
      </w:r>
      <w:r w:rsidR="00C0061F">
        <w:rPr>
          <w:color w:val="auto"/>
          <w:lang w:val="en-US"/>
        </w:rPr>
        <w:t xml:space="preserve"> August</w:t>
      </w:r>
      <w:r w:rsidR="007C13E2" w:rsidRPr="007C13E2">
        <w:rPr>
          <w:color w:val="auto"/>
          <w:lang w:val="en-US"/>
        </w:rPr>
        <w:t xml:space="preserve"> 2026</w:t>
      </w:r>
    </w:p>
    <w:p w14:paraId="7BD98558" w14:textId="77777777" w:rsidR="00E35E91" w:rsidRPr="007C13E2" w:rsidRDefault="00E35E91" w:rsidP="00E35E91">
      <w:pPr>
        <w:pStyle w:val="ListParagraph"/>
        <w:numPr>
          <w:ilvl w:val="0"/>
          <w:numId w:val="15"/>
        </w:numPr>
        <w:jc w:val="both"/>
        <w:rPr>
          <w:color w:val="auto"/>
          <w:lang w:val="en-US"/>
        </w:rPr>
      </w:pPr>
      <w:r w:rsidRPr="007C13E2">
        <w:rPr>
          <w:color w:val="auto"/>
          <w:lang w:val="en-US"/>
        </w:rPr>
        <w:t>Payments will be made upon receipt of an invoice at each payment milestone.</w:t>
      </w:r>
    </w:p>
    <w:p w14:paraId="62DD8909" w14:textId="346CE141" w:rsidR="003E043C" w:rsidRDefault="003E043C" w:rsidP="00AB124C">
      <w:pPr>
        <w:jc w:val="both"/>
        <w:rPr>
          <w:color w:val="4F81BD" w:themeColor="accent1"/>
          <w:lang w:val="en-US"/>
        </w:rPr>
      </w:pPr>
    </w:p>
    <w:p w14:paraId="500A4577" w14:textId="4311FD5C" w:rsidR="0029454D" w:rsidRDefault="0029454D" w:rsidP="00AB124C">
      <w:pPr>
        <w:jc w:val="both"/>
        <w:rPr>
          <w:color w:val="4F81BD" w:themeColor="accent1"/>
          <w:lang w:val="en-US"/>
        </w:rPr>
      </w:pPr>
    </w:p>
    <w:p w14:paraId="24317DF4" w14:textId="5D123176" w:rsidR="0029454D" w:rsidRDefault="0029454D" w:rsidP="00AB124C">
      <w:pPr>
        <w:jc w:val="both"/>
        <w:rPr>
          <w:color w:val="4F81BD" w:themeColor="accent1"/>
          <w:lang w:val="en-US"/>
        </w:rPr>
      </w:pPr>
    </w:p>
    <w:p w14:paraId="1E006D63" w14:textId="2FCCB122" w:rsidR="0029454D" w:rsidRDefault="0029454D" w:rsidP="00AB124C">
      <w:pPr>
        <w:jc w:val="both"/>
        <w:rPr>
          <w:color w:val="4F81BD" w:themeColor="accent1"/>
          <w:lang w:val="en-US"/>
        </w:rPr>
      </w:pPr>
    </w:p>
    <w:p w14:paraId="5AB42FC1" w14:textId="77777777" w:rsidR="0029454D" w:rsidRPr="00AB124C" w:rsidRDefault="0029454D" w:rsidP="00AB124C">
      <w:pPr>
        <w:jc w:val="both"/>
        <w:rPr>
          <w:color w:val="4F81BD" w:themeColor="accent1"/>
          <w:lang w:val="en-US"/>
        </w:rPr>
      </w:pPr>
    </w:p>
    <w:p w14:paraId="67DF1913" w14:textId="77777777" w:rsidR="003E043C" w:rsidRPr="00AB124C" w:rsidRDefault="003E043C" w:rsidP="00AB124C">
      <w:pPr>
        <w:pStyle w:val="Heading1"/>
        <w:numPr>
          <w:ilvl w:val="0"/>
          <w:numId w:val="1"/>
        </w:numPr>
        <w:ind w:left="426" w:hanging="426"/>
        <w:jc w:val="both"/>
        <w:rPr>
          <w:rFonts w:cs="Arial"/>
          <w:lang w:val="en-US"/>
        </w:rPr>
      </w:pPr>
      <w:bookmarkStart w:id="5" w:name="_Toc125559717"/>
      <w:bookmarkStart w:id="6" w:name="_Toc160547780"/>
      <w:r w:rsidRPr="00AB124C">
        <w:rPr>
          <w:rFonts w:cs="Arial"/>
          <w:lang w:val="en-US"/>
        </w:rPr>
        <w:t>Clarifications</w:t>
      </w:r>
      <w:bookmarkEnd w:id="5"/>
      <w:bookmarkEnd w:id="6"/>
    </w:p>
    <w:p w14:paraId="1FB96F32" w14:textId="77777777" w:rsidR="004374A9" w:rsidRDefault="004374A9" w:rsidP="004374A9">
      <w:pPr>
        <w:jc w:val="both"/>
        <w:rPr>
          <w:color w:val="auto"/>
          <w:lang w:val="en-US"/>
        </w:rPr>
      </w:pPr>
    </w:p>
    <w:p w14:paraId="349B9DDA" w14:textId="65903D81" w:rsidR="004374A9" w:rsidRPr="004374A9" w:rsidRDefault="004374A9" w:rsidP="004374A9">
      <w:pPr>
        <w:jc w:val="both"/>
        <w:rPr>
          <w:color w:val="auto"/>
          <w:lang w:val="en-US"/>
        </w:rPr>
      </w:pPr>
      <w:r w:rsidRPr="004374A9">
        <w:rPr>
          <w:color w:val="auto"/>
          <w:lang w:val="en-US"/>
        </w:rPr>
        <w:t>All requests for clarification should be submitted no later than the date specified in the Procurement timetable, using the messaging facility on the Proactis procurement portal.</w:t>
      </w:r>
    </w:p>
    <w:p w14:paraId="3045AF05" w14:textId="77777777" w:rsidR="004374A9" w:rsidRDefault="004374A9" w:rsidP="004374A9">
      <w:pPr>
        <w:jc w:val="both"/>
        <w:rPr>
          <w:color w:val="auto"/>
          <w:lang w:val="en-US"/>
        </w:rPr>
      </w:pPr>
    </w:p>
    <w:p w14:paraId="5103905B" w14:textId="3572B2FC" w:rsidR="004374A9" w:rsidRPr="004374A9" w:rsidRDefault="004374A9" w:rsidP="004374A9">
      <w:pPr>
        <w:jc w:val="both"/>
        <w:rPr>
          <w:color w:val="auto"/>
          <w:lang w:val="en-US"/>
        </w:rPr>
      </w:pPr>
      <w:r w:rsidRPr="004374A9">
        <w:rPr>
          <w:color w:val="auto"/>
          <w:lang w:val="en-US"/>
        </w:rPr>
        <w:t xml:space="preserve">Questions received after the deadline date may not be answered. If the potential provider expresses that the question is confidential and </w:t>
      </w:r>
      <w:r>
        <w:rPr>
          <w:color w:val="auto"/>
          <w:lang w:val="en-US"/>
        </w:rPr>
        <w:t>the Council</w:t>
      </w:r>
      <w:r w:rsidRPr="004374A9">
        <w:rPr>
          <w:color w:val="auto"/>
          <w:lang w:val="en-US"/>
        </w:rPr>
        <w:t xml:space="preserve"> agrees that it is, then the response will be sent only to the </w:t>
      </w:r>
      <w:r w:rsidRPr="004374A9">
        <w:rPr>
          <w:color w:val="auto"/>
          <w:lang w:val="en-US"/>
        </w:rPr>
        <w:lastRenderedPageBreak/>
        <w:t xml:space="preserve">potential provider raising the question. If </w:t>
      </w:r>
      <w:r>
        <w:rPr>
          <w:color w:val="auto"/>
          <w:lang w:val="en-US"/>
        </w:rPr>
        <w:t>the Council</w:t>
      </w:r>
      <w:r w:rsidRPr="004374A9">
        <w:rPr>
          <w:color w:val="auto"/>
          <w:lang w:val="en-US"/>
        </w:rPr>
        <w:t xml:space="preserve"> disagrees, they will inform the potential provider and allow them to withdraw their question.</w:t>
      </w:r>
    </w:p>
    <w:p w14:paraId="74D1E2F0" w14:textId="77777777" w:rsidR="00D85C57" w:rsidRPr="003F77B1" w:rsidRDefault="00D85C57" w:rsidP="00AB124C">
      <w:pPr>
        <w:jc w:val="both"/>
        <w:rPr>
          <w:color w:val="auto"/>
          <w:lang w:val="en-US"/>
        </w:rPr>
      </w:pPr>
    </w:p>
    <w:p w14:paraId="39252BC9" w14:textId="356B9360" w:rsidR="003E043C" w:rsidRPr="004374A9" w:rsidRDefault="00D85C57" w:rsidP="00AB124C">
      <w:pPr>
        <w:jc w:val="both"/>
        <w:rPr>
          <w:color w:val="auto"/>
          <w:lang w:val="en-US"/>
        </w:rPr>
      </w:pPr>
      <w:r w:rsidRPr="003F77B1">
        <w:rPr>
          <w:color w:val="auto"/>
          <w:lang w:val="en-US"/>
        </w:rPr>
        <w:t>Suppliers may be required to clarify their submission. Requests for clarification will be issued via the messaging function on the Proactis portal. Suppliers are required to respond to requests for clarification as requested and, no later than within 3 working days.</w:t>
      </w:r>
    </w:p>
    <w:p w14:paraId="620D9FA6" w14:textId="77777777" w:rsidR="00C00D19" w:rsidRPr="00AB124C" w:rsidRDefault="00C00D19" w:rsidP="00AB124C">
      <w:pPr>
        <w:pStyle w:val="Heading1"/>
        <w:numPr>
          <w:ilvl w:val="0"/>
          <w:numId w:val="1"/>
        </w:numPr>
        <w:ind w:left="426" w:hanging="426"/>
        <w:jc w:val="both"/>
        <w:rPr>
          <w:rFonts w:cs="Arial"/>
          <w:szCs w:val="24"/>
          <w:lang w:val="en-US"/>
        </w:rPr>
      </w:pPr>
      <w:bookmarkStart w:id="7" w:name="_Toc160547781"/>
      <w:r w:rsidRPr="00AB124C">
        <w:rPr>
          <w:rFonts w:cs="Arial"/>
          <w:szCs w:val="24"/>
          <w:lang w:val="en-US"/>
        </w:rPr>
        <w:t>Evaluation</w:t>
      </w:r>
      <w:bookmarkEnd w:id="7"/>
    </w:p>
    <w:p w14:paraId="3FB29725" w14:textId="77777777" w:rsidR="00A76F29" w:rsidRPr="00AB124C" w:rsidRDefault="00A76F29" w:rsidP="00AB124C">
      <w:pPr>
        <w:jc w:val="both"/>
        <w:rPr>
          <w:color w:val="FF0000"/>
          <w:lang w:val="en-US"/>
        </w:rPr>
      </w:pPr>
    </w:p>
    <w:p w14:paraId="415D393D" w14:textId="77777777" w:rsidR="00125CB0" w:rsidRPr="00415896" w:rsidRDefault="00125CB0" w:rsidP="00125CB0">
      <w:pPr>
        <w:jc w:val="both"/>
        <w:rPr>
          <w:color w:val="auto"/>
          <w:lang w:val="en-US"/>
        </w:rPr>
      </w:pPr>
      <w:r>
        <w:rPr>
          <w:color w:val="auto"/>
          <w:lang w:val="en-US"/>
        </w:rPr>
        <w:t>Responses</w:t>
      </w:r>
      <w:r w:rsidRPr="00415896">
        <w:rPr>
          <w:color w:val="auto"/>
          <w:lang w:val="en-US"/>
        </w:rPr>
        <w:t xml:space="preserve"> received on time will be evaluated on the following criteria, providing the quote meet</w:t>
      </w:r>
      <w:r>
        <w:rPr>
          <w:color w:val="auto"/>
          <w:lang w:val="en-US"/>
        </w:rPr>
        <w:t>s</w:t>
      </w:r>
      <w:r w:rsidRPr="00415896">
        <w:rPr>
          <w:color w:val="auto"/>
          <w:lang w:val="en-US"/>
        </w:rPr>
        <w:t xml:space="preserve"> the requirements stated in this ITQ:</w:t>
      </w:r>
    </w:p>
    <w:p w14:paraId="3069A7FC" w14:textId="77777777" w:rsidR="00E042D7" w:rsidRDefault="00E042D7" w:rsidP="00AB124C">
      <w:pPr>
        <w:jc w:val="both"/>
        <w:rPr>
          <w:color w:val="auto"/>
          <w:lang w:val="en-US"/>
        </w:rPr>
      </w:pPr>
    </w:p>
    <w:p w14:paraId="605E4BAE" w14:textId="77777777" w:rsidR="00125CB0" w:rsidRDefault="00B72112" w:rsidP="00125CB0">
      <w:pPr>
        <w:jc w:val="both"/>
        <w:rPr>
          <w:color w:val="auto"/>
          <w:lang w:val="en-US"/>
        </w:rPr>
      </w:pPr>
      <w:r>
        <w:rPr>
          <w:color w:val="auto"/>
          <w:lang w:val="en-US"/>
        </w:rPr>
        <w:t>Quality: 70</w:t>
      </w:r>
      <w:r w:rsidR="00E042D7">
        <w:rPr>
          <w:color w:val="auto"/>
          <w:lang w:val="en-US"/>
        </w:rPr>
        <w:t>%</w:t>
      </w:r>
    </w:p>
    <w:p w14:paraId="1D055026" w14:textId="636F2913" w:rsidR="00757173" w:rsidRDefault="00757173" w:rsidP="00A6241D">
      <w:pPr>
        <w:pStyle w:val="ListParagraph"/>
        <w:numPr>
          <w:ilvl w:val="0"/>
          <w:numId w:val="13"/>
        </w:numPr>
        <w:jc w:val="both"/>
        <w:rPr>
          <w:color w:val="auto"/>
          <w:lang w:val="en-US"/>
        </w:rPr>
      </w:pPr>
      <w:r w:rsidRPr="00053E46">
        <w:rPr>
          <w:lang w:val="en-US"/>
        </w:rPr>
        <w:t xml:space="preserve">Provide a method statement that will outline </w:t>
      </w:r>
      <w:r>
        <w:rPr>
          <w:lang w:val="en-US"/>
        </w:rPr>
        <w:t>the training that will be given to council staff to ensure they are able to access and extrapolate information as required from the data platform</w:t>
      </w:r>
      <w:r>
        <w:rPr>
          <w:color w:val="auto"/>
          <w:lang w:val="en-US"/>
        </w:rPr>
        <w:t xml:space="preserve"> 30%</w:t>
      </w:r>
    </w:p>
    <w:p w14:paraId="0043ACCC" w14:textId="340589E7" w:rsidR="00125CB0" w:rsidRDefault="00125CB0" w:rsidP="00A6241D">
      <w:pPr>
        <w:pStyle w:val="ListParagraph"/>
        <w:numPr>
          <w:ilvl w:val="0"/>
          <w:numId w:val="13"/>
        </w:numPr>
        <w:jc w:val="both"/>
        <w:rPr>
          <w:color w:val="auto"/>
          <w:lang w:val="en-US"/>
        </w:rPr>
      </w:pPr>
      <w:r>
        <w:rPr>
          <w:color w:val="auto"/>
          <w:lang w:val="en-US"/>
        </w:rPr>
        <w:t xml:space="preserve">Quality of the </w:t>
      </w:r>
      <w:r w:rsidR="00A6241D">
        <w:rPr>
          <w:color w:val="auto"/>
          <w:lang w:val="en-US"/>
        </w:rPr>
        <w:t xml:space="preserve">data, demonstration that the </w:t>
      </w:r>
      <w:r w:rsidR="00045245">
        <w:rPr>
          <w:color w:val="auto"/>
          <w:lang w:val="en-US"/>
        </w:rPr>
        <w:t xml:space="preserve">data extrapolated from the </w:t>
      </w:r>
      <w:r w:rsidR="00A6241D" w:rsidRPr="00045245">
        <w:rPr>
          <w:color w:val="auto"/>
          <w:lang w:val="en-US"/>
        </w:rPr>
        <w:t>platform</w:t>
      </w:r>
      <w:r w:rsidR="00045245">
        <w:rPr>
          <w:color w:val="auto"/>
          <w:lang w:val="en-US"/>
        </w:rPr>
        <w:t xml:space="preserve"> supplied will</w:t>
      </w:r>
      <w:r w:rsidR="00A6241D">
        <w:rPr>
          <w:color w:val="auto"/>
          <w:lang w:val="en-US"/>
        </w:rPr>
        <w:t xml:space="preserve"> meet the specific requi</w:t>
      </w:r>
      <w:r w:rsidR="00757173">
        <w:rPr>
          <w:color w:val="auto"/>
          <w:lang w:val="en-US"/>
        </w:rPr>
        <w:t>rements covered in this ITQ : 3</w:t>
      </w:r>
      <w:bookmarkStart w:id="8" w:name="_GoBack"/>
      <w:bookmarkEnd w:id="8"/>
      <w:r w:rsidR="00B72112">
        <w:rPr>
          <w:color w:val="auto"/>
          <w:lang w:val="en-US"/>
        </w:rPr>
        <w:t>0</w:t>
      </w:r>
      <w:r w:rsidR="00A6241D">
        <w:rPr>
          <w:color w:val="auto"/>
          <w:lang w:val="en-US"/>
        </w:rPr>
        <w:t>%</w:t>
      </w:r>
    </w:p>
    <w:p w14:paraId="3F48C675" w14:textId="52C0B17B" w:rsidR="00A6241D" w:rsidRDefault="00A6241D" w:rsidP="00A6241D">
      <w:pPr>
        <w:pStyle w:val="ListParagraph"/>
        <w:numPr>
          <w:ilvl w:val="0"/>
          <w:numId w:val="13"/>
        </w:numPr>
        <w:jc w:val="both"/>
        <w:rPr>
          <w:color w:val="auto"/>
          <w:lang w:val="en-US"/>
        </w:rPr>
      </w:pPr>
      <w:r>
        <w:rPr>
          <w:color w:val="auto"/>
          <w:lang w:val="en-US"/>
        </w:rPr>
        <w:t>Experience of having delivered a similar product</w:t>
      </w:r>
      <w:r w:rsidR="00045245">
        <w:rPr>
          <w:color w:val="auto"/>
          <w:lang w:val="en-US"/>
        </w:rPr>
        <w:t xml:space="preserve"> to an organization with comparable requirements</w:t>
      </w:r>
      <w:r>
        <w:rPr>
          <w:color w:val="auto"/>
          <w:lang w:val="en-US"/>
        </w:rPr>
        <w:t xml:space="preserve">.  Evidence </w:t>
      </w:r>
      <w:r w:rsidR="00C91E1C">
        <w:rPr>
          <w:color w:val="auto"/>
          <w:lang w:val="en-US"/>
        </w:rPr>
        <w:t>to be provided with examples : 1</w:t>
      </w:r>
      <w:r>
        <w:rPr>
          <w:color w:val="auto"/>
          <w:lang w:val="en-US"/>
        </w:rPr>
        <w:t>0%</w:t>
      </w:r>
    </w:p>
    <w:p w14:paraId="45659AFE" w14:textId="77777777" w:rsidR="00757173" w:rsidRPr="00757173" w:rsidRDefault="00757173" w:rsidP="00757173">
      <w:pPr>
        <w:jc w:val="both"/>
        <w:rPr>
          <w:color w:val="auto"/>
          <w:lang w:val="en-US"/>
        </w:rPr>
      </w:pPr>
    </w:p>
    <w:p w14:paraId="19AB3AEE" w14:textId="424AAD0F" w:rsidR="00E042D7" w:rsidRDefault="00A6241D" w:rsidP="004374A9">
      <w:pPr>
        <w:rPr>
          <w:color w:val="auto"/>
          <w:lang w:val="en-US"/>
        </w:rPr>
      </w:pPr>
      <w:r>
        <w:rPr>
          <w:color w:val="auto"/>
          <w:lang w:val="en-US"/>
        </w:rPr>
        <w:t>Price</w:t>
      </w:r>
      <w:r w:rsidR="00B72112">
        <w:rPr>
          <w:color w:val="auto"/>
          <w:lang w:val="en-US"/>
        </w:rPr>
        <w:t>: 30</w:t>
      </w:r>
      <w:r w:rsidR="00E042D7">
        <w:rPr>
          <w:color w:val="auto"/>
          <w:lang w:val="en-US"/>
        </w:rPr>
        <w:t>%</w:t>
      </w:r>
    </w:p>
    <w:p w14:paraId="590077E1" w14:textId="77777777" w:rsidR="00E042D7" w:rsidRDefault="00E042D7" w:rsidP="00AB124C">
      <w:pPr>
        <w:jc w:val="both"/>
        <w:rPr>
          <w:color w:val="auto"/>
          <w:lang w:val="en-US"/>
        </w:rPr>
      </w:pPr>
    </w:p>
    <w:p w14:paraId="549C8B7C" w14:textId="77777777" w:rsidR="0029454D" w:rsidRDefault="0029454D" w:rsidP="00E042D7">
      <w:pPr>
        <w:rPr>
          <w:b/>
          <w:color w:val="auto"/>
          <w:lang w:val="en-US"/>
        </w:rPr>
      </w:pPr>
    </w:p>
    <w:p w14:paraId="66391C0C" w14:textId="77777777" w:rsidR="0029454D" w:rsidRDefault="0029454D" w:rsidP="00E042D7">
      <w:pPr>
        <w:rPr>
          <w:b/>
          <w:color w:val="auto"/>
          <w:lang w:val="en-US"/>
        </w:rPr>
      </w:pPr>
    </w:p>
    <w:p w14:paraId="0203CE28" w14:textId="723494B0" w:rsidR="00E042D7" w:rsidRPr="00E042D7" w:rsidRDefault="00E042D7" w:rsidP="00E042D7">
      <w:pPr>
        <w:rPr>
          <w:color w:val="auto"/>
          <w:lang w:val="en-US"/>
        </w:rPr>
      </w:pPr>
      <w:r w:rsidRPr="00E042D7">
        <w:rPr>
          <w:b/>
          <w:color w:val="auto"/>
          <w:lang w:val="en-US"/>
        </w:rPr>
        <w:t>Quality Evaluation:</w:t>
      </w:r>
    </w:p>
    <w:p w14:paraId="670878B8" w14:textId="77777777" w:rsidR="00E042D7" w:rsidRPr="00E042D7" w:rsidRDefault="00E042D7" w:rsidP="00E042D7">
      <w:pPr>
        <w:jc w:val="both"/>
        <w:rPr>
          <w:color w:val="auto"/>
          <w:lang w:val="en-US"/>
        </w:rPr>
      </w:pPr>
      <w:r w:rsidRPr="00E042D7">
        <w:rPr>
          <w:color w:val="auto"/>
          <w:lang w:val="en-US"/>
        </w:rPr>
        <w:t>Answers will be scored on the following criteria</w:t>
      </w: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tblGrid>
      <w:tr w:rsidR="00E042D7" w:rsidRPr="00E042D7" w14:paraId="2B5285C1" w14:textId="77777777" w:rsidTr="000A413F">
        <w:trPr>
          <w:trHeight w:val="904"/>
        </w:trPr>
        <w:tc>
          <w:tcPr>
            <w:tcW w:w="5000" w:type="pct"/>
            <w:tcBorders>
              <w:top w:val="single" w:sz="4" w:space="0" w:color="auto"/>
              <w:left w:val="single" w:sz="4" w:space="0" w:color="auto"/>
              <w:bottom w:val="single" w:sz="4" w:space="0" w:color="auto"/>
              <w:right w:val="single" w:sz="4" w:space="0" w:color="auto"/>
            </w:tcBorders>
            <w:vAlign w:val="center"/>
            <w:hideMark/>
          </w:tcPr>
          <w:p w14:paraId="4B0C20C8" w14:textId="77777777" w:rsidR="00E042D7" w:rsidRPr="00E042D7" w:rsidRDefault="00E042D7" w:rsidP="00E042D7">
            <w:pPr>
              <w:spacing w:line="276" w:lineRule="auto"/>
              <w:rPr>
                <w:rFonts w:ascii="Verdana" w:hAnsi="Verdana" w:cstheme="minorBidi"/>
                <w:color w:val="000000"/>
                <w:sz w:val="22"/>
                <w:szCs w:val="22"/>
                <w:lang w:eastAsia="en-GB"/>
              </w:rPr>
            </w:pPr>
            <w:r w:rsidRPr="00E042D7">
              <w:rPr>
                <w:rFonts w:ascii="Verdana" w:hAnsi="Verdana" w:cs="Calibri"/>
                <w:b/>
                <w:color w:val="auto"/>
                <w:sz w:val="22"/>
                <w:szCs w:val="22"/>
              </w:rPr>
              <w:t>4 - Very good</w:t>
            </w:r>
            <w:r w:rsidRPr="00E042D7">
              <w:rPr>
                <w:rFonts w:ascii="Verdana" w:hAnsi="Verdana" w:cs="Calibri"/>
                <w:color w:val="auto"/>
                <w:sz w:val="22"/>
                <w:szCs w:val="22"/>
              </w:rPr>
              <w:t xml:space="preserve"> –</w:t>
            </w:r>
            <w:r>
              <w:rPr>
                <w:rFonts w:ascii="Verdana" w:hAnsi="Verdana" w:cs="Calibri"/>
                <w:color w:val="auto"/>
                <w:sz w:val="22"/>
                <w:szCs w:val="22"/>
              </w:rPr>
              <w:t xml:space="preserve"> exceeds the </w:t>
            </w:r>
            <w:r w:rsidRPr="00E042D7">
              <w:rPr>
                <w:rFonts w:ascii="Verdana" w:hAnsi="Verdana" w:cs="Calibri"/>
                <w:color w:val="auto"/>
                <w:sz w:val="22"/>
                <w:szCs w:val="22"/>
              </w:rPr>
              <w:t xml:space="preserve">criteria in </w:t>
            </w:r>
            <w:r w:rsidRPr="00E042D7">
              <w:rPr>
                <w:rFonts w:ascii="Verdana" w:hAnsi="Verdana" w:cs="Calibri"/>
                <w:color w:val="auto"/>
                <w:sz w:val="22"/>
                <w:szCs w:val="22"/>
                <w:u w:val="single"/>
              </w:rPr>
              <w:t>all</w:t>
            </w:r>
            <w:r w:rsidRPr="00E042D7">
              <w:rPr>
                <w:rFonts w:ascii="Verdana" w:hAnsi="Verdana" w:cs="Calibri"/>
                <w:color w:val="auto"/>
                <w:sz w:val="22"/>
                <w:szCs w:val="22"/>
              </w:rPr>
              <w:t xml:space="preserve"> areas</w:t>
            </w:r>
          </w:p>
        </w:tc>
      </w:tr>
      <w:tr w:rsidR="00E042D7" w:rsidRPr="00E042D7" w14:paraId="5489837D" w14:textId="77777777" w:rsidTr="000A413F">
        <w:trPr>
          <w:trHeight w:val="892"/>
        </w:trPr>
        <w:tc>
          <w:tcPr>
            <w:tcW w:w="5000" w:type="pct"/>
            <w:tcBorders>
              <w:top w:val="single" w:sz="4" w:space="0" w:color="auto"/>
              <w:left w:val="single" w:sz="4" w:space="0" w:color="auto"/>
              <w:bottom w:val="single" w:sz="4" w:space="0" w:color="auto"/>
              <w:right w:val="single" w:sz="4" w:space="0" w:color="auto"/>
            </w:tcBorders>
            <w:vAlign w:val="center"/>
            <w:hideMark/>
          </w:tcPr>
          <w:p w14:paraId="17E20293" w14:textId="77777777" w:rsidR="00E042D7" w:rsidRPr="00E042D7" w:rsidRDefault="00E042D7" w:rsidP="00E042D7">
            <w:pPr>
              <w:spacing w:line="276" w:lineRule="auto"/>
              <w:rPr>
                <w:rFonts w:ascii="Verdana" w:hAnsi="Verdana" w:cstheme="minorBidi"/>
                <w:color w:val="000000"/>
                <w:sz w:val="22"/>
                <w:szCs w:val="22"/>
                <w:lang w:eastAsia="en-GB"/>
              </w:rPr>
            </w:pPr>
            <w:r w:rsidRPr="00E042D7">
              <w:rPr>
                <w:rFonts w:ascii="Verdana" w:hAnsi="Verdana" w:cs="Calibri"/>
                <w:b/>
                <w:color w:val="auto"/>
                <w:sz w:val="22"/>
                <w:szCs w:val="22"/>
              </w:rPr>
              <w:t>3 - Good</w:t>
            </w:r>
            <w:r w:rsidRPr="00E042D7">
              <w:rPr>
                <w:rFonts w:ascii="Verdana" w:hAnsi="Verdana" w:cs="Calibri"/>
                <w:color w:val="auto"/>
                <w:sz w:val="22"/>
                <w:szCs w:val="22"/>
              </w:rPr>
              <w:t xml:space="preserve"> – shows attributes in a number of areas that </w:t>
            </w:r>
            <w:r>
              <w:rPr>
                <w:rFonts w:ascii="Verdana" w:hAnsi="Verdana" w:cs="Calibri"/>
                <w:color w:val="auto"/>
                <w:sz w:val="22"/>
                <w:szCs w:val="22"/>
              </w:rPr>
              <w:t>exceed</w:t>
            </w:r>
            <w:r w:rsidRPr="00E042D7">
              <w:rPr>
                <w:rFonts w:ascii="Verdana" w:hAnsi="Verdana" w:cs="Calibri"/>
                <w:color w:val="auto"/>
                <w:sz w:val="22"/>
                <w:szCs w:val="22"/>
              </w:rPr>
              <w:t xml:space="preserve"> the criteria</w:t>
            </w:r>
          </w:p>
        </w:tc>
      </w:tr>
      <w:tr w:rsidR="00E042D7" w:rsidRPr="00E042D7" w14:paraId="498D1737" w14:textId="77777777" w:rsidTr="000A413F">
        <w:trPr>
          <w:trHeight w:val="801"/>
        </w:trPr>
        <w:tc>
          <w:tcPr>
            <w:tcW w:w="5000" w:type="pct"/>
            <w:tcBorders>
              <w:top w:val="single" w:sz="4" w:space="0" w:color="auto"/>
              <w:left w:val="single" w:sz="4" w:space="0" w:color="auto"/>
              <w:bottom w:val="single" w:sz="4" w:space="0" w:color="auto"/>
              <w:right w:val="single" w:sz="4" w:space="0" w:color="auto"/>
            </w:tcBorders>
            <w:vAlign w:val="center"/>
            <w:hideMark/>
          </w:tcPr>
          <w:p w14:paraId="3A863431" w14:textId="77777777" w:rsidR="00E042D7" w:rsidRPr="00E042D7" w:rsidRDefault="00E042D7" w:rsidP="00E042D7">
            <w:pPr>
              <w:spacing w:line="276" w:lineRule="auto"/>
              <w:rPr>
                <w:rFonts w:ascii="Verdana" w:hAnsi="Verdana" w:cstheme="minorBidi"/>
                <w:color w:val="000000"/>
                <w:sz w:val="22"/>
                <w:szCs w:val="22"/>
                <w:lang w:eastAsia="en-GB"/>
              </w:rPr>
            </w:pPr>
            <w:r w:rsidRPr="00E042D7">
              <w:rPr>
                <w:rFonts w:ascii="Verdana" w:hAnsi="Verdana" w:cs="Calibri"/>
                <w:b/>
                <w:color w:val="auto"/>
                <w:sz w:val="22"/>
                <w:szCs w:val="22"/>
              </w:rPr>
              <w:lastRenderedPageBreak/>
              <w:t>2 - Satisfactory</w:t>
            </w:r>
            <w:r w:rsidRPr="00E042D7">
              <w:rPr>
                <w:rFonts w:ascii="Verdana" w:hAnsi="Verdana" w:cs="Calibri"/>
                <w:color w:val="auto"/>
                <w:sz w:val="22"/>
                <w:szCs w:val="22"/>
              </w:rPr>
              <w:t xml:space="preserve"> – provides evidence that it will meet the criteria sufficiently</w:t>
            </w:r>
          </w:p>
        </w:tc>
      </w:tr>
      <w:tr w:rsidR="00E042D7" w:rsidRPr="00E042D7" w14:paraId="23B74E58" w14:textId="77777777" w:rsidTr="000A413F">
        <w:trPr>
          <w:trHeight w:val="684"/>
        </w:trPr>
        <w:tc>
          <w:tcPr>
            <w:tcW w:w="5000" w:type="pct"/>
            <w:tcBorders>
              <w:top w:val="single" w:sz="4" w:space="0" w:color="auto"/>
              <w:left w:val="single" w:sz="4" w:space="0" w:color="auto"/>
              <w:bottom w:val="single" w:sz="4" w:space="0" w:color="auto"/>
              <w:right w:val="single" w:sz="4" w:space="0" w:color="auto"/>
            </w:tcBorders>
            <w:vAlign w:val="center"/>
            <w:hideMark/>
          </w:tcPr>
          <w:p w14:paraId="44C06389" w14:textId="77777777" w:rsidR="00E042D7" w:rsidRPr="00E042D7" w:rsidRDefault="00E042D7" w:rsidP="00E042D7">
            <w:pPr>
              <w:spacing w:line="276" w:lineRule="auto"/>
              <w:rPr>
                <w:rFonts w:ascii="Verdana" w:hAnsi="Verdana" w:cstheme="minorBidi"/>
                <w:color w:val="000000"/>
                <w:sz w:val="22"/>
                <w:szCs w:val="22"/>
                <w:lang w:eastAsia="en-GB"/>
              </w:rPr>
            </w:pPr>
            <w:r w:rsidRPr="00E042D7">
              <w:rPr>
                <w:rFonts w:ascii="Verdana" w:hAnsi="Verdana" w:cs="Calibri"/>
                <w:b/>
                <w:color w:val="auto"/>
                <w:sz w:val="22"/>
                <w:szCs w:val="22"/>
              </w:rPr>
              <w:t>1 - Poor</w:t>
            </w:r>
            <w:r w:rsidRPr="00E042D7">
              <w:rPr>
                <w:rFonts w:ascii="Verdana" w:hAnsi="Verdana" w:cs="Calibri"/>
                <w:color w:val="auto"/>
                <w:sz w:val="22"/>
                <w:szCs w:val="22"/>
              </w:rPr>
              <w:t xml:space="preserve"> – so</w:t>
            </w:r>
            <w:r>
              <w:rPr>
                <w:rFonts w:ascii="Verdana" w:hAnsi="Verdana" w:cs="Calibri"/>
                <w:color w:val="auto"/>
                <w:sz w:val="22"/>
                <w:szCs w:val="22"/>
              </w:rPr>
              <w:t>me, but very limited evidence</w:t>
            </w:r>
            <w:r w:rsidRPr="00E042D7">
              <w:rPr>
                <w:rFonts w:ascii="Verdana" w:hAnsi="Verdana" w:cs="Calibri"/>
                <w:color w:val="auto"/>
                <w:sz w:val="22"/>
                <w:szCs w:val="22"/>
              </w:rPr>
              <w:t xml:space="preserve"> that it will meet the criteria</w:t>
            </w:r>
          </w:p>
        </w:tc>
      </w:tr>
      <w:tr w:rsidR="00E042D7" w:rsidRPr="00E042D7" w14:paraId="61E9A056" w14:textId="77777777" w:rsidTr="000A413F">
        <w:trPr>
          <w:trHeight w:val="777"/>
        </w:trPr>
        <w:tc>
          <w:tcPr>
            <w:tcW w:w="5000" w:type="pct"/>
            <w:tcBorders>
              <w:top w:val="single" w:sz="4" w:space="0" w:color="auto"/>
              <w:left w:val="single" w:sz="4" w:space="0" w:color="auto"/>
              <w:bottom w:val="single" w:sz="4" w:space="0" w:color="auto"/>
              <w:right w:val="single" w:sz="4" w:space="0" w:color="auto"/>
            </w:tcBorders>
            <w:vAlign w:val="center"/>
            <w:hideMark/>
          </w:tcPr>
          <w:p w14:paraId="4A455C10" w14:textId="77777777" w:rsidR="00E042D7" w:rsidRPr="00E042D7" w:rsidRDefault="00E042D7" w:rsidP="00E042D7">
            <w:pPr>
              <w:spacing w:line="276" w:lineRule="auto"/>
              <w:rPr>
                <w:rFonts w:ascii="Verdana" w:hAnsi="Verdana" w:cstheme="minorBidi"/>
                <w:color w:val="000000"/>
                <w:sz w:val="22"/>
                <w:szCs w:val="22"/>
                <w:lang w:eastAsia="en-GB"/>
              </w:rPr>
            </w:pPr>
            <w:r w:rsidRPr="00E042D7">
              <w:rPr>
                <w:rFonts w:ascii="Verdana" w:hAnsi="Verdana" w:cs="Calibri"/>
                <w:b/>
                <w:color w:val="auto"/>
                <w:sz w:val="22"/>
                <w:szCs w:val="22"/>
              </w:rPr>
              <w:t>0- Very Poor</w:t>
            </w:r>
            <w:r w:rsidRPr="00E042D7">
              <w:rPr>
                <w:rFonts w:ascii="Verdana" w:hAnsi="Verdana" w:cs="Calibri"/>
                <w:color w:val="auto"/>
                <w:sz w:val="22"/>
                <w:szCs w:val="22"/>
              </w:rPr>
              <w:t xml:space="preserve"> – completely fails to demonstrate that it will meet the criteria</w:t>
            </w:r>
          </w:p>
        </w:tc>
      </w:tr>
    </w:tbl>
    <w:p w14:paraId="5AB8EADE" w14:textId="77777777" w:rsidR="00E042D7" w:rsidRDefault="00E042D7" w:rsidP="00E042D7">
      <w:pPr>
        <w:jc w:val="both"/>
        <w:rPr>
          <w:color w:val="auto"/>
          <w:lang w:val="en-US"/>
        </w:rPr>
      </w:pPr>
    </w:p>
    <w:p w14:paraId="03172882" w14:textId="77777777" w:rsidR="00E042D7" w:rsidRPr="00E042D7" w:rsidRDefault="00E042D7" w:rsidP="00E042D7">
      <w:pPr>
        <w:jc w:val="both"/>
        <w:rPr>
          <w:color w:val="auto"/>
          <w:lang w:val="en-US"/>
        </w:rPr>
      </w:pPr>
    </w:p>
    <w:p w14:paraId="2A79BF3F" w14:textId="77777777" w:rsidR="00E042D7" w:rsidRPr="00E042D7" w:rsidRDefault="00E042D7" w:rsidP="00E042D7">
      <w:pPr>
        <w:tabs>
          <w:tab w:val="left" w:pos="851"/>
          <w:tab w:val="left" w:pos="2694"/>
          <w:tab w:val="center" w:pos="4513"/>
          <w:tab w:val="left" w:pos="5387"/>
          <w:tab w:val="right" w:pos="9026"/>
          <w:tab w:val="left" w:pos="9072"/>
          <w:tab w:val="left" w:pos="10773"/>
          <w:tab w:val="left" w:pos="11340"/>
          <w:tab w:val="left" w:pos="11766"/>
        </w:tabs>
        <w:spacing w:after="120" w:line="240" w:lineRule="auto"/>
        <w:jc w:val="both"/>
        <w:rPr>
          <w:b/>
        </w:rPr>
      </w:pPr>
      <w:r w:rsidRPr="00E042D7">
        <w:rPr>
          <w:b/>
        </w:rPr>
        <w:t>Price Evaluation</w:t>
      </w:r>
    </w:p>
    <w:p w14:paraId="1BAA9A53" w14:textId="77777777" w:rsidR="00E042D7" w:rsidRPr="00E042D7" w:rsidRDefault="00E042D7" w:rsidP="00E042D7">
      <w:pPr>
        <w:tabs>
          <w:tab w:val="left" w:pos="851"/>
          <w:tab w:val="left" w:pos="2694"/>
          <w:tab w:val="center" w:pos="4513"/>
          <w:tab w:val="left" w:pos="5387"/>
          <w:tab w:val="right" w:pos="9026"/>
          <w:tab w:val="left" w:pos="9072"/>
          <w:tab w:val="left" w:pos="10773"/>
          <w:tab w:val="left" w:pos="11340"/>
          <w:tab w:val="left" w:pos="11766"/>
        </w:tabs>
        <w:spacing w:after="120" w:line="240" w:lineRule="auto"/>
        <w:jc w:val="both"/>
      </w:pPr>
      <w:r w:rsidRPr="00E042D7">
        <w:t>Price scores will be calculated based upon the lowest price.</w:t>
      </w:r>
    </w:p>
    <w:p w14:paraId="7AEF22BD" w14:textId="7CDF9589" w:rsidR="00E042D7" w:rsidRPr="00E042D7" w:rsidRDefault="00E042D7" w:rsidP="00E042D7">
      <w:pPr>
        <w:tabs>
          <w:tab w:val="left" w:pos="851"/>
          <w:tab w:val="left" w:pos="2694"/>
          <w:tab w:val="center" w:pos="4513"/>
          <w:tab w:val="left" w:pos="5387"/>
          <w:tab w:val="right" w:pos="9026"/>
          <w:tab w:val="left" w:pos="9072"/>
          <w:tab w:val="left" w:pos="10773"/>
          <w:tab w:val="left" w:pos="11340"/>
          <w:tab w:val="left" w:pos="11766"/>
        </w:tabs>
        <w:spacing w:after="120" w:line="240" w:lineRule="auto"/>
        <w:jc w:val="both"/>
      </w:pPr>
      <w:r w:rsidRPr="00E042D7">
        <w:t xml:space="preserve">The response with the lowest price will be </w:t>
      </w:r>
      <w:r w:rsidR="00212CFB">
        <w:t xml:space="preserve">awarded the full score of 30. </w:t>
      </w:r>
      <w:r w:rsidRPr="00E042D7">
        <w:t xml:space="preserve"> Higher-priced offers will receive a score proportionate to the lowest offer, calculated as follows:</w:t>
      </w:r>
    </w:p>
    <w:p w14:paraId="43149C87" w14:textId="77777777" w:rsidR="00E042D7" w:rsidRPr="00E042D7" w:rsidRDefault="00E042D7" w:rsidP="00E042D7">
      <w:pPr>
        <w:tabs>
          <w:tab w:val="left" w:pos="851"/>
          <w:tab w:val="left" w:pos="2694"/>
          <w:tab w:val="center" w:pos="4513"/>
          <w:tab w:val="left" w:pos="5387"/>
          <w:tab w:val="right" w:pos="9026"/>
          <w:tab w:val="left" w:pos="9072"/>
          <w:tab w:val="left" w:pos="10773"/>
          <w:tab w:val="left" w:pos="11340"/>
          <w:tab w:val="left" w:pos="11766"/>
        </w:tabs>
        <w:spacing w:after="120" w:line="240" w:lineRule="auto"/>
        <w:jc w:val="center"/>
        <w:rPr>
          <w:i/>
          <w:color w:val="FF0000"/>
        </w:rPr>
      </w:pPr>
      <w:r w:rsidRPr="00E042D7">
        <w:rPr>
          <w:b/>
          <w:noProof/>
          <w:lang w:eastAsia="en-GB"/>
        </w:rPr>
        <w:drawing>
          <wp:inline distT="0" distB="0" distL="0" distR="0" wp14:anchorId="551BF7A4" wp14:editId="2CF840EC">
            <wp:extent cx="3219450" cy="457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38413" cy="459893"/>
                    </a:xfrm>
                    <a:prstGeom prst="rect">
                      <a:avLst/>
                    </a:prstGeom>
                  </pic:spPr>
                </pic:pic>
              </a:graphicData>
            </a:graphic>
          </wp:inline>
        </w:drawing>
      </w:r>
    </w:p>
    <w:p w14:paraId="08C5C83B" w14:textId="77777777" w:rsidR="00E042D7" w:rsidRPr="00E042D7" w:rsidRDefault="00E042D7" w:rsidP="00E042D7">
      <w:pPr>
        <w:jc w:val="both"/>
        <w:rPr>
          <w:color w:val="auto"/>
          <w:lang w:val="en-US"/>
        </w:rPr>
      </w:pPr>
    </w:p>
    <w:p w14:paraId="269F231A" w14:textId="77777777" w:rsidR="00E042D7" w:rsidRDefault="00E042D7" w:rsidP="00AB124C">
      <w:pPr>
        <w:jc w:val="both"/>
        <w:rPr>
          <w:color w:val="auto"/>
          <w:lang w:val="en-US"/>
        </w:rPr>
      </w:pPr>
    </w:p>
    <w:p w14:paraId="4212619B" w14:textId="25C016B1" w:rsidR="004374A9" w:rsidRDefault="004374A9">
      <w:pPr>
        <w:rPr>
          <w:color w:val="FF0000"/>
          <w:lang w:val="en-US"/>
        </w:rPr>
      </w:pPr>
      <w:r>
        <w:rPr>
          <w:color w:val="FF0000"/>
          <w:lang w:val="en-US"/>
        </w:rPr>
        <w:br w:type="page"/>
      </w:r>
    </w:p>
    <w:p w14:paraId="563743E2" w14:textId="77777777" w:rsidR="00C00D19" w:rsidRPr="00AB124C" w:rsidRDefault="00C00D19" w:rsidP="00AB124C">
      <w:pPr>
        <w:pStyle w:val="Heading1"/>
        <w:numPr>
          <w:ilvl w:val="0"/>
          <w:numId w:val="1"/>
        </w:numPr>
        <w:ind w:left="426" w:hanging="426"/>
        <w:jc w:val="both"/>
        <w:rPr>
          <w:rFonts w:cs="Arial"/>
          <w:szCs w:val="24"/>
          <w:lang w:val="en-US"/>
        </w:rPr>
      </w:pPr>
      <w:bookmarkStart w:id="9" w:name="_Toc160547782"/>
      <w:r w:rsidRPr="00AB124C">
        <w:rPr>
          <w:rFonts w:cs="Arial"/>
          <w:szCs w:val="24"/>
          <w:lang w:val="en-US"/>
        </w:rPr>
        <w:lastRenderedPageBreak/>
        <w:t>Award</w:t>
      </w:r>
      <w:bookmarkEnd w:id="9"/>
    </w:p>
    <w:p w14:paraId="2134275F" w14:textId="77777777" w:rsidR="00A76F29" w:rsidRPr="00AB124C" w:rsidRDefault="00A76F29" w:rsidP="00AB124C">
      <w:pPr>
        <w:jc w:val="both"/>
        <w:rPr>
          <w:lang w:val="en-US"/>
        </w:rPr>
      </w:pPr>
    </w:p>
    <w:p w14:paraId="68D71B0F" w14:textId="77777777" w:rsidR="003E043C" w:rsidRPr="003F77B1" w:rsidRDefault="003E043C" w:rsidP="00AB124C">
      <w:pPr>
        <w:jc w:val="both"/>
        <w:rPr>
          <w:color w:val="auto"/>
          <w:lang w:val="en-US"/>
        </w:rPr>
      </w:pPr>
      <w:r w:rsidRPr="003F77B1">
        <w:rPr>
          <w:color w:val="auto"/>
          <w:lang w:val="en-US"/>
        </w:rPr>
        <w:t xml:space="preserve">The award decision will be notified via the Proactis portal after the deadline for responses has passed and the quotes have been evaluated. </w:t>
      </w:r>
    </w:p>
    <w:p w14:paraId="1F360D74" w14:textId="77777777" w:rsidR="003E043C" w:rsidRPr="003F77B1" w:rsidRDefault="003E043C" w:rsidP="00AB124C">
      <w:pPr>
        <w:jc w:val="both"/>
        <w:rPr>
          <w:color w:val="auto"/>
          <w:lang w:val="en-US"/>
        </w:rPr>
      </w:pPr>
    </w:p>
    <w:p w14:paraId="77AEF068" w14:textId="2E9BFB71" w:rsidR="003E043C" w:rsidRPr="003F77B1" w:rsidRDefault="006C05DE" w:rsidP="00AB124C">
      <w:pPr>
        <w:jc w:val="both"/>
        <w:rPr>
          <w:color w:val="auto"/>
          <w:lang w:val="en-US"/>
        </w:rPr>
      </w:pPr>
      <w:r>
        <w:rPr>
          <w:color w:val="auto"/>
          <w:lang w:val="en-US"/>
        </w:rPr>
        <w:t>The Council</w:t>
      </w:r>
      <w:r w:rsidR="003E043C" w:rsidRPr="003F77B1">
        <w:rPr>
          <w:color w:val="auto"/>
          <w:lang w:val="en-US"/>
        </w:rPr>
        <w:t xml:space="preserve"> reserve the right to decline to make an award, or to abandon or cancel the procurement process. </w:t>
      </w:r>
      <w:r>
        <w:rPr>
          <w:color w:val="auto"/>
          <w:lang w:val="en-US"/>
        </w:rPr>
        <w:t>The Council</w:t>
      </w:r>
      <w:r w:rsidR="003E043C" w:rsidRPr="003F77B1">
        <w:rPr>
          <w:color w:val="auto"/>
          <w:lang w:val="en-US"/>
        </w:rPr>
        <w:t xml:space="preserve"> will not be responsible for any costs or expenses incurred as a result of following this course of action.</w:t>
      </w:r>
    </w:p>
    <w:p w14:paraId="0D49BABF" w14:textId="77777777" w:rsidR="003E043C" w:rsidRPr="003F77B1" w:rsidRDefault="003E043C" w:rsidP="00AB124C">
      <w:pPr>
        <w:jc w:val="both"/>
        <w:rPr>
          <w:color w:val="auto"/>
          <w:lang w:val="en-US"/>
        </w:rPr>
      </w:pPr>
    </w:p>
    <w:p w14:paraId="608DF9B1" w14:textId="6E6CB027" w:rsidR="003E043C" w:rsidRPr="003F77B1" w:rsidRDefault="003E043C" w:rsidP="00AB124C">
      <w:pPr>
        <w:jc w:val="both"/>
        <w:rPr>
          <w:color w:val="auto"/>
          <w:lang w:val="en-US"/>
        </w:rPr>
      </w:pPr>
      <w:r w:rsidRPr="003F77B1">
        <w:rPr>
          <w:color w:val="auto"/>
          <w:lang w:val="en-US"/>
        </w:rPr>
        <w:t xml:space="preserve">Any costs incurred by the </w:t>
      </w:r>
      <w:r w:rsidR="00BE0858">
        <w:rPr>
          <w:color w:val="auto"/>
          <w:lang w:val="en-US"/>
        </w:rPr>
        <w:t>Supplier</w:t>
      </w:r>
      <w:r w:rsidRPr="003F77B1">
        <w:rPr>
          <w:color w:val="auto"/>
          <w:lang w:val="en-US"/>
        </w:rPr>
        <w:t xml:space="preserve"> in responding to this ITQ or in support of activities associated with the response to this ITQ are to be borne by the service provider and are not reimbursable by </w:t>
      </w:r>
      <w:r w:rsidR="006C05DE">
        <w:rPr>
          <w:color w:val="auto"/>
          <w:lang w:val="en-US"/>
        </w:rPr>
        <w:t>The Council</w:t>
      </w:r>
      <w:r w:rsidRPr="003F77B1">
        <w:rPr>
          <w:color w:val="auto"/>
          <w:lang w:val="en-US"/>
        </w:rPr>
        <w:t>.</w:t>
      </w:r>
    </w:p>
    <w:p w14:paraId="41B0E001" w14:textId="77777777" w:rsidR="00643F40" w:rsidRDefault="00643F40" w:rsidP="00AB124C">
      <w:pPr>
        <w:jc w:val="both"/>
        <w:rPr>
          <w:color w:val="4F81BD" w:themeColor="accent1"/>
          <w:lang w:val="en-US"/>
        </w:rPr>
      </w:pPr>
    </w:p>
    <w:p w14:paraId="398E6500" w14:textId="77777777" w:rsidR="00643F40" w:rsidRPr="00387E47" w:rsidRDefault="00643F40" w:rsidP="00AB124C">
      <w:pPr>
        <w:jc w:val="both"/>
        <w:rPr>
          <w:color w:val="auto"/>
          <w:lang w:val="en-US"/>
        </w:rPr>
      </w:pPr>
      <w:r w:rsidRPr="00387E47">
        <w:rPr>
          <w:color w:val="auto"/>
          <w:lang w:val="en-US"/>
        </w:rPr>
        <w:lastRenderedPageBreak/>
        <w:t xml:space="preserve">Following award, </w:t>
      </w:r>
      <w:r w:rsidR="00C6735D" w:rsidRPr="00BE0858">
        <w:rPr>
          <w:color w:val="auto"/>
          <w:lang w:val="en-US"/>
        </w:rPr>
        <w:t>the Council</w:t>
      </w:r>
      <w:r w:rsidR="00C6735D" w:rsidRPr="00387E47">
        <w:rPr>
          <w:color w:val="auto"/>
          <w:lang w:val="en-US"/>
        </w:rPr>
        <w:t xml:space="preserve"> shall order </w:t>
      </w:r>
      <w:r w:rsidR="006A78A6" w:rsidRPr="006A78A6">
        <w:rPr>
          <w:color w:val="auto"/>
          <w:lang w:val="en-US"/>
        </w:rPr>
        <w:t>goods and services</w:t>
      </w:r>
      <w:r w:rsidR="00C6735D" w:rsidRPr="006A78A6">
        <w:rPr>
          <w:color w:val="auto"/>
          <w:lang w:val="en-US"/>
        </w:rPr>
        <w:t xml:space="preserve"> </w:t>
      </w:r>
      <w:r w:rsidR="00C6735D" w:rsidRPr="00387E47">
        <w:rPr>
          <w:color w:val="auto"/>
          <w:lang w:val="en-US"/>
        </w:rPr>
        <w:t>via purchase order which is sent electronically via email. This document will include a unique reference number, which must be stated on associated documentation, such as delivery notes and invoices.</w:t>
      </w:r>
    </w:p>
    <w:p w14:paraId="26C5744A" w14:textId="77777777" w:rsidR="00C6735D" w:rsidRPr="00387E47" w:rsidRDefault="00C6735D" w:rsidP="00AB124C">
      <w:pPr>
        <w:jc w:val="both"/>
        <w:rPr>
          <w:color w:val="auto"/>
          <w:lang w:val="en-US"/>
        </w:rPr>
      </w:pPr>
    </w:p>
    <w:p w14:paraId="000AF2B5" w14:textId="77777777" w:rsidR="00C6735D" w:rsidRPr="00387E47" w:rsidRDefault="00C6735D" w:rsidP="00C6735D">
      <w:pPr>
        <w:jc w:val="both"/>
        <w:rPr>
          <w:color w:val="auto"/>
          <w:lang w:val="en-US"/>
        </w:rPr>
      </w:pPr>
      <w:r w:rsidRPr="00387E47">
        <w:rPr>
          <w:color w:val="auto"/>
          <w:lang w:val="en-US"/>
        </w:rPr>
        <w:t xml:space="preserve">The Council pay all invoices in arrears following completion of the </w:t>
      </w:r>
      <w:r w:rsidR="006A78A6">
        <w:rPr>
          <w:color w:val="auto"/>
          <w:lang w:val="en-US"/>
        </w:rPr>
        <w:t>delivery of the goods and instigation of the service</w:t>
      </w:r>
      <w:r w:rsidRPr="00387E47">
        <w:rPr>
          <w:color w:val="auto"/>
          <w:lang w:val="en-US"/>
        </w:rPr>
        <w:t>. The contractor shall provide the Council with an invoice within 30 days of service completion/goods delivered. Invoices must detail:</w:t>
      </w:r>
    </w:p>
    <w:p w14:paraId="3F0DC998"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name and address of the Council Representative (as displayed on the purchase order)</w:t>
      </w:r>
    </w:p>
    <w:p w14:paraId="0EFB9CC5"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name and address</w:t>
      </w:r>
    </w:p>
    <w:p w14:paraId="65B9FCCB"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Contractor bank details</w:t>
      </w:r>
    </w:p>
    <w:p w14:paraId="2B23DFAC"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The relevant Council Purchase Order number</w:t>
      </w:r>
    </w:p>
    <w:p w14:paraId="1A48A0DA"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A unique invoice number</w:t>
      </w:r>
    </w:p>
    <w:p w14:paraId="6F4F9D17" w14:textId="77777777" w:rsidR="00C6735D" w:rsidRPr="00387E47" w:rsidRDefault="00C6735D" w:rsidP="00C6735D">
      <w:pPr>
        <w:pStyle w:val="ListParagraph"/>
        <w:numPr>
          <w:ilvl w:val="0"/>
          <w:numId w:val="6"/>
        </w:numPr>
        <w:jc w:val="both"/>
        <w:rPr>
          <w:color w:val="auto"/>
          <w:lang w:val="en-US"/>
        </w:rPr>
      </w:pPr>
      <w:r w:rsidRPr="00387E47">
        <w:rPr>
          <w:color w:val="auto"/>
          <w:lang w:val="en-US"/>
        </w:rPr>
        <w:t xml:space="preserve">Full breakdown of </w:t>
      </w:r>
      <w:r w:rsidRPr="00B21C29">
        <w:rPr>
          <w:color w:val="auto"/>
          <w:lang w:val="en-US"/>
        </w:rPr>
        <w:t xml:space="preserve">the service/goods </w:t>
      </w:r>
      <w:r w:rsidRPr="00387E47">
        <w:rPr>
          <w:color w:val="auto"/>
          <w:lang w:val="en-US"/>
        </w:rPr>
        <w:t>provided</w:t>
      </w:r>
    </w:p>
    <w:p w14:paraId="5C4A69A6" w14:textId="77777777" w:rsidR="00C6735D" w:rsidRPr="00387E47" w:rsidRDefault="00C6735D" w:rsidP="00C6735D">
      <w:pPr>
        <w:pStyle w:val="ListParagraph"/>
        <w:numPr>
          <w:ilvl w:val="0"/>
          <w:numId w:val="6"/>
        </w:numPr>
        <w:jc w:val="both"/>
        <w:rPr>
          <w:color w:val="auto"/>
          <w:lang w:val="en-US"/>
        </w:rPr>
      </w:pPr>
      <w:r w:rsidRPr="00387E47">
        <w:rPr>
          <w:color w:val="auto"/>
          <w:lang w:val="en-US"/>
        </w:rPr>
        <w:lastRenderedPageBreak/>
        <w:t>All costs, VAT charged and VAT number (if applicable)</w:t>
      </w:r>
    </w:p>
    <w:p w14:paraId="2DC3ED88" w14:textId="77777777" w:rsidR="00C6735D" w:rsidRPr="00387E47" w:rsidRDefault="00C6735D" w:rsidP="00AB124C">
      <w:pPr>
        <w:jc w:val="both"/>
        <w:rPr>
          <w:color w:val="auto"/>
          <w:lang w:val="en-US"/>
        </w:rPr>
      </w:pPr>
      <w:r w:rsidRPr="00387E47">
        <w:rPr>
          <w:color w:val="auto"/>
          <w:lang w:val="en-US"/>
        </w:rPr>
        <w:t>Invoice can be submitted via post or electronically via email, the email address will be displayed on the purchase order.</w:t>
      </w:r>
    </w:p>
    <w:p w14:paraId="507C4748" w14:textId="77777777" w:rsidR="00A76F29" w:rsidRPr="00AB124C" w:rsidRDefault="00A76F29" w:rsidP="00AB124C">
      <w:pPr>
        <w:jc w:val="both"/>
        <w:rPr>
          <w:color w:val="FF0000"/>
          <w:lang w:val="en-US"/>
        </w:rPr>
      </w:pPr>
    </w:p>
    <w:p w14:paraId="4AC77CEE" w14:textId="77777777" w:rsidR="00A76F29" w:rsidRPr="00AB124C" w:rsidRDefault="00A76F29" w:rsidP="00AB124C">
      <w:pPr>
        <w:pStyle w:val="Heading1"/>
        <w:numPr>
          <w:ilvl w:val="0"/>
          <w:numId w:val="1"/>
        </w:numPr>
        <w:ind w:left="426" w:hanging="426"/>
        <w:jc w:val="both"/>
        <w:rPr>
          <w:rFonts w:cs="Arial"/>
          <w:lang w:val="en-US"/>
        </w:rPr>
      </w:pPr>
      <w:bookmarkStart w:id="10" w:name="_Toc160547783"/>
      <w:r w:rsidRPr="00AB124C">
        <w:rPr>
          <w:rFonts w:cs="Arial"/>
          <w:lang w:val="en-US"/>
        </w:rPr>
        <w:t>Terms and Conditions</w:t>
      </w:r>
      <w:bookmarkEnd w:id="10"/>
    </w:p>
    <w:p w14:paraId="33C6E5C1" w14:textId="732073E2" w:rsidR="007F23D5" w:rsidRPr="006A78A6" w:rsidRDefault="007F23D5" w:rsidP="00AB124C">
      <w:pPr>
        <w:spacing w:before="120" w:after="120" w:line="249" w:lineRule="auto"/>
        <w:ind w:left="-5" w:right="5" w:hanging="10"/>
        <w:jc w:val="both"/>
        <w:rPr>
          <w:color w:val="auto"/>
        </w:rPr>
      </w:pPr>
      <w:r w:rsidRPr="006A78A6">
        <w:rPr>
          <w:rFonts w:eastAsia="Verdana"/>
          <w:color w:val="auto"/>
        </w:rPr>
        <w:t xml:space="preserve">In submitting a response to this Invitation to Quote, </w:t>
      </w:r>
      <w:r w:rsidR="00BE0858" w:rsidRPr="006A78A6">
        <w:rPr>
          <w:rFonts w:eastAsia="Verdana"/>
          <w:color w:val="auto"/>
        </w:rPr>
        <w:t>potential Suppliers</w:t>
      </w:r>
      <w:r w:rsidRPr="006A78A6">
        <w:rPr>
          <w:rFonts w:eastAsia="Verdana"/>
          <w:color w:val="auto"/>
        </w:rPr>
        <w:t xml:space="preserve"> do so on the conditions set out in </w:t>
      </w:r>
      <w:r w:rsidR="006C05DE">
        <w:rPr>
          <w:rFonts w:eastAsia="Verdana"/>
          <w:color w:val="auto"/>
        </w:rPr>
        <w:t>The Council</w:t>
      </w:r>
      <w:r w:rsidR="00212CFB">
        <w:rPr>
          <w:rFonts w:eastAsia="Verdana"/>
          <w:color w:val="auto"/>
        </w:rPr>
        <w:t>’s Low Risk Services C</w:t>
      </w:r>
      <w:r w:rsidR="00212CFB" w:rsidRPr="00212CFB">
        <w:rPr>
          <w:rFonts w:eastAsia="Verdana"/>
          <w:color w:val="auto"/>
        </w:rPr>
        <w:t>ontract</w:t>
      </w:r>
      <w:r w:rsidRPr="006A78A6">
        <w:rPr>
          <w:rFonts w:eastAsia="Verdana"/>
          <w:color w:val="auto"/>
        </w:rPr>
        <w:t xml:space="preserve">, which are attached to this invitation.  In the event of any breach of the conditions, </w:t>
      </w:r>
      <w:r w:rsidR="006C05DE">
        <w:rPr>
          <w:rFonts w:eastAsia="Verdana"/>
          <w:color w:val="auto"/>
        </w:rPr>
        <w:t>The Council</w:t>
      </w:r>
      <w:r w:rsidRPr="006A78A6">
        <w:rPr>
          <w:rFonts w:eastAsia="Verdana"/>
          <w:color w:val="auto"/>
        </w:rPr>
        <w:t xml:space="preserve"> shall be entitled to terminate any arrangement made as a result of such procurement. </w:t>
      </w:r>
    </w:p>
    <w:p w14:paraId="030B0085" w14:textId="77777777" w:rsidR="005D1421" w:rsidRDefault="005D1421" w:rsidP="00387E47">
      <w:pPr>
        <w:spacing w:before="120" w:after="120" w:line="249" w:lineRule="auto"/>
        <w:ind w:left="-5" w:right="5" w:hanging="10"/>
        <w:jc w:val="both"/>
        <w:rPr>
          <w:rFonts w:eastAsia="Verdana"/>
          <w:color w:val="4F81BD" w:themeColor="accent1"/>
        </w:rPr>
      </w:pPr>
    </w:p>
    <w:p w14:paraId="581F97C0" w14:textId="77777777" w:rsidR="005D1421" w:rsidRPr="005D1421" w:rsidRDefault="005D1421" w:rsidP="005D1421">
      <w:pPr>
        <w:pStyle w:val="Heading1"/>
        <w:numPr>
          <w:ilvl w:val="0"/>
          <w:numId w:val="1"/>
        </w:numPr>
        <w:ind w:left="426" w:hanging="426"/>
        <w:jc w:val="both"/>
        <w:rPr>
          <w:rFonts w:cs="Arial"/>
          <w:lang w:val="en-US"/>
        </w:rPr>
      </w:pPr>
      <w:bookmarkStart w:id="11" w:name="_Toc160547784"/>
      <w:r>
        <w:rPr>
          <w:rFonts w:cs="Arial"/>
          <w:lang w:val="en-US"/>
        </w:rPr>
        <w:t xml:space="preserve">Conduct and </w:t>
      </w:r>
      <w:r w:rsidRPr="005D1421">
        <w:rPr>
          <w:rFonts w:cs="Arial"/>
          <w:lang w:val="en-US"/>
        </w:rPr>
        <w:t>Conflicts of interest</w:t>
      </w:r>
      <w:bookmarkEnd w:id="11"/>
    </w:p>
    <w:p w14:paraId="4F0D8BC0" w14:textId="77777777" w:rsidR="005D1421" w:rsidRDefault="005D1421" w:rsidP="005D1421">
      <w:pPr>
        <w:jc w:val="both"/>
        <w:rPr>
          <w:color w:val="auto"/>
          <w:lang w:val="en-US"/>
        </w:rPr>
      </w:pPr>
    </w:p>
    <w:p w14:paraId="55B71DEA" w14:textId="67C38A75" w:rsidR="005D1421" w:rsidRDefault="005D1421" w:rsidP="005D1421">
      <w:pPr>
        <w:jc w:val="both"/>
        <w:rPr>
          <w:color w:val="auto"/>
          <w:lang w:val="en-US"/>
        </w:rPr>
      </w:pPr>
      <w:r>
        <w:rPr>
          <w:color w:val="auto"/>
          <w:lang w:val="en-US"/>
        </w:rPr>
        <w:lastRenderedPageBreak/>
        <w:t xml:space="preserve">The </w:t>
      </w:r>
      <w:r w:rsidR="00BE0858">
        <w:rPr>
          <w:color w:val="auto"/>
          <w:lang w:val="en-US"/>
        </w:rPr>
        <w:t>supplier</w:t>
      </w:r>
      <w:r w:rsidRPr="005D1421">
        <w:rPr>
          <w:color w:val="auto"/>
          <w:lang w:val="en-US"/>
        </w:rPr>
        <w:t xml:space="preserve"> shall not, before the date and time specified for return of the </w:t>
      </w:r>
      <w:r w:rsidR="00B21C29">
        <w:rPr>
          <w:color w:val="auto"/>
          <w:lang w:val="en-US"/>
        </w:rPr>
        <w:t>quote</w:t>
      </w:r>
      <w:r w:rsidRPr="005D1421">
        <w:rPr>
          <w:color w:val="auto"/>
          <w:lang w:val="en-US"/>
        </w:rPr>
        <w:t xml:space="preserve">, communicate to any person the amount or approximate amount of the </w:t>
      </w:r>
      <w:r w:rsidR="00BE0858">
        <w:rPr>
          <w:color w:val="auto"/>
          <w:lang w:val="en-US"/>
        </w:rPr>
        <w:t>quote</w:t>
      </w:r>
      <w:r w:rsidRPr="005D1421">
        <w:rPr>
          <w:color w:val="auto"/>
          <w:lang w:val="en-US"/>
        </w:rPr>
        <w:t xml:space="preserve"> or proposed </w:t>
      </w:r>
      <w:r w:rsidR="00BE0858">
        <w:rPr>
          <w:color w:val="auto"/>
          <w:lang w:val="en-US"/>
        </w:rPr>
        <w:t>quote</w:t>
      </w:r>
      <w:r w:rsidRPr="005D1421">
        <w:rPr>
          <w:color w:val="auto"/>
          <w:lang w:val="en-US"/>
        </w:rPr>
        <w:t xml:space="preserve">, except where the disclosure in confidence of the approximate amount of </w:t>
      </w:r>
      <w:r w:rsidR="00BE0858">
        <w:rPr>
          <w:color w:val="auto"/>
          <w:lang w:val="en-US"/>
        </w:rPr>
        <w:t>quote</w:t>
      </w:r>
      <w:r w:rsidRPr="005D1421">
        <w:rPr>
          <w:color w:val="auto"/>
          <w:lang w:val="en-US"/>
        </w:rPr>
        <w:t xml:space="preserve"> is necessary to obtain insurance cover. </w:t>
      </w:r>
    </w:p>
    <w:p w14:paraId="6D0379B0" w14:textId="77777777" w:rsidR="005D1421" w:rsidRPr="005D1421" w:rsidRDefault="005D1421" w:rsidP="005D1421">
      <w:pPr>
        <w:jc w:val="both"/>
        <w:rPr>
          <w:color w:val="auto"/>
          <w:lang w:val="en-US"/>
        </w:rPr>
      </w:pPr>
    </w:p>
    <w:p w14:paraId="3960536B" w14:textId="77777777" w:rsidR="005D1421" w:rsidRDefault="005D1421" w:rsidP="005D1421">
      <w:pPr>
        <w:jc w:val="both"/>
        <w:rPr>
          <w:color w:val="auto"/>
          <w:lang w:val="en-US"/>
        </w:rPr>
      </w:pPr>
      <w:r w:rsidRPr="005D1421">
        <w:rPr>
          <w:color w:val="auto"/>
          <w:lang w:val="en-US"/>
        </w:rPr>
        <w:t xml:space="preserve">The </w:t>
      </w:r>
      <w:r w:rsidR="00BE0858">
        <w:rPr>
          <w:color w:val="auto"/>
          <w:lang w:val="en-US"/>
        </w:rPr>
        <w:t>quote</w:t>
      </w:r>
      <w:r w:rsidRPr="005D1421">
        <w:rPr>
          <w:color w:val="auto"/>
          <w:lang w:val="en-US"/>
        </w:rPr>
        <w:t xml:space="preserve"> shall be a bona-fide </w:t>
      </w:r>
      <w:r w:rsidR="00BE0858">
        <w:rPr>
          <w:color w:val="auto"/>
          <w:lang w:val="en-US"/>
        </w:rPr>
        <w:t>quote</w:t>
      </w:r>
      <w:r w:rsidRPr="005D1421">
        <w:rPr>
          <w:color w:val="auto"/>
          <w:lang w:val="en-US"/>
        </w:rPr>
        <w:t xml:space="preserve"> and shall not be fixed or adjusted by</w:t>
      </w:r>
      <w:r w:rsidR="00BE0858">
        <w:rPr>
          <w:color w:val="auto"/>
          <w:lang w:val="en-US"/>
        </w:rPr>
        <w:t>,</w:t>
      </w:r>
      <w:r w:rsidRPr="005D1421">
        <w:rPr>
          <w:color w:val="auto"/>
          <w:lang w:val="en-US"/>
        </w:rPr>
        <w:t xml:space="preserve"> under</w:t>
      </w:r>
      <w:r w:rsidR="00BE0858">
        <w:rPr>
          <w:color w:val="auto"/>
          <w:lang w:val="en-US"/>
        </w:rPr>
        <w:t>,</w:t>
      </w:r>
      <w:r w:rsidRPr="005D1421">
        <w:rPr>
          <w:color w:val="auto"/>
          <w:lang w:val="en-US"/>
        </w:rPr>
        <w:t xml:space="preserve"> or in accordance with any agreement or arrangement with any other person. </w:t>
      </w:r>
    </w:p>
    <w:p w14:paraId="3F6CFABA" w14:textId="77777777" w:rsidR="00BE0858" w:rsidRPr="005D1421" w:rsidRDefault="00BE0858" w:rsidP="005D1421">
      <w:pPr>
        <w:jc w:val="both"/>
        <w:rPr>
          <w:color w:val="auto"/>
          <w:lang w:val="en-US"/>
        </w:rPr>
      </w:pPr>
    </w:p>
    <w:p w14:paraId="52DB76A7" w14:textId="77777777" w:rsidR="005D1421" w:rsidRDefault="00BE0858" w:rsidP="005D1421">
      <w:pPr>
        <w:jc w:val="both"/>
        <w:rPr>
          <w:color w:val="auto"/>
          <w:lang w:val="en-US"/>
        </w:rPr>
      </w:pPr>
      <w:r>
        <w:rPr>
          <w:color w:val="auto"/>
          <w:lang w:val="en-US"/>
        </w:rPr>
        <w:t>Suppliers</w:t>
      </w:r>
      <w:r w:rsidR="005D1421" w:rsidRPr="005D1421">
        <w:rPr>
          <w:color w:val="auto"/>
          <w:lang w:val="en-US"/>
        </w:rPr>
        <w:t xml:space="preserve"> shall not enter into any agreement or arrangement with any other person with the intent that the other person shall refrain from </w:t>
      </w:r>
      <w:r>
        <w:rPr>
          <w:color w:val="auto"/>
          <w:lang w:val="en-US"/>
        </w:rPr>
        <w:t>submitting a quote.</w:t>
      </w:r>
    </w:p>
    <w:p w14:paraId="4863D0A4" w14:textId="77777777" w:rsidR="005D1421" w:rsidRPr="005D1421" w:rsidRDefault="005D1421" w:rsidP="005D1421">
      <w:pPr>
        <w:jc w:val="both"/>
        <w:rPr>
          <w:color w:val="auto"/>
          <w:lang w:val="en-US"/>
        </w:rPr>
      </w:pPr>
    </w:p>
    <w:p w14:paraId="3847F39A" w14:textId="77777777" w:rsidR="005D1421" w:rsidRPr="005D1421" w:rsidRDefault="00BE0858" w:rsidP="005D1421">
      <w:pPr>
        <w:jc w:val="both"/>
        <w:rPr>
          <w:color w:val="auto"/>
          <w:lang w:val="en-US"/>
        </w:rPr>
      </w:pPr>
      <w:r>
        <w:rPr>
          <w:color w:val="auto"/>
          <w:lang w:val="en-US"/>
        </w:rPr>
        <w:t>Suppliers</w:t>
      </w:r>
      <w:r w:rsidR="005D1421" w:rsidRPr="005D1421">
        <w:rPr>
          <w:color w:val="auto"/>
          <w:lang w:val="en-US"/>
        </w:rPr>
        <w:t xml:space="preserve"> must not, in connection with the proposed </w:t>
      </w:r>
      <w:r>
        <w:rPr>
          <w:color w:val="auto"/>
          <w:lang w:val="en-US"/>
        </w:rPr>
        <w:t>quote</w:t>
      </w:r>
      <w:r w:rsidR="005D1421" w:rsidRPr="005D1421">
        <w:rPr>
          <w:color w:val="auto"/>
          <w:lang w:val="en-US"/>
        </w:rPr>
        <w:t xml:space="preserve">: </w:t>
      </w:r>
    </w:p>
    <w:p w14:paraId="3B59347C"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offer any inducement, fee or reward to any mem</w:t>
      </w:r>
      <w:r w:rsidR="00BE0858">
        <w:rPr>
          <w:rFonts w:eastAsia="Verdana"/>
        </w:rPr>
        <w:t>ber or officer of the Authority/Council</w:t>
      </w:r>
    </w:p>
    <w:p w14:paraId="683F5535" w14:textId="77777777" w:rsidR="005D1421" w:rsidRPr="00D36BB4" w:rsidRDefault="005D1421" w:rsidP="005D1421">
      <w:pPr>
        <w:pStyle w:val="ListParagraph"/>
        <w:numPr>
          <w:ilvl w:val="0"/>
          <w:numId w:val="10"/>
        </w:numPr>
        <w:spacing w:before="120" w:after="120" w:line="249" w:lineRule="auto"/>
        <w:ind w:right="5"/>
        <w:jc w:val="both"/>
      </w:pPr>
      <w:r w:rsidRPr="00D36BB4">
        <w:rPr>
          <w:rFonts w:eastAsia="Verdana"/>
        </w:rPr>
        <w:t xml:space="preserve">do anything which would constitute a breach of the Bribery Act 2010 or the Section 117 (2) Local Government Act 1972, or </w:t>
      </w:r>
    </w:p>
    <w:p w14:paraId="60B4BC20" w14:textId="77777777" w:rsidR="00BE0858" w:rsidRPr="00BE0858" w:rsidRDefault="005D1421" w:rsidP="005D1421">
      <w:pPr>
        <w:pStyle w:val="ListParagraph"/>
        <w:numPr>
          <w:ilvl w:val="0"/>
          <w:numId w:val="10"/>
        </w:numPr>
        <w:spacing w:before="120" w:after="120" w:line="249" w:lineRule="auto"/>
        <w:ind w:right="5"/>
        <w:jc w:val="both"/>
      </w:pPr>
      <w:r w:rsidRPr="00D36BB4">
        <w:rPr>
          <w:rFonts w:eastAsia="Verdana"/>
        </w:rPr>
        <w:lastRenderedPageBreak/>
        <w:t>canvass any of the persons referred to above in connectio</w:t>
      </w:r>
      <w:r w:rsidR="00BE0858">
        <w:rPr>
          <w:rFonts w:eastAsia="Verdana"/>
        </w:rPr>
        <w:t>n with the provision;</w:t>
      </w:r>
    </w:p>
    <w:p w14:paraId="10A20AB8" w14:textId="77777777" w:rsidR="005D1421" w:rsidRPr="00D36BB4" w:rsidRDefault="00BE0858" w:rsidP="00BE0858">
      <w:pPr>
        <w:pStyle w:val="ListParagraph"/>
        <w:numPr>
          <w:ilvl w:val="1"/>
          <w:numId w:val="10"/>
        </w:numPr>
        <w:spacing w:before="120" w:after="120" w:line="249" w:lineRule="auto"/>
        <w:ind w:right="5"/>
        <w:jc w:val="both"/>
      </w:pPr>
      <w:r>
        <w:rPr>
          <w:rFonts w:eastAsia="Verdana"/>
        </w:rPr>
        <w:t xml:space="preserve">or contact, </w:t>
      </w:r>
      <w:r w:rsidR="005D1421" w:rsidRPr="00D36BB4">
        <w:rPr>
          <w:rFonts w:eastAsia="Verdana"/>
        </w:rPr>
        <w:t>any member or officer of the Authority</w:t>
      </w:r>
      <w:r>
        <w:rPr>
          <w:rFonts w:eastAsia="Verdana"/>
        </w:rPr>
        <w:t>/Council</w:t>
      </w:r>
      <w:r w:rsidR="005D1421" w:rsidRPr="00D36BB4">
        <w:rPr>
          <w:rFonts w:eastAsia="Verdana"/>
        </w:rPr>
        <w:t xml:space="preserve"> or any person acting as an advisor to the Authority</w:t>
      </w:r>
      <w:r>
        <w:rPr>
          <w:rFonts w:eastAsia="Verdana"/>
        </w:rPr>
        <w:t>/Council</w:t>
      </w:r>
      <w:r w:rsidR="005D1421" w:rsidRPr="00D36BB4">
        <w:rPr>
          <w:rFonts w:eastAsia="Verdana"/>
        </w:rPr>
        <w:t xml:space="preserve"> (except as authorised by this Invitation to </w:t>
      </w:r>
      <w:r>
        <w:rPr>
          <w:rFonts w:eastAsia="Verdana"/>
        </w:rPr>
        <w:t>Quote</w:t>
      </w:r>
      <w:r w:rsidR="005D1421" w:rsidRPr="00D36BB4">
        <w:rPr>
          <w:rFonts w:eastAsia="Verdana"/>
        </w:rPr>
        <w:t xml:space="preserve"> for the purpose of asking genuine questions about the process or the </w:t>
      </w:r>
      <w:r>
        <w:rPr>
          <w:rFonts w:eastAsia="Verdana"/>
        </w:rPr>
        <w:t>provision</w:t>
      </w:r>
      <w:r w:rsidR="005D1421" w:rsidRPr="00D36BB4">
        <w:rPr>
          <w:rFonts w:eastAsia="Verdana"/>
        </w:rPr>
        <w:t xml:space="preserve">) about any aspect of the proposed </w:t>
      </w:r>
      <w:r>
        <w:rPr>
          <w:rFonts w:eastAsia="Verdana"/>
        </w:rPr>
        <w:t>provision</w:t>
      </w:r>
      <w:r w:rsidR="005D1421" w:rsidRPr="00D36BB4">
        <w:rPr>
          <w:rFonts w:eastAsia="Verdana"/>
        </w:rPr>
        <w:t xml:space="preserve"> or for soliciting information in connection therewith. </w:t>
      </w:r>
    </w:p>
    <w:p w14:paraId="28CCD534" w14:textId="5FE41EA2" w:rsidR="00387E47" w:rsidRPr="004374A9" w:rsidRDefault="008156A9" w:rsidP="004374A9">
      <w:pPr>
        <w:spacing w:before="120" w:after="120" w:line="249" w:lineRule="auto"/>
        <w:ind w:right="5"/>
        <w:rPr>
          <w:rFonts w:ascii="Verdana" w:eastAsia="Verdana" w:hAnsi="Verdana" w:cs="Verdana"/>
        </w:rPr>
      </w:pPr>
      <w:r>
        <w:rPr>
          <w:rFonts w:eastAsia="Verdana"/>
        </w:rPr>
        <w:t>Suppliers</w:t>
      </w:r>
      <w:r w:rsidR="005D1421" w:rsidRPr="00D36BB4">
        <w:rPr>
          <w:rFonts w:eastAsia="Verdana"/>
        </w:rPr>
        <w:t xml:space="preserve"> are responsible for ensuring that no conflicts of interest exist between the </w:t>
      </w:r>
      <w:r>
        <w:rPr>
          <w:rFonts w:eastAsia="Verdana"/>
        </w:rPr>
        <w:t>Supplier</w:t>
      </w:r>
      <w:r w:rsidR="005D1421" w:rsidRPr="00D36BB4">
        <w:rPr>
          <w:rFonts w:eastAsia="Verdana"/>
        </w:rPr>
        <w:t xml:space="preserve"> and its advisors and the C</w:t>
      </w:r>
      <w:r>
        <w:rPr>
          <w:rFonts w:eastAsia="Verdana"/>
        </w:rPr>
        <w:t>ouncil</w:t>
      </w:r>
      <w:r w:rsidR="005D1421" w:rsidRPr="00D36BB4">
        <w:rPr>
          <w:rFonts w:eastAsia="Verdana"/>
        </w:rPr>
        <w:t xml:space="preserve"> and its advisors.  Any </w:t>
      </w:r>
      <w:r>
        <w:rPr>
          <w:rFonts w:eastAsia="Verdana"/>
        </w:rPr>
        <w:t xml:space="preserve">Supplier </w:t>
      </w:r>
      <w:r w:rsidR="005D1421" w:rsidRPr="00D36BB4">
        <w:rPr>
          <w:rFonts w:eastAsia="Verdana"/>
        </w:rPr>
        <w:t xml:space="preserve">who fails to comply with this requirement may be disqualified from the procurement process at the discretion of the </w:t>
      </w:r>
      <w:r w:rsidR="00E571C6">
        <w:rPr>
          <w:rFonts w:eastAsia="Verdana"/>
        </w:rPr>
        <w:t>Council</w:t>
      </w:r>
      <w:r w:rsidR="005D1421" w:rsidRPr="00D36BB4">
        <w:rPr>
          <w:rFonts w:eastAsia="Verdana"/>
        </w:rPr>
        <w:t>. Any conflicts</w:t>
      </w:r>
      <w:r w:rsidR="00D36BB4" w:rsidRPr="00D36BB4">
        <w:rPr>
          <w:rFonts w:eastAsia="Verdana"/>
        </w:rPr>
        <w:t xml:space="preserve"> of interests</w:t>
      </w:r>
      <w:r w:rsidR="005D1421" w:rsidRPr="00D36BB4">
        <w:rPr>
          <w:rFonts w:eastAsia="Verdana"/>
        </w:rPr>
        <w:t xml:space="preserve"> must be declared to the Council at the earliest </w:t>
      </w:r>
      <w:r w:rsidR="00D36BB4" w:rsidRPr="00D36BB4">
        <w:rPr>
          <w:rFonts w:eastAsia="Verdana"/>
        </w:rPr>
        <w:t>opportunity.</w:t>
      </w:r>
    </w:p>
    <w:sectPr w:rsidR="00387E47" w:rsidRPr="004374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5581" w14:textId="77777777" w:rsidR="004374A9" w:rsidRDefault="004374A9" w:rsidP="00A76F29">
      <w:pPr>
        <w:spacing w:line="240" w:lineRule="auto"/>
      </w:pPr>
      <w:r>
        <w:separator/>
      </w:r>
    </w:p>
  </w:endnote>
  <w:endnote w:type="continuationSeparator" w:id="0">
    <w:p w14:paraId="15FC1491" w14:textId="77777777" w:rsidR="004374A9" w:rsidRDefault="004374A9" w:rsidP="00A76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601867"/>
      <w:docPartObj>
        <w:docPartGallery w:val="Page Numbers (Bottom of Page)"/>
        <w:docPartUnique/>
      </w:docPartObj>
    </w:sdtPr>
    <w:sdtEndPr>
      <w:rPr>
        <w:noProof/>
      </w:rPr>
    </w:sdtEndPr>
    <w:sdtContent>
      <w:p w14:paraId="3CA24BEE" w14:textId="5EA631BA" w:rsidR="004374A9" w:rsidRDefault="004374A9">
        <w:pPr>
          <w:pStyle w:val="Footer"/>
          <w:jc w:val="right"/>
        </w:pPr>
        <w:r>
          <w:fldChar w:fldCharType="begin"/>
        </w:r>
        <w:r>
          <w:instrText xml:space="preserve"> PAGE   \* MERGEFORMAT </w:instrText>
        </w:r>
        <w:r>
          <w:fldChar w:fldCharType="separate"/>
        </w:r>
        <w:r w:rsidR="00757173">
          <w:rPr>
            <w:noProof/>
          </w:rPr>
          <w:t>7</w:t>
        </w:r>
        <w:r>
          <w:rPr>
            <w:noProof/>
          </w:rPr>
          <w:fldChar w:fldCharType="end"/>
        </w:r>
      </w:p>
    </w:sdtContent>
  </w:sdt>
  <w:p w14:paraId="3947AE3F" w14:textId="77777777" w:rsidR="004374A9" w:rsidRDefault="0043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0DAD" w14:textId="77777777" w:rsidR="004374A9" w:rsidRDefault="004374A9" w:rsidP="00A76F29">
      <w:pPr>
        <w:spacing w:line="240" w:lineRule="auto"/>
      </w:pPr>
      <w:r>
        <w:separator/>
      </w:r>
    </w:p>
  </w:footnote>
  <w:footnote w:type="continuationSeparator" w:id="0">
    <w:p w14:paraId="30DCC053" w14:textId="77777777" w:rsidR="004374A9" w:rsidRDefault="004374A9" w:rsidP="00A76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A6D5" w14:textId="77777777" w:rsidR="004374A9" w:rsidRDefault="004374A9">
    <w:pPr>
      <w:pStyle w:val="Header"/>
    </w:pPr>
    <w:r>
      <w:tab/>
    </w:r>
    <w:r>
      <w:tab/>
    </w:r>
    <w:r>
      <w:rPr>
        <w:noProof/>
        <w:lang w:eastAsia="en-GB"/>
      </w:rPr>
      <w:drawing>
        <wp:inline distT="0" distB="0" distL="0" distR="0" wp14:anchorId="7ADB2B20" wp14:editId="451254F3">
          <wp:extent cx="847725" cy="724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5687" cy="73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F3B"/>
    <w:multiLevelType w:val="hybridMultilevel"/>
    <w:tmpl w:val="AE02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6495"/>
    <w:multiLevelType w:val="hybridMultilevel"/>
    <w:tmpl w:val="72E8A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45C"/>
    <w:multiLevelType w:val="hybridMultilevel"/>
    <w:tmpl w:val="68D4EC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49492F"/>
    <w:multiLevelType w:val="hybridMultilevel"/>
    <w:tmpl w:val="A502B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44268"/>
    <w:multiLevelType w:val="multilevel"/>
    <w:tmpl w:val="788039F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3A974E9"/>
    <w:multiLevelType w:val="hybridMultilevel"/>
    <w:tmpl w:val="1298D982"/>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E2327D"/>
    <w:multiLevelType w:val="hybridMultilevel"/>
    <w:tmpl w:val="3A36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8707B"/>
    <w:multiLevelType w:val="hybridMultilevel"/>
    <w:tmpl w:val="E9C6DF34"/>
    <w:lvl w:ilvl="0" w:tplc="08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B64F5"/>
    <w:multiLevelType w:val="hybridMultilevel"/>
    <w:tmpl w:val="DC4C0A92"/>
    <w:lvl w:ilvl="0" w:tplc="794259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67912"/>
    <w:multiLevelType w:val="hybridMultilevel"/>
    <w:tmpl w:val="DBDE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0E08"/>
    <w:multiLevelType w:val="hybridMultilevel"/>
    <w:tmpl w:val="52DAE6E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C937D0"/>
    <w:multiLevelType w:val="hybridMultilevel"/>
    <w:tmpl w:val="B96AB8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D614E"/>
    <w:multiLevelType w:val="hybridMultilevel"/>
    <w:tmpl w:val="6B28415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869A9"/>
    <w:multiLevelType w:val="hybridMultilevel"/>
    <w:tmpl w:val="8624B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35C00"/>
    <w:multiLevelType w:val="hybridMultilevel"/>
    <w:tmpl w:val="47D8BC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31A70"/>
    <w:multiLevelType w:val="hybridMultilevel"/>
    <w:tmpl w:val="F1BA082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91B4249"/>
    <w:multiLevelType w:val="hybridMultilevel"/>
    <w:tmpl w:val="1C1E1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4"/>
  </w:num>
  <w:num w:numId="5">
    <w:abstractNumId w:val="5"/>
  </w:num>
  <w:num w:numId="6">
    <w:abstractNumId w:val="15"/>
  </w:num>
  <w:num w:numId="7">
    <w:abstractNumId w:val="3"/>
  </w:num>
  <w:num w:numId="8">
    <w:abstractNumId w:val="6"/>
  </w:num>
  <w:num w:numId="9">
    <w:abstractNumId w:val="16"/>
  </w:num>
  <w:num w:numId="10">
    <w:abstractNumId w:val="13"/>
  </w:num>
  <w:num w:numId="11">
    <w:abstractNumId w:val="7"/>
  </w:num>
  <w:num w:numId="12">
    <w:abstractNumId w:val="11"/>
  </w:num>
  <w:num w:numId="13">
    <w:abstractNumId w:val="10"/>
  </w:num>
  <w:num w:numId="14">
    <w:abstractNumId w:val="12"/>
  </w:num>
  <w:num w:numId="15">
    <w:abstractNumId w:val="1"/>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9"/>
    <w:rsid w:val="00045245"/>
    <w:rsid w:val="000714F0"/>
    <w:rsid w:val="000771AE"/>
    <w:rsid w:val="00097FEF"/>
    <w:rsid w:val="000A413F"/>
    <w:rsid w:val="00107CBB"/>
    <w:rsid w:val="00125CB0"/>
    <w:rsid w:val="00132092"/>
    <w:rsid w:val="001830B3"/>
    <w:rsid w:val="00212CFB"/>
    <w:rsid w:val="00216C1E"/>
    <w:rsid w:val="0029454D"/>
    <w:rsid w:val="00302A14"/>
    <w:rsid w:val="003042E7"/>
    <w:rsid w:val="00313E32"/>
    <w:rsid w:val="003523D7"/>
    <w:rsid w:val="00385C57"/>
    <w:rsid w:val="00387E47"/>
    <w:rsid w:val="00394AEA"/>
    <w:rsid w:val="003C72DD"/>
    <w:rsid w:val="003E043C"/>
    <w:rsid w:val="003F77B1"/>
    <w:rsid w:val="00415D04"/>
    <w:rsid w:val="004374A9"/>
    <w:rsid w:val="004A1DDB"/>
    <w:rsid w:val="004C22A4"/>
    <w:rsid w:val="00561108"/>
    <w:rsid w:val="005A0B3F"/>
    <w:rsid w:val="005D1421"/>
    <w:rsid w:val="005E3F40"/>
    <w:rsid w:val="005F613C"/>
    <w:rsid w:val="00632E53"/>
    <w:rsid w:val="00643F40"/>
    <w:rsid w:val="006835E8"/>
    <w:rsid w:val="006A5A63"/>
    <w:rsid w:val="006A78A6"/>
    <w:rsid w:val="006C05DE"/>
    <w:rsid w:val="006F338B"/>
    <w:rsid w:val="00757173"/>
    <w:rsid w:val="007C13E2"/>
    <w:rsid w:val="007E4E77"/>
    <w:rsid w:val="007F23D5"/>
    <w:rsid w:val="008017F7"/>
    <w:rsid w:val="00803094"/>
    <w:rsid w:val="008156A9"/>
    <w:rsid w:val="008320E9"/>
    <w:rsid w:val="00836A7E"/>
    <w:rsid w:val="00850566"/>
    <w:rsid w:val="008A3C21"/>
    <w:rsid w:val="008E5333"/>
    <w:rsid w:val="0091649A"/>
    <w:rsid w:val="00950646"/>
    <w:rsid w:val="009716EA"/>
    <w:rsid w:val="009778F9"/>
    <w:rsid w:val="00994DCF"/>
    <w:rsid w:val="00A6241D"/>
    <w:rsid w:val="00A6728A"/>
    <w:rsid w:val="00A76F29"/>
    <w:rsid w:val="00AB124C"/>
    <w:rsid w:val="00B21C29"/>
    <w:rsid w:val="00B72112"/>
    <w:rsid w:val="00BE0858"/>
    <w:rsid w:val="00C0061F"/>
    <w:rsid w:val="00C00D19"/>
    <w:rsid w:val="00C454D3"/>
    <w:rsid w:val="00C5163E"/>
    <w:rsid w:val="00C6735D"/>
    <w:rsid w:val="00C72F49"/>
    <w:rsid w:val="00C8140A"/>
    <w:rsid w:val="00C91E1C"/>
    <w:rsid w:val="00CB34F0"/>
    <w:rsid w:val="00D36BB4"/>
    <w:rsid w:val="00D85C57"/>
    <w:rsid w:val="00DC302E"/>
    <w:rsid w:val="00E042D7"/>
    <w:rsid w:val="00E13BD2"/>
    <w:rsid w:val="00E35E91"/>
    <w:rsid w:val="00E44AD6"/>
    <w:rsid w:val="00E47203"/>
    <w:rsid w:val="00E571C6"/>
    <w:rsid w:val="00E71793"/>
    <w:rsid w:val="00EA4784"/>
    <w:rsid w:val="00ED1BA4"/>
    <w:rsid w:val="00EE006B"/>
    <w:rsid w:val="00F36213"/>
    <w:rsid w:val="00F91242"/>
    <w:rsid w:val="00FD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0920"/>
  <w15:chartTrackingRefBased/>
  <w15:docId w15:val="{613F8FE0-4C76-4744-B4CE-A52CE36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D19"/>
    <w:pPr>
      <w:keepNext/>
      <w:keepLines/>
      <w:spacing w:before="240"/>
      <w:outlineLvl w:val="0"/>
    </w:pPr>
    <w:rPr>
      <w:rFonts w:eastAsiaTheme="majorEastAsia" w:cstheme="majorBidi"/>
      <w:b/>
      <w:color w:val="auto"/>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19"/>
    <w:rPr>
      <w:rFonts w:eastAsiaTheme="majorEastAsia" w:cstheme="majorBidi"/>
      <w:b/>
      <w:color w:val="auto"/>
      <w:szCs w:val="32"/>
      <w:u w:val="single"/>
    </w:rPr>
  </w:style>
  <w:style w:type="paragraph" w:styleId="TOCHeading">
    <w:name w:val="TOC Heading"/>
    <w:basedOn w:val="Heading1"/>
    <w:next w:val="Normal"/>
    <w:uiPriority w:val="39"/>
    <w:unhideWhenUsed/>
    <w:qFormat/>
    <w:rsid w:val="00C00D19"/>
    <w:pPr>
      <w:spacing w:line="259" w:lineRule="auto"/>
      <w:outlineLvl w:val="9"/>
    </w:pPr>
    <w:rPr>
      <w:lang w:val="en-US"/>
    </w:rPr>
  </w:style>
  <w:style w:type="table" w:styleId="TableGrid">
    <w:name w:val="Table Grid"/>
    <w:basedOn w:val="TableNormal"/>
    <w:uiPriority w:val="59"/>
    <w:rsid w:val="00C00D19"/>
    <w:pPr>
      <w:spacing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F29"/>
    <w:pPr>
      <w:tabs>
        <w:tab w:val="center" w:pos="4513"/>
        <w:tab w:val="right" w:pos="9026"/>
      </w:tabs>
      <w:spacing w:line="240" w:lineRule="auto"/>
    </w:pPr>
  </w:style>
  <w:style w:type="character" w:customStyle="1" w:styleId="HeaderChar">
    <w:name w:val="Header Char"/>
    <w:basedOn w:val="DefaultParagraphFont"/>
    <w:link w:val="Header"/>
    <w:uiPriority w:val="99"/>
    <w:rsid w:val="00A76F29"/>
  </w:style>
  <w:style w:type="paragraph" w:styleId="Footer">
    <w:name w:val="footer"/>
    <w:basedOn w:val="Normal"/>
    <w:link w:val="FooterChar"/>
    <w:uiPriority w:val="99"/>
    <w:unhideWhenUsed/>
    <w:rsid w:val="00A76F29"/>
    <w:pPr>
      <w:tabs>
        <w:tab w:val="center" w:pos="4513"/>
        <w:tab w:val="right" w:pos="9026"/>
      </w:tabs>
      <w:spacing w:line="240" w:lineRule="auto"/>
    </w:pPr>
  </w:style>
  <w:style w:type="character" w:customStyle="1" w:styleId="FooterChar">
    <w:name w:val="Footer Char"/>
    <w:basedOn w:val="DefaultParagraphFont"/>
    <w:link w:val="Footer"/>
    <w:uiPriority w:val="99"/>
    <w:rsid w:val="00A76F29"/>
  </w:style>
  <w:style w:type="paragraph" w:styleId="TOC1">
    <w:name w:val="toc 1"/>
    <w:basedOn w:val="Normal"/>
    <w:next w:val="Normal"/>
    <w:autoRedefine/>
    <w:uiPriority w:val="39"/>
    <w:unhideWhenUsed/>
    <w:rsid w:val="00A76F29"/>
    <w:pPr>
      <w:spacing w:after="100"/>
    </w:pPr>
  </w:style>
  <w:style w:type="character" w:styleId="Hyperlink">
    <w:name w:val="Hyperlink"/>
    <w:basedOn w:val="DefaultParagraphFont"/>
    <w:uiPriority w:val="99"/>
    <w:unhideWhenUsed/>
    <w:rsid w:val="00A76F29"/>
    <w:rPr>
      <w:color w:val="0000FF" w:themeColor="hyperlink"/>
      <w:u w:val="single"/>
    </w:rPr>
  </w:style>
  <w:style w:type="paragraph" w:styleId="ListParagraph">
    <w:name w:val="List Paragraph"/>
    <w:basedOn w:val="Normal"/>
    <w:uiPriority w:val="34"/>
    <w:qFormat/>
    <w:rsid w:val="008320E9"/>
    <w:pPr>
      <w:ind w:left="720"/>
      <w:contextualSpacing/>
    </w:pPr>
  </w:style>
  <w:style w:type="paragraph" w:customStyle="1" w:styleId="Default">
    <w:name w:val="Default"/>
    <w:rsid w:val="00415D04"/>
    <w:pPr>
      <w:autoSpaceDE w:val="0"/>
      <w:autoSpaceDN w:val="0"/>
      <w:adjustRightInd w:val="0"/>
      <w:spacing w:line="240" w:lineRule="auto"/>
    </w:pPr>
    <w:rPr>
      <w:color w:val="000000"/>
    </w:rPr>
  </w:style>
  <w:style w:type="paragraph" w:styleId="BalloonText">
    <w:name w:val="Balloon Text"/>
    <w:basedOn w:val="Normal"/>
    <w:link w:val="BalloonTextChar"/>
    <w:uiPriority w:val="99"/>
    <w:semiHidden/>
    <w:unhideWhenUsed/>
    <w:rsid w:val="008E53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33"/>
    <w:rPr>
      <w:rFonts w:ascii="Segoe UI" w:hAnsi="Segoe UI" w:cs="Segoe UI"/>
      <w:sz w:val="18"/>
      <w:szCs w:val="18"/>
    </w:rPr>
  </w:style>
  <w:style w:type="character" w:styleId="CommentReference">
    <w:name w:val="annotation reference"/>
    <w:basedOn w:val="DefaultParagraphFont"/>
    <w:uiPriority w:val="99"/>
    <w:semiHidden/>
    <w:unhideWhenUsed/>
    <w:rsid w:val="005F613C"/>
    <w:rPr>
      <w:sz w:val="16"/>
      <w:szCs w:val="16"/>
    </w:rPr>
  </w:style>
  <w:style w:type="paragraph" w:styleId="CommentText">
    <w:name w:val="annotation text"/>
    <w:basedOn w:val="Normal"/>
    <w:link w:val="CommentTextChar"/>
    <w:uiPriority w:val="99"/>
    <w:semiHidden/>
    <w:unhideWhenUsed/>
    <w:rsid w:val="005F613C"/>
    <w:pPr>
      <w:spacing w:line="240" w:lineRule="auto"/>
    </w:pPr>
    <w:rPr>
      <w:sz w:val="20"/>
      <w:szCs w:val="20"/>
    </w:rPr>
  </w:style>
  <w:style w:type="character" w:customStyle="1" w:styleId="CommentTextChar">
    <w:name w:val="Comment Text Char"/>
    <w:basedOn w:val="DefaultParagraphFont"/>
    <w:link w:val="CommentText"/>
    <w:uiPriority w:val="99"/>
    <w:semiHidden/>
    <w:rsid w:val="005F613C"/>
    <w:rPr>
      <w:sz w:val="20"/>
      <w:szCs w:val="20"/>
    </w:rPr>
  </w:style>
  <w:style w:type="paragraph" w:styleId="CommentSubject">
    <w:name w:val="annotation subject"/>
    <w:basedOn w:val="CommentText"/>
    <w:next w:val="CommentText"/>
    <w:link w:val="CommentSubjectChar"/>
    <w:uiPriority w:val="99"/>
    <w:semiHidden/>
    <w:unhideWhenUsed/>
    <w:rsid w:val="005F613C"/>
    <w:rPr>
      <w:b/>
      <w:bCs/>
    </w:rPr>
  </w:style>
  <w:style w:type="character" w:customStyle="1" w:styleId="CommentSubjectChar">
    <w:name w:val="Comment Subject Char"/>
    <w:basedOn w:val="CommentTextChar"/>
    <w:link w:val="CommentSubject"/>
    <w:uiPriority w:val="99"/>
    <w:semiHidden/>
    <w:rsid w:val="005F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bp.due-nort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ECC6DD-58DD-43D3-B55E-75AE17B1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Moore, Donna</cp:lastModifiedBy>
  <cp:revision>2</cp:revision>
  <cp:lastPrinted>2024-02-19T10:58:00Z</cp:lastPrinted>
  <dcterms:created xsi:type="dcterms:W3CDTF">2024-03-06T11:35:00Z</dcterms:created>
  <dcterms:modified xsi:type="dcterms:W3CDTF">2024-03-06T11:35:00Z</dcterms:modified>
</cp:coreProperties>
</file>