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E8A8" w14:textId="77777777" w:rsidR="006651E6" w:rsidRDefault="006651E6"/>
    <w:p w14:paraId="192A2FDA" w14:textId="77777777" w:rsidR="007A47EA" w:rsidRPr="00DF1651" w:rsidRDefault="007A47EA" w:rsidP="001C51EF">
      <w:pPr>
        <w:pStyle w:val="Heading1"/>
        <w:rPr>
          <w:rFonts w:asciiTheme="minorHAnsi" w:hAnsiTheme="minorHAnsi" w:cstheme="minorHAnsi"/>
          <w:sz w:val="60"/>
          <w:szCs w:val="60"/>
        </w:rPr>
      </w:pPr>
    </w:p>
    <w:tbl>
      <w:tblPr>
        <w:tblW w:w="97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3"/>
        <w:gridCol w:w="7796"/>
      </w:tblGrid>
      <w:tr w:rsidR="007A47EA" w:rsidRPr="003308B2" w14:paraId="02024A04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027A883B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Meeting Title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C8DE3B" w14:textId="77777777" w:rsidR="007A47EA" w:rsidRPr="003308B2" w:rsidRDefault="00EC218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Market Engagement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event </w:t>
            </w:r>
          </w:p>
        </w:tc>
      </w:tr>
      <w:tr w:rsidR="007A47EA" w:rsidRPr="003308B2" w14:paraId="61C73F83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2CDE37FF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17027C" w14:textId="77777777" w:rsidR="007A47EA" w:rsidRPr="003308B2" w:rsidRDefault="00632417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23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October 2019 </w:t>
            </w:r>
          </w:p>
        </w:tc>
      </w:tr>
      <w:tr w:rsidR="007A47EA" w:rsidRPr="003308B2" w14:paraId="1221FD46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33DC7715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Time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BD12916" w14:textId="77777777" w:rsidR="007A47EA" w:rsidRPr="003308B2" w:rsidRDefault="00EC218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9.3</w:t>
            </w:r>
            <w:r w:rsidR="00234B6E">
              <w:rPr>
                <w:rFonts w:asciiTheme="minorHAnsi" w:hAnsiTheme="minorHAnsi" w:cstheme="minorHAnsi"/>
                <w:sz w:val="26"/>
                <w:szCs w:val="26"/>
              </w:rPr>
              <w:t>0a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m </w:t>
            </w:r>
          </w:p>
        </w:tc>
      </w:tr>
      <w:tr w:rsidR="007A47EA" w:rsidRPr="003308B2" w14:paraId="5DE8250F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3CFE1676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Location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AB070E6" w14:textId="77777777" w:rsidR="007A47EA" w:rsidRPr="003308B2" w:rsidRDefault="00632417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New County Hall Truro </w:t>
            </w:r>
            <w:r w:rsidR="00EC218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14:paraId="2DE293E1" w14:textId="77777777" w:rsidR="007A47EA" w:rsidRDefault="007A47EA"/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4536"/>
      </w:tblGrid>
      <w:tr w:rsidR="00594269" w:rsidRPr="00DB39AE" w14:paraId="50C9D900" w14:textId="77777777" w:rsidTr="00594269">
        <w:trPr>
          <w:trHeight w:val="606"/>
        </w:trPr>
        <w:tc>
          <w:tcPr>
            <w:tcW w:w="5223" w:type="dxa"/>
            <w:shd w:val="clear" w:color="auto" w:fill="auto"/>
            <w:vAlign w:val="center"/>
          </w:tcPr>
          <w:p w14:paraId="684FFA00" w14:textId="77777777" w:rsidR="00594269" w:rsidRPr="00DB39AE" w:rsidRDefault="00594269" w:rsidP="0015361D">
            <w:pPr>
              <w:pStyle w:val="Heading2"/>
              <w:keepNext w:val="0"/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Question</w:t>
            </w:r>
          </w:p>
        </w:tc>
        <w:tc>
          <w:tcPr>
            <w:tcW w:w="4536" w:type="dxa"/>
          </w:tcPr>
          <w:p w14:paraId="5F36B4FB" w14:textId="77777777" w:rsidR="00594269" w:rsidRPr="00DB39AE" w:rsidRDefault="00594269" w:rsidP="0015361D">
            <w:pPr>
              <w:pStyle w:val="Heading2"/>
              <w:keepNext w:val="0"/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Answer</w:t>
            </w:r>
          </w:p>
        </w:tc>
      </w:tr>
      <w:tr w:rsidR="00594269" w:rsidRPr="00DB39AE" w14:paraId="0D08D1A3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6A96AA57" w14:textId="77777777" w:rsidR="00594269" w:rsidRPr="00594269" w:rsidRDefault="00272465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Some accommodation isn’t accessible some have stairs and communal entrance</w:t>
            </w:r>
            <w:r w:rsid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3111C78A" w14:textId="77777777" w:rsidR="00594269" w:rsidRDefault="00E26FB8" w:rsidP="00E26FB8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Applicants requirements are assessed on a case by case basis and </w:t>
            </w:r>
            <w:r w:rsidR="00846FCC">
              <w:rPr>
                <w:rFonts w:asciiTheme="minorHAnsi" w:hAnsiTheme="minorHAnsi" w:cstheme="minorHAnsi"/>
                <w:b w:val="0"/>
                <w:sz w:val="26"/>
                <w:szCs w:val="26"/>
              </w:rPr>
              <w:t>Officers consider</w:t>
            </w:r>
            <w:r w:rsidR="00272465" w:rsidRP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the suitability of accommodation </w:t>
            </w:r>
            <w:r w:rsidRP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to meet the Applicants needs </w:t>
            </w:r>
            <w:r w:rsidR="00272465" w:rsidRPr="00E26FB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  <w:p w14:paraId="1220BD3F" w14:textId="77777777" w:rsidR="007F7CB9" w:rsidRPr="007F7CB9" w:rsidRDefault="007F7CB9" w:rsidP="007F7CB9">
            <w:pPr>
              <w:rPr>
                <w:lang w:eastAsia="en-US"/>
              </w:rPr>
            </w:pPr>
            <w:r w:rsidRPr="007F7CB9">
              <w:rPr>
                <w:rFonts w:asciiTheme="minorHAnsi" w:hAnsiTheme="minorHAnsi" w:cstheme="minorHAnsi"/>
                <w:sz w:val="26"/>
                <w:szCs w:val="26"/>
              </w:rPr>
              <w:t xml:space="preserve">It would be clear in the accommodation advert the </w:t>
            </w:r>
            <w:r w:rsidR="00846FCC">
              <w:rPr>
                <w:rFonts w:asciiTheme="minorHAnsi" w:hAnsiTheme="minorHAnsi" w:cstheme="minorHAnsi"/>
                <w:sz w:val="26"/>
                <w:szCs w:val="26"/>
              </w:rPr>
              <w:t xml:space="preserve">accommodation </w:t>
            </w:r>
            <w:r w:rsidRPr="007F7CB9">
              <w:rPr>
                <w:rFonts w:asciiTheme="minorHAnsi" w:hAnsiTheme="minorHAnsi" w:cstheme="minorHAnsi"/>
                <w:sz w:val="26"/>
                <w:szCs w:val="26"/>
              </w:rPr>
              <w:t xml:space="preserve">requirements to meet the Applicants needs </w:t>
            </w:r>
          </w:p>
        </w:tc>
      </w:tr>
      <w:tr w:rsidR="000C4935" w:rsidRPr="00DB39AE" w14:paraId="536EC1F9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265F1316" w14:textId="358D4375" w:rsidR="000C4935" w:rsidRDefault="00C06AE4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Would Lot 2 </w:t>
            </w:r>
            <w:r w:rsidR="0089690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Accommodation for Applicants who are 16 and 17 years old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have different pricing to reflect the different specification</w:t>
            </w:r>
          </w:p>
        </w:tc>
        <w:tc>
          <w:tcPr>
            <w:tcW w:w="4536" w:type="dxa"/>
          </w:tcPr>
          <w:p w14:paraId="286C07AA" w14:textId="77777777" w:rsidR="000C4935" w:rsidRPr="009663D8" w:rsidRDefault="00C06AE4" w:rsidP="00C06AE4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A935D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There are specific requirements for this Lot so the Council is looking to block purchase accommodation for this Lot </w:t>
            </w:r>
          </w:p>
        </w:tc>
      </w:tr>
      <w:tr w:rsidR="0089486A" w:rsidRPr="00DB39AE" w14:paraId="6D0639A6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5B1456A8" w14:textId="77777777" w:rsidR="0089486A" w:rsidRDefault="0086054C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Is the Council purchasing homes for temporary accommodation </w:t>
            </w:r>
            <w:r w:rsidR="002D27FC" w:rsidRPr="008605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364D45C5" w14:textId="77777777" w:rsidR="0086054C" w:rsidRPr="005809FC" w:rsidRDefault="0086054C" w:rsidP="0086054C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The Council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has already made the decision to purchase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250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homes for use as temporary accommodation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4D7A6F22" w14:textId="77777777" w:rsidR="0089486A" w:rsidRPr="0086054C" w:rsidRDefault="0086054C" w:rsidP="0086054C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8605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This project is looking at shorter term emergency accommodation through a Dynamic Purchasing System  </w:t>
            </w:r>
          </w:p>
        </w:tc>
      </w:tr>
      <w:tr w:rsidR="00463E68" w:rsidRPr="00DB39AE" w14:paraId="34D59E55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22DE8E64" w14:textId="77777777" w:rsidR="00463E68" w:rsidRPr="00463E68" w:rsidRDefault="00E04EC5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E04EC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What would demand for accommodation be like through the DPS</w:t>
            </w:r>
          </w:p>
        </w:tc>
        <w:tc>
          <w:tcPr>
            <w:tcW w:w="4536" w:type="dxa"/>
          </w:tcPr>
          <w:p w14:paraId="4F095A2F" w14:textId="77777777" w:rsidR="00463E68" w:rsidRPr="009663D8" w:rsidRDefault="00E04EC5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E04EC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There isn’t enough capacity within the current framework which is resulting in purchasing outside of the framework agreement. The DPS will provide flexibility for both the Provider and Cornwall Council</w:t>
            </w:r>
          </w:p>
        </w:tc>
      </w:tr>
      <w:tr w:rsidR="0097629E" w:rsidRPr="00DB39AE" w14:paraId="04E00A46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0227F3E1" w14:textId="77777777" w:rsidR="0097629E" w:rsidRDefault="00E04EC5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Will P</w:t>
            </w:r>
            <w:r w:rsidR="0035675E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roviders still get phone calls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to make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 xml:space="preserve">accommodation placements </w:t>
            </w:r>
          </w:p>
        </w:tc>
        <w:tc>
          <w:tcPr>
            <w:tcW w:w="4536" w:type="dxa"/>
          </w:tcPr>
          <w:p w14:paraId="51C3BFC6" w14:textId="77777777" w:rsidR="0097629E" w:rsidRDefault="00DA6EA6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DA6EA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 xml:space="preserve">Within office hours accommodation requirements will be posted </w:t>
            </w:r>
            <w:r w:rsidRPr="00DA6EA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>electronically through the DPS and alerts sent to pre-qualified Providers</w:t>
            </w:r>
          </w:p>
          <w:p w14:paraId="5DA1023F" w14:textId="77777777" w:rsidR="00DA6EA6" w:rsidRPr="009663D8" w:rsidRDefault="00826DE6" w:rsidP="00934C53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Out of hours there will be a pro</w:t>
            </w:r>
            <w:r w:rsidR="00934C53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tocol to contact pre-qualified P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roviders </w:t>
            </w:r>
          </w:p>
        </w:tc>
      </w:tr>
      <w:tr w:rsidR="002E4B1E" w:rsidRPr="00DB39AE" w14:paraId="039BD23E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21F6DBAD" w14:textId="77777777" w:rsidR="002E4B1E" w:rsidRPr="00DB39AE" w:rsidRDefault="00B12CC9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 xml:space="preserve">How much financial information is required </w:t>
            </w:r>
            <w:r w:rsidR="00E04EC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to be submitted by Providers during pre-qualification </w:t>
            </w:r>
          </w:p>
        </w:tc>
        <w:tc>
          <w:tcPr>
            <w:tcW w:w="4536" w:type="dxa"/>
          </w:tcPr>
          <w:p w14:paraId="165630D3" w14:textId="77777777" w:rsidR="002E4B1E" w:rsidRPr="00406C6D" w:rsidRDefault="00DA5878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Financial information is a s</w:t>
            </w:r>
            <w:r w:rsidR="00B12CC9"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tandard question in all tenders</w:t>
            </w: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. The Council ask for the last 2 years of </w:t>
            </w:r>
            <w:r w:rsidR="00804114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</w:t>
            </w: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rofit</w:t>
            </w:r>
            <w:r w:rsidR="00804114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&amp; L</w:t>
            </w: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oss and </w:t>
            </w:r>
            <w:r w:rsidR="00804114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B</w:t>
            </w: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alance </w:t>
            </w:r>
            <w:r w:rsidR="00804114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S</w:t>
            </w: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heets </w:t>
            </w:r>
            <w:r w:rsidR="003024DD"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to be submitted </w:t>
            </w:r>
            <w:r w:rsidR="00B12CC9"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04EA9" w:rsidRPr="00DB39AE" w14:paraId="6A2C29D6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0BDD41DC" w14:textId="77777777" w:rsidR="00804EA9" w:rsidRPr="00B12CC9" w:rsidRDefault="00B12CC9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Some Providers may not have 2 years accounts</w:t>
            </w:r>
          </w:p>
        </w:tc>
        <w:tc>
          <w:tcPr>
            <w:tcW w:w="4536" w:type="dxa"/>
          </w:tcPr>
          <w:p w14:paraId="42344447" w14:textId="77777777" w:rsidR="00804EA9" w:rsidRPr="009663D8" w:rsidRDefault="006F422A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6F42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The </w:t>
            </w:r>
            <w:r w:rsidR="00B12CC9" w:rsidRPr="006F42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Finance </w:t>
            </w:r>
            <w:r w:rsidRPr="006F42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Team would</w:t>
            </w:r>
            <w:r w:rsidR="00B12CC9" w:rsidRPr="006F42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ask for other information to support </w:t>
            </w:r>
            <w:r w:rsidRPr="006F42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the submission </w:t>
            </w:r>
            <w:r w:rsidR="00B12CC9" w:rsidRPr="006F42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such as cash flow forecasts </w:t>
            </w:r>
            <w:r w:rsidR="00804114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and a bank letter outlining the cash and credit position.</w:t>
            </w:r>
          </w:p>
        </w:tc>
      </w:tr>
      <w:tr w:rsidR="00804EA9" w:rsidRPr="00DB39AE" w14:paraId="19562EAE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3B4DF2F9" w14:textId="77777777" w:rsidR="00804EA9" w:rsidRPr="00B12CC9" w:rsidRDefault="00D12ABE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How is the financial information that is submitted assessed </w:t>
            </w:r>
          </w:p>
        </w:tc>
        <w:tc>
          <w:tcPr>
            <w:tcW w:w="4536" w:type="dxa"/>
          </w:tcPr>
          <w:p w14:paraId="386F1A71" w14:textId="77777777" w:rsidR="00804EA9" w:rsidRPr="009663D8" w:rsidRDefault="00384A48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3024D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 Finance Team undertake four financial tests on the submissions, gearing, liquidity, turnover and profitability. Providers must pass three out of four of the tests</w:t>
            </w:r>
          </w:p>
        </w:tc>
      </w:tr>
      <w:tr w:rsidR="00007BDB" w:rsidRPr="00DB39AE" w14:paraId="7782FDB0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1A498395" w14:textId="77777777" w:rsidR="00007BDB" w:rsidRPr="00B12CC9" w:rsidRDefault="00A07BFE" w:rsidP="00D12ABE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Is there deadline dates </w:t>
            </w:r>
            <w:r w:rsidR="00D12ABE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and how would Providers be aware of the deadlines </w:t>
            </w:r>
          </w:p>
        </w:tc>
        <w:tc>
          <w:tcPr>
            <w:tcW w:w="4536" w:type="dxa"/>
          </w:tcPr>
          <w:p w14:paraId="1149B1B7" w14:textId="77777777" w:rsidR="00007BDB" w:rsidRPr="00833F9F" w:rsidRDefault="00827189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833F9F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There will be deadline dates for the initial round of pre-qualification, alerts will be provided from Suppl</w:t>
            </w:r>
            <w:r w:rsidR="005C6FB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ying the South West to </w:t>
            </w:r>
            <w:r w:rsidRPr="00833F9F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Providers </w:t>
            </w:r>
            <w:r w:rsidR="005C6FB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who have registered on the system</w:t>
            </w:r>
          </w:p>
          <w:p w14:paraId="53337100" w14:textId="77777777" w:rsidR="00A07BFE" w:rsidRPr="009663D8" w:rsidRDefault="00833F9F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833F9F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Once the Dynamic Purchasing system has commenced there will be further opportunity for Providers to undertake pre-qualification and join the system </w:t>
            </w:r>
            <w:r w:rsidR="00A07BFE" w:rsidRPr="00833F9F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94269" w:rsidRPr="00DB39AE" w14:paraId="35372397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774B5054" w14:textId="77777777" w:rsidR="00594269" w:rsidRPr="00B12CC9" w:rsidRDefault="00D055AB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Up until the new arrangements are in place will the Council continue to use </w:t>
            </w:r>
            <w:r w:rsidR="00804114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the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current arrangements </w:t>
            </w:r>
          </w:p>
        </w:tc>
        <w:tc>
          <w:tcPr>
            <w:tcW w:w="4536" w:type="dxa"/>
          </w:tcPr>
          <w:p w14:paraId="1F55AF69" w14:textId="77777777" w:rsidR="00594269" w:rsidRPr="009663D8" w:rsidRDefault="00D055AB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2A5702">
              <w:rPr>
                <w:rFonts w:asciiTheme="minorHAnsi" w:hAnsiTheme="minorHAnsi" w:cstheme="minorHAnsi"/>
                <w:b w:val="0"/>
                <w:sz w:val="26"/>
                <w:szCs w:val="26"/>
              </w:rPr>
              <w:t>Yes</w:t>
            </w:r>
          </w:p>
        </w:tc>
      </w:tr>
      <w:tr w:rsidR="002E4B1E" w:rsidRPr="00DB39AE" w14:paraId="228359ED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1F5D2688" w14:textId="77777777" w:rsidR="002E4B1E" w:rsidRPr="00947995" w:rsidRDefault="00D055AB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What </w:t>
            </w:r>
            <w:r w:rsidR="00483BB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would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happen if the Applicant doesn’t take up the </w:t>
            </w:r>
            <w:r w:rsidR="00483BB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accommodation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placement would there be a payment</w:t>
            </w:r>
            <w:r w:rsidR="00483BB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to the Provider </w:t>
            </w:r>
          </w:p>
        </w:tc>
        <w:tc>
          <w:tcPr>
            <w:tcW w:w="4536" w:type="dxa"/>
          </w:tcPr>
          <w:p w14:paraId="539BFE9B" w14:textId="44D26881" w:rsidR="002E4B1E" w:rsidRPr="00E14959" w:rsidRDefault="00E14959" w:rsidP="00E14959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E525B7">
              <w:rPr>
                <w:rFonts w:asciiTheme="minorHAnsi" w:hAnsiTheme="minorHAnsi" w:cstheme="minorHAnsi"/>
                <w:b w:val="0"/>
                <w:sz w:val="26"/>
                <w:szCs w:val="26"/>
              </w:rPr>
              <w:t>Should the Applicant for whom the Individual Call Off was made not take up the accommodation placement</w:t>
            </w:r>
            <w:r w:rsidR="00A610B4" w:rsidRPr="00E525B7">
              <w:rPr>
                <w:rFonts w:asciiTheme="minorHAnsi" w:hAnsiTheme="minorHAnsi" w:cstheme="minorHAnsi"/>
                <w:b w:val="0"/>
                <w:sz w:val="26"/>
                <w:szCs w:val="26"/>
              </w:rPr>
              <w:t>, t</w:t>
            </w:r>
            <w:r w:rsidRPr="00E525B7">
              <w:rPr>
                <w:rFonts w:asciiTheme="minorHAnsi" w:hAnsiTheme="minorHAnsi" w:cstheme="minorHAnsi"/>
                <w:b w:val="0"/>
                <w:sz w:val="26"/>
                <w:szCs w:val="26"/>
              </w:rPr>
              <w:t>he Provider may be eligible to a Placement Cancellation fee</w:t>
            </w:r>
          </w:p>
        </w:tc>
      </w:tr>
      <w:tr w:rsidR="00594269" w:rsidRPr="00DB39AE" w14:paraId="2C98BDBC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241D95DE" w14:textId="77777777" w:rsidR="00594269" w:rsidRPr="00947995" w:rsidRDefault="000B64CF" w:rsidP="000B64CF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Under the current arrangements some accommodation </w:t>
            </w:r>
            <w:r w:rsidR="00D055AB">
              <w:rPr>
                <w:rFonts w:asciiTheme="minorHAnsi" w:hAnsiTheme="minorHAnsi" w:cstheme="minorHAnsi"/>
                <w:sz w:val="26"/>
                <w:szCs w:val="26"/>
              </w:rPr>
              <w:t>booking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 are made in advance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for 4 weeks at a time, would this be the case in the future </w:t>
            </w:r>
          </w:p>
        </w:tc>
        <w:tc>
          <w:tcPr>
            <w:tcW w:w="4536" w:type="dxa"/>
          </w:tcPr>
          <w:p w14:paraId="1E0B250A" w14:textId="48D99A33" w:rsidR="00D055AB" w:rsidRPr="00E14959" w:rsidRDefault="00271A4A" w:rsidP="00E14959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E525B7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I</w:t>
            </w:r>
            <w:r w:rsidR="00D055AB"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ndividual </w:t>
            </w:r>
            <w:r w:rsidR="00E14959" w:rsidRPr="00E525B7">
              <w:rPr>
                <w:rFonts w:asciiTheme="minorHAnsi" w:hAnsiTheme="minorHAnsi" w:cstheme="minorHAnsi"/>
                <w:sz w:val="26"/>
                <w:szCs w:val="26"/>
              </w:rPr>
              <w:t>Applicants needs</w:t>
            </w:r>
            <w:r w:rsidR="00D055AB"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will be </w:t>
            </w:r>
            <w:r w:rsidR="00E14959" w:rsidRPr="00E525B7">
              <w:rPr>
                <w:rFonts w:asciiTheme="minorHAnsi" w:hAnsiTheme="minorHAnsi" w:cstheme="minorHAnsi"/>
                <w:sz w:val="26"/>
                <w:szCs w:val="26"/>
              </w:rPr>
              <w:t>evaluated</w:t>
            </w: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055AB"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and </w:t>
            </w: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this will be reflected </w:t>
            </w:r>
            <w:r w:rsidR="00D055AB" w:rsidRPr="00E525B7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when a service request </w:t>
            </w:r>
            <w:r w:rsidR="00E14959" w:rsidRPr="00E525B7">
              <w:rPr>
                <w:rFonts w:asciiTheme="minorHAnsi" w:hAnsiTheme="minorHAnsi" w:cstheme="minorHAnsi"/>
                <w:sz w:val="26"/>
                <w:szCs w:val="26"/>
              </w:rPr>
              <w:t>is made</w:t>
            </w: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, the service request </w:t>
            </w:r>
            <w:r w:rsidR="005D1A4D"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will </w:t>
            </w: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identify the </w:t>
            </w:r>
            <w:r w:rsidR="00E14959"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anticipated placement length </w:t>
            </w:r>
          </w:p>
        </w:tc>
      </w:tr>
      <w:tr w:rsidR="00947995" w:rsidRPr="00DB39AE" w14:paraId="7F5C259F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7AB3AB9C" w14:textId="77777777" w:rsidR="00947995" w:rsidRPr="00DB39AE" w:rsidRDefault="00425A69" w:rsidP="009A1F2F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Through the Dynamic Purchasing System</w:t>
            </w:r>
            <w:r w:rsidR="00FC51F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="00FC51F8">
              <w:rPr>
                <w:rFonts w:asciiTheme="minorHAnsi" w:hAnsiTheme="minorHAnsi" w:cstheme="minorHAnsi"/>
                <w:sz w:val="26"/>
                <w:szCs w:val="26"/>
              </w:rPr>
              <w:t>DPS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FC51F8">
              <w:rPr>
                <w:rFonts w:asciiTheme="minorHAnsi" w:hAnsiTheme="minorHAnsi" w:cstheme="minorHAnsi"/>
                <w:sz w:val="26"/>
                <w:szCs w:val="26"/>
              </w:rPr>
              <w:t xml:space="preserve"> could placements be extended</w:t>
            </w:r>
            <w:r w:rsidR="009A1F2F">
              <w:rPr>
                <w:rFonts w:asciiTheme="minorHAnsi" w:hAnsiTheme="minorHAnsi" w:cstheme="minorHAnsi"/>
                <w:sz w:val="26"/>
                <w:szCs w:val="26"/>
              </w:rPr>
              <w:t xml:space="preserve"> if the need arose </w:t>
            </w:r>
          </w:p>
        </w:tc>
        <w:tc>
          <w:tcPr>
            <w:tcW w:w="4536" w:type="dxa"/>
          </w:tcPr>
          <w:p w14:paraId="59CB8977" w14:textId="77777777" w:rsidR="00FC51F8" w:rsidRDefault="0021103D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21103D">
              <w:rPr>
                <w:rFonts w:asciiTheme="minorHAnsi" w:hAnsiTheme="minorHAnsi" w:cstheme="minorHAnsi"/>
                <w:sz w:val="26"/>
                <w:szCs w:val="26"/>
              </w:rPr>
              <w:t xml:space="preserve">Officers work to understand Applicants </w:t>
            </w:r>
            <w:r w:rsidR="00FC51F8" w:rsidRPr="0021103D">
              <w:rPr>
                <w:rFonts w:asciiTheme="minorHAnsi" w:hAnsiTheme="minorHAnsi" w:cstheme="minorHAnsi"/>
                <w:sz w:val="26"/>
                <w:szCs w:val="26"/>
              </w:rPr>
              <w:t>housing need at the beginning</w:t>
            </w:r>
            <w:r w:rsidRPr="0021103D">
              <w:rPr>
                <w:rFonts w:asciiTheme="minorHAnsi" w:hAnsiTheme="minorHAnsi" w:cstheme="minorHAnsi"/>
                <w:sz w:val="26"/>
                <w:szCs w:val="26"/>
              </w:rPr>
              <w:t xml:space="preserve"> of the process </w:t>
            </w:r>
            <w:r w:rsidR="00FC51F8" w:rsidRPr="0021103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70657591" w14:textId="3A4682B9" w:rsidR="00A935DE" w:rsidRPr="009663D8" w:rsidRDefault="00A935DE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Where there is a requirement to extend we would look to extend with the </w:t>
            </w:r>
            <w:r w:rsidR="005C6FB8" w:rsidRPr="00E525B7">
              <w:rPr>
                <w:rFonts w:asciiTheme="minorHAnsi" w:hAnsiTheme="minorHAnsi" w:cstheme="minorHAnsi"/>
                <w:sz w:val="26"/>
                <w:szCs w:val="26"/>
              </w:rPr>
              <w:t>existing</w:t>
            </w:r>
            <w:r w:rsidR="00E14959" w:rsidRPr="00E525B7">
              <w:rPr>
                <w:rFonts w:asciiTheme="minorHAnsi" w:hAnsiTheme="minorHAnsi" w:cstheme="minorHAnsi"/>
                <w:sz w:val="26"/>
                <w:szCs w:val="26"/>
              </w:rPr>
              <w:t xml:space="preserve"> Provider, through a direct award, </w:t>
            </w:r>
            <w:r w:rsidRPr="00E525B7">
              <w:rPr>
                <w:rFonts w:asciiTheme="minorHAnsi" w:hAnsiTheme="minorHAnsi" w:cstheme="minorHAnsi"/>
                <w:sz w:val="26"/>
                <w:szCs w:val="26"/>
              </w:rPr>
              <w:t>to minimise any moves that the Applicant has to undertake unless they are necessary.</w:t>
            </w:r>
            <w:bookmarkStart w:id="0" w:name="_GoBack"/>
            <w:bookmarkEnd w:id="0"/>
          </w:p>
        </w:tc>
      </w:tr>
      <w:tr w:rsidR="0031734A" w:rsidRPr="00DB39AE" w14:paraId="513BD66D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0D1C3EF9" w14:textId="77777777" w:rsidR="0031734A" w:rsidRPr="00605C8A" w:rsidRDefault="00605C8A" w:rsidP="00605C8A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605C8A">
              <w:rPr>
                <w:rFonts w:asciiTheme="minorHAnsi" w:hAnsiTheme="minorHAnsi" w:cstheme="minorHAnsi"/>
                <w:sz w:val="26"/>
                <w:szCs w:val="26"/>
              </w:rPr>
              <w:t xml:space="preserve">Will the room rates reflect seasonality as some Providers have additional pressures during the summer  </w:t>
            </w:r>
          </w:p>
        </w:tc>
        <w:tc>
          <w:tcPr>
            <w:tcW w:w="4536" w:type="dxa"/>
          </w:tcPr>
          <w:p w14:paraId="0FA893D4" w14:textId="49299EDB" w:rsidR="0031734A" w:rsidRPr="00605C8A" w:rsidRDefault="008F0BB7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8F0BB7">
              <w:rPr>
                <w:rFonts w:asciiTheme="minorHAnsi" w:hAnsiTheme="minorHAnsi" w:cstheme="minorHAnsi"/>
                <w:sz w:val="26"/>
                <w:szCs w:val="26"/>
              </w:rPr>
              <w:t>The current pricing strategy is looking at different options which include the possibility of a balance across seasons or a reflection of seasonality.</w:t>
            </w:r>
          </w:p>
        </w:tc>
      </w:tr>
      <w:tr w:rsidR="001B55BF" w:rsidRPr="00DB39AE" w14:paraId="40BB2087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7F9DE617" w14:textId="77777777" w:rsidR="001B55BF" w:rsidRDefault="00D257BB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Will it be a requirement that </w:t>
            </w:r>
            <w:r w:rsidR="0000587D">
              <w:rPr>
                <w:rFonts w:asciiTheme="minorHAnsi" w:hAnsiTheme="minorHAnsi" w:cstheme="minorHAnsi"/>
                <w:sz w:val="26"/>
                <w:szCs w:val="26"/>
              </w:rPr>
              <w:t>breakfast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is provided</w:t>
            </w:r>
          </w:p>
        </w:tc>
        <w:tc>
          <w:tcPr>
            <w:tcW w:w="4536" w:type="dxa"/>
          </w:tcPr>
          <w:p w14:paraId="67910008" w14:textId="77777777" w:rsidR="001B55BF" w:rsidRPr="00235A42" w:rsidRDefault="0000587D" w:rsidP="00235A42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>Not necessarily</w:t>
            </w:r>
            <w:r w:rsidR="005C6FB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the service is 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>look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>ing to provide accommodation. Cornwall Council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 pays 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the accommodation 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costs and looks to recover costs from 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proofErr w:type="gramStart"/>
            <w:r w:rsidRPr="00235A42">
              <w:rPr>
                <w:rFonts w:asciiTheme="minorHAnsi" w:hAnsiTheme="minorHAnsi" w:cstheme="minorHAnsi"/>
                <w:sz w:val="26"/>
                <w:szCs w:val="26"/>
              </w:rPr>
              <w:t>Household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proofErr w:type="gramEnd"/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 this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 can be th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>rough Housing Benefit. Housing Benefit would consider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 breakfast </w:t>
            </w:r>
            <w:r w:rsidR="00235A42" w:rsidRPr="00235A42">
              <w:rPr>
                <w:rFonts w:asciiTheme="minorHAnsi" w:hAnsiTheme="minorHAnsi" w:cstheme="minorHAnsi"/>
                <w:sz w:val="26"/>
                <w:szCs w:val="26"/>
              </w:rPr>
              <w:t>to be a</w:t>
            </w:r>
            <w:r w:rsidRPr="00235A42">
              <w:rPr>
                <w:rFonts w:asciiTheme="minorHAnsi" w:hAnsiTheme="minorHAnsi" w:cstheme="minorHAnsi"/>
                <w:sz w:val="26"/>
                <w:szCs w:val="26"/>
              </w:rPr>
              <w:t xml:space="preserve"> service charge </w:t>
            </w:r>
          </w:p>
        </w:tc>
      </w:tr>
      <w:tr w:rsidR="00A56F4C" w:rsidRPr="00DB39AE" w14:paraId="7068A90B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65DBAAEA" w14:textId="77777777" w:rsidR="00A56F4C" w:rsidRPr="00BB7555" w:rsidRDefault="00EE6104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information would the accommodation provider have about the applicant when they bid</w:t>
            </w:r>
          </w:p>
        </w:tc>
        <w:tc>
          <w:tcPr>
            <w:tcW w:w="4536" w:type="dxa"/>
          </w:tcPr>
          <w:p w14:paraId="3738C4F9" w14:textId="77777777" w:rsidR="00EE6104" w:rsidRPr="00A244F2" w:rsidRDefault="00EE6104" w:rsidP="00EE6104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Individual cases are risk assessed by Cornwall Housing to support the most appropriate placements  </w:t>
            </w:r>
          </w:p>
          <w:p w14:paraId="17E968DD" w14:textId="77777777" w:rsidR="00A56F4C" w:rsidRPr="009663D8" w:rsidRDefault="00EE6104" w:rsidP="00EE6104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A244F2">
              <w:rPr>
                <w:rFonts w:asciiTheme="minorHAnsi" w:hAnsiTheme="minorHAnsi" w:cstheme="minorHAnsi"/>
                <w:sz w:val="26"/>
                <w:szCs w:val="26"/>
              </w:rPr>
              <w:t>The service works within Data Protection and GDPR already and will continue to do so, information is shared that is necessary and appropriate</w:t>
            </w:r>
          </w:p>
        </w:tc>
      </w:tr>
      <w:tr w:rsidR="00A56F4C" w:rsidRPr="00DB39AE" w14:paraId="40E73D97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7A2A0520" w14:textId="77777777" w:rsidR="00A56F4C" w:rsidRPr="00791A84" w:rsidRDefault="00791A84" w:rsidP="00C02A4E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C02A4E">
              <w:rPr>
                <w:rFonts w:asciiTheme="minorHAnsi" w:hAnsiTheme="minorHAnsi" w:cstheme="minorHAnsi"/>
                <w:sz w:val="26"/>
                <w:szCs w:val="26"/>
              </w:rPr>
              <w:t>Would specific conditions be divulged to Providers</w:t>
            </w:r>
          </w:p>
        </w:tc>
        <w:tc>
          <w:tcPr>
            <w:tcW w:w="4536" w:type="dxa"/>
          </w:tcPr>
          <w:p w14:paraId="39139FD3" w14:textId="77777777" w:rsidR="00A56F4C" w:rsidRPr="009663D8" w:rsidRDefault="00791A84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C02A4E">
              <w:rPr>
                <w:rFonts w:asciiTheme="minorHAnsi" w:hAnsiTheme="minorHAnsi" w:cstheme="minorHAnsi"/>
                <w:sz w:val="26"/>
                <w:szCs w:val="26"/>
              </w:rPr>
              <w:t xml:space="preserve">Providers need to have procedures and processes in place for risk management </w:t>
            </w:r>
          </w:p>
        </w:tc>
      </w:tr>
      <w:tr w:rsidR="00A56F4C" w:rsidRPr="00DB39AE" w14:paraId="0E5E9ABF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02329ED4" w14:textId="77777777" w:rsidR="00A56F4C" w:rsidRPr="00791A84" w:rsidRDefault="00AF455C" w:rsidP="004971D6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What </w:t>
            </w:r>
            <w:r w:rsidR="00740E0F">
              <w:rPr>
                <w:rFonts w:asciiTheme="minorHAnsi" w:hAnsiTheme="minorHAnsi" w:cstheme="minorHAnsi"/>
                <w:sz w:val="26"/>
                <w:szCs w:val="26"/>
              </w:rPr>
              <w:t>happens if a Provider wants an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pplicant to leave</w:t>
            </w:r>
            <w:r w:rsidR="00740E0F">
              <w:rPr>
                <w:rFonts w:asciiTheme="minorHAnsi" w:hAnsiTheme="minorHAnsi" w:cstheme="minorHAnsi"/>
                <w:sz w:val="26"/>
                <w:szCs w:val="26"/>
              </w:rPr>
              <w:t xml:space="preserve"> the accommodation </w:t>
            </w:r>
          </w:p>
        </w:tc>
        <w:tc>
          <w:tcPr>
            <w:tcW w:w="4536" w:type="dxa"/>
          </w:tcPr>
          <w:p w14:paraId="6B03DDBD" w14:textId="77777777" w:rsidR="00A56F4C" w:rsidRPr="009663D8" w:rsidRDefault="00AF455C" w:rsidP="00A6701C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Applicants have terms and conditions 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of their stay 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and 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do 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>not legal rights to st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>ay at accommodation. Different P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>roviders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 may also have their own house rules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>Officers want to support both Applicants and Providers and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 want to be 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aware of 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situations that arise and be 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able to manage </w:t>
            </w:r>
            <w:r w:rsidR="00A6701C" w:rsidRPr="00A6701C">
              <w:rPr>
                <w:rFonts w:asciiTheme="minorHAnsi" w:hAnsiTheme="minorHAnsi" w:cstheme="minorHAnsi"/>
                <w:sz w:val="26"/>
                <w:szCs w:val="26"/>
              </w:rPr>
              <w:t>them</w:t>
            </w:r>
            <w:r w:rsidRPr="00A6701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56F4C" w:rsidRPr="00DB39AE" w14:paraId="5630A233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5E6337F9" w14:textId="77777777" w:rsidR="00A56F4C" w:rsidRPr="00A52F78" w:rsidRDefault="00740E0F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Can Providers ask A</w:t>
            </w:r>
            <w:r w:rsidR="005D5FA6">
              <w:rPr>
                <w:rFonts w:asciiTheme="minorHAnsi" w:hAnsiTheme="minorHAnsi" w:cstheme="minorHAnsi"/>
                <w:sz w:val="26"/>
                <w:szCs w:val="26"/>
              </w:rPr>
              <w:t>pplicant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5D5FA6">
              <w:rPr>
                <w:rFonts w:asciiTheme="minorHAnsi" w:hAnsiTheme="minorHAnsi" w:cstheme="minorHAnsi"/>
                <w:sz w:val="26"/>
                <w:szCs w:val="26"/>
              </w:rPr>
              <w:t xml:space="preserve"> to sign house rules </w:t>
            </w:r>
          </w:p>
        </w:tc>
        <w:tc>
          <w:tcPr>
            <w:tcW w:w="4536" w:type="dxa"/>
          </w:tcPr>
          <w:p w14:paraId="1F673A34" w14:textId="77777777" w:rsidR="002D72F9" w:rsidRPr="009663D8" w:rsidRDefault="00A925FE" w:rsidP="00A925FE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E4AE6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="00A52F78" w:rsidRPr="005E4AE6">
              <w:rPr>
                <w:rFonts w:asciiTheme="minorHAnsi" w:hAnsiTheme="minorHAnsi" w:cstheme="minorHAnsi"/>
                <w:sz w:val="26"/>
                <w:szCs w:val="26"/>
              </w:rPr>
              <w:t xml:space="preserve">t advises </w:t>
            </w:r>
            <w:r w:rsidRPr="005E4AE6">
              <w:rPr>
                <w:rFonts w:asciiTheme="minorHAnsi" w:hAnsiTheme="minorHAnsi" w:cstheme="minorHAnsi"/>
                <w:sz w:val="26"/>
                <w:szCs w:val="26"/>
              </w:rPr>
              <w:t xml:space="preserve">Applicants within the terms and conditions </w:t>
            </w:r>
            <w:r w:rsidR="00A52F78" w:rsidRPr="005E4AE6">
              <w:rPr>
                <w:rFonts w:asciiTheme="minorHAnsi" w:hAnsiTheme="minorHAnsi" w:cstheme="minorHAnsi"/>
                <w:sz w:val="26"/>
                <w:szCs w:val="26"/>
              </w:rPr>
              <w:t xml:space="preserve">that applicants must follow </w:t>
            </w:r>
            <w:r w:rsidRPr="005E4AE6">
              <w:rPr>
                <w:rFonts w:asciiTheme="minorHAnsi" w:hAnsiTheme="minorHAnsi" w:cstheme="minorHAnsi"/>
                <w:sz w:val="26"/>
                <w:szCs w:val="26"/>
              </w:rPr>
              <w:t>the house rules of the accommodation in which they are staying</w:t>
            </w:r>
          </w:p>
        </w:tc>
      </w:tr>
      <w:tr w:rsidR="00A56F4C" w:rsidRPr="00DB39AE" w14:paraId="6C560DB1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22CB590B" w14:textId="77777777" w:rsidR="00A56F4C" w:rsidRPr="00B80E95" w:rsidRDefault="004F4EB4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How can Providers access Local Housing Allowance </w:t>
            </w:r>
            <w:r w:rsidR="00B80E95">
              <w:rPr>
                <w:rFonts w:asciiTheme="minorHAnsi" w:hAnsiTheme="minorHAnsi" w:cstheme="minorHAnsi"/>
                <w:sz w:val="26"/>
                <w:szCs w:val="26"/>
              </w:rPr>
              <w:t>rates</w:t>
            </w:r>
            <w:r w:rsidR="005D5D65">
              <w:rPr>
                <w:rFonts w:asciiTheme="minorHAnsi" w:hAnsiTheme="minorHAnsi" w:cstheme="minorHAnsi"/>
                <w:sz w:val="26"/>
                <w:szCs w:val="26"/>
              </w:rPr>
              <w:t xml:space="preserve"> information </w:t>
            </w:r>
          </w:p>
        </w:tc>
        <w:tc>
          <w:tcPr>
            <w:tcW w:w="4536" w:type="dxa"/>
          </w:tcPr>
          <w:p w14:paraId="6E23BEA7" w14:textId="77777777" w:rsidR="00A56F4C" w:rsidRPr="009663D8" w:rsidRDefault="005D5D65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A04781">
              <w:rPr>
                <w:rFonts w:asciiTheme="minorHAnsi" w:hAnsiTheme="minorHAnsi" w:cstheme="minorHAnsi"/>
                <w:sz w:val="26"/>
                <w:szCs w:val="26"/>
              </w:rPr>
              <w:t>Local Housing Allowance information is available</w:t>
            </w:r>
            <w:r w:rsidR="00B80E95" w:rsidRPr="00A04781">
              <w:rPr>
                <w:rFonts w:asciiTheme="minorHAnsi" w:hAnsiTheme="minorHAnsi" w:cstheme="minorHAnsi"/>
                <w:sz w:val="26"/>
                <w:szCs w:val="26"/>
              </w:rPr>
              <w:t xml:space="preserve"> on the Cornwall Council website </w:t>
            </w:r>
          </w:p>
        </w:tc>
      </w:tr>
      <w:tr w:rsidR="00D7454D" w:rsidRPr="00DB39AE" w14:paraId="3E8DD9D7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C583769" w14:textId="77777777" w:rsidR="00D7454D" w:rsidRPr="00B80E95" w:rsidRDefault="001929CD" w:rsidP="001929C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Providers who have provided accommodation through spot purchasing have been paid through</w:t>
            </w:r>
            <w:r w:rsidR="000632AD">
              <w:rPr>
                <w:rFonts w:asciiTheme="minorHAnsi" w:hAnsiTheme="minorHAnsi" w:cstheme="minorHAnsi"/>
                <w:sz w:val="26"/>
                <w:szCs w:val="26"/>
              </w:rPr>
              <w:t xml:space="preserve"> card payments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how would the new arrangements work</w:t>
            </w:r>
            <w:r w:rsidR="000632A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1F529794" w14:textId="77777777" w:rsidR="00D7454D" w:rsidRPr="009663D8" w:rsidRDefault="005D7B94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service will be utilising 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="005C6FB8">
              <w:rPr>
                <w:rFonts w:asciiTheme="minorHAnsi" w:hAnsiTheme="minorHAnsi" w:cstheme="minorHAnsi"/>
                <w:sz w:val="26"/>
                <w:szCs w:val="26"/>
              </w:rPr>
              <w:t>onthly Purchase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Orders and 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 xml:space="preserve">Providers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will 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>su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bmit invoices to be paid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>. 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mall, 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edium 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nterprises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E4AE6">
              <w:rPr>
                <w:rFonts w:asciiTheme="minorHAnsi" w:hAnsiTheme="minorHAnsi" w:cstheme="minorHAnsi"/>
                <w:sz w:val="26"/>
                <w:szCs w:val="26"/>
              </w:rPr>
              <w:t xml:space="preserve">(SME) </w:t>
            </w:r>
            <w:r w:rsidR="000632AD" w:rsidRPr="005D7B94">
              <w:rPr>
                <w:rFonts w:asciiTheme="minorHAnsi" w:hAnsiTheme="minorHAnsi" w:cstheme="minorHAnsi"/>
                <w:sz w:val="26"/>
                <w:szCs w:val="26"/>
              </w:rPr>
              <w:t xml:space="preserve">are usually paid on immediate terms </w:t>
            </w:r>
          </w:p>
        </w:tc>
      </w:tr>
      <w:tr w:rsidR="00980D75" w:rsidRPr="00DB39AE" w14:paraId="6FDC18E7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62EAD51C" w14:textId="77777777" w:rsidR="00980D75" w:rsidRPr="00B80E95" w:rsidRDefault="000632AD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How </w:t>
            </w:r>
            <w:r w:rsidR="00EB0661">
              <w:rPr>
                <w:rFonts w:asciiTheme="minorHAnsi" w:hAnsiTheme="minorHAnsi" w:cstheme="minorHAnsi"/>
                <w:sz w:val="26"/>
                <w:szCs w:val="26"/>
              </w:rPr>
              <w:t xml:space="preserve">do Providers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register on Supplying the South West</w:t>
            </w:r>
          </w:p>
        </w:tc>
        <w:tc>
          <w:tcPr>
            <w:tcW w:w="4536" w:type="dxa"/>
          </w:tcPr>
          <w:p w14:paraId="65FE825D" w14:textId="77777777" w:rsidR="000632AD" w:rsidRPr="009663D8" w:rsidRDefault="00FA0E1F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Pr="00EE7AA5">
              <w:rPr>
                <w:rFonts w:asciiTheme="minorHAnsi" w:hAnsiTheme="minorHAnsi" w:cstheme="minorHAnsi"/>
                <w:sz w:val="26"/>
                <w:szCs w:val="26"/>
              </w:rPr>
              <w:t>egister onto the Supplying the South West site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at </w:t>
            </w:r>
            <w:hyperlink r:id="rId11" w:history="1">
              <w:r w:rsidRPr="008E75CD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www.supplyingthesouthwest.org.uk</w:t>
              </w:r>
            </w:hyperlink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E7AA5">
              <w:rPr>
                <w:rFonts w:asciiTheme="minorHAnsi" w:hAnsiTheme="minorHAnsi" w:cstheme="minorHAnsi"/>
                <w:sz w:val="26"/>
                <w:szCs w:val="26"/>
              </w:rPr>
              <w:t xml:space="preserve"> This will ensure any alerts relating to this project are communicated</w:t>
            </w:r>
          </w:p>
        </w:tc>
      </w:tr>
      <w:tr w:rsidR="00980D75" w:rsidRPr="00DB39AE" w14:paraId="736464E5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69B43E11" w14:textId="77777777" w:rsidR="00980D75" w:rsidRPr="00B80E95" w:rsidRDefault="00F01C8F" w:rsidP="00D335DB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What </w:t>
            </w:r>
            <w:r w:rsidR="00D335DB">
              <w:rPr>
                <w:rFonts w:asciiTheme="minorHAnsi" w:hAnsiTheme="minorHAnsi" w:cstheme="minorHAnsi"/>
                <w:sz w:val="26"/>
                <w:szCs w:val="26"/>
              </w:rPr>
              <w:t xml:space="preserve">will happen next in the process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42BDFE99" w14:textId="77777777" w:rsidR="00854BAE" w:rsidRPr="00854BAE" w:rsidRDefault="00F01C8F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854BAE">
              <w:rPr>
                <w:rFonts w:asciiTheme="minorHAnsi" w:hAnsiTheme="minorHAnsi" w:cstheme="minorHAnsi"/>
                <w:sz w:val="26"/>
                <w:szCs w:val="26"/>
              </w:rPr>
              <w:t>Providers</w:t>
            </w:r>
            <w:r w:rsidR="00854BAE" w:rsidRPr="00854BAE">
              <w:rPr>
                <w:rFonts w:asciiTheme="minorHAnsi" w:hAnsiTheme="minorHAnsi" w:cstheme="minorHAnsi"/>
                <w:sz w:val="26"/>
                <w:szCs w:val="26"/>
              </w:rPr>
              <w:t xml:space="preserve"> can</w:t>
            </w:r>
            <w:r w:rsidRPr="00854BAE">
              <w:rPr>
                <w:rFonts w:asciiTheme="minorHAnsi" w:hAnsiTheme="minorHAnsi" w:cstheme="minorHAnsi"/>
                <w:sz w:val="26"/>
                <w:szCs w:val="26"/>
              </w:rPr>
              <w:t xml:space="preserve"> register </w:t>
            </w:r>
            <w:r w:rsidR="00854BAE" w:rsidRPr="00854BAE">
              <w:rPr>
                <w:rFonts w:asciiTheme="minorHAnsi" w:hAnsiTheme="minorHAnsi" w:cstheme="minorHAnsi"/>
                <w:sz w:val="26"/>
                <w:szCs w:val="26"/>
              </w:rPr>
              <w:t xml:space="preserve">onto Supplying the South West </w:t>
            </w:r>
            <w:r w:rsidRPr="00854BAE">
              <w:rPr>
                <w:rFonts w:asciiTheme="minorHAnsi" w:hAnsiTheme="minorHAnsi" w:cstheme="minorHAnsi"/>
                <w:sz w:val="26"/>
                <w:szCs w:val="26"/>
              </w:rPr>
              <w:t xml:space="preserve">and complete their company profile </w:t>
            </w:r>
            <w:r w:rsidR="00854BAE" w:rsidRPr="00854BAE">
              <w:rPr>
                <w:rFonts w:asciiTheme="minorHAnsi" w:hAnsiTheme="minorHAnsi" w:cstheme="minorHAnsi"/>
                <w:sz w:val="26"/>
                <w:szCs w:val="26"/>
              </w:rPr>
              <w:t xml:space="preserve">in the system. </w:t>
            </w:r>
          </w:p>
          <w:p w14:paraId="0DDD070E" w14:textId="4E7F81D1" w:rsidR="00980D75" w:rsidRPr="009663D8" w:rsidRDefault="00854BAE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54BAE">
              <w:rPr>
                <w:rFonts w:asciiTheme="minorHAnsi" w:hAnsiTheme="minorHAnsi" w:cstheme="minorHAnsi"/>
                <w:sz w:val="26"/>
                <w:szCs w:val="26"/>
              </w:rPr>
              <w:t>Alerts about the proj</w:t>
            </w:r>
            <w:r w:rsidR="00A52229">
              <w:rPr>
                <w:rFonts w:asciiTheme="minorHAnsi" w:hAnsiTheme="minorHAnsi" w:cstheme="minorHAnsi"/>
                <w:sz w:val="26"/>
                <w:szCs w:val="26"/>
              </w:rPr>
              <w:t>ect will be sent to P</w:t>
            </w:r>
            <w:r w:rsidRPr="00854BAE">
              <w:rPr>
                <w:rFonts w:asciiTheme="minorHAnsi" w:hAnsiTheme="minorHAnsi" w:cstheme="minorHAnsi"/>
                <w:sz w:val="26"/>
                <w:szCs w:val="26"/>
              </w:rPr>
              <w:t xml:space="preserve">roviders </w:t>
            </w:r>
            <w:r w:rsidR="00A52229">
              <w:rPr>
                <w:rFonts w:asciiTheme="minorHAnsi" w:hAnsiTheme="minorHAnsi" w:cstheme="minorHAnsi"/>
                <w:sz w:val="26"/>
                <w:szCs w:val="26"/>
              </w:rPr>
              <w:t xml:space="preserve">who have registered </w:t>
            </w:r>
            <w:r w:rsidR="008F0BB7">
              <w:rPr>
                <w:rFonts w:asciiTheme="minorHAnsi" w:hAnsiTheme="minorHAnsi" w:cstheme="minorHAnsi"/>
                <w:sz w:val="26"/>
                <w:szCs w:val="26"/>
              </w:rPr>
              <w:t xml:space="preserve">onto Supplying the South West and have selected the applicable categories to receive the alerts.  </w:t>
            </w:r>
          </w:p>
        </w:tc>
      </w:tr>
      <w:tr w:rsidR="00980D75" w:rsidRPr="00DB39AE" w14:paraId="324B3595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6D7FA9F6" w14:textId="77777777" w:rsidR="00980D75" w:rsidRPr="00B80E95" w:rsidRDefault="00F01C8F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Are cooking facilities required in accommodation</w:t>
            </w:r>
          </w:p>
        </w:tc>
        <w:tc>
          <w:tcPr>
            <w:tcW w:w="4536" w:type="dxa"/>
          </w:tcPr>
          <w:p w14:paraId="55A83D79" w14:textId="77777777" w:rsidR="00980D75" w:rsidRPr="009663D8" w:rsidRDefault="00A52229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A52229">
              <w:rPr>
                <w:rFonts w:asciiTheme="minorHAnsi" w:hAnsiTheme="minorHAnsi" w:cstheme="minorHAnsi"/>
                <w:sz w:val="26"/>
                <w:szCs w:val="26"/>
              </w:rPr>
              <w:t xml:space="preserve">Details of accommodation requirements will be within the specifications </w:t>
            </w:r>
            <w:r w:rsidR="00F01C8F" w:rsidRPr="00A5222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850007" w:rsidRPr="00DB39AE" w14:paraId="4D4E8101" w14:textId="77777777" w:rsidTr="000D275E">
        <w:trPr>
          <w:trHeight w:val="696"/>
        </w:trPr>
        <w:tc>
          <w:tcPr>
            <w:tcW w:w="5223" w:type="dxa"/>
            <w:shd w:val="clear" w:color="auto" w:fill="auto"/>
          </w:tcPr>
          <w:p w14:paraId="0A535AD1" w14:textId="77777777" w:rsidR="00850007" w:rsidRPr="00B80E95" w:rsidRDefault="006A116E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would demand for accommodation be like through the DPS</w:t>
            </w:r>
          </w:p>
        </w:tc>
        <w:tc>
          <w:tcPr>
            <w:tcW w:w="4536" w:type="dxa"/>
          </w:tcPr>
          <w:p w14:paraId="3ACFB48E" w14:textId="77777777" w:rsidR="00850007" w:rsidRPr="009663D8" w:rsidRDefault="006A116E" w:rsidP="00A10591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801A7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There isn’t enough capacity within the current framework which is resulting in purchasing outside of the framework agreement. The DPS will provide flexibility for both the Provider and Cornwall Council</w:t>
            </w:r>
          </w:p>
        </w:tc>
      </w:tr>
      <w:tr w:rsidR="00594269" w:rsidRPr="00DB39AE" w14:paraId="6A2C74EA" w14:textId="77777777" w:rsidTr="00594269">
        <w:trPr>
          <w:trHeight w:val="617"/>
        </w:trPr>
        <w:tc>
          <w:tcPr>
            <w:tcW w:w="5223" w:type="dxa"/>
            <w:shd w:val="clear" w:color="auto" w:fill="auto"/>
            <w:vAlign w:val="center"/>
          </w:tcPr>
          <w:p w14:paraId="57B7DFE6" w14:textId="77777777" w:rsidR="00594269" w:rsidRPr="00B80E95" w:rsidRDefault="0094056B" w:rsidP="00702027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 xml:space="preserve">Some Providers </w:t>
            </w:r>
            <w:r w:rsidR="0070202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are considering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additional accommodation to meet demand </w:t>
            </w:r>
          </w:p>
        </w:tc>
        <w:tc>
          <w:tcPr>
            <w:tcW w:w="4536" w:type="dxa"/>
          </w:tcPr>
          <w:p w14:paraId="441560E8" w14:textId="77777777" w:rsidR="007D7B53" w:rsidRPr="005809FC" w:rsidRDefault="007D7B53" w:rsidP="007D7B53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The Council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has already made the decision to purchase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250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homes for use as temporary accommodation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033382C5" w14:textId="77777777" w:rsidR="0094056B" w:rsidRPr="009663D8" w:rsidRDefault="007D7B53" w:rsidP="007D7B53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This project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looking at shorter term emergency accommodation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through a Dynamic Purchasing System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850007" w:rsidRPr="00DB39AE" w14:paraId="4EE3602E" w14:textId="77777777" w:rsidTr="00594269">
        <w:trPr>
          <w:trHeight w:val="617"/>
        </w:trPr>
        <w:tc>
          <w:tcPr>
            <w:tcW w:w="5223" w:type="dxa"/>
            <w:shd w:val="clear" w:color="auto" w:fill="auto"/>
            <w:vAlign w:val="center"/>
          </w:tcPr>
          <w:p w14:paraId="468E1B70" w14:textId="77777777" w:rsidR="00850007" w:rsidRPr="00B80E95" w:rsidRDefault="0098040D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Can Providers see </w:t>
            </w:r>
            <w:r w:rsidR="0028193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each other’s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bid</w:t>
            </w:r>
            <w:r w:rsidR="0028193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when placed through DPS </w:t>
            </w:r>
          </w:p>
        </w:tc>
        <w:tc>
          <w:tcPr>
            <w:tcW w:w="4536" w:type="dxa"/>
          </w:tcPr>
          <w:p w14:paraId="54BF6DC7" w14:textId="77777777" w:rsidR="00850007" w:rsidRPr="009663D8" w:rsidRDefault="0098040D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A935DE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No </w:t>
            </w:r>
            <w:r w:rsidR="00FE5EBD" w:rsidRPr="00A935DE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Providers cannot see each other’s bids </w:t>
            </w:r>
          </w:p>
        </w:tc>
      </w:tr>
      <w:tr w:rsidR="00850007" w:rsidRPr="00DB39AE" w14:paraId="03D846B6" w14:textId="77777777" w:rsidTr="00594269">
        <w:trPr>
          <w:trHeight w:val="617"/>
        </w:trPr>
        <w:tc>
          <w:tcPr>
            <w:tcW w:w="5223" w:type="dxa"/>
            <w:shd w:val="clear" w:color="auto" w:fill="auto"/>
            <w:vAlign w:val="center"/>
          </w:tcPr>
          <w:p w14:paraId="03EDAC57" w14:textId="77777777" w:rsidR="00850007" w:rsidRPr="00B80E95" w:rsidRDefault="001574F1" w:rsidP="0088433B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Is there a demand</w:t>
            </w:r>
            <w:r w:rsidR="008348C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for larger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self-contained </w:t>
            </w:r>
            <w:r w:rsidR="0088433B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accommodation</w:t>
            </w:r>
            <w:r w:rsidR="008348C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4FF94119" w14:textId="77777777" w:rsidR="00ED4CCF" w:rsidRPr="005809FC" w:rsidRDefault="00ED4CCF" w:rsidP="00ED4CCF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The Council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has already made the decision to purchase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250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homes for use as temporary accommodation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28433E77" w14:textId="77777777" w:rsidR="00ED4CCF" w:rsidRDefault="00ED4CCF" w:rsidP="00ED4CCF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This project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looking at shorter term emergency accommodation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through a Dynamic Purchasing System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36C021AA" w14:textId="77777777" w:rsidR="008348C6" w:rsidRPr="009663D8" w:rsidRDefault="00335E30" w:rsidP="005C6FB8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The Council always look to place Applicants in accommodation that is suitable for their needs. If Providers have larger self-contained accommodation available we would encourage them to register on </w:t>
            </w:r>
            <w:r w:rsidR="005C6FB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Supplying the South West </w:t>
            </w:r>
          </w:p>
        </w:tc>
      </w:tr>
    </w:tbl>
    <w:p w14:paraId="1B1D6054" w14:textId="77777777" w:rsidR="007A47EA" w:rsidRPr="003308B2" w:rsidRDefault="007A47EA">
      <w:pPr>
        <w:rPr>
          <w:rFonts w:asciiTheme="minorHAnsi" w:hAnsiTheme="minorHAnsi" w:cstheme="minorHAnsi"/>
        </w:rPr>
      </w:pPr>
    </w:p>
    <w:sectPr w:rsidR="007A47EA" w:rsidRPr="003308B2" w:rsidSect="001C51E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126F01" w15:done="0"/>
  <w15:commentEx w15:paraId="223922CD" w15:done="0"/>
  <w15:commentEx w15:paraId="04F8D71C" w15:done="0"/>
  <w15:commentEx w15:paraId="59610F55" w15:done="0"/>
  <w15:commentEx w15:paraId="7B9618A0" w15:done="0"/>
  <w15:commentEx w15:paraId="483BAF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26F01" w16cid:durableId="218A7B0E"/>
  <w16cid:commentId w16cid:paraId="223922CD" w16cid:durableId="218A7BF0"/>
  <w16cid:commentId w16cid:paraId="04F8D71C" w16cid:durableId="218A7C6E"/>
  <w16cid:commentId w16cid:paraId="59610F55" w16cid:durableId="218A7D21"/>
  <w16cid:commentId w16cid:paraId="7B9618A0" w16cid:durableId="218A7D4B"/>
  <w16cid:commentId w16cid:paraId="483BAFC8" w16cid:durableId="218A7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4701B" w14:textId="77777777" w:rsidR="00BA3A6B" w:rsidRDefault="00BA3A6B">
      <w:r>
        <w:separator/>
      </w:r>
    </w:p>
  </w:endnote>
  <w:endnote w:type="continuationSeparator" w:id="0">
    <w:p w14:paraId="73F9F30C" w14:textId="77777777" w:rsidR="00BA3A6B" w:rsidRDefault="00B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F130" w14:textId="77777777" w:rsidR="00BA3A6B" w:rsidRDefault="00BA3A6B" w:rsidP="007A47EA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25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525B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428D" w14:textId="77777777" w:rsidR="00BA3A6B" w:rsidRDefault="00BA3A6B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CBC0108" wp14:editId="33807523">
          <wp:simplePos x="0" y="0"/>
          <wp:positionH relativeFrom="column">
            <wp:posOffset>3822700</wp:posOffset>
          </wp:positionH>
          <wp:positionV relativeFrom="page">
            <wp:posOffset>10121900</wp:posOffset>
          </wp:positionV>
          <wp:extent cx="2164715" cy="256540"/>
          <wp:effectExtent l="0" t="0" r="6985" b="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646B" w14:textId="77777777" w:rsidR="00BA3A6B" w:rsidRDefault="00BA3A6B">
      <w:r>
        <w:separator/>
      </w:r>
    </w:p>
  </w:footnote>
  <w:footnote w:type="continuationSeparator" w:id="0">
    <w:p w14:paraId="144066F0" w14:textId="77777777" w:rsidR="00BA3A6B" w:rsidRDefault="00BA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00C7" w14:textId="77777777" w:rsidR="00BA3A6B" w:rsidRDefault="00BA3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8D1ECE" wp14:editId="6019DB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098f4d15b2fcb3f5596055c9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F29650" w14:textId="383F24AF" w:rsidR="00BA3A6B" w:rsidRPr="00E525B7" w:rsidRDefault="00E525B7" w:rsidP="00E525B7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525B7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8f4d15b2fcb3f5596055c9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" o:allowincell="f" filled="f" stroked="f" strokeweight=".5pt">
              <v:textbox inset=",0,20pt,0">
                <w:txbxContent>
                  <w:p w14:paraId="7DF29650" w14:textId="383F24AF" w:rsidR="00BA3A6B" w:rsidRPr="00E525B7" w:rsidRDefault="00E525B7" w:rsidP="00E525B7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525B7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C85D" w14:textId="77777777" w:rsidR="00BA3A6B" w:rsidRDefault="00BA3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A13521" wp14:editId="223B76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4ec48aaaed7f7e5032a913e" descr="{&quot;HashCode&quot;:-37993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30663" w14:textId="2F6AECE4" w:rsidR="00BA3A6B" w:rsidRPr="00E525B7" w:rsidRDefault="00E525B7" w:rsidP="00E525B7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525B7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4ec48aaaed7f7e5032a913e" o:spid="_x0000_s1027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0;margin-top:15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" o:allowincell="f" filled="f" stroked="f" strokeweight=".5pt">
              <v:textbox inset=",0,20pt,0">
                <w:txbxContent>
                  <w:p w14:paraId="0FE30663" w14:textId="2F6AECE4" w:rsidR="00BA3A6B" w:rsidRPr="00E525B7" w:rsidRDefault="00E525B7" w:rsidP="00E525B7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525B7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1A6C51D" wp14:editId="75E491D8">
          <wp:simplePos x="0" y="0"/>
          <wp:positionH relativeFrom="column">
            <wp:posOffset>0</wp:posOffset>
          </wp:positionH>
          <wp:positionV relativeFrom="page">
            <wp:posOffset>400050</wp:posOffset>
          </wp:positionV>
          <wp:extent cx="2635250" cy="1038225"/>
          <wp:effectExtent l="0" t="0" r="0" b="9525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AB7"/>
    <w:multiLevelType w:val="hybridMultilevel"/>
    <w:tmpl w:val="23606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461C"/>
    <w:multiLevelType w:val="hybridMultilevel"/>
    <w:tmpl w:val="6F102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34E81"/>
    <w:multiLevelType w:val="hybridMultilevel"/>
    <w:tmpl w:val="8A12375E"/>
    <w:lvl w:ilvl="0" w:tplc="7EA8830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ledge Clare">
    <w15:presenceInfo w15:providerId="AD" w15:userId="S-1-5-21-583907252-1085031214-682003330-145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2"/>
    <w:rsid w:val="0000587D"/>
    <w:rsid w:val="00007BDB"/>
    <w:rsid w:val="00015667"/>
    <w:rsid w:val="00015F09"/>
    <w:rsid w:val="00044F2B"/>
    <w:rsid w:val="00046850"/>
    <w:rsid w:val="0005042C"/>
    <w:rsid w:val="000632AD"/>
    <w:rsid w:val="00065620"/>
    <w:rsid w:val="000722E9"/>
    <w:rsid w:val="000733F0"/>
    <w:rsid w:val="000A0739"/>
    <w:rsid w:val="000A1B5D"/>
    <w:rsid w:val="000A50B8"/>
    <w:rsid w:val="000B142A"/>
    <w:rsid w:val="000B64CF"/>
    <w:rsid w:val="000C05FA"/>
    <w:rsid w:val="000C4935"/>
    <w:rsid w:val="000D275E"/>
    <w:rsid w:val="00117823"/>
    <w:rsid w:val="00122D8D"/>
    <w:rsid w:val="00131C58"/>
    <w:rsid w:val="00147128"/>
    <w:rsid w:val="00147D18"/>
    <w:rsid w:val="0015361D"/>
    <w:rsid w:val="001574F1"/>
    <w:rsid w:val="00162CA8"/>
    <w:rsid w:val="00167EA1"/>
    <w:rsid w:val="001708F0"/>
    <w:rsid w:val="00177B01"/>
    <w:rsid w:val="001929CD"/>
    <w:rsid w:val="00193B3B"/>
    <w:rsid w:val="00193D82"/>
    <w:rsid w:val="001971E7"/>
    <w:rsid w:val="00197A06"/>
    <w:rsid w:val="001A5D16"/>
    <w:rsid w:val="001B55BF"/>
    <w:rsid w:val="001B6EA1"/>
    <w:rsid w:val="001C51EF"/>
    <w:rsid w:val="001C5833"/>
    <w:rsid w:val="001D747A"/>
    <w:rsid w:val="001E28E2"/>
    <w:rsid w:val="001F5AA9"/>
    <w:rsid w:val="002034AB"/>
    <w:rsid w:val="0021103D"/>
    <w:rsid w:val="002146D7"/>
    <w:rsid w:val="002248D6"/>
    <w:rsid w:val="00234B6E"/>
    <w:rsid w:val="00235A42"/>
    <w:rsid w:val="00235B2E"/>
    <w:rsid w:val="0025208B"/>
    <w:rsid w:val="0025577C"/>
    <w:rsid w:val="00256B58"/>
    <w:rsid w:val="0026147A"/>
    <w:rsid w:val="00263E93"/>
    <w:rsid w:val="00271A4A"/>
    <w:rsid w:val="00272460"/>
    <w:rsid w:val="00272465"/>
    <w:rsid w:val="00281938"/>
    <w:rsid w:val="00286FBC"/>
    <w:rsid w:val="002A5702"/>
    <w:rsid w:val="002C65E2"/>
    <w:rsid w:val="002D27FC"/>
    <w:rsid w:val="002D5B13"/>
    <w:rsid w:val="002D72F9"/>
    <w:rsid w:val="002E4B1E"/>
    <w:rsid w:val="002F3510"/>
    <w:rsid w:val="003024DD"/>
    <w:rsid w:val="00306BCB"/>
    <w:rsid w:val="0031734A"/>
    <w:rsid w:val="003308B2"/>
    <w:rsid w:val="00334901"/>
    <w:rsid w:val="00335E30"/>
    <w:rsid w:val="0035675E"/>
    <w:rsid w:val="00360375"/>
    <w:rsid w:val="00372EE2"/>
    <w:rsid w:val="00377437"/>
    <w:rsid w:val="00380E3A"/>
    <w:rsid w:val="00384A48"/>
    <w:rsid w:val="00386464"/>
    <w:rsid w:val="003868BC"/>
    <w:rsid w:val="0039175F"/>
    <w:rsid w:val="003952D2"/>
    <w:rsid w:val="003E0CD9"/>
    <w:rsid w:val="003F2FFE"/>
    <w:rsid w:val="00406C6D"/>
    <w:rsid w:val="0041705D"/>
    <w:rsid w:val="00425A69"/>
    <w:rsid w:val="004274EF"/>
    <w:rsid w:val="004363BD"/>
    <w:rsid w:val="004418D8"/>
    <w:rsid w:val="00453614"/>
    <w:rsid w:val="004624EC"/>
    <w:rsid w:val="00463E68"/>
    <w:rsid w:val="004643A7"/>
    <w:rsid w:val="00465B6F"/>
    <w:rsid w:val="00470E40"/>
    <w:rsid w:val="00474FFF"/>
    <w:rsid w:val="00483BBC"/>
    <w:rsid w:val="0049102E"/>
    <w:rsid w:val="00492428"/>
    <w:rsid w:val="004971D6"/>
    <w:rsid w:val="004B36D5"/>
    <w:rsid w:val="004D19DD"/>
    <w:rsid w:val="004D56E5"/>
    <w:rsid w:val="004E600A"/>
    <w:rsid w:val="004F4EB4"/>
    <w:rsid w:val="00513302"/>
    <w:rsid w:val="00535E50"/>
    <w:rsid w:val="005425DF"/>
    <w:rsid w:val="005501A2"/>
    <w:rsid w:val="00553FA9"/>
    <w:rsid w:val="00563051"/>
    <w:rsid w:val="005658F1"/>
    <w:rsid w:val="00582E50"/>
    <w:rsid w:val="005911A2"/>
    <w:rsid w:val="00594269"/>
    <w:rsid w:val="005A0D45"/>
    <w:rsid w:val="005A277F"/>
    <w:rsid w:val="005B2137"/>
    <w:rsid w:val="005C5987"/>
    <w:rsid w:val="005C6FB8"/>
    <w:rsid w:val="005D1A4D"/>
    <w:rsid w:val="005D5D65"/>
    <w:rsid w:val="005D5FA6"/>
    <w:rsid w:val="005D7B94"/>
    <w:rsid w:val="005E4AE6"/>
    <w:rsid w:val="006027D9"/>
    <w:rsid w:val="00605C8A"/>
    <w:rsid w:val="00611B76"/>
    <w:rsid w:val="00616157"/>
    <w:rsid w:val="00622766"/>
    <w:rsid w:val="00630E4B"/>
    <w:rsid w:val="00632417"/>
    <w:rsid w:val="006330A2"/>
    <w:rsid w:val="00633139"/>
    <w:rsid w:val="00642C78"/>
    <w:rsid w:val="00642C99"/>
    <w:rsid w:val="006651E6"/>
    <w:rsid w:val="00665EC5"/>
    <w:rsid w:val="0066653D"/>
    <w:rsid w:val="00686C3C"/>
    <w:rsid w:val="00691173"/>
    <w:rsid w:val="00695C02"/>
    <w:rsid w:val="006A116E"/>
    <w:rsid w:val="006A44CA"/>
    <w:rsid w:val="006B41AB"/>
    <w:rsid w:val="006B5354"/>
    <w:rsid w:val="006B784A"/>
    <w:rsid w:val="006F422A"/>
    <w:rsid w:val="007009EA"/>
    <w:rsid w:val="00702027"/>
    <w:rsid w:val="00727AAF"/>
    <w:rsid w:val="00740E0F"/>
    <w:rsid w:val="00741FEE"/>
    <w:rsid w:val="00750118"/>
    <w:rsid w:val="007634CA"/>
    <w:rsid w:val="0076416B"/>
    <w:rsid w:val="0077207A"/>
    <w:rsid w:val="0078256E"/>
    <w:rsid w:val="00791A84"/>
    <w:rsid w:val="0079516C"/>
    <w:rsid w:val="007A1703"/>
    <w:rsid w:val="007A47EA"/>
    <w:rsid w:val="007A5C6E"/>
    <w:rsid w:val="007C471C"/>
    <w:rsid w:val="007D128A"/>
    <w:rsid w:val="007D7B53"/>
    <w:rsid w:val="007E0259"/>
    <w:rsid w:val="007E31E4"/>
    <w:rsid w:val="007F65AA"/>
    <w:rsid w:val="007F7CB9"/>
    <w:rsid w:val="008038A5"/>
    <w:rsid w:val="00804114"/>
    <w:rsid w:val="00804EA9"/>
    <w:rsid w:val="00826DE6"/>
    <w:rsid w:val="00827189"/>
    <w:rsid w:val="00833F9F"/>
    <w:rsid w:val="008348C6"/>
    <w:rsid w:val="00846FCC"/>
    <w:rsid w:val="00850007"/>
    <w:rsid w:val="00852D35"/>
    <w:rsid w:val="00854BAE"/>
    <w:rsid w:val="0086054C"/>
    <w:rsid w:val="008818EF"/>
    <w:rsid w:val="00883CEB"/>
    <w:rsid w:val="0088433B"/>
    <w:rsid w:val="00890706"/>
    <w:rsid w:val="0089486A"/>
    <w:rsid w:val="00896909"/>
    <w:rsid w:val="008A6EFC"/>
    <w:rsid w:val="008B558A"/>
    <w:rsid w:val="008D1031"/>
    <w:rsid w:val="008D7BEC"/>
    <w:rsid w:val="008E0786"/>
    <w:rsid w:val="008E33C3"/>
    <w:rsid w:val="008F0BB7"/>
    <w:rsid w:val="008F3ACC"/>
    <w:rsid w:val="00901EF8"/>
    <w:rsid w:val="00903A74"/>
    <w:rsid w:val="00910F4C"/>
    <w:rsid w:val="009207F3"/>
    <w:rsid w:val="00931FC8"/>
    <w:rsid w:val="00933E2C"/>
    <w:rsid w:val="00934C53"/>
    <w:rsid w:val="0094056B"/>
    <w:rsid w:val="00941A54"/>
    <w:rsid w:val="00947995"/>
    <w:rsid w:val="009663D8"/>
    <w:rsid w:val="0097629E"/>
    <w:rsid w:val="0098040D"/>
    <w:rsid w:val="00980D75"/>
    <w:rsid w:val="0099171C"/>
    <w:rsid w:val="00997BC6"/>
    <w:rsid w:val="009A0842"/>
    <w:rsid w:val="009A1F2F"/>
    <w:rsid w:val="009B4FAF"/>
    <w:rsid w:val="009B6EF2"/>
    <w:rsid w:val="009C19FE"/>
    <w:rsid w:val="009C1B7F"/>
    <w:rsid w:val="009E21B2"/>
    <w:rsid w:val="009E4C83"/>
    <w:rsid w:val="009F7BED"/>
    <w:rsid w:val="00A005F9"/>
    <w:rsid w:val="00A04781"/>
    <w:rsid w:val="00A07BFE"/>
    <w:rsid w:val="00A10591"/>
    <w:rsid w:val="00A14BEB"/>
    <w:rsid w:val="00A319BA"/>
    <w:rsid w:val="00A4579F"/>
    <w:rsid w:val="00A52229"/>
    <w:rsid w:val="00A52F78"/>
    <w:rsid w:val="00A549C6"/>
    <w:rsid w:val="00A5583D"/>
    <w:rsid w:val="00A564E8"/>
    <w:rsid w:val="00A56F4C"/>
    <w:rsid w:val="00A610B4"/>
    <w:rsid w:val="00A6701C"/>
    <w:rsid w:val="00A925FE"/>
    <w:rsid w:val="00A9278D"/>
    <w:rsid w:val="00A935DE"/>
    <w:rsid w:val="00AC0182"/>
    <w:rsid w:val="00AC0532"/>
    <w:rsid w:val="00AD530D"/>
    <w:rsid w:val="00AD740A"/>
    <w:rsid w:val="00AF455C"/>
    <w:rsid w:val="00B12CC9"/>
    <w:rsid w:val="00B14E0A"/>
    <w:rsid w:val="00B21344"/>
    <w:rsid w:val="00B35026"/>
    <w:rsid w:val="00B40266"/>
    <w:rsid w:val="00B44521"/>
    <w:rsid w:val="00B6262F"/>
    <w:rsid w:val="00B753B6"/>
    <w:rsid w:val="00B80E95"/>
    <w:rsid w:val="00BA3A6B"/>
    <w:rsid w:val="00BA5EBB"/>
    <w:rsid w:val="00BB30E9"/>
    <w:rsid w:val="00BB7555"/>
    <w:rsid w:val="00BD4044"/>
    <w:rsid w:val="00BD6CF1"/>
    <w:rsid w:val="00BE13D5"/>
    <w:rsid w:val="00BE3FC7"/>
    <w:rsid w:val="00BF3015"/>
    <w:rsid w:val="00C02A4E"/>
    <w:rsid w:val="00C06AE4"/>
    <w:rsid w:val="00C138EE"/>
    <w:rsid w:val="00C13C33"/>
    <w:rsid w:val="00C4742A"/>
    <w:rsid w:val="00C50F18"/>
    <w:rsid w:val="00C614B2"/>
    <w:rsid w:val="00C63317"/>
    <w:rsid w:val="00C80B13"/>
    <w:rsid w:val="00CA1A33"/>
    <w:rsid w:val="00CD31AA"/>
    <w:rsid w:val="00CD5316"/>
    <w:rsid w:val="00CD5F14"/>
    <w:rsid w:val="00CD744F"/>
    <w:rsid w:val="00CF632E"/>
    <w:rsid w:val="00D055AB"/>
    <w:rsid w:val="00D12ABE"/>
    <w:rsid w:val="00D17C54"/>
    <w:rsid w:val="00D257BB"/>
    <w:rsid w:val="00D25851"/>
    <w:rsid w:val="00D335DB"/>
    <w:rsid w:val="00D43F13"/>
    <w:rsid w:val="00D51015"/>
    <w:rsid w:val="00D72FA0"/>
    <w:rsid w:val="00D7454D"/>
    <w:rsid w:val="00DA5878"/>
    <w:rsid w:val="00DA619E"/>
    <w:rsid w:val="00DA6EA6"/>
    <w:rsid w:val="00DB39AE"/>
    <w:rsid w:val="00DB7A14"/>
    <w:rsid w:val="00DC0E0E"/>
    <w:rsid w:val="00DC1CD5"/>
    <w:rsid w:val="00DD177D"/>
    <w:rsid w:val="00DF1651"/>
    <w:rsid w:val="00DF48FE"/>
    <w:rsid w:val="00E01FB7"/>
    <w:rsid w:val="00E045FB"/>
    <w:rsid w:val="00E04EC5"/>
    <w:rsid w:val="00E139A2"/>
    <w:rsid w:val="00E14959"/>
    <w:rsid w:val="00E26FB8"/>
    <w:rsid w:val="00E30FE4"/>
    <w:rsid w:val="00E32FE1"/>
    <w:rsid w:val="00E35479"/>
    <w:rsid w:val="00E4263E"/>
    <w:rsid w:val="00E525B7"/>
    <w:rsid w:val="00E620FB"/>
    <w:rsid w:val="00EA7C7D"/>
    <w:rsid w:val="00EB0661"/>
    <w:rsid w:val="00EC218A"/>
    <w:rsid w:val="00EC58EA"/>
    <w:rsid w:val="00ED2E09"/>
    <w:rsid w:val="00ED4CCF"/>
    <w:rsid w:val="00EE6104"/>
    <w:rsid w:val="00EF7B43"/>
    <w:rsid w:val="00F01C8F"/>
    <w:rsid w:val="00F140FE"/>
    <w:rsid w:val="00F251B6"/>
    <w:rsid w:val="00F260BF"/>
    <w:rsid w:val="00F27EE8"/>
    <w:rsid w:val="00F92859"/>
    <w:rsid w:val="00F9763E"/>
    <w:rsid w:val="00FA0E1F"/>
    <w:rsid w:val="00FA1D23"/>
    <w:rsid w:val="00FC1891"/>
    <w:rsid w:val="00FC4613"/>
    <w:rsid w:val="00FC51F8"/>
    <w:rsid w:val="00FD27D2"/>
    <w:rsid w:val="00FE0423"/>
    <w:rsid w:val="00FE1474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7993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6653D"/>
    <w:pPr>
      <w:keepNext/>
      <w:spacing w:before="120" w:after="120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table" w:styleId="TableGrid">
    <w:name w:val="Table Grid"/>
    <w:aliases w:val="Table no border"/>
    <w:basedOn w:val="TableNormal"/>
    <w:rsid w:val="00582E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4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44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6653D"/>
    <w:pPr>
      <w:keepNext/>
      <w:spacing w:before="120" w:after="120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table" w:styleId="TableGrid">
    <w:name w:val="Table Grid"/>
    <w:aliases w:val="Table no border"/>
    <w:basedOn w:val="TableNormal"/>
    <w:rsid w:val="00582E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4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44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upplyingthesouthwest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st\Local%20Settings\Temporary%20Internet%20Files\OLKB9\yyyy-mm-dd%20-%20Minutes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8" ma:contentTypeDescription="Create a new document." ma:contentTypeScope="" ma:versionID="8446fc899579be757b6d4f55f2e3a334">
  <xsd:schema xmlns:xsd="http://www.w3.org/2001/XMLSchema" xmlns:xs="http://www.w3.org/2001/XMLSchema" xmlns:p="http://schemas.microsoft.com/office/2006/metadata/properties" xmlns:ns3="3edd8cc7-b026-477b-b856-8e1c289beb83" targetNamespace="http://schemas.microsoft.com/office/2006/metadata/properties" ma:root="true" ma:fieldsID="6b13598aae4e92d78e277c846bceb172" ns3:_="">
    <xsd:import namespace="3edd8cc7-b026-477b-b856-8e1c289be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B393A-DF68-40BD-AD5A-34948912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12A7B-D90E-46CE-9EC8-08FEEA3C2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11200-F77E-4446-94BC-CF093E39869C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yyyy-mm-dd - Minutes - Template</Template>
  <TotalTime>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Cornwall Council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dgrist</dc:creator>
  <cp:lastModifiedBy>Williams Claire</cp:lastModifiedBy>
  <cp:revision>3</cp:revision>
  <cp:lastPrinted>1901-01-01T00:00:00Z</cp:lastPrinted>
  <dcterms:created xsi:type="dcterms:W3CDTF">2019-12-05T10:25:00Z</dcterms:created>
  <dcterms:modified xsi:type="dcterms:W3CDTF">2019-12-05T10:27:00Z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0x010100F92F9A8F4A617040913E51DA2A571043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iteId">
    <vt:lpwstr>efaa16aa-d1de-4d58-ba2e-2833fdfdd29f</vt:lpwstr>
  </property>
  <property fmtid="{D5CDD505-2E9C-101B-9397-08002B2CF9AE}" pid="5" name="MSIP_Label_bee4c20f-5817-432f-84ac-80a373257ed1_Owner">
    <vt:lpwstr>Claire.Williams@cornwall.gov.uk</vt:lpwstr>
  </property>
  <property fmtid="{D5CDD505-2E9C-101B-9397-08002B2CF9AE}" pid="6" name="MSIP_Label_bee4c20f-5817-432f-84ac-80a373257ed1_SetDate">
    <vt:lpwstr>2019-12-05T10:26:01.7989898Z</vt:lpwstr>
  </property>
  <property fmtid="{D5CDD505-2E9C-101B-9397-08002B2CF9AE}" pid="7" name="MSIP_Label_bee4c20f-5817-432f-84ac-80a373257ed1_Name">
    <vt:lpwstr>PUBLIC</vt:lpwstr>
  </property>
  <property fmtid="{D5CDD505-2E9C-101B-9397-08002B2CF9AE}" pid="8" name="MSIP_Label_bee4c20f-5817-432f-84ac-80a373257ed1_Application">
    <vt:lpwstr>Microsoft Azure Information Protection</vt:lpwstr>
  </property>
  <property fmtid="{D5CDD505-2E9C-101B-9397-08002B2CF9AE}" pid="9" name="MSIP_Label_bee4c20f-5817-432f-84ac-80a373257ed1_Extended_MSFT_Method">
    <vt:lpwstr>Manual</vt:lpwstr>
  </property>
  <property fmtid="{D5CDD505-2E9C-101B-9397-08002B2CF9AE}" pid="10" name="Sensitivity">
    <vt:lpwstr>PUBLIC</vt:lpwstr>
  </property>
</Properties>
</file>