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DED5" w14:textId="77777777" w:rsidR="00EB686E" w:rsidRDefault="00EB686E" w:rsidP="00EB686E">
      <w:pPr>
        <w:rPr>
          <w:b/>
        </w:rPr>
      </w:pPr>
      <w:bookmarkStart w:id="0" w:name="_GoBack"/>
      <w:bookmarkEnd w:id="0"/>
      <w:r>
        <w:rPr>
          <w:b/>
        </w:rPr>
        <w:t>CONSULTATION - APPENDIX 1</w:t>
      </w:r>
    </w:p>
    <w:p w14:paraId="1331DED6" w14:textId="77777777" w:rsidR="00EB686E" w:rsidRDefault="00EB686E" w:rsidP="00EB686E">
      <w:pPr>
        <w:rPr>
          <w:b/>
        </w:rPr>
      </w:pPr>
    </w:p>
    <w:p w14:paraId="1331DED7" w14:textId="56DA05E6" w:rsidR="00EB686E" w:rsidRDefault="00EB686E" w:rsidP="00EB686E">
      <w:pPr>
        <w:rPr>
          <w:b/>
        </w:rPr>
      </w:pPr>
      <w:r>
        <w:rPr>
          <w:b/>
        </w:rPr>
        <w:t>Background</w:t>
      </w:r>
      <w:r w:rsidR="00A52754">
        <w:rPr>
          <w:b/>
        </w:rPr>
        <w:t xml:space="preserve"> Information</w:t>
      </w:r>
      <w:r w:rsidR="009F6E99">
        <w:rPr>
          <w:b/>
        </w:rPr>
        <w:t xml:space="preserve"> </w:t>
      </w:r>
    </w:p>
    <w:p w14:paraId="1331DED8" w14:textId="77777777" w:rsidR="00EB686E" w:rsidRDefault="00EB686E" w:rsidP="00EB686E">
      <w:pPr>
        <w:rPr>
          <w:b/>
        </w:rPr>
      </w:pPr>
    </w:p>
    <w:p w14:paraId="1331DED9" w14:textId="77777777" w:rsidR="00EB686E" w:rsidRDefault="00EB686E" w:rsidP="00EB686E">
      <w:pPr>
        <w:rPr>
          <w:b/>
        </w:rPr>
      </w:pPr>
      <w:r w:rsidRPr="000561EF">
        <w:rPr>
          <w:b/>
        </w:rPr>
        <w:t xml:space="preserve">Development of the </w:t>
      </w:r>
      <w:r>
        <w:rPr>
          <w:b/>
        </w:rPr>
        <w:t>Service</w:t>
      </w:r>
      <w:r w:rsidRPr="000561EF">
        <w:rPr>
          <w:b/>
        </w:rPr>
        <w:t xml:space="preserve"> Model</w:t>
      </w:r>
    </w:p>
    <w:p w14:paraId="1331DEDA" w14:textId="77777777" w:rsidR="00EB686E" w:rsidRDefault="00EB686E" w:rsidP="00EB686E"/>
    <w:p w14:paraId="1331DEDB" w14:textId="77777777" w:rsidR="00EB686E" w:rsidRDefault="00EB686E" w:rsidP="00EB686E">
      <w:r>
        <w:t xml:space="preserve">In developing the new model of Service for the tender </w:t>
      </w:r>
      <w:r w:rsidRPr="000561EF">
        <w:t>we ran consultation work</w:t>
      </w:r>
      <w:r>
        <w:t>shops in partnership with Age UK</w:t>
      </w:r>
      <w:r w:rsidRPr="000561EF">
        <w:t xml:space="preserve"> and Healthwatch to </w:t>
      </w:r>
      <w:r>
        <w:t>ascertain the views of Service Users and their families. The exercise identified that</w:t>
      </w:r>
      <w:r w:rsidRPr="00232BF9">
        <w:t xml:space="preserve"> </w:t>
      </w:r>
      <w:r>
        <w:t>Service Users and their families want:</w:t>
      </w:r>
    </w:p>
    <w:p w14:paraId="1331DEDC" w14:textId="77777777" w:rsidR="00EB686E" w:rsidRDefault="00EB686E" w:rsidP="00EB686E"/>
    <w:p w14:paraId="1331DEDD" w14:textId="77777777" w:rsidR="00EB686E" w:rsidRDefault="00EB686E" w:rsidP="00EB686E">
      <w:pPr>
        <w:pStyle w:val="ListParagraph"/>
        <w:numPr>
          <w:ilvl w:val="0"/>
          <w:numId w:val="4"/>
        </w:numPr>
      </w:pPr>
      <w:r>
        <w:t>Support Workers with a genuine caring attitude who want to be in that profession;</w:t>
      </w:r>
    </w:p>
    <w:p w14:paraId="1331DEDE" w14:textId="77777777" w:rsidR="00EB686E" w:rsidRDefault="00EB686E" w:rsidP="00EB686E">
      <w:pPr>
        <w:pStyle w:val="ListParagraph"/>
        <w:numPr>
          <w:ilvl w:val="0"/>
          <w:numId w:val="4"/>
        </w:numPr>
      </w:pPr>
      <w:r>
        <w:t>A consistent set of Support Workers who get to know and respect the Service User’s abilities as well as the areas where they need help;</w:t>
      </w:r>
    </w:p>
    <w:p w14:paraId="1331DEDF" w14:textId="77777777" w:rsidR="00EB686E" w:rsidRDefault="00EB686E" w:rsidP="00EB686E">
      <w:pPr>
        <w:pStyle w:val="ListParagraph"/>
        <w:numPr>
          <w:ilvl w:val="0"/>
          <w:numId w:val="4"/>
        </w:numPr>
      </w:pPr>
      <w:r>
        <w:t>Support Workers who turn up on time, no missed visits and time bands that are adhered to;</w:t>
      </w:r>
    </w:p>
    <w:p w14:paraId="1331DEE0" w14:textId="77777777" w:rsidR="00EB686E" w:rsidRDefault="00EB686E" w:rsidP="00EB686E">
      <w:pPr>
        <w:pStyle w:val="ListParagraph"/>
        <w:numPr>
          <w:ilvl w:val="0"/>
          <w:numId w:val="4"/>
        </w:numPr>
      </w:pPr>
      <w:r>
        <w:t>Support Workers to be allocated enough time to complete the tasks and to stay for the full allotted time, and</w:t>
      </w:r>
    </w:p>
    <w:p w14:paraId="1331DEE1" w14:textId="77777777" w:rsidR="00EB686E" w:rsidRDefault="00EB686E" w:rsidP="00EB686E">
      <w:pPr>
        <w:pStyle w:val="ListParagraph"/>
        <w:numPr>
          <w:ilvl w:val="0"/>
          <w:numId w:val="4"/>
        </w:numPr>
      </w:pPr>
      <w:r>
        <w:t>Improved communication at all levels.</w:t>
      </w:r>
    </w:p>
    <w:p w14:paraId="1331DEE2" w14:textId="77777777" w:rsidR="00EB686E" w:rsidRDefault="00EB686E" w:rsidP="00EB686E"/>
    <w:p w14:paraId="1331DEE3" w14:textId="0E6EFFDB" w:rsidR="00EB686E" w:rsidRDefault="00EB686E" w:rsidP="00EB686E">
      <w:r>
        <w:t>We consulted with current Providers and they indicated that:</w:t>
      </w:r>
    </w:p>
    <w:p w14:paraId="1331DEE4" w14:textId="77777777" w:rsidR="00EB686E" w:rsidRDefault="00EB686E" w:rsidP="00EB686E"/>
    <w:p w14:paraId="1331DEE5" w14:textId="77777777" w:rsidR="00EB686E" w:rsidRDefault="00EB686E" w:rsidP="00EB686E">
      <w:pPr>
        <w:pStyle w:val="ListParagraph"/>
        <w:numPr>
          <w:ilvl w:val="0"/>
          <w:numId w:val="5"/>
        </w:numPr>
      </w:pPr>
      <w:r>
        <w:t>One hourly rate for Bolton and for Providers to compete on quality;</w:t>
      </w:r>
    </w:p>
    <w:p w14:paraId="1331DEE6" w14:textId="77777777" w:rsidR="00EB686E" w:rsidRDefault="00EB686E" w:rsidP="00EB686E">
      <w:pPr>
        <w:pStyle w:val="ListParagraph"/>
        <w:numPr>
          <w:ilvl w:val="0"/>
          <w:numId w:val="5"/>
        </w:numPr>
      </w:pPr>
      <w:r>
        <w:t>A set price that is high enough to allow them to remain profitable;</w:t>
      </w:r>
    </w:p>
    <w:p w14:paraId="1331DEE7" w14:textId="77777777" w:rsidR="00EB686E" w:rsidRDefault="00EB686E" w:rsidP="00EB686E">
      <w:pPr>
        <w:pStyle w:val="ListParagraph"/>
        <w:numPr>
          <w:ilvl w:val="0"/>
          <w:numId w:val="5"/>
        </w:numPr>
      </w:pPr>
      <w:r>
        <w:t>Don’t want visits less than 15 minutes, because  it is unprofitable, difficult to rota and is unpopular with staff;</w:t>
      </w:r>
    </w:p>
    <w:p w14:paraId="1331DEE8" w14:textId="77777777" w:rsidR="00EB686E" w:rsidRDefault="00EB686E" w:rsidP="00EB686E">
      <w:pPr>
        <w:pStyle w:val="ListParagraph"/>
        <w:numPr>
          <w:ilvl w:val="0"/>
          <w:numId w:val="5"/>
        </w:numPr>
      </w:pPr>
      <w:r>
        <w:t>The certainty of business provided by a longer contract would mean that they would be more willing to invest more in their workforce.</w:t>
      </w:r>
    </w:p>
    <w:p w14:paraId="1331DEE9" w14:textId="77777777" w:rsidR="00EB686E" w:rsidRDefault="00EB686E" w:rsidP="00EB686E"/>
    <w:p w14:paraId="1331DEEA" w14:textId="56D09BDF" w:rsidR="00EB686E" w:rsidRDefault="00A52754" w:rsidP="00EB686E">
      <w:r>
        <w:t xml:space="preserve">We have </w:t>
      </w:r>
      <w:r w:rsidR="00EB686E">
        <w:t>ensured that the new model takes into account Care Act Guidance, NICE Guidance and current best practice.</w:t>
      </w:r>
    </w:p>
    <w:p w14:paraId="1331DEEB" w14:textId="77777777" w:rsidR="00EB686E" w:rsidRDefault="00EB686E" w:rsidP="00EB686E"/>
    <w:p w14:paraId="1331DEEC" w14:textId="77777777" w:rsidR="003E6716" w:rsidRDefault="00EB686E" w:rsidP="00EB686E">
      <w:pPr>
        <w:pStyle w:val="ListParagraph"/>
        <w:ind w:left="0"/>
        <w:rPr>
          <w:rFonts w:eastAsiaTheme="minorEastAsia" w:cs="Arial"/>
          <w:color w:val="000000" w:themeColor="text1"/>
          <w:kern w:val="24"/>
          <w:lang w:eastAsia="en-GB"/>
        </w:rPr>
      </w:pPr>
      <w:r>
        <w:rPr>
          <w:rFonts w:eastAsiaTheme="minorEastAsia" w:cs="Arial"/>
          <w:color w:val="000000" w:themeColor="text1"/>
          <w:kern w:val="24"/>
          <w:lang w:eastAsia="en-GB"/>
        </w:rPr>
        <w:t xml:space="preserve">Our commissioning intentions for the </w:t>
      </w:r>
      <w:r w:rsidRPr="00941526">
        <w:rPr>
          <w:rFonts w:eastAsiaTheme="minorEastAsia" w:cs="Arial"/>
          <w:color w:val="000000" w:themeColor="text1"/>
          <w:kern w:val="24"/>
          <w:lang w:eastAsia="en-GB"/>
        </w:rPr>
        <w:t xml:space="preserve">future Home </w:t>
      </w:r>
      <w:r>
        <w:rPr>
          <w:rFonts w:eastAsiaTheme="minorEastAsia" w:cs="Arial"/>
          <w:color w:val="000000" w:themeColor="text1"/>
          <w:kern w:val="24"/>
          <w:lang w:eastAsia="en-GB"/>
        </w:rPr>
        <w:t xml:space="preserve">Support </w:t>
      </w:r>
      <w:r w:rsidRPr="00941526">
        <w:rPr>
          <w:rFonts w:eastAsiaTheme="minorEastAsia" w:cs="Arial"/>
          <w:color w:val="000000" w:themeColor="text1"/>
          <w:kern w:val="24"/>
          <w:lang w:eastAsia="en-GB"/>
        </w:rPr>
        <w:t>and</w:t>
      </w:r>
      <w:r>
        <w:rPr>
          <w:rFonts w:eastAsiaTheme="minorEastAsia" w:cs="Arial"/>
          <w:color w:val="000000" w:themeColor="text1"/>
          <w:kern w:val="24"/>
          <w:lang w:eastAsia="en-GB"/>
        </w:rPr>
        <w:t>/or</w:t>
      </w:r>
      <w:r w:rsidRPr="00941526">
        <w:rPr>
          <w:rFonts w:eastAsiaTheme="minorEastAsia" w:cs="Arial"/>
          <w:color w:val="000000" w:themeColor="text1"/>
          <w:kern w:val="24"/>
          <w:lang w:eastAsia="en-GB"/>
        </w:rPr>
        <w:t xml:space="preserve"> </w:t>
      </w:r>
      <w:r>
        <w:rPr>
          <w:rFonts w:eastAsiaTheme="minorEastAsia" w:cs="Arial"/>
          <w:color w:val="000000" w:themeColor="text1"/>
          <w:kern w:val="24"/>
          <w:lang w:eastAsia="en-GB"/>
        </w:rPr>
        <w:t xml:space="preserve">Community Based Support Service were detailed in </w:t>
      </w:r>
      <w:r w:rsidRPr="00941526">
        <w:rPr>
          <w:rFonts w:eastAsiaTheme="minorEastAsia" w:cs="Arial"/>
          <w:color w:val="000000" w:themeColor="text1"/>
          <w:kern w:val="24"/>
          <w:lang w:eastAsia="en-GB"/>
        </w:rPr>
        <w:t xml:space="preserve">a report presented to our Executive Cabinet Member on 17th August 2015, outlining our recommendations regarding future contractual arrangements. </w:t>
      </w:r>
    </w:p>
    <w:p w14:paraId="1331DEED" w14:textId="77777777" w:rsidR="003E6716" w:rsidRDefault="003E6716" w:rsidP="00EB686E">
      <w:pPr>
        <w:pStyle w:val="ListParagraph"/>
        <w:ind w:left="0"/>
        <w:rPr>
          <w:rFonts w:eastAsiaTheme="minorEastAsia" w:cs="Arial"/>
          <w:color w:val="000000" w:themeColor="text1"/>
          <w:kern w:val="24"/>
          <w:lang w:eastAsia="en-GB"/>
        </w:rPr>
      </w:pPr>
    </w:p>
    <w:p w14:paraId="075F0C6B" w14:textId="5E740F03" w:rsidR="00AC4565" w:rsidRDefault="00EB686E" w:rsidP="00A55866">
      <w:pPr>
        <w:pStyle w:val="ListParagraph"/>
        <w:ind w:left="0"/>
        <w:rPr>
          <w:color w:val="FF0000"/>
        </w:rPr>
      </w:pPr>
      <w:r>
        <w:rPr>
          <w:rFonts w:eastAsiaTheme="minorEastAsia" w:cs="Arial"/>
          <w:color w:val="000000" w:themeColor="text1"/>
          <w:kern w:val="24"/>
          <w:lang w:eastAsia="en-GB"/>
        </w:rPr>
        <w:t xml:space="preserve">The </w:t>
      </w:r>
      <w:r w:rsidR="00AC4565">
        <w:rPr>
          <w:rFonts w:eastAsiaTheme="minorEastAsia" w:cs="Arial"/>
          <w:color w:val="000000" w:themeColor="text1"/>
          <w:kern w:val="24"/>
          <w:lang w:eastAsia="en-GB"/>
        </w:rPr>
        <w:t xml:space="preserve">full </w:t>
      </w:r>
      <w:r>
        <w:rPr>
          <w:rFonts w:eastAsiaTheme="minorEastAsia" w:cs="Arial"/>
          <w:color w:val="000000" w:themeColor="text1"/>
          <w:kern w:val="24"/>
          <w:lang w:eastAsia="en-GB"/>
        </w:rPr>
        <w:t xml:space="preserve">report entitled </w:t>
      </w:r>
      <w:r w:rsidRPr="00AC4565">
        <w:rPr>
          <w:rFonts w:eastAsiaTheme="minorEastAsia" w:cs="Arial"/>
          <w:b/>
          <w:color w:val="000000" w:themeColor="text1"/>
          <w:kern w:val="24"/>
          <w:lang w:eastAsia="en-GB"/>
        </w:rPr>
        <w:t>Home Care Commissioning Intentions and Tendering Process</w:t>
      </w:r>
      <w:r w:rsidRPr="00941526">
        <w:rPr>
          <w:rFonts w:eastAsiaTheme="minorEastAsia" w:cs="Arial"/>
          <w:color w:val="000000" w:themeColor="text1"/>
          <w:kern w:val="24"/>
          <w:lang w:eastAsia="en-GB"/>
        </w:rPr>
        <w:t xml:space="preserve"> </w:t>
      </w:r>
      <w:r w:rsidR="00773270">
        <w:rPr>
          <w:rFonts w:eastAsiaTheme="minorEastAsia" w:cs="Arial"/>
          <w:color w:val="000000" w:themeColor="text1"/>
          <w:kern w:val="24"/>
          <w:lang w:eastAsia="en-GB"/>
        </w:rPr>
        <w:t>is available to re</w:t>
      </w:r>
      <w:r w:rsidR="00A55866">
        <w:rPr>
          <w:rFonts w:eastAsiaTheme="minorEastAsia" w:cs="Arial"/>
          <w:color w:val="000000" w:themeColor="text1"/>
          <w:kern w:val="24"/>
          <w:lang w:eastAsia="en-GB"/>
        </w:rPr>
        <w:t>ad on the Council’s website via:</w:t>
      </w:r>
      <w:hyperlink r:id="rId11" w:history="1">
        <w:r w:rsidR="006E2F2B">
          <w:rPr>
            <w:rStyle w:val="Hyperlink"/>
          </w:rPr>
          <w:t>Link to Report 17th August 2015</w:t>
        </w:r>
      </w:hyperlink>
    </w:p>
    <w:p w14:paraId="404EA62A" w14:textId="77777777" w:rsidR="00AC4565" w:rsidRDefault="00AC4565" w:rsidP="00EB686E">
      <w:pPr>
        <w:rPr>
          <w:rFonts w:eastAsiaTheme="minorEastAsia" w:cs="Arial"/>
          <w:color w:val="000000" w:themeColor="text1"/>
          <w:kern w:val="24"/>
          <w:lang w:eastAsia="en-GB"/>
        </w:rPr>
      </w:pPr>
    </w:p>
    <w:p w14:paraId="1331DEF1" w14:textId="77777777" w:rsidR="00EB686E" w:rsidRDefault="00EB686E" w:rsidP="00EB686E">
      <w:pPr>
        <w:rPr>
          <w:rFonts w:eastAsiaTheme="minorEastAsia" w:cs="Arial"/>
          <w:color w:val="000000" w:themeColor="text1"/>
          <w:kern w:val="24"/>
          <w:lang w:eastAsia="en-GB"/>
        </w:rPr>
      </w:pPr>
      <w:r>
        <w:rPr>
          <w:rFonts w:eastAsiaTheme="minorEastAsia" w:cs="Arial"/>
          <w:color w:val="000000" w:themeColor="text1"/>
          <w:kern w:val="24"/>
          <w:lang w:eastAsia="en-GB"/>
        </w:rPr>
        <w:t>The principle objectives of the new model of Service will be to:</w:t>
      </w:r>
    </w:p>
    <w:p w14:paraId="1331DEF2" w14:textId="77777777" w:rsidR="00EB686E" w:rsidRDefault="00EB686E" w:rsidP="00EB686E">
      <w:pPr>
        <w:rPr>
          <w:rFonts w:eastAsiaTheme="minorEastAsia" w:cs="Arial"/>
          <w:color w:val="000000" w:themeColor="text1"/>
          <w:kern w:val="24"/>
          <w:lang w:eastAsia="en-GB"/>
        </w:rPr>
      </w:pPr>
    </w:p>
    <w:p w14:paraId="1331DEF3" w14:textId="77777777" w:rsidR="00EB686E" w:rsidRDefault="00EB686E" w:rsidP="00EB686E">
      <w:pPr>
        <w:pStyle w:val="ListParagraph"/>
        <w:numPr>
          <w:ilvl w:val="0"/>
          <w:numId w:val="6"/>
        </w:numPr>
        <w:rPr>
          <w:rFonts w:eastAsiaTheme="minorEastAsia" w:cs="Arial"/>
          <w:color w:val="000000" w:themeColor="text1"/>
          <w:kern w:val="24"/>
          <w:lang w:eastAsia="en-GB"/>
        </w:rPr>
      </w:pPr>
      <w:r w:rsidRPr="003418E7">
        <w:rPr>
          <w:rFonts w:eastAsiaTheme="minorEastAsia" w:cs="Arial"/>
          <w:color w:val="000000" w:themeColor="text1"/>
          <w:kern w:val="24"/>
          <w:lang w:eastAsia="en-GB"/>
        </w:rPr>
        <w:t xml:space="preserve">Ensure that there is an increased focus upon the quality of the </w:t>
      </w:r>
      <w:r>
        <w:rPr>
          <w:rFonts w:eastAsiaTheme="minorEastAsia" w:cs="Arial"/>
          <w:color w:val="000000" w:themeColor="text1"/>
          <w:kern w:val="24"/>
          <w:lang w:eastAsia="en-GB"/>
        </w:rPr>
        <w:t>Service</w:t>
      </w:r>
      <w:r w:rsidRPr="003418E7">
        <w:rPr>
          <w:rFonts w:eastAsiaTheme="minorEastAsia" w:cs="Arial"/>
          <w:color w:val="000000" w:themeColor="text1"/>
          <w:kern w:val="24"/>
          <w:lang w:eastAsia="en-GB"/>
        </w:rPr>
        <w:t xml:space="preserve"> delivered to </w:t>
      </w:r>
      <w:r>
        <w:rPr>
          <w:rFonts w:eastAsiaTheme="minorEastAsia" w:cs="Arial"/>
          <w:color w:val="000000" w:themeColor="text1"/>
          <w:kern w:val="24"/>
          <w:lang w:eastAsia="en-GB"/>
        </w:rPr>
        <w:t>Service</w:t>
      </w:r>
      <w:r w:rsidRPr="003418E7">
        <w:rPr>
          <w:rFonts w:eastAsiaTheme="minorEastAsia" w:cs="Arial"/>
          <w:color w:val="000000" w:themeColor="text1"/>
          <w:kern w:val="24"/>
          <w:lang w:eastAsia="en-GB"/>
        </w:rPr>
        <w:t xml:space="preserve"> Users</w:t>
      </w:r>
      <w:r>
        <w:rPr>
          <w:rFonts w:eastAsiaTheme="minorEastAsia" w:cs="Arial"/>
          <w:color w:val="000000" w:themeColor="text1"/>
          <w:kern w:val="24"/>
          <w:lang w:eastAsia="en-GB"/>
        </w:rPr>
        <w:t>;</w:t>
      </w:r>
    </w:p>
    <w:p w14:paraId="1331DEF4" w14:textId="194AB12F" w:rsidR="00EB686E" w:rsidRDefault="00EB686E" w:rsidP="00EB686E">
      <w:pPr>
        <w:pStyle w:val="ListParagraph"/>
        <w:numPr>
          <w:ilvl w:val="0"/>
          <w:numId w:val="6"/>
        </w:numPr>
        <w:rPr>
          <w:rFonts w:eastAsiaTheme="minorEastAsia" w:cs="Arial"/>
          <w:color w:val="000000" w:themeColor="text1"/>
          <w:kern w:val="24"/>
          <w:lang w:eastAsia="en-GB"/>
        </w:rPr>
      </w:pPr>
      <w:r>
        <w:rPr>
          <w:rFonts w:eastAsiaTheme="minorEastAsia" w:cs="Arial"/>
          <w:color w:val="000000" w:themeColor="text1"/>
          <w:kern w:val="24"/>
          <w:lang w:eastAsia="en-GB"/>
        </w:rPr>
        <w:t>Address the issues raised nationally in relation to the Service</w:t>
      </w:r>
      <w:r w:rsidR="00A52754">
        <w:rPr>
          <w:rFonts w:eastAsiaTheme="minorEastAsia" w:cs="Arial"/>
          <w:color w:val="000000" w:themeColor="text1"/>
          <w:kern w:val="24"/>
          <w:lang w:eastAsia="en-GB"/>
        </w:rPr>
        <w:t>s</w:t>
      </w:r>
      <w:r>
        <w:rPr>
          <w:rFonts w:eastAsiaTheme="minorEastAsia" w:cs="Arial"/>
          <w:color w:val="000000" w:themeColor="text1"/>
          <w:kern w:val="24"/>
          <w:lang w:eastAsia="en-GB"/>
        </w:rPr>
        <w:t xml:space="preserve">; </w:t>
      </w:r>
    </w:p>
    <w:p w14:paraId="1331DEF5" w14:textId="77777777" w:rsidR="00EB686E" w:rsidRDefault="00EB686E" w:rsidP="00EB686E">
      <w:pPr>
        <w:pStyle w:val="ListParagraph"/>
        <w:numPr>
          <w:ilvl w:val="0"/>
          <w:numId w:val="6"/>
        </w:numPr>
        <w:rPr>
          <w:rFonts w:eastAsiaTheme="minorEastAsia" w:cs="Arial"/>
          <w:color w:val="000000" w:themeColor="text1"/>
          <w:kern w:val="24"/>
          <w:lang w:eastAsia="en-GB"/>
        </w:rPr>
      </w:pPr>
      <w:r>
        <w:rPr>
          <w:rFonts w:eastAsiaTheme="minorEastAsia" w:cs="Arial"/>
          <w:color w:val="000000" w:themeColor="text1"/>
          <w:kern w:val="24"/>
          <w:lang w:eastAsia="en-GB"/>
        </w:rPr>
        <w:t>Pay a fair price for the Service, which reflects the costs incurred by Providers, but within the context of the financial pressures faced by the Authority.</w:t>
      </w:r>
    </w:p>
    <w:p w14:paraId="1331DEF6" w14:textId="77777777" w:rsidR="00EB686E" w:rsidRDefault="00EB686E" w:rsidP="00EB686E">
      <w:pPr>
        <w:rPr>
          <w:color w:val="FF0000"/>
        </w:rPr>
      </w:pPr>
    </w:p>
    <w:p w14:paraId="1331DEF7" w14:textId="77777777" w:rsidR="00EB686E" w:rsidRDefault="00EB686E" w:rsidP="00EB686E">
      <w:pPr>
        <w:rPr>
          <w:b/>
        </w:rPr>
      </w:pPr>
      <w:r w:rsidRPr="00CA073E">
        <w:rPr>
          <w:b/>
        </w:rPr>
        <w:t xml:space="preserve">The </w:t>
      </w:r>
      <w:r>
        <w:rPr>
          <w:b/>
        </w:rPr>
        <w:t>Service</w:t>
      </w:r>
      <w:r w:rsidRPr="00CA073E">
        <w:rPr>
          <w:b/>
        </w:rPr>
        <w:t xml:space="preserve"> Model</w:t>
      </w:r>
    </w:p>
    <w:p w14:paraId="1331DEF8" w14:textId="77777777" w:rsidR="00A34F01" w:rsidRPr="00CA073E" w:rsidRDefault="00A34F01" w:rsidP="00EB686E">
      <w:pPr>
        <w:rPr>
          <w:b/>
        </w:rPr>
      </w:pPr>
    </w:p>
    <w:p w14:paraId="1331DEF9" w14:textId="42356465" w:rsidR="00EB686E" w:rsidRDefault="00A52754" w:rsidP="00EB686E">
      <w:r>
        <w:t>There are 2 LOTs to be advertised which are referenced in this document as Service User Group One and Service User Group Two, and are described below:</w:t>
      </w:r>
    </w:p>
    <w:p w14:paraId="1331DEFA" w14:textId="77777777" w:rsidR="00EB686E" w:rsidRDefault="00EB686E" w:rsidP="00EB686E">
      <w:pPr>
        <w:tabs>
          <w:tab w:val="left" w:pos="1701"/>
        </w:tabs>
        <w:rPr>
          <w:rFonts w:eastAsia="Times New Roman" w:cs="Arial"/>
        </w:rPr>
      </w:pPr>
    </w:p>
    <w:p w14:paraId="1331DF02" w14:textId="7E112D3F" w:rsidR="00EB686E" w:rsidRDefault="00EB686E" w:rsidP="00EB686E">
      <w:pPr>
        <w:tabs>
          <w:tab w:val="num" w:pos="851"/>
        </w:tabs>
        <w:rPr>
          <w:rFonts w:eastAsia="Times New Roman" w:cs="Arial"/>
        </w:rPr>
      </w:pPr>
      <w:r>
        <w:rPr>
          <w:rFonts w:eastAsia="Times New Roman" w:cs="Arial"/>
        </w:rPr>
        <w:t xml:space="preserve">The following is an overview of the two </w:t>
      </w:r>
      <w:r w:rsidR="00E77021">
        <w:rPr>
          <w:rFonts w:eastAsia="Times New Roman" w:cs="Arial"/>
        </w:rPr>
        <w:t>Service User Groups:</w:t>
      </w:r>
    </w:p>
    <w:p w14:paraId="1331DF03" w14:textId="77777777" w:rsidR="00EB686E" w:rsidRDefault="00EB686E" w:rsidP="00EB686E">
      <w:pPr>
        <w:tabs>
          <w:tab w:val="num" w:pos="851"/>
        </w:tabs>
        <w:rPr>
          <w:rFonts w:eastAsia="Times New Roman" w:cs="Arial"/>
        </w:rPr>
      </w:pPr>
    </w:p>
    <w:tbl>
      <w:tblPr>
        <w:tblpPr w:leftFromText="180" w:rightFromText="180" w:vertAnchor="text" w:tblpX="129" w:tblpY="1"/>
        <w:tblOverlap w:val="never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"/>
        <w:gridCol w:w="963"/>
        <w:gridCol w:w="7637"/>
        <w:gridCol w:w="47"/>
      </w:tblGrid>
      <w:tr w:rsidR="00E77021" w:rsidRPr="006A42F5" w14:paraId="1331DF06" w14:textId="77777777" w:rsidTr="00770D4F">
        <w:trPr>
          <w:gridBefore w:val="1"/>
          <w:wBefore w:w="157" w:type="dxa"/>
          <w:trHeight w:val="273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1DF04" w14:textId="72E72B0F" w:rsidR="00E77021" w:rsidRPr="006A42F5" w:rsidRDefault="00D11619" w:rsidP="00770D4F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  <w:lang w:eastAsia="en-GB"/>
              </w:rPr>
              <w:lastRenderedPageBreak/>
              <w:t>SERVICE USER GROUP ONE</w:t>
            </w:r>
          </w:p>
        </w:tc>
      </w:tr>
      <w:tr w:rsidR="00E77021" w:rsidRPr="006A42F5" w14:paraId="1331DF11" w14:textId="77777777" w:rsidTr="00770D4F">
        <w:trPr>
          <w:gridBefore w:val="1"/>
          <w:wBefore w:w="157" w:type="dxa"/>
          <w:trHeight w:val="1349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1DF07" w14:textId="77777777" w:rsidR="00E77021" w:rsidRPr="006A42F5" w:rsidRDefault="00E77021" w:rsidP="00770D4F">
            <w:pPr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Adults with support needs aged 18 and over, whose primary need includes:</w:t>
            </w:r>
          </w:p>
          <w:p w14:paraId="1331DF08" w14:textId="77777777" w:rsidR="00E77021" w:rsidRPr="006A42F5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Some degree of physical disability</w:t>
            </w:r>
          </w:p>
          <w:p w14:paraId="1331DF09" w14:textId="77777777" w:rsidR="00E77021" w:rsidRPr="006A42F5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and / or organic mental health issues (including dementia),</w:t>
            </w:r>
          </w:p>
          <w:p w14:paraId="1331DF0A" w14:textId="77777777" w:rsidR="00E77021" w:rsidRPr="006A42F5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and / or sensory impairment,</w:t>
            </w:r>
          </w:p>
          <w:p w14:paraId="1331DF0B" w14:textId="35EC0001" w:rsidR="00FF209B" w:rsidRPr="006A42F5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and / or acquired brain injury</w:t>
            </w:r>
            <w:r w:rsidR="000338C9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.</w:t>
            </w:r>
          </w:p>
        </w:tc>
      </w:tr>
      <w:tr w:rsidR="00E77021" w:rsidRPr="006A42F5" w14:paraId="1331DF1F" w14:textId="77777777" w:rsidTr="00770D4F">
        <w:trPr>
          <w:gridBefore w:val="1"/>
          <w:wBefore w:w="157" w:type="dxa"/>
          <w:trHeight w:val="2070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89D0E" w14:textId="328E2F95" w:rsidR="00C124EB" w:rsidRPr="00FF209B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color w:val="000000" w:themeColor="text1"/>
                <w:kern w:val="24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Commissioned using the task and time model, i.e. where a specific task is carried out in a defined period of time, and delivered within time bandings.</w:t>
            </w:r>
          </w:p>
          <w:p w14:paraId="60378BBD" w14:textId="00BB3F50" w:rsidR="00C124EB" w:rsidRPr="00FF209B" w:rsidRDefault="00C124EB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color w:val="000000" w:themeColor="text1"/>
                <w:kern w:val="24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Minimum visit duration of 15 minutes.</w:t>
            </w:r>
          </w:p>
          <w:p w14:paraId="1331DF12" w14:textId="307C3B49" w:rsidR="00E77021" w:rsidRPr="00FF209B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color w:val="000000" w:themeColor="text1"/>
                <w:kern w:val="24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Work is divided between three zones, North, South and West.</w:t>
            </w:r>
          </w:p>
          <w:p w14:paraId="32826105" w14:textId="2B741305" w:rsidR="00E77021" w:rsidRPr="00FF209B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color w:val="000000" w:themeColor="text1"/>
                <w:kern w:val="24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 maximum of 20 Framework Providers will be appointed, inclusive of up to two Main Providers for each of the three zones, making a total of six Main Providers.</w:t>
            </w:r>
          </w:p>
          <w:p w14:paraId="1331DF16" w14:textId="76BF294A" w:rsidR="00E77021" w:rsidRPr="00AD3A1D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 xml:space="preserve">Each Main Provider will act as the Main Provider on alternate weeks for the acceptance of new referrals. </w:t>
            </w:r>
            <w:r w:rsidR="006A2B07"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ab/>
            </w:r>
          </w:p>
        </w:tc>
      </w:tr>
      <w:tr w:rsidR="009F6E99" w:rsidRPr="00120CFC" w14:paraId="0605C982" w14:textId="512E18BC" w:rsidTr="00770D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7684" w:type="dxa"/>
          <w:trHeight w:val="300"/>
        </w:trPr>
        <w:tc>
          <w:tcPr>
            <w:tcW w:w="1120" w:type="dxa"/>
            <w:gridSpan w:val="2"/>
            <w:vAlign w:val="bottom"/>
          </w:tcPr>
          <w:p w14:paraId="7077B49E" w14:textId="115DE8CA" w:rsidR="009F6E99" w:rsidRPr="00120CFC" w:rsidRDefault="009F6E99" w:rsidP="00770D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6E99" w:rsidRPr="00120CFC" w14:paraId="33ECCE71" w14:textId="61672550" w:rsidTr="00770D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7684" w:type="dxa"/>
          <w:trHeight w:val="300"/>
        </w:trPr>
        <w:tc>
          <w:tcPr>
            <w:tcW w:w="1120" w:type="dxa"/>
            <w:gridSpan w:val="2"/>
            <w:vAlign w:val="bottom"/>
          </w:tcPr>
          <w:p w14:paraId="4D0F6067" w14:textId="68AB9474" w:rsidR="009F6E99" w:rsidRPr="00120CFC" w:rsidRDefault="009F6E99" w:rsidP="00770D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7021" w:rsidRPr="006A42F5" w14:paraId="1D31CDDE" w14:textId="77777777" w:rsidTr="00770D4F">
        <w:trPr>
          <w:gridBefore w:val="1"/>
          <w:gridAfter w:val="1"/>
          <w:wBefore w:w="157" w:type="dxa"/>
          <w:wAfter w:w="47" w:type="dxa"/>
          <w:trHeight w:val="273"/>
        </w:trPr>
        <w:tc>
          <w:tcPr>
            <w:tcW w:w="8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55CB1" w14:textId="0B5D18A2" w:rsidR="00E77021" w:rsidRPr="006A42F5" w:rsidRDefault="00770D4F" w:rsidP="00770D4F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  <w:lang w:eastAsia="en-GB"/>
              </w:rPr>
              <w:t>S</w:t>
            </w:r>
            <w:r w:rsidR="00D11619">
              <w:rPr>
                <w:rFonts w:eastAsia="Times New Roman" w:cs="Arial"/>
                <w:b/>
                <w:bCs/>
                <w:color w:val="000000" w:themeColor="text1"/>
                <w:kern w:val="24"/>
                <w:lang w:eastAsia="en-GB"/>
              </w:rPr>
              <w:t>ERVICE USER GROUP TWO</w:t>
            </w:r>
          </w:p>
        </w:tc>
      </w:tr>
      <w:tr w:rsidR="00E77021" w:rsidRPr="006A42F5" w14:paraId="3764E535" w14:textId="77777777" w:rsidTr="00770D4F">
        <w:trPr>
          <w:gridBefore w:val="1"/>
          <w:gridAfter w:val="1"/>
          <w:wBefore w:w="157" w:type="dxa"/>
          <w:wAfter w:w="47" w:type="dxa"/>
          <w:trHeight w:val="1331"/>
        </w:trPr>
        <w:tc>
          <w:tcPr>
            <w:tcW w:w="8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36FC7" w14:textId="77777777" w:rsidR="00E77021" w:rsidRPr="006A42F5" w:rsidRDefault="00E77021" w:rsidP="00770D4F">
            <w:pPr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Adults with support needs 18 and over, whose primary need includes :</w:t>
            </w:r>
          </w:p>
          <w:p w14:paraId="70D3EC9F" w14:textId="77777777" w:rsidR="00E77021" w:rsidRPr="006A42F5" w:rsidRDefault="00E77021" w:rsidP="00770D4F">
            <w:pPr>
              <w:numPr>
                <w:ilvl w:val="0"/>
                <w:numId w:val="2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 functional mental illness,</w:t>
            </w:r>
          </w:p>
          <w:p w14:paraId="0D298CF8" w14:textId="77777777" w:rsidR="00E77021" w:rsidRPr="006A42F5" w:rsidRDefault="00E77021" w:rsidP="00770D4F">
            <w:pPr>
              <w:numPr>
                <w:ilvl w:val="0"/>
                <w:numId w:val="2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and/or learning disabilities</w:t>
            </w:r>
          </w:p>
          <w:p w14:paraId="0E11CDA7" w14:textId="77777777" w:rsidR="00E77021" w:rsidRPr="006A42F5" w:rsidRDefault="00E77021" w:rsidP="00770D4F">
            <w:pPr>
              <w:numPr>
                <w:ilvl w:val="0"/>
                <w:numId w:val="2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and/or autism,</w:t>
            </w:r>
          </w:p>
          <w:p w14:paraId="5C0B450D" w14:textId="1EA0059A" w:rsidR="00FF209B" w:rsidRPr="006A42F5" w:rsidRDefault="00E77021" w:rsidP="00770D4F">
            <w:pPr>
              <w:numPr>
                <w:ilvl w:val="0"/>
                <w:numId w:val="2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6A42F5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 xml:space="preserve">and / or Asperger’s syndrome.  </w:t>
            </w:r>
          </w:p>
        </w:tc>
      </w:tr>
      <w:tr w:rsidR="00E77021" w:rsidRPr="00AD3A1D" w14:paraId="28B53C39" w14:textId="77777777" w:rsidTr="00770D4F">
        <w:trPr>
          <w:gridBefore w:val="1"/>
          <w:gridAfter w:val="1"/>
          <w:wBefore w:w="157" w:type="dxa"/>
          <w:wAfter w:w="47" w:type="dxa"/>
          <w:trHeight w:val="334"/>
        </w:trPr>
        <w:tc>
          <w:tcPr>
            <w:tcW w:w="8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0035F" w14:textId="41E70C40" w:rsidR="00777547" w:rsidRPr="00FF209B" w:rsidRDefault="00777547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color w:val="000000" w:themeColor="text1"/>
                <w:kern w:val="24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Commissioned, where possibly, by outcomes rather than task and time specific.</w:t>
            </w:r>
          </w:p>
          <w:p w14:paraId="66E3880B" w14:textId="0DA098C3" w:rsidR="00C124EB" w:rsidRPr="00FF209B" w:rsidRDefault="00C124EB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color w:val="000000" w:themeColor="text1"/>
                <w:kern w:val="24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Minimum visit duration of 15 minutes.</w:t>
            </w:r>
          </w:p>
          <w:p w14:paraId="6CB70142" w14:textId="61C02D88" w:rsidR="00777547" w:rsidRPr="00FF209B" w:rsidRDefault="006540A7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color w:val="000000" w:themeColor="text1"/>
                <w:kern w:val="24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The Provider will operate borough-wide as this is a smaller group.</w:t>
            </w:r>
          </w:p>
          <w:p w14:paraId="71E882D2" w14:textId="43B834BE" w:rsidR="00777547" w:rsidRPr="00FF209B" w:rsidRDefault="00777547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color w:val="000000" w:themeColor="text1"/>
                <w:kern w:val="24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 xml:space="preserve">A maximum of 10 Framework Providers will be appointed, inclusive of up to two Main Providers. </w:t>
            </w:r>
          </w:p>
          <w:p w14:paraId="0B7F2B85" w14:textId="7C03B963" w:rsidR="00FF209B" w:rsidRPr="00AD3A1D" w:rsidRDefault="00E77021" w:rsidP="00770D4F">
            <w:pPr>
              <w:numPr>
                <w:ilvl w:val="0"/>
                <w:numId w:val="1"/>
              </w:numPr>
              <w:ind w:left="1166"/>
              <w:contextualSpacing/>
              <w:rPr>
                <w:rFonts w:eastAsia="Times New Roman" w:cs="Arial"/>
                <w:lang w:eastAsia="en-GB"/>
              </w:rPr>
            </w:pPr>
            <w:r w:rsidRPr="00FF209B">
              <w:rPr>
                <w:rFonts w:eastAsia="Times New Roman" w:cs="Arial"/>
                <w:color w:val="000000" w:themeColor="text1"/>
                <w:kern w:val="24"/>
                <w:lang w:eastAsia="en-GB"/>
              </w:rPr>
              <w:t>Each Main Provider will act as the Main Provider on alternate weeks for the acceptance of new referrals.</w:t>
            </w:r>
            <w:r w:rsidRPr="00777547">
              <w:rPr>
                <w:rFonts w:eastAsia="Times New Roman" w:cs="Arial"/>
                <w:kern w:val="24"/>
                <w:lang w:eastAsia="en-GB"/>
              </w:rPr>
              <w:t xml:space="preserve">  </w:t>
            </w:r>
          </w:p>
        </w:tc>
      </w:tr>
    </w:tbl>
    <w:p w14:paraId="3A1CC991" w14:textId="77777777" w:rsidR="00FF209B" w:rsidRDefault="00FF209B" w:rsidP="00EB686E">
      <w:pPr>
        <w:rPr>
          <w:b/>
        </w:rPr>
      </w:pPr>
    </w:p>
    <w:p w14:paraId="0F8B920E" w14:textId="6A2CCF40" w:rsidR="00E77021" w:rsidRPr="000338C9" w:rsidRDefault="006B45F6" w:rsidP="00EB686E">
      <w:pPr>
        <w:rPr>
          <w:b/>
        </w:rPr>
      </w:pPr>
      <w:r>
        <w:rPr>
          <w:b/>
        </w:rPr>
        <w:t xml:space="preserve">Current Activity as </w:t>
      </w:r>
      <w:r w:rsidR="00770D4F">
        <w:rPr>
          <w:b/>
        </w:rPr>
        <w:t xml:space="preserve">at </w:t>
      </w:r>
      <w:r w:rsidR="006412DF">
        <w:rPr>
          <w:b/>
        </w:rPr>
        <w:t>31</w:t>
      </w:r>
      <w:r w:rsidR="006412DF" w:rsidRPr="006412DF">
        <w:rPr>
          <w:b/>
          <w:vertAlign w:val="superscript"/>
        </w:rPr>
        <w:t>st</w:t>
      </w:r>
      <w:r w:rsidR="006412DF">
        <w:rPr>
          <w:b/>
        </w:rPr>
        <w:t xml:space="preserve"> January 2016:</w:t>
      </w:r>
    </w:p>
    <w:p w14:paraId="5C8CA1DB" w14:textId="77777777" w:rsidR="006B45F6" w:rsidRPr="000338C9" w:rsidRDefault="006B45F6" w:rsidP="00EB686E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71"/>
        <w:gridCol w:w="2717"/>
      </w:tblGrid>
      <w:tr w:rsidR="00770D4F" w14:paraId="7ACA3F2C" w14:textId="77777777" w:rsidTr="00770D4F">
        <w:tc>
          <w:tcPr>
            <w:tcW w:w="7088" w:type="dxa"/>
            <w:gridSpan w:val="2"/>
          </w:tcPr>
          <w:p w14:paraId="02546599" w14:textId="70A4232C" w:rsidR="00770D4F" w:rsidRPr="000338C9" w:rsidRDefault="00770D4F" w:rsidP="00770D4F">
            <w:pPr>
              <w:jc w:val="center"/>
              <w:rPr>
                <w:highlight w:val="yellow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  <w:lang w:eastAsia="en-GB"/>
              </w:rPr>
              <w:t>SERVICE USER GROUP ONE</w:t>
            </w:r>
          </w:p>
        </w:tc>
      </w:tr>
      <w:tr w:rsidR="000338C9" w:rsidRPr="006412DF" w14:paraId="35646A6C" w14:textId="77777777" w:rsidTr="00770D4F">
        <w:tc>
          <w:tcPr>
            <w:tcW w:w="4371" w:type="dxa"/>
          </w:tcPr>
          <w:p w14:paraId="06E69F04" w14:textId="58296B32" w:rsidR="000338C9" w:rsidRPr="006412DF" w:rsidRDefault="000338C9" w:rsidP="00EB686E">
            <w:pPr>
              <w:rPr>
                <w:b/>
              </w:rPr>
            </w:pPr>
            <w:r w:rsidRPr="006412DF">
              <w:t>Service Users</w:t>
            </w:r>
          </w:p>
        </w:tc>
        <w:tc>
          <w:tcPr>
            <w:tcW w:w="2717" w:type="dxa"/>
          </w:tcPr>
          <w:p w14:paraId="586F001E" w14:textId="7D11DC14" w:rsidR="000338C9" w:rsidRPr="006412DF" w:rsidRDefault="006412DF" w:rsidP="000338C9">
            <w:pPr>
              <w:rPr>
                <w:b/>
              </w:rPr>
            </w:pPr>
            <w:r>
              <w:t>1288</w:t>
            </w:r>
          </w:p>
        </w:tc>
      </w:tr>
      <w:tr w:rsidR="000338C9" w:rsidRPr="006412DF" w14:paraId="50978F25" w14:textId="77777777" w:rsidTr="00770D4F">
        <w:tc>
          <w:tcPr>
            <w:tcW w:w="4371" w:type="dxa"/>
          </w:tcPr>
          <w:p w14:paraId="68537DCF" w14:textId="0B047967" w:rsidR="000338C9" w:rsidRPr="006412DF" w:rsidRDefault="000338C9" w:rsidP="00EB686E">
            <w:pPr>
              <w:rPr>
                <w:b/>
              </w:rPr>
            </w:pPr>
            <w:r w:rsidRPr="006412DF">
              <w:t>Commissioned hours</w:t>
            </w:r>
          </w:p>
        </w:tc>
        <w:tc>
          <w:tcPr>
            <w:tcW w:w="2717" w:type="dxa"/>
          </w:tcPr>
          <w:p w14:paraId="660E6076" w14:textId="6CDCF4D5" w:rsidR="000338C9" w:rsidRPr="006412DF" w:rsidRDefault="006412DF" w:rsidP="006412DF">
            <w:pPr>
              <w:rPr>
                <w:b/>
              </w:rPr>
            </w:pPr>
            <w:r>
              <w:t>10463.45</w:t>
            </w:r>
          </w:p>
        </w:tc>
      </w:tr>
      <w:tr w:rsidR="000338C9" w:rsidRPr="006412DF" w14:paraId="180B6728" w14:textId="77777777" w:rsidTr="00770D4F">
        <w:tc>
          <w:tcPr>
            <w:tcW w:w="4371" w:type="dxa"/>
          </w:tcPr>
          <w:p w14:paraId="615B5714" w14:textId="3B14E6F8" w:rsidR="000338C9" w:rsidRPr="006412DF" w:rsidRDefault="000338C9" w:rsidP="000338C9">
            <w:pPr>
              <w:rPr>
                <w:b/>
              </w:rPr>
            </w:pPr>
            <w:r w:rsidRPr="006412DF">
              <w:t>Commissioned visits</w:t>
            </w:r>
          </w:p>
        </w:tc>
        <w:tc>
          <w:tcPr>
            <w:tcW w:w="2717" w:type="dxa"/>
          </w:tcPr>
          <w:p w14:paraId="082895E7" w14:textId="4A637F65" w:rsidR="000338C9" w:rsidRPr="006412DF" w:rsidRDefault="000338C9" w:rsidP="006412DF">
            <w:pPr>
              <w:rPr>
                <w:b/>
              </w:rPr>
            </w:pPr>
            <w:r w:rsidRPr="006412DF">
              <w:t>21</w:t>
            </w:r>
            <w:r w:rsidR="006412DF">
              <w:t>491</w:t>
            </w:r>
          </w:p>
        </w:tc>
      </w:tr>
      <w:tr w:rsidR="000338C9" w:rsidRPr="006412DF" w14:paraId="564D6128" w14:textId="77777777" w:rsidTr="00770D4F">
        <w:tc>
          <w:tcPr>
            <w:tcW w:w="4371" w:type="dxa"/>
          </w:tcPr>
          <w:p w14:paraId="088131C4" w14:textId="705F2CDC" w:rsidR="000338C9" w:rsidRPr="006412DF" w:rsidRDefault="000338C9" w:rsidP="00EB686E">
            <w:pPr>
              <w:rPr>
                <w:b/>
              </w:rPr>
            </w:pPr>
            <w:r w:rsidRPr="006412DF">
              <w:t>Average visits per client per week</w:t>
            </w:r>
          </w:p>
        </w:tc>
        <w:tc>
          <w:tcPr>
            <w:tcW w:w="2717" w:type="dxa"/>
          </w:tcPr>
          <w:p w14:paraId="5F5EE393" w14:textId="2BED7B02" w:rsidR="000338C9" w:rsidRPr="006412DF" w:rsidRDefault="000338C9" w:rsidP="000338C9">
            <w:pPr>
              <w:rPr>
                <w:b/>
              </w:rPr>
            </w:pPr>
            <w:r w:rsidRPr="006412DF">
              <w:t>16</w:t>
            </w:r>
          </w:p>
        </w:tc>
      </w:tr>
      <w:tr w:rsidR="000338C9" w:rsidRPr="006412DF" w14:paraId="1E33ACF1" w14:textId="77777777" w:rsidTr="00770D4F">
        <w:tc>
          <w:tcPr>
            <w:tcW w:w="4371" w:type="dxa"/>
          </w:tcPr>
          <w:p w14:paraId="719524CE" w14:textId="417F12AC" w:rsidR="000338C9" w:rsidRPr="006412DF" w:rsidRDefault="000338C9" w:rsidP="00EB686E">
            <w:pPr>
              <w:rPr>
                <w:b/>
              </w:rPr>
            </w:pPr>
            <w:r w:rsidRPr="006412DF">
              <w:t>Average length per visit</w:t>
            </w:r>
          </w:p>
        </w:tc>
        <w:tc>
          <w:tcPr>
            <w:tcW w:w="2717" w:type="dxa"/>
          </w:tcPr>
          <w:p w14:paraId="01B1D48C" w14:textId="744001FB" w:rsidR="000338C9" w:rsidRPr="006412DF" w:rsidRDefault="000338C9" w:rsidP="000338C9">
            <w:pPr>
              <w:rPr>
                <w:b/>
              </w:rPr>
            </w:pPr>
            <w:r w:rsidRPr="006412DF">
              <w:t>30 minutes</w:t>
            </w:r>
          </w:p>
        </w:tc>
      </w:tr>
    </w:tbl>
    <w:p w14:paraId="39C8F5B7" w14:textId="77777777" w:rsidR="000338C9" w:rsidRPr="006412DF" w:rsidRDefault="000338C9" w:rsidP="00EB686E">
      <w:pPr>
        <w:rPr>
          <w:b/>
        </w:rPr>
      </w:pPr>
    </w:p>
    <w:p w14:paraId="2B16061D" w14:textId="77777777" w:rsidR="00770D4F" w:rsidRPr="006412DF" w:rsidRDefault="00770D4F" w:rsidP="00EB686E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71"/>
        <w:gridCol w:w="2717"/>
      </w:tblGrid>
      <w:tr w:rsidR="00770D4F" w:rsidRPr="006412DF" w14:paraId="33034EB7" w14:textId="77777777" w:rsidTr="00770D4F">
        <w:tc>
          <w:tcPr>
            <w:tcW w:w="7088" w:type="dxa"/>
            <w:gridSpan w:val="2"/>
          </w:tcPr>
          <w:p w14:paraId="2803C0AC" w14:textId="26BC461B" w:rsidR="00770D4F" w:rsidRPr="006412DF" w:rsidRDefault="00770D4F" w:rsidP="00770D4F">
            <w:pPr>
              <w:jc w:val="center"/>
            </w:pPr>
            <w:r w:rsidRPr="006412DF">
              <w:rPr>
                <w:rFonts w:eastAsia="Times New Roman" w:cs="Arial"/>
                <w:b/>
                <w:bCs/>
                <w:color w:val="000000" w:themeColor="text1"/>
                <w:kern w:val="24"/>
                <w:lang w:eastAsia="en-GB"/>
              </w:rPr>
              <w:t>SERVICE USER GROUP TWO</w:t>
            </w:r>
          </w:p>
        </w:tc>
      </w:tr>
      <w:tr w:rsidR="00770D4F" w:rsidRPr="006412DF" w14:paraId="39DA5592" w14:textId="77777777" w:rsidTr="00770D4F">
        <w:tc>
          <w:tcPr>
            <w:tcW w:w="4371" w:type="dxa"/>
          </w:tcPr>
          <w:p w14:paraId="20EFA038" w14:textId="77777777" w:rsidR="00770D4F" w:rsidRPr="006412DF" w:rsidRDefault="00770D4F" w:rsidP="00137558">
            <w:pPr>
              <w:rPr>
                <w:b/>
              </w:rPr>
            </w:pPr>
            <w:r w:rsidRPr="006412DF">
              <w:t>Service Users</w:t>
            </w:r>
          </w:p>
        </w:tc>
        <w:tc>
          <w:tcPr>
            <w:tcW w:w="2717" w:type="dxa"/>
          </w:tcPr>
          <w:p w14:paraId="23E240BD" w14:textId="17E2FC6B" w:rsidR="00770D4F" w:rsidRPr="006412DF" w:rsidRDefault="006412DF" w:rsidP="00137558">
            <w:pPr>
              <w:rPr>
                <w:b/>
              </w:rPr>
            </w:pPr>
            <w:r>
              <w:t>244</w:t>
            </w:r>
          </w:p>
        </w:tc>
      </w:tr>
      <w:tr w:rsidR="00770D4F" w:rsidRPr="006412DF" w14:paraId="187D7C0E" w14:textId="77777777" w:rsidTr="00770D4F">
        <w:tc>
          <w:tcPr>
            <w:tcW w:w="4371" w:type="dxa"/>
          </w:tcPr>
          <w:p w14:paraId="0811A3C0" w14:textId="77777777" w:rsidR="00770D4F" w:rsidRPr="006412DF" w:rsidRDefault="00770D4F" w:rsidP="00137558">
            <w:pPr>
              <w:rPr>
                <w:b/>
              </w:rPr>
            </w:pPr>
            <w:r w:rsidRPr="006412DF">
              <w:t>Commissioned hours</w:t>
            </w:r>
          </w:p>
        </w:tc>
        <w:tc>
          <w:tcPr>
            <w:tcW w:w="2717" w:type="dxa"/>
          </w:tcPr>
          <w:p w14:paraId="27C3AAD5" w14:textId="119E038D" w:rsidR="00770D4F" w:rsidRPr="006412DF" w:rsidRDefault="006412DF" w:rsidP="00137558">
            <w:pPr>
              <w:rPr>
                <w:b/>
              </w:rPr>
            </w:pPr>
            <w:r>
              <w:t>1494.41</w:t>
            </w:r>
          </w:p>
        </w:tc>
      </w:tr>
      <w:tr w:rsidR="00770D4F" w:rsidRPr="006412DF" w14:paraId="0A01F17C" w14:textId="77777777" w:rsidTr="00770D4F">
        <w:tc>
          <w:tcPr>
            <w:tcW w:w="4371" w:type="dxa"/>
          </w:tcPr>
          <w:p w14:paraId="210CF44A" w14:textId="77777777" w:rsidR="00770D4F" w:rsidRPr="006412DF" w:rsidRDefault="00770D4F" w:rsidP="00137558">
            <w:pPr>
              <w:rPr>
                <w:b/>
              </w:rPr>
            </w:pPr>
            <w:r w:rsidRPr="006412DF">
              <w:t>Commissioned visits</w:t>
            </w:r>
          </w:p>
        </w:tc>
        <w:tc>
          <w:tcPr>
            <w:tcW w:w="2717" w:type="dxa"/>
          </w:tcPr>
          <w:p w14:paraId="09046E23" w14:textId="03B1753F" w:rsidR="00770D4F" w:rsidRPr="006412DF" w:rsidRDefault="006412DF" w:rsidP="00137558">
            <w:pPr>
              <w:rPr>
                <w:b/>
              </w:rPr>
            </w:pPr>
            <w:r>
              <w:t>1217</w:t>
            </w:r>
          </w:p>
        </w:tc>
      </w:tr>
      <w:tr w:rsidR="00770D4F" w:rsidRPr="006412DF" w14:paraId="4AF6E5B3" w14:textId="77777777" w:rsidTr="00770D4F">
        <w:tc>
          <w:tcPr>
            <w:tcW w:w="4371" w:type="dxa"/>
          </w:tcPr>
          <w:p w14:paraId="0799E171" w14:textId="77777777" w:rsidR="00770D4F" w:rsidRPr="006412DF" w:rsidRDefault="00770D4F" w:rsidP="00137558">
            <w:pPr>
              <w:rPr>
                <w:b/>
              </w:rPr>
            </w:pPr>
            <w:r w:rsidRPr="006412DF">
              <w:t>Average visits per client per week</w:t>
            </w:r>
          </w:p>
        </w:tc>
        <w:tc>
          <w:tcPr>
            <w:tcW w:w="2717" w:type="dxa"/>
          </w:tcPr>
          <w:p w14:paraId="356A52CA" w14:textId="1211F69F" w:rsidR="00770D4F" w:rsidRPr="006412DF" w:rsidRDefault="00770D4F" w:rsidP="00137558">
            <w:r w:rsidRPr="006412DF">
              <w:t>1.2</w:t>
            </w:r>
          </w:p>
        </w:tc>
      </w:tr>
      <w:tr w:rsidR="00770D4F" w14:paraId="7E2C9854" w14:textId="77777777" w:rsidTr="00770D4F">
        <w:tc>
          <w:tcPr>
            <w:tcW w:w="4371" w:type="dxa"/>
          </w:tcPr>
          <w:p w14:paraId="7CD6E774" w14:textId="77777777" w:rsidR="00770D4F" w:rsidRPr="006412DF" w:rsidRDefault="00770D4F" w:rsidP="00137558">
            <w:pPr>
              <w:rPr>
                <w:b/>
              </w:rPr>
            </w:pPr>
            <w:r w:rsidRPr="006412DF">
              <w:t>Average length per visit</w:t>
            </w:r>
          </w:p>
        </w:tc>
        <w:tc>
          <w:tcPr>
            <w:tcW w:w="2717" w:type="dxa"/>
          </w:tcPr>
          <w:p w14:paraId="5B7A4EC4" w14:textId="600907BC" w:rsidR="00770D4F" w:rsidRPr="006412DF" w:rsidRDefault="00770D4F" w:rsidP="00137558">
            <w:pPr>
              <w:rPr>
                <w:b/>
              </w:rPr>
            </w:pPr>
            <w:r w:rsidRPr="006412DF">
              <w:t>1 hour 12 minutes</w:t>
            </w:r>
          </w:p>
        </w:tc>
      </w:tr>
    </w:tbl>
    <w:p w14:paraId="55313FE8" w14:textId="77777777" w:rsidR="006B45F6" w:rsidRDefault="006B45F6" w:rsidP="00EB686E">
      <w:pPr>
        <w:rPr>
          <w:b/>
        </w:rPr>
      </w:pPr>
    </w:p>
    <w:p w14:paraId="1331DF22" w14:textId="77777777" w:rsidR="00EB686E" w:rsidRDefault="00EB686E" w:rsidP="00EB686E">
      <w:pPr>
        <w:rPr>
          <w:b/>
        </w:rPr>
      </w:pPr>
      <w:r w:rsidRPr="00AA3340">
        <w:rPr>
          <w:b/>
        </w:rPr>
        <w:lastRenderedPageBreak/>
        <w:t>Quality</w:t>
      </w:r>
    </w:p>
    <w:p w14:paraId="1331DF23" w14:textId="77777777" w:rsidR="00EB686E" w:rsidRDefault="00EB686E" w:rsidP="00EB686E">
      <w:pPr>
        <w:rPr>
          <w:b/>
        </w:rPr>
      </w:pPr>
    </w:p>
    <w:p w14:paraId="3FBE6DD2" w14:textId="351EC6DA" w:rsidR="002A5057" w:rsidRDefault="002A5057" w:rsidP="00EB686E">
      <w:r>
        <w:t>The P</w:t>
      </w:r>
      <w:r w:rsidRPr="002A5057">
        <w:t xml:space="preserve">rovider </w:t>
      </w:r>
      <w:r>
        <w:t>must have and use an Electronic Call Monitoring System (ECM) with reports being submitted on a weekly basis (Monday to Sunday). The ECM will be used to measure KPIs detailed in Appendix 2.</w:t>
      </w:r>
    </w:p>
    <w:p w14:paraId="013DA63B" w14:textId="77777777" w:rsidR="002A5057" w:rsidRDefault="002A5057" w:rsidP="00EB686E"/>
    <w:p w14:paraId="78BF737B" w14:textId="17E34177" w:rsidR="002A5057" w:rsidRDefault="002A5057" w:rsidP="00EB686E">
      <w:r>
        <w:t xml:space="preserve">A Provider Activity Return will be issued by the Authority and must be completed and submitted by the Provider </w:t>
      </w:r>
      <w:r w:rsidR="00E26984">
        <w:t>on a 4 weekly basis,</w:t>
      </w:r>
      <w:r>
        <w:t xml:space="preserve"> </w:t>
      </w:r>
      <w:r w:rsidR="00E26984">
        <w:t xml:space="preserve">aligned with the Payment period. This document </w:t>
      </w:r>
      <w:r>
        <w:t>contain</w:t>
      </w:r>
      <w:r w:rsidR="00184D42">
        <w:t>s</w:t>
      </w:r>
      <w:r>
        <w:t xml:space="preserve"> information about staffing and Service User</w:t>
      </w:r>
      <w:r w:rsidR="00E26984">
        <w:t>s and the</w:t>
      </w:r>
      <w:r w:rsidR="00184D42">
        <w:t xml:space="preserve"> information will be </w:t>
      </w:r>
      <w:r>
        <w:t>corroborated by the weekly ECM submissions. The Provider Activity Return will be used to measure KPI</w:t>
      </w:r>
      <w:r w:rsidR="00184D42">
        <w:t xml:space="preserve"> </w:t>
      </w:r>
      <w:r>
        <w:t>4, as detailed in Appendix 2.</w:t>
      </w:r>
    </w:p>
    <w:p w14:paraId="1598EE02" w14:textId="3C530777" w:rsidR="002A5057" w:rsidRPr="002A5057" w:rsidRDefault="002A5057" w:rsidP="00EB686E">
      <w:r>
        <w:t xml:space="preserve"> </w:t>
      </w:r>
    </w:p>
    <w:p w14:paraId="1331DF26" w14:textId="03273A09" w:rsidR="00EB686E" w:rsidRDefault="00EB686E" w:rsidP="00EB686E">
      <w:r>
        <w:t>In order to achieve the outcomes that are important to the Service User and to increase the focus on the quality of Services delivered</w:t>
      </w:r>
      <w:r w:rsidR="00777547">
        <w:t xml:space="preserve"> we have</w:t>
      </w:r>
      <w:r>
        <w:t xml:space="preserve"> identified a set of Key Performance Indicators (KPIs), with clear thresholds to be achieved by all our Providers. </w:t>
      </w:r>
    </w:p>
    <w:p w14:paraId="1331DF27" w14:textId="77777777" w:rsidR="00EB686E" w:rsidRDefault="00EB686E" w:rsidP="00EB686E"/>
    <w:p w14:paraId="1331DF28" w14:textId="77777777" w:rsidR="00EB686E" w:rsidRDefault="00EB686E" w:rsidP="00EB686E">
      <w:pPr>
        <w:pStyle w:val="ListParagraph"/>
        <w:numPr>
          <w:ilvl w:val="0"/>
          <w:numId w:val="7"/>
        </w:numPr>
      </w:pPr>
      <w:r>
        <w:t>LOT 1 Service User Group One: The Authority shall use 4 KPIs to measure specific elements of the Provider’s delivery of the Services:</w:t>
      </w:r>
    </w:p>
    <w:p w14:paraId="1331DF29" w14:textId="77777777" w:rsidR="00EB686E" w:rsidRDefault="00EB686E" w:rsidP="00EB686E">
      <w:pPr>
        <w:pStyle w:val="ListParagraph"/>
      </w:pPr>
    </w:p>
    <w:p w14:paraId="1331DF2A" w14:textId="77777777" w:rsidR="00EB686E" w:rsidRDefault="00EB686E" w:rsidP="00EB686E">
      <w:pPr>
        <w:pStyle w:val="ListParagraph"/>
        <w:numPr>
          <w:ilvl w:val="1"/>
          <w:numId w:val="7"/>
        </w:numPr>
      </w:pPr>
      <w:r>
        <w:t>KPI 1 – Manual Overrides</w:t>
      </w:r>
    </w:p>
    <w:p w14:paraId="1331DF2B" w14:textId="77777777" w:rsidR="00EB686E" w:rsidRDefault="00EB686E" w:rsidP="00EB686E">
      <w:pPr>
        <w:pStyle w:val="ListParagraph"/>
        <w:numPr>
          <w:ilvl w:val="1"/>
          <w:numId w:val="7"/>
        </w:numPr>
      </w:pPr>
      <w:r>
        <w:t>KPI 2 – Visit times</w:t>
      </w:r>
    </w:p>
    <w:p w14:paraId="1331DF2C" w14:textId="77777777" w:rsidR="00EB686E" w:rsidRDefault="00EB686E" w:rsidP="00EB686E">
      <w:pPr>
        <w:pStyle w:val="ListParagraph"/>
        <w:numPr>
          <w:ilvl w:val="1"/>
          <w:numId w:val="7"/>
        </w:numPr>
      </w:pPr>
      <w:r>
        <w:t>KPI 3 – Support Worker Consistency</w:t>
      </w:r>
    </w:p>
    <w:p w14:paraId="1331DF2D" w14:textId="77777777" w:rsidR="00EB686E" w:rsidRDefault="00EB686E" w:rsidP="00EB686E">
      <w:pPr>
        <w:pStyle w:val="ListParagraph"/>
        <w:numPr>
          <w:ilvl w:val="1"/>
          <w:numId w:val="7"/>
        </w:numPr>
      </w:pPr>
      <w:r>
        <w:t>KPI 4 – Support Worker Quality</w:t>
      </w:r>
    </w:p>
    <w:p w14:paraId="1331DF2E" w14:textId="77777777" w:rsidR="00EB686E" w:rsidRDefault="00EB686E" w:rsidP="00EB686E"/>
    <w:p w14:paraId="1331DF2F" w14:textId="77777777" w:rsidR="00EB686E" w:rsidRDefault="00EB686E" w:rsidP="00EB686E">
      <w:pPr>
        <w:pStyle w:val="ListParagraph"/>
        <w:numPr>
          <w:ilvl w:val="0"/>
          <w:numId w:val="7"/>
        </w:numPr>
      </w:pPr>
      <w:r>
        <w:t>LOT 2 Service User Group Two: The Authority shall use 2 KPIs to measure specific elements of the Provider’s delivery of the Services:</w:t>
      </w:r>
    </w:p>
    <w:p w14:paraId="1331DF30" w14:textId="77777777" w:rsidR="00EB686E" w:rsidRDefault="00EB686E" w:rsidP="00EB686E">
      <w:pPr>
        <w:pStyle w:val="ListParagraph"/>
      </w:pPr>
    </w:p>
    <w:p w14:paraId="1331DF31" w14:textId="77777777" w:rsidR="00EB686E" w:rsidRDefault="00EB686E" w:rsidP="00EB686E">
      <w:pPr>
        <w:pStyle w:val="ListParagraph"/>
        <w:numPr>
          <w:ilvl w:val="1"/>
          <w:numId w:val="7"/>
        </w:numPr>
      </w:pPr>
      <w:r>
        <w:t>KPI 3 – Support Worker Consistency</w:t>
      </w:r>
    </w:p>
    <w:p w14:paraId="1331DF32" w14:textId="77777777" w:rsidR="00EB686E" w:rsidRDefault="00EB686E" w:rsidP="00EB686E">
      <w:pPr>
        <w:pStyle w:val="ListParagraph"/>
        <w:numPr>
          <w:ilvl w:val="1"/>
          <w:numId w:val="7"/>
        </w:numPr>
      </w:pPr>
      <w:r>
        <w:t>KPI 4 – Support Worker Quality</w:t>
      </w:r>
    </w:p>
    <w:p w14:paraId="1331DF33" w14:textId="77777777" w:rsidR="00EB686E" w:rsidRDefault="00EB686E" w:rsidP="00EB686E">
      <w:pPr>
        <w:pStyle w:val="ListParagraph"/>
        <w:ind w:left="1440"/>
      </w:pPr>
    </w:p>
    <w:p w14:paraId="1331DF34" w14:textId="77777777" w:rsidR="00EB686E" w:rsidRDefault="00EB686E" w:rsidP="00EB686E">
      <w:pPr>
        <w:pStyle w:val="ListParagraph"/>
        <w:numPr>
          <w:ilvl w:val="0"/>
          <w:numId w:val="10"/>
        </w:numPr>
      </w:pPr>
      <w:r>
        <w:t xml:space="preserve">The Authority also reserves the right to implement two further KPI’s (KPI 5 and KPI 6) for LOT 2 Service User Group </w:t>
      </w:r>
      <w:r w:rsidRPr="00EB686E">
        <w:t xml:space="preserve">Two at any time after the date </w:t>
      </w:r>
      <w:r>
        <w:t xml:space="preserve">of the first anniversary of the Commencement Date of the Agreement. </w:t>
      </w:r>
    </w:p>
    <w:p w14:paraId="1331DF35" w14:textId="77777777" w:rsidR="00EB686E" w:rsidRDefault="00EB686E" w:rsidP="00EB686E"/>
    <w:p w14:paraId="1331DF36" w14:textId="34299CA1" w:rsidR="00EB686E" w:rsidRDefault="00C124EB" w:rsidP="00EB686E">
      <w:r>
        <w:t xml:space="preserve">See </w:t>
      </w:r>
      <w:r w:rsidR="00EB686E">
        <w:t>Consultation - Appendix 2</w:t>
      </w:r>
      <w:r w:rsidR="006C04DF">
        <w:t xml:space="preserve"> </w:t>
      </w:r>
      <w:r>
        <w:t xml:space="preserve">for </w:t>
      </w:r>
      <w:r w:rsidR="006C04DF">
        <w:t>further details</w:t>
      </w:r>
      <w:r w:rsidR="00EB686E">
        <w:t xml:space="preserve">. </w:t>
      </w:r>
    </w:p>
    <w:p w14:paraId="1331DF37" w14:textId="77777777" w:rsidR="00EB686E" w:rsidRDefault="00EB686E" w:rsidP="00EB686E"/>
    <w:p w14:paraId="1331DF39" w14:textId="77777777" w:rsidR="00EB686E" w:rsidRDefault="00EB686E" w:rsidP="00EB686E">
      <w:pPr>
        <w:rPr>
          <w:rFonts w:eastAsiaTheme="minorEastAsia" w:cs="Arial"/>
          <w:b/>
          <w:color w:val="000000" w:themeColor="text1"/>
          <w:kern w:val="24"/>
          <w:lang w:eastAsia="en-GB"/>
        </w:rPr>
      </w:pPr>
      <w:r w:rsidRPr="00AA3340">
        <w:rPr>
          <w:rFonts w:eastAsiaTheme="minorEastAsia" w:cs="Arial"/>
          <w:b/>
          <w:color w:val="000000" w:themeColor="text1"/>
          <w:kern w:val="24"/>
          <w:lang w:eastAsia="en-GB"/>
        </w:rPr>
        <w:t>Hourly Rate</w:t>
      </w:r>
    </w:p>
    <w:p w14:paraId="1331DF3A" w14:textId="77777777" w:rsidR="00EB686E" w:rsidRPr="00AA3340" w:rsidRDefault="00EB686E" w:rsidP="00EB686E">
      <w:pPr>
        <w:rPr>
          <w:rFonts w:eastAsiaTheme="minorEastAsia" w:cs="Arial"/>
          <w:b/>
          <w:color w:val="000000" w:themeColor="text1"/>
          <w:kern w:val="24"/>
          <w:lang w:eastAsia="en-GB"/>
        </w:rPr>
      </w:pPr>
    </w:p>
    <w:p w14:paraId="1331DF3B" w14:textId="3C8A5EEB" w:rsidR="00EB686E" w:rsidRDefault="00EB686E" w:rsidP="00EB686E">
      <w:pPr>
        <w:rPr>
          <w:rFonts w:eastAsiaTheme="minorEastAsia" w:cs="Arial"/>
          <w:color w:val="000000" w:themeColor="text1"/>
          <w:kern w:val="24"/>
          <w:lang w:eastAsia="en-GB"/>
        </w:rPr>
      </w:pPr>
      <w:r>
        <w:rPr>
          <w:rFonts w:eastAsiaTheme="minorEastAsia" w:cs="Arial"/>
          <w:color w:val="000000" w:themeColor="text1"/>
          <w:kern w:val="24"/>
          <w:lang w:eastAsia="en-GB"/>
        </w:rPr>
        <w:t>The Authority has developed a Standard Hourly Rate</w:t>
      </w:r>
      <w:r w:rsidR="006A2B07">
        <w:rPr>
          <w:rFonts w:eastAsiaTheme="minorEastAsia" w:cs="Arial"/>
          <w:color w:val="000000" w:themeColor="text1"/>
          <w:kern w:val="24"/>
          <w:lang w:eastAsia="en-GB"/>
        </w:rPr>
        <w:t xml:space="preserve"> with a minimum visit time of 15 minutes,</w:t>
      </w:r>
      <w:r>
        <w:rPr>
          <w:rFonts w:eastAsiaTheme="minorEastAsia" w:cs="Arial"/>
          <w:color w:val="000000" w:themeColor="text1"/>
          <w:kern w:val="24"/>
          <w:lang w:eastAsia="en-GB"/>
        </w:rPr>
        <w:t xml:space="preserve"> which will be paid for delivered Services, and if a Provider meets the KPI thresholds the provider will be eligible for an Enhanced Hourly Rate.</w:t>
      </w:r>
    </w:p>
    <w:p w14:paraId="1331DF3C" w14:textId="77777777" w:rsidR="00EB686E" w:rsidRDefault="00EB686E" w:rsidP="00EB686E">
      <w:pPr>
        <w:rPr>
          <w:rFonts w:eastAsiaTheme="minorEastAsia" w:cs="Arial"/>
          <w:color w:val="000000" w:themeColor="text1"/>
          <w:kern w:val="24"/>
          <w:lang w:eastAsia="en-GB"/>
        </w:rPr>
      </w:pPr>
    </w:p>
    <w:p w14:paraId="1331DF3D" w14:textId="60439060" w:rsidR="00EB686E" w:rsidRDefault="00C124EB" w:rsidP="00EB686E">
      <w:pPr>
        <w:rPr>
          <w:rFonts w:eastAsiaTheme="minorEastAsia" w:cs="Arial"/>
          <w:color w:val="000000" w:themeColor="text1"/>
          <w:kern w:val="24"/>
          <w:lang w:eastAsia="en-GB"/>
        </w:rPr>
      </w:pPr>
      <w:r>
        <w:rPr>
          <w:rFonts w:eastAsiaTheme="minorEastAsia" w:cs="Arial"/>
          <w:color w:val="000000" w:themeColor="text1"/>
          <w:kern w:val="24"/>
          <w:lang w:eastAsia="en-GB"/>
        </w:rPr>
        <w:t xml:space="preserve">See </w:t>
      </w:r>
      <w:r w:rsidR="00EB686E">
        <w:rPr>
          <w:rFonts w:eastAsiaTheme="minorEastAsia" w:cs="Arial"/>
          <w:color w:val="000000" w:themeColor="text1"/>
          <w:kern w:val="24"/>
          <w:lang w:eastAsia="en-GB"/>
        </w:rPr>
        <w:t>Consultation - Appendix 3</w:t>
      </w:r>
      <w:r w:rsidR="006C04DF">
        <w:rPr>
          <w:rFonts w:eastAsiaTheme="minorEastAsia" w:cs="Arial"/>
          <w:color w:val="000000" w:themeColor="text1"/>
          <w:kern w:val="24"/>
          <w:lang w:eastAsia="en-GB"/>
        </w:rPr>
        <w:t xml:space="preserve"> </w:t>
      </w:r>
      <w:r>
        <w:rPr>
          <w:rFonts w:eastAsiaTheme="minorEastAsia" w:cs="Arial"/>
          <w:color w:val="000000" w:themeColor="text1"/>
          <w:kern w:val="24"/>
          <w:lang w:eastAsia="en-GB"/>
        </w:rPr>
        <w:t xml:space="preserve">for </w:t>
      </w:r>
      <w:r w:rsidR="006C04DF">
        <w:rPr>
          <w:rFonts w:eastAsiaTheme="minorEastAsia" w:cs="Arial"/>
          <w:color w:val="000000" w:themeColor="text1"/>
          <w:kern w:val="24"/>
          <w:lang w:eastAsia="en-GB"/>
        </w:rPr>
        <w:t>further details</w:t>
      </w:r>
      <w:r w:rsidR="00EB686E">
        <w:rPr>
          <w:rFonts w:eastAsiaTheme="minorEastAsia" w:cs="Arial"/>
          <w:color w:val="000000" w:themeColor="text1"/>
          <w:kern w:val="24"/>
          <w:lang w:eastAsia="en-GB"/>
        </w:rPr>
        <w:t>.</w:t>
      </w:r>
    </w:p>
    <w:p w14:paraId="1331DF3E" w14:textId="77777777" w:rsidR="00EB686E" w:rsidRDefault="00EB686E" w:rsidP="00EB686E">
      <w:pPr>
        <w:rPr>
          <w:rFonts w:eastAsiaTheme="minorEastAsia" w:cs="Arial"/>
          <w:color w:val="000000" w:themeColor="text1"/>
          <w:kern w:val="24"/>
          <w:lang w:eastAsia="en-GB"/>
        </w:rPr>
      </w:pPr>
    </w:p>
    <w:p w14:paraId="1331DF3F" w14:textId="77777777" w:rsidR="00AD3A1D" w:rsidRDefault="00AD3A1D" w:rsidP="00EB686E">
      <w:pPr>
        <w:rPr>
          <w:rFonts w:eastAsiaTheme="minorEastAsia" w:cs="Arial"/>
          <w:color w:val="000000" w:themeColor="text1"/>
          <w:kern w:val="24"/>
          <w:lang w:eastAsia="en-GB"/>
        </w:rPr>
      </w:pPr>
    </w:p>
    <w:p w14:paraId="1331DF40" w14:textId="1A832B35" w:rsidR="00EB686E" w:rsidRPr="00AB62F9" w:rsidRDefault="00EB686E" w:rsidP="00EB686E">
      <w:pPr>
        <w:tabs>
          <w:tab w:val="num" w:pos="851"/>
        </w:tabs>
        <w:rPr>
          <w:rFonts w:eastAsia="Times New Roman" w:cs="Arial"/>
          <w:b/>
        </w:rPr>
      </w:pPr>
      <w:r w:rsidRPr="00AB62F9">
        <w:rPr>
          <w:rFonts w:eastAsia="Times New Roman" w:cs="Arial"/>
          <w:b/>
        </w:rPr>
        <w:t>The Agreement</w:t>
      </w:r>
      <w:r w:rsidR="00BD1F2D">
        <w:rPr>
          <w:rFonts w:eastAsia="Times New Roman" w:cs="Arial"/>
          <w:b/>
        </w:rPr>
        <w:t xml:space="preserve"> Period</w:t>
      </w:r>
    </w:p>
    <w:p w14:paraId="1331DF41" w14:textId="77777777" w:rsidR="00EB686E" w:rsidRDefault="00EB686E" w:rsidP="00EB686E">
      <w:pPr>
        <w:tabs>
          <w:tab w:val="num" w:pos="851"/>
        </w:tabs>
        <w:rPr>
          <w:rFonts w:eastAsia="Times New Roman" w:cs="Arial"/>
        </w:rPr>
      </w:pPr>
    </w:p>
    <w:p w14:paraId="1331DF42" w14:textId="77777777" w:rsidR="00EB686E" w:rsidRDefault="00EB686E" w:rsidP="00EB686E">
      <w:pPr>
        <w:tabs>
          <w:tab w:val="num" w:pos="851"/>
        </w:tabs>
        <w:rPr>
          <w:rFonts w:eastAsia="Times New Roman" w:cs="Arial"/>
        </w:rPr>
      </w:pPr>
      <w:r>
        <w:rPr>
          <w:rFonts w:eastAsia="Times New Roman" w:cs="Arial"/>
        </w:rPr>
        <w:t>The initial term of the</w:t>
      </w:r>
      <w:r w:rsidRPr="0010762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Framework </w:t>
      </w:r>
      <w:r w:rsidRPr="0010762A">
        <w:rPr>
          <w:rFonts w:eastAsia="Times New Roman" w:cs="Arial"/>
        </w:rPr>
        <w:t xml:space="preserve">Agreement will be </w:t>
      </w:r>
      <w:r w:rsidRPr="0010762A">
        <w:rPr>
          <w:rFonts w:eastAsia="Times New Roman" w:cs="Arial"/>
          <w:b/>
        </w:rPr>
        <w:t>4 years,</w:t>
      </w:r>
      <w:r w:rsidRPr="0010762A">
        <w:rPr>
          <w:rFonts w:eastAsia="Times New Roman" w:cs="Arial"/>
        </w:rPr>
        <w:t xml:space="preserve"> and the Council shall at its sole discretion extend the Contract Period for a further term of </w:t>
      </w:r>
      <w:r w:rsidRPr="0010762A">
        <w:rPr>
          <w:rFonts w:eastAsia="Times New Roman" w:cs="Arial"/>
          <w:b/>
        </w:rPr>
        <w:t>2 years</w:t>
      </w:r>
      <w:r w:rsidRPr="0010762A">
        <w:rPr>
          <w:rFonts w:eastAsia="Times New Roman" w:cs="Arial"/>
        </w:rPr>
        <w:t>.</w:t>
      </w:r>
    </w:p>
    <w:sectPr w:rsidR="00EB6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DF4E" w14:textId="77777777" w:rsidR="00E5239A" w:rsidRDefault="008C1E2B">
      <w:r>
        <w:separator/>
      </w:r>
    </w:p>
  </w:endnote>
  <w:endnote w:type="continuationSeparator" w:id="0">
    <w:p w14:paraId="1331DF50" w14:textId="77777777" w:rsidR="00E5239A" w:rsidRDefault="008C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3DD0" w14:textId="77777777" w:rsidR="008C1E2B" w:rsidRDefault="008C1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8034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31DF48" w14:textId="77777777" w:rsidR="00B87734" w:rsidRPr="00B87734" w:rsidRDefault="00D05852" w:rsidP="008C1E2B">
            <w:pPr>
              <w:pStyle w:val="Footer"/>
              <w:jc w:val="center"/>
            </w:pPr>
            <w:r w:rsidRPr="00B87734">
              <w:t xml:space="preserve">Page </w:t>
            </w:r>
            <w:r w:rsidRPr="00B87734">
              <w:rPr>
                <w:bCs/>
                <w:sz w:val="24"/>
                <w:szCs w:val="24"/>
              </w:rPr>
              <w:fldChar w:fldCharType="begin"/>
            </w:r>
            <w:r w:rsidRPr="00B87734">
              <w:rPr>
                <w:bCs/>
              </w:rPr>
              <w:instrText xml:space="preserve"> PAGE </w:instrText>
            </w:r>
            <w:r w:rsidRPr="00B87734">
              <w:rPr>
                <w:bCs/>
                <w:sz w:val="24"/>
                <w:szCs w:val="24"/>
              </w:rPr>
              <w:fldChar w:fldCharType="separate"/>
            </w:r>
            <w:r w:rsidR="00D56E4C">
              <w:rPr>
                <w:bCs/>
                <w:noProof/>
              </w:rPr>
              <w:t>2</w:t>
            </w:r>
            <w:r w:rsidRPr="00B87734">
              <w:rPr>
                <w:bCs/>
                <w:sz w:val="24"/>
                <w:szCs w:val="24"/>
              </w:rPr>
              <w:fldChar w:fldCharType="end"/>
            </w:r>
            <w:r w:rsidRPr="00B87734">
              <w:t xml:space="preserve"> of </w:t>
            </w:r>
            <w:r w:rsidRPr="00B87734">
              <w:rPr>
                <w:bCs/>
                <w:sz w:val="24"/>
                <w:szCs w:val="24"/>
              </w:rPr>
              <w:fldChar w:fldCharType="begin"/>
            </w:r>
            <w:r w:rsidRPr="00B87734">
              <w:rPr>
                <w:bCs/>
              </w:rPr>
              <w:instrText xml:space="preserve"> NUMPAGES  </w:instrText>
            </w:r>
            <w:r w:rsidRPr="00B87734">
              <w:rPr>
                <w:bCs/>
                <w:sz w:val="24"/>
                <w:szCs w:val="24"/>
              </w:rPr>
              <w:fldChar w:fldCharType="separate"/>
            </w:r>
            <w:r w:rsidR="00D56E4C">
              <w:rPr>
                <w:bCs/>
                <w:noProof/>
              </w:rPr>
              <w:t>3</w:t>
            </w:r>
            <w:r w:rsidRPr="00B8773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1DF49" w14:textId="77777777" w:rsidR="00B87734" w:rsidRDefault="00D56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15FE" w14:textId="77777777" w:rsidR="008C1E2B" w:rsidRDefault="008C1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1DF4A" w14:textId="77777777" w:rsidR="00E5239A" w:rsidRDefault="008C1E2B">
      <w:r>
        <w:separator/>
      </w:r>
    </w:p>
  </w:footnote>
  <w:footnote w:type="continuationSeparator" w:id="0">
    <w:p w14:paraId="1331DF4C" w14:textId="77777777" w:rsidR="00E5239A" w:rsidRDefault="008C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675DF" w14:textId="77777777" w:rsidR="008C1E2B" w:rsidRDefault="008C1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C9A9" w14:textId="77777777" w:rsidR="008C1E2B" w:rsidRDefault="008C1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0DCB" w14:textId="77777777" w:rsidR="008C1E2B" w:rsidRDefault="008C1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7F"/>
    <w:multiLevelType w:val="hybridMultilevel"/>
    <w:tmpl w:val="47B67FDC"/>
    <w:lvl w:ilvl="0" w:tplc="BA3AE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E9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6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6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E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E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6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063AD"/>
    <w:multiLevelType w:val="hybridMultilevel"/>
    <w:tmpl w:val="972E2666"/>
    <w:lvl w:ilvl="0" w:tplc="808C0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5DEF"/>
    <w:multiLevelType w:val="hybridMultilevel"/>
    <w:tmpl w:val="EB66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F5FCC"/>
    <w:multiLevelType w:val="hybridMultilevel"/>
    <w:tmpl w:val="AF2A5E7C"/>
    <w:lvl w:ilvl="0" w:tplc="1D4E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8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8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09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02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CD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01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0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2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CA5D03"/>
    <w:multiLevelType w:val="hybridMultilevel"/>
    <w:tmpl w:val="FFDC4C18"/>
    <w:lvl w:ilvl="0" w:tplc="808C0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64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4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C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1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C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8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E12830"/>
    <w:multiLevelType w:val="hybridMultilevel"/>
    <w:tmpl w:val="EC16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2839"/>
    <w:multiLevelType w:val="hybridMultilevel"/>
    <w:tmpl w:val="AB66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25AA0"/>
    <w:multiLevelType w:val="hybridMultilevel"/>
    <w:tmpl w:val="E7B4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B5A82"/>
    <w:multiLevelType w:val="hybridMultilevel"/>
    <w:tmpl w:val="CB32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E653C"/>
    <w:multiLevelType w:val="hybridMultilevel"/>
    <w:tmpl w:val="0C0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64138"/>
    <w:multiLevelType w:val="hybridMultilevel"/>
    <w:tmpl w:val="676E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C"/>
    <w:rsid w:val="000338C9"/>
    <w:rsid w:val="00096F73"/>
    <w:rsid w:val="00120CFC"/>
    <w:rsid w:val="00184D42"/>
    <w:rsid w:val="00226E2A"/>
    <w:rsid w:val="002A5057"/>
    <w:rsid w:val="002F32A0"/>
    <w:rsid w:val="003E65FC"/>
    <w:rsid w:val="003E6716"/>
    <w:rsid w:val="0045541C"/>
    <w:rsid w:val="004A32DA"/>
    <w:rsid w:val="005B266E"/>
    <w:rsid w:val="00624D7C"/>
    <w:rsid w:val="006412DF"/>
    <w:rsid w:val="006540A7"/>
    <w:rsid w:val="006A2B07"/>
    <w:rsid w:val="006B45F6"/>
    <w:rsid w:val="006C04DF"/>
    <w:rsid w:val="006E2F2B"/>
    <w:rsid w:val="00722408"/>
    <w:rsid w:val="00770D4F"/>
    <w:rsid w:val="00773270"/>
    <w:rsid w:val="00777547"/>
    <w:rsid w:val="0089215F"/>
    <w:rsid w:val="008C1E2B"/>
    <w:rsid w:val="008D409A"/>
    <w:rsid w:val="00942610"/>
    <w:rsid w:val="009F6E99"/>
    <w:rsid w:val="00A34F01"/>
    <w:rsid w:val="00A52754"/>
    <w:rsid w:val="00A55866"/>
    <w:rsid w:val="00AB6A5D"/>
    <w:rsid w:val="00AC4565"/>
    <w:rsid w:val="00AD3A1D"/>
    <w:rsid w:val="00BD1F2D"/>
    <w:rsid w:val="00C124EB"/>
    <w:rsid w:val="00C85F0A"/>
    <w:rsid w:val="00CA5943"/>
    <w:rsid w:val="00CB67FA"/>
    <w:rsid w:val="00CC5E0D"/>
    <w:rsid w:val="00D05852"/>
    <w:rsid w:val="00D11619"/>
    <w:rsid w:val="00D56E4C"/>
    <w:rsid w:val="00DD3E4B"/>
    <w:rsid w:val="00E26984"/>
    <w:rsid w:val="00E5239A"/>
    <w:rsid w:val="00E77021"/>
    <w:rsid w:val="00EA21DE"/>
    <w:rsid w:val="00EA2E6F"/>
    <w:rsid w:val="00EB686E"/>
    <w:rsid w:val="00F4332E"/>
    <w:rsid w:val="00F77769"/>
    <w:rsid w:val="00FA5409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D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86E"/>
  </w:style>
  <w:style w:type="paragraph" w:styleId="BalloonText">
    <w:name w:val="Balloon Text"/>
    <w:basedOn w:val="Normal"/>
    <w:link w:val="BalloonTextChar"/>
    <w:uiPriority w:val="99"/>
    <w:semiHidden/>
    <w:unhideWhenUsed/>
    <w:rsid w:val="00EB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6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E2B"/>
  </w:style>
  <w:style w:type="character" w:styleId="Hyperlink">
    <w:name w:val="Hyperlink"/>
    <w:basedOn w:val="DefaultParagraphFont"/>
    <w:uiPriority w:val="99"/>
    <w:semiHidden/>
    <w:unhideWhenUsed/>
    <w:rsid w:val="00AC4565"/>
    <w:rPr>
      <w:color w:val="0000FF"/>
      <w:u w:val="single"/>
    </w:rPr>
  </w:style>
  <w:style w:type="table" w:styleId="TableGrid">
    <w:name w:val="Table Grid"/>
    <w:basedOn w:val="TableNormal"/>
    <w:uiPriority w:val="59"/>
    <w:rsid w:val="0003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86E"/>
  </w:style>
  <w:style w:type="paragraph" w:styleId="BalloonText">
    <w:name w:val="Balloon Text"/>
    <w:basedOn w:val="Normal"/>
    <w:link w:val="BalloonTextChar"/>
    <w:uiPriority w:val="99"/>
    <w:semiHidden/>
    <w:unhideWhenUsed/>
    <w:rsid w:val="00EB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6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E2B"/>
  </w:style>
  <w:style w:type="character" w:styleId="Hyperlink">
    <w:name w:val="Hyperlink"/>
    <w:basedOn w:val="DefaultParagraphFont"/>
    <w:uiPriority w:val="99"/>
    <w:semiHidden/>
    <w:unhideWhenUsed/>
    <w:rsid w:val="00AC4565"/>
    <w:rPr>
      <w:color w:val="0000FF"/>
      <w:u w:val="single"/>
    </w:rPr>
  </w:style>
  <w:style w:type="table" w:styleId="TableGrid">
    <w:name w:val="Table Grid"/>
    <w:basedOn w:val="TableNormal"/>
    <w:uiPriority w:val="59"/>
    <w:rsid w:val="0003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emocracy.bolton.gov.uk/CMIS5/Document.ashx?czJKcaeAi5tUFL1DTL2UE4zNRBcoShgo=vxnG6Yh5VGe8DlvC%2fvxqBMPyR%2bGmGoZDMli0YIa9KqOdvVwnZLr%2fUQ%3d%3d&amp;rUzwRPf%2bZ3zd4E7Ikn8Lyw%3d%3d=pwRE6AGJFLDNlh225F5QMaQWCtPHwdhUfCZ%2fLUQzgA2uL5jNRG4jdQ%3d%3d&amp;mCTIbCubSFfXsDGW9IXnlg%3d%3d=hFflUdN3100%3d&amp;kCx1AnS9%2fpWZQ40DXFvdEw%3d%3d=hFflUdN3100%3d&amp;uJovDxwdjMPoYv%2bAJvYtyA%3d%3d=ctNJFf55vVA%3d&amp;FgPlIEJYlotS%2bYGoBi5olA%3d%3d=NHdURQburHA%3d&amp;d9Qjj0ag1Pd993jsyOJqFvmyB7X0CSQK=ctNJFf55vVA%3d&amp;WGewmoAfeNR9xqBux0r1Q8Za60lavYmz=ctNJFf55vVA%3d&amp;WGewmoAfeNQ16B2MHuCpMRKZMwaG1PaO=ctNJFf55vVA%3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Rights_x003a_Access xmlns="d3d4d277-1c35-4c6c-af03-41d678453cda">internal</Rights_x003a_Access>
    <Rights_x003a_protective_x0020_marking xmlns="d3d4d277-1c35-4c6c-af03-41d678453cda">unclassified</Rights_x003a_protective_x0020_marking>
    <text xmlns="d3d4d277-1c35-4c6c-af03-41d678453cda" xsi:nil="true"/>
    <Document xmlns="0039a654-6584-41e2-ad2f-a1a6c614f7bf">Specification and Tender Documents</Document>
    <Description0 xmlns="d3d4d277-1c35-4c6c-af03-41d678453cda" xsi:nil="true"/>
    <_Relation xmlns="http://schemas.microsoft.com/sharepoint/v3/fields" xsi:nil="true"/>
    <Audience xmlns="d3d4d277-1c35-4c6c-af03-41d678453cda" xsi:nil="true"/>
    <numeric xmlns="d3d4d277-1c35-4c6c-af03-41d678453cda" xsi:nil="true"/>
    <PID_x0020_number_x0020_and_x0020_Local_x0020_service_x0020_name xmlns="d3d4d277-1c35-4c6c-af03-41d678453cda" xsi:nil="true"/>
    <Expiry_x0020_date xmlns="d3d4d277-1c35-4c6c-af03-41d678453cda" xsi:nil="true"/>
    <_Coverage xmlns="http://schemas.microsoft.com/sharepoint/v3/fields">Bolton</_Coverage>
    <AKA xmlns="d3d4d277-1c35-4c6c-af03-41d678453cda" xsi:nil="true"/>
    <StartDate xmlns="http://schemas.microsoft.com/sharepoint/v3" xsi:nil="true"/>
    <document_x0020_type xmlns="d3d4d277-1c35-4c6c-af03-41d678453cda">Project documents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94C60F57E01419839CF764F7FCFF3" ma:contentTypeVersion="16" ma:contentTypeDescription="Create a new document." ma:contentTypeScope="" ma:versionID="3f04fecbc0ca3bd86519e25bc01431cd">
  <xsd:schema xmlns:xsd="http://www.w3.org/2001/XMLSchema" xmlns:p="http://schemas.microsoft.com/office/2006/metadata/properties" xmlns:ns1="http://schemas.microsoft.com/sharepoint/v3" xmlns:ns2="http://schemas.microsoft.com/sharepoint/v3/fields" xmlns:ns3="d3d4d277-1c35-4c6c-af03-41d678453cda" xmlns:ns4="0039a654-6584-41e2-ad2f-a1a6c614f7bf" targetNamespace="http://schemas.microsoft.com/office/2006/metadata/properties" ma:root="true" ma:fieldsID="ab03197c7602517460d409b74f4be302" ns1:_="" ns2:_="" ns3:_="" ns4:_="">
    <xsd:import namespace="http://schemas.microsoft.com/sharepoint/v3"/>
    <xsd:import namespace="http://schemas.microsoft.com/sharepoint/v3/fields"/>
    <xsd:import namespace="d3d4d277-1c35-4c6c-af03-41d678453cda"/>
    <xsd:import namespace="0039a654-6584-41e2-ad2f-a1a6c614f7bf"/>
    <xsd:element name="properties">
      <xsd:complexType>
        <xsd:sequence>
          <xsd:element name="documentManagement">
            <xsd:complexType>
              <xsd:all>
                <xsd:element ref="ns2:_Coverage" minOccurs="0"/>
                <xsd:element ref="ns1:Language" minOccurs="0"/>
                <xsd:element ref="ns2:_Relation" minOccurs="0"/>
                <xsd:element ref="ns1:StartDate" minOccurs="0"/>
                <xsd:element ref="ns3:AKA" minOccurs="0"/>
                <xsd:element ref="ns3:Audience" minOccurs="0"/>
                <xsd:element ref="ns3:Description0" minOccurs="0"/>
                <xsd:element ref="ns3:document_x0020_type"/>
                <xsd:element ref="ns3:Expiry_x0020_date" minOccurs="0"/>
                <xsd:element ref="ns3:numeric" minOccurs="0"/>
                <xsd:element ref="ns3:text" minOccurs="0"/>
                <xsd:element ref="ns3:PID_x0020_number_x0020_and_x0020_Local_x0020_service_x0020_name" minOccurs="0"/>
                <xsd:element ref="ns3:Rights_x003a_Access"/>
                <xsd:element ref="ns3:Rights_x003a_protective_x0020_marking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9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</xsd:restriction>
          </xsd:simpleType>
        </xsd:union>
      </xsd:simpleType>
    </xsd:element>
    <xsd:element name="StartDate" ma:index="11" nillable="true" ma:displayName="publish date" ma:default="" ma:format="DateOnly" ma:internalName="Start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Coverage" ma:index="8" nillable="true" ma:displayName="Coverage" ma:default="Bolton" ma:description="The extent or scope" ma:format="Dropdown" ma:internalName="_Coverage">
      <xsd:simpleType>
        <xsd:restriction base="dms:Choice">
          <xsd:enumeration value="Bolton"/>
          <xsd:enumeration value="Astley Bridge"/>
          <xsd:enumeration value="Bradshaw"/>
          <xsd:enumeration value="Breightmet"/>
          <xsd:enumeration value="Bromley Cross"/>
          <xsd:enumeration value="Crompton"/>
          <xsd:enumeration value="Farnworth"/>
          <xsd:enumeration value="Great Lever"/>
          <xsd:enumeration value="Halliwell"/>
          <xsd:enumeration value="Harper Green"/>
          <xsd:enumeration value="Heaton and Lostock"/>
          <xsd:enumeration value="Hulton"/>
          <xsd:enumeration value="Kearsley"/>
          <xsd:enumeration value="Little Lever and Darcy Lever"/>
          <xsd:enumeration value="Rumworth"/>
          <xsd:enumeration value="Smithills"/>
          <xsd:enumeration value="Tonge with the Haulgh"/>
          <xsd:enumeration value="Two Towns"/>
          <xsd:enumeration value="Westhoughton with Chew Moor"/>
        </xsd:restriction>
      </xsd:simpleType>
    </xsd:element>
    <xsd:element name="_Relation" ma:index="10" nillable="true" ma:displayName="Relation" ma:description="References to related resources" ma:internalName="_Rela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3d4d277-1c35-4c6c-af03-41d678453cda" elementFormDefault="qualified">
    <xsd:import namespace="http://schemas.microsoft.com/office/2006/documentManagement/types"/>
    <xsd:element name="AKA" ma:index="12" nillable="true" ma:displayName="AKA" ma:internalName="AKA">
      <xsd:simpleType>
        <xsd:restriction base="dms:Text">
          <xsd:maxLength value="255"/>
        </xsd:restriction>
      </xsd:simpleType>
    </xsd:element>
    <xsd:element name="Audience" ma:index="13" nillable="true" ma:displayName="Audience" ma:internalName="Audience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Note"/>
      </xsd:simpleType>
    </xsd:element>
    <xsd:element name="document_x0020_type" ma:index="15" ma:displayName="document type" ma:default="Agenda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Forms"/>
          <xsd:enumeration value="Guidance"/>
          <xsd:enumeration value="Minutes"/>
          <xsd:enumeration value="Newsletters"/>
          <xsd:enumeration value="Organisation charts"/>
          <xsd:enumeration value="Policies"/>
          <xsd:enumeration value="Presentations"/>
          <xsd:enumeration value="Procedures"/>
          <xsd:enumeration value="Programme"/>
          <xsd:enumeration value="Project documents"/>
          <xsd:enumeration value="Promotional literature"/>
          <xsd:enumeration value="Questionnaires and Surveys"/>
          <xsd:enumeration value="Reports"/>
          <xsd:enumeration value="Service Level Agreements"/>
          <xsd:enumeration value="Statistics"/>
          <xsd:enumeration value="Strategies"/>
          <xsd:enumeration value="Submissions and Returns"/>
          <xsd:enumeration value="Templates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  <xsd:element name="numeric" ma:index="17" nillable="true" ma:displayName="numeric" ma:internalName="numeric">
      <xsd:simpleType>
        <xsd:restriction base="dms:Number"/>
      </xsd:simpleType>
    </xsd:element>
    <xsd:element name="text" ma:index="18" nillable="true" ma:displayName="text" ma:internalName="text">
      <xsd:simpleType>
        <xsd:restriction base="dms:Text">
          <xsd:maxLength value="255"/>
        </xsd:restriction>
      </xsd:simpleType>
    </xsd:element>
    <xsd:element name="PID_x0020_number_x0020_and_x0020_Local_x0020_service_x0020_name" ma:index="19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Rights_x003a_Access" ma:index="20" ma:displayName="Rights:Access" ma:default="internal" ma:format="Dropdown" ma:internalName="Rights_x003a_Access">
      <xsd:simpleType>
        <xsd:restriction base="dms:Choice">
          <xsd:enumeration value="website"/>
          <xsd:enumeration value="internal"/>
        </xsd:restriction>
      </xsd:simpleType>
    </xsd:element>
    <xsd:element name="Rights_x003a_protective_x0020_marking" ma:index="21" ma:displayName="Rights:protective marking" ma:default="unclassified" ma:format="Dropdown" ma:internalName="Rights_x003a_protective_x0020_marking">
      <xsd:simpleType>
        <xsd:restriction base="dms:Choice">
          <xsd:enumeration value="restricted"/>
          <xsd:enumeration value="protect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0039a654-6584-41e2-ad2f-a1a6c614f7bf" elementFormDefault="qualified">
    <xsd:import namespace="http://schemas.microsoft.com/office/2006/documentManagement/types"/>
    <xsd:element name="Document" ma:index="23" nillable="true" ma:displayName="Document" ma:default="not yet added" ma:format="Dropdown" ma:internalName="Document">
      <xsd:simpleType>
        <xsd:restriction base="dms:Choice">
          <xsd:enumeration value="Consultation and EIA"/>
          <xsd:enumeration value="Project Documents"/>
          <xsd:enumeration value="Specification and Tender Documents"/>
          <xsd:enumeration value="Tender Bidding Information"/>
          <xsd:enumeration value="Archive"/>
          <xsd:enumeration value="Data and Statistics"/>
          <xsd:enumeration value="Post tender documents"/>
          <xsd:enumeration value="Reports and Minutes"/>
          <xsd:enumeration value="Tender Attachments"/>
          <xsd:enumeration value="not yet ad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D9511C-5842-4215-9FA1-0272200029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elements/1.1/"/>
    <ds:schemaRef ds:uri="0039a654-6584-41e2-ad2f-a1a6c614f7bf"/>
    <ds:schemaRef ds:uri="d3d4d277-1c35-4c6c-af03-41d678453cda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14478-A07B-4D11-BC7E-687BE7760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4ABDE-1D4D-43CA-9389-5B86BD1B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3d4d277-1c35-4c6c-af03-41d678453cda"/>
    <ds:schemaRef ds:uri="0039a654-6584-41e2-ad2f-a1a6c614f7b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Appendix 1</vt:lpstr>
    </vt:vector>
  </TitlesOfParts>
  <Company>Bolton Council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Appendix 1</dc:title>
  <dc:subject>Consultation Appendix 1</dc:subject>
  <dc:creator>Lomax, Kay</dc:creator>
  <cp:lastModifiedBy>Walton, Andrew</cp:lastModifiedBy>
  <cp:revision>2</cp:revision>
  <cp:lastPrinted>2016-01-08T10:51:00Z</cp:lastPrinted>
  <dcterms:created xsi:type="dcterms:W3CDTF">2016-02-11T14:31:00Z</dcterms:created>
  <dcterms:modified xsi:type="dcterms:W3CDTF">2016-02-11T14:31:00Z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0x010100E8894C60F57E01419839CF764F7FCFF3</vt:lpwstr>
  </property>
</Properties>
</file>