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2B58F6" w14:textId="7944BB55" w:rsidR="00503A15" w:rsidRDefault="00503A15" w:rsidP="00503A15">
      <w:pPr>
        <w:jc w:val="right"/>
        <w:rPr>
          <w:b/>
          <w:bCs/>
        </w:rPr>
      </w:pPr>
      <w:r>
        <w:rPr>
          <w:b/>
          <w:bCs/>
          <w:sz w:val="32"/>
        </w:rPr>
        <w:t>NON-COMPLIANCE STATEMENT</w:t>
      </w:r>
      <w:r>
        <w:rPr>
          <w:b/>
          <w:bCs/>
        </w:rPr>
        <w:tab/>
      </w:r>
      <w:r>
        <w:rPr>
          <w:b/>
          <w:bCs/>
        </w:rPr>
        <w:tab/>
      </w:r>
      <w:r>
        <w:rPr>
          <w:b/>
          <w:bCs/>
        </w:rPr>
        <w:tab/>
      </w:r>
      <w:r>
        <w:rPr>
          <w:b/>
          <w:bCs/>
          <w:sz w:val="32"/>
        </w:rPr>
        <w:t xml:space="preserve">Appendix </w:t>
      </w:r>
      <w:r w:rsidR="00845CD6">
        <w:rPr>
          <w:b/>
          <w:bCs/>
          <w:sz w:val="32"/>
        </w:rPr>
        <w:t>4</w:t>
      </w:r>
    </w:p>
    <w:p w14:paraId="0900ABFD" w14:textId="77777777" w:rsidR="00503A15" w:rsidRDefault="00503A15" w:rsidP="00503A15">
      <w:pPr>
        <w:pBdr>
          <w:top w:val="single" w:sz="6" w:space="0" w:color="FFFFFF"/>
          <w:left w:val="single" w:sz="6" w:space="0" w:color="FFFFFF"/>
          <w:bottom w:val="single" w:sz="6" w:space="0" w:color="FFFFFF"/>
          <w:right w:val="single" w:sz="6" w:space="0" w:color="FFFFFF"/>
        </w:pBdr>
        <w:tabs>
          <w:tab w:val="left" w:pos="0"/>
          <w:tab w:val="left" w:pos="720"/>
          <w:tab w:val="left" w:pos="1202"/>
          <w:tab w:val="left" w:pos="1995"/>
          <w:tab w:val="left" w:pos="2880"/>
          <w:tab w:val="left" w:pos="3600"/>
          <w:tab w:val="left" w:pos="4320"/>
          <w:tab w:val="left" w:pos="5040"/>
          <w:tab w:val="left" w:pos="5760"/>
          <w:tab w:val="left" w:pos="6480"/>
          <w:tab w:val="left" w:pos="7200"/>
          <w:tab w:val="left" w:pos="7920"/>
          <w:tab w:val="left" w:pos="8640"/>
          <w:tab w:val="left" w:pos="9360"/>
        </w:tabs>
        <w:jc w:val="center"/>
        <w:rPr>
          <w:b/>
          <w:bCs/>
        </w:rPr>
      </w:pPr>
    </w:p>
    <w:p w14:paraId="79D2BB7C" w14:textId="77777777" w:rsidR="00503A15" w:rsidRDefault="00503A15" w:rsidP="00503A15">
      <w:pPr>
        <w:pBdr>
          <w:top w:val="single" w:sz="6" w:space="0" w:color="FFFFFF"/>
          <w:left w:val="single" w:sz="6" w:space="0" w:color="FFFFFF"/>
          <w:bottom w:val="single" w:sz="6" w:space="0" w:color="FFFFFF"/>
          <w:right w:val="single" w:sz="6" w:space="0" w:color="FFFFFF"/>
        </w:pBdr>
        <w:tabs>
          <w:tab w:val="left" w:pos="0"/>
          <w:tab w:val="left" w:pos="720"/>
          <w:tab w:val="left" w:pos="1202"/>
          <w:tab w:val="left" w:pos="1995"/>
          <w:tab w:val="left" w:pos="2880"/>
          <w:tab w:val="left" w:pos="3600"/>
          <w:tab w:val="left" w:pos="4320"/>
          <w:tab w:val="left" w:pos="5040"/>
          <w:tab w:val="left" w:pos="5760"/>
          <w:tab w:val="left" w:pos="6480"/>
          <w:tab w:val="left" w:pos="7200"/>
          <w:tab w:val="left" w:pos="7920"/>
          <w:tab w:val="left" w:pos="8640"/>
          <w:tab w:val="left" w:pos="9360"/>
        </w:tabs>
        <w:jc w:val="center"/>
      </w:pPr>
      <w:r>
        <w:rPr>
          <w:noProof/>
          <w:lang w:eastAsia="en-GB"/>
        </w:rPr>
        <mc:AlternateContent>
          <mc:Choice Requires="wps">
            <w:drawing>
              <wp:anchor distT="0" distB="0" distL="114300" distR="114300" simplePos="0" relativeHeight="251657216" behindDoc="0" locked="0" layoutInCell="1" allowOverlap="1" wp14:anchorId="69EFAEAE" wp14:editId="2B0D4598">
                <wp:simplePos x="0" y="0"/>
                <wp:positionH relativeFrom="column">
                  <wp:posOffset>2008505</wp:posOffset>
                </wp:positionH>
                <wp:positionV relativeFrom="paragraph">
                  <wp:posOffset>144780</wp:posOffset>
                </wp:positionV>
                <wp:extent cx="3429000" cy="342900"/>
                <wp:effectExtent l="8255" t="11430" r="10795" b="762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342900"/>
                        </a:xfrm>
                        <a:prstGeom prst="rect">
                          <a:avLst/>
                        </a:prstGeom>
                        <a:solidFill>
                          <a:srgbClr val="FFFFFF"/>
                        </a:solidFill>
                        <a:ln w="9525">
                          <a:solidFill>
                            <a:srgbClr val="000000"/>
                          </a:solidFill>
                          <a:miter lim="800000"/>
                          <a:headEnd/>
                          <a:tailEnd/>
                        </a:ln>
                      </wps:spPr>
                      <wps:txbx>
                        <w:txbxContent>
                          <w:p w14:paraId="60F48054" w14:textId="77777777" w:rsidR="00503A15" w:rsidRDefault="00503A15" w:rsidP="00503A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EFAEAE" id="_x0000_t202" coordsize="21600,21600" o:spt="202" path="m,l,21600r21600,l21600,xe">
                <v:stroke joinstyle="miter"/>
                <v:path gradientshapeok="t" o:connecttype="rect"/>
              </v:shapetype>
              <v:shape id="Text Box 2" o:spid="_x0000_s1026" type="#_x0000_t202" style="position:absolute;left:0;text-align:left;margin-left:158.15pt;margin-top:11.4pt;width:270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">
                <v:textbox>
                  <w:txbxContent>
                    <w:p w14:paraId="60F48054" w14:textId="77777777" w:rsidR="00503A15" w:rsidRDefault="00503A15" w:rsidP="00503A15"/>
                  </w:txbxContent>
                </v:textbox>
              </v:shape>
            </w:pict>
          </mc:Fallback>
        </mc:AlternateContent>
      </w:r>
    </w:p>
    <w:p w14:paraId="246F7531" w14:textId="77777777" w:rsidR="00503A15" w:rsidRDefault="00503A15" w:rsidP="00503A15">
      <w:pPr>
        <w:pBdr>
          <w:top w:val="single" w:sz="6" w:space="0" w:color="FFFFFF"/>
          <w:left w:val="single" w:sz="6" w:space="0" w:color="FFFFFF"/>
          <w:bottom w:val="single" w:sz="6" w:space="0" w:color="FFFFFF"/>
          <w:right w:val="single" w:sz="6" w:space="0" w:color="FFFFFF"/>
        </w:pBd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pPr>
      <w:r>
        <w:rPr>
          <w:b/>
          <w:bCs/>
        </w:rPr>
        <w:t>Supplier: (insert name)</w:t>
      </w:r>
    </w:p>
    <w:p w14:paraId="62EF9710" w14:textId="77777777" w:rsidR="00503A15" w:rsidRDefault="00503A15" w:rsidP="00503A15">
      <w:pPr>
        <w:pBdr>
          <w:top w:val="single" w:sz="6" w:space="0" w:color="FFFFFF"/>
          <w:left w:val="single" w:sz="6" w:space="0" w:color="FFFFFF"/>
          <w:bottom w:val="single" w:sz="6" w:space="0" w:color="FFFFFF"/>
          <w:right w:val="single" w:sz="6" w:space="0" w:color="FFFFFF"/>
        </w:pBd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pPr>
    </w:p>
    <w:p w14:paraId="1C833ED8" w14:textId="77777777" w:rsidR="00503A15" w:rsidRDefault="00503A15" w:rsidP="00503A15">
      <w:pPr>
        <w:pBdr>
          <w:top w:val="single" w:sz="6" w:space="0" w:color="FFFFFF"/>
          <w:left w:val="single" w:sz="6" w:space="0" w:color="FFFFFF"/>
          <w:bottom w:val="single" w:sz="6" w:space="0" w:color="FFFFFF"/>
          <w:right w:val="single" w:sz="6" w:space="0" w:color="FFFFFF"/>
        </w:pBd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jc w:val="both"/>
      </w:pPr>
      <w:r>
        <w:rPr>
          <w:noProof/>
          <w:lang w:eastAsia="en-GB"/>
        </w:rPr>
        <mc:AlternateContent>
          <mc:Choice Requires="wps">
            <w:drawing>
              <wp:anchor distT="0" distB="0" distL="114300" distR="114300" simplePos="0" relativeHeight="251658240" behindDoc="0" locked="0" layoutInCell="1" allowOverlap="1" wp14:anchorId="37339FC7" wp14:editId="52855AAD">
                <wp:simplePos x="0" y="0"/>
                <wp:positionH relativeFrom="column">
                  <wp:posOffset>2008505</wp:posOffset>
                </wp:positionH>
                <wp:positionV relativeFrom="paragraph">
                  <wp:posOffset>76200</wp:posOffset>
                </wp:positionV>
                <wp:extent cx="3368040" cy="342900"/>
                <wp:effectExtent l="8255" t="9525" r="5080" b="952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8040" cy="342900"/>
                        </a:xfrm>
                        <a:prstGeom prst="rect">
                          <a:avLst/>
                        </a:prstGeom>
                        <a:solidFill>
                          <a:srgbClr val="FFFFFF"/>
                        </a:solidFill>
                        <a:ln w="9525">
                          <a:solidFill>
                            <a:srgbClr val="000000"/>
                          </a:solidFill>
                          <a:miter lim="800000"/>
                          <a:headEnd/>
                          <a:tailEnd/>
                        </a:ln>
                      </wps:spPr>
                      <wps:txbx>
                        <w:txbxContent>
                          <w:p w14:paraId="364E463C" w14:textId="77777777" w:rsidR="00365A54" w:rsidRPr="00365A54" w:rsidRDefault="00365A54" w:rsidP="00365A54">
                            <w:pPr>
                              <w:rPr>
                                <w:b/>
                                <w:sz w:val="28"/>
                                <w:szCs w:val="28"/>
                              </w:rPr>
                            </w:pPr>
                            <w:r w:rsidRPr="00365A54">
                              <w:t>WDH/</w:t>
                            </w:r>
                            <w:r w:rsidRPr="00365A54">
                              <w:rPr>
                                <w:bCs/>
                                <w:szCs w:val="24"/>
                              </w:rPr>
                              <w:t>XXHAB/LIFTMAINTENACE/2021/2024</w:t>
                            </w:r>
                          </w:p>
                          <w:p w14:paraId="5E3F6FE8" w14:textId="77777777" w:rsidR="00503A15" w:rsidRDefault="00503A15" w:rsidP="00503A1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339FC7" id="Text Box 1" o:spid="_x0000_s1027" type="#_x0000_t202" style="position:absolute;left:0;text-align:left;margin-left:158.15pt;margin-top:6pt;width:265.2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">
                <v:textbox>
                  <w:txbxContent>
                    <w:p w14:paraId="364E463C" w14:textId="77777777" w:rsidR="00365A54" w:rsidRPr="00365A54" w:rsidRDefault="00365A54" w:rsidP="00365A54">
                      <w:pPr>
                        <w:rPr>
                          <w:b/>
                          <w:sz w:val="28"/>
                          <w:szCs w:val="28"/>
                        </w:rPr>
                      </w:pPr>
                      <w:r w:rsidRPr="00365A54">
                        <w:t>WDH/</w:t>
                      </w:r>
                      <w:r w:rsidRPr="00365A54">
                        <w:rPr>
                          <w:bCs/>
                          <w:szCs w:val="24"/>
                        </w:rPr>
                        <w:t>XXHAB/LIFTMAINTENACE/2021/2024</w:t>
                      </w:r>
                    </w:p>
                    <w:p w14:paraId="5E3F6FE8" w14:textId="77777777" w:rsidR="00503A15" w:rsidRDefault="00503A15" w:rsidP="00503A15"/>
                  </w:txbxContent>
                </v:textbox>
              </v:shape>
            </w:pict>
          </mc:Fallback>
        </mc:AlternateContent>
      </w:r>
    </w:p>
    <w:p w14:paraId="720EABDF" w14:textId="77777777" w:rsidR="00503A15" w:rsidRDefault="00503A15" w:rsidP="00503A15">
      <w:pPr>
        <w:pBdr>
          <w:top w:val="single" w:sz="6" w:space="0" w:color="FFFFFF"/>
          <w:left w:val="single" w:sz="6" w:space="0" w:color="FFFFFF"/>
          <w:bottom w:val="single" w:sz="6" w:space="0" w:color="FFFFFF"/>
          <w:right w:val="single" w:sz="6" w:space="0" w:color="FFFFFF"/>
        </w:pBd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jc w:val="both"/>
        <w:rPr>
          <w:b/>
          <w:bCs/>
        </w:rPr>
      </w:pPr>
      <w:r>
        <w:rPr>
          <w:b/>
          <w:bCs/>
        </w:rPr>
        <w:t>Tender Reference</w:t>
      </w:r>
    </w:p>
    <w:p w14:paraId="37E48E30" w14:textId="77777777" w:rsidR="00503A15" w:rsidRDefault="00503A15" w:rsidP="00503A15">
      <w:pPr>
        <w:pBdr>
          <w:top w:val="single" w:sz="6" w:space="0" w:color="FFFFFF"/>
          <w:left w:val="single" w:sz="6" w:space="0" w:color="FFFFFF"/>
          <w:bottom w:val="single" w:sz="6" w:space="0" w:color="FFFFFF"/>
          <w:right w:val="single" w:sz="6" w:space="0" w:color="FFFFFF"/>
        </w:pBd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jc w:val="both"/>
      </w:pPr>
    </w:p>
    <w:p w14:paraId="562F8ACC" w14:textId="77777777" w:rsidR="00503A15" w:rsidRDefault="00503A15" w:rsidP="00503A15">
      <w:pPr>
        <w:pBdr>
          <w:top w:val="single" w:sz="6" w:space="0" w:color="FFFFFF"/>
          <w:left w:val="single" w:sz="6" w:space="0" w:color="FFFFFF"/>
          <w:bottom w:val="single" w:sz="6" w:space="0" w:color="FFFFFF"/>
          <w:right w:val="single" w:sz="6" w:space="0" w:color="FFFFFF"/>
        </w:pBd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jc w:val="both"/>
      </w:pPr>
      <w:r>
        <w:t>Please detail below all matters (Financial, Technical, Commercial, Contractual or with the specification) in which your Tender response does not comply with the requirements laid down in the Invitation to Tender documentation.  Sequentially number each point in the first column for ease of reference.  If required, take copies of this blank form for additional points of non-compliance.  Cross-reference to any supporting information provided separately.</w:t>
      </w:r>
    </w:p>
    <w:p w14:paraId="78EC9942" w14:textId="77777777" w:rsidR="00503A15" w:rsidRDefault="00503A15" w:rsidP="00503A15">
      <w:pPr>
        <w:pBdr>
          <w:top w:val="single" w:sz="6" w:space="0" w:color="FFFFFF"/>
          <w:left w:val="single" w:sz="6" w:space="0" w:color="FFFFFF"/>
          <w:bottom w:val="single" w:sz="6" w:space="0" w:color="FFFFFF"/>
          <w:right w:val="single" w:sz="6" w:space="0" w:color="FFFFFF"/>
        </w:pBd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27C0816C" w14:textId="77777777" w:rsidR="00503A15" w:rsidRDefault="00503A15" w:rsidP="00503A15">
      <w:pPr>
        <w:pBdr>
          <w:top w:val="single" w:sz="6" w:space="0" w:color="FFFFFF"/>
          <w:left w:val="single" w:sz="6" w:space="0" w:color="FFFFFF"/>
          <w:bottom w:val="single" w:sz="6" w:space="0" w:color="FFFFFF"/>
          <w:right w:val="single" w:sz="6" w:space="0" w:color="FFFFFF"/>
        </w:pBd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r>
        <w:rPr>
          <w:sz w:val="20"/>
        </w:rPr>
        <w:t>PAGE _____ OF ______</w:t>
      </w:r>
    </w:p>
    <w:p w14:paraId="1F31DD3C" w14:textId="77777777" w:rsidR="00503A15" w:rsidRDefault="00503A15" w:rsidP="00503A15">
      <w:pPr>
        <w:pBdr>
          <w:top w:val="single" w:sz="6" w:space="0" w:color="FFFFFF"/>
          <w:left w:val="single" w:sz="6" w:space="0" w:color="FFFFFF"/>
          <w:bottom w:val="single" w:sz="6" w:space="0" w:color="FFFFFF"/>
          <w:right w:val="single" w:sz="6" w:space="0" w:color="FFFFFF"/>
        </w:pBd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4"/>
        <w:gridCol w:w="5812"/>
        <w:gridCol w:w="2551"/>
      </w:tblGrid>
      <w:tr w:rsidR="00503A15" w14:paraId="315F83AB" w14:textId="77777777" w:rsidTr="00503A15">
        <w:tc>
          <w:tcPr>
            <w:tcW w:w="1844" w:type="dxa"/>
            <w:tcBorders>
              <w:top w:val="single" w:sz="4" w:space="0" w:color="auto"/>
              <w:left w:val="single" w:sz="4" w:space="0" w:color="auto"/>
              <w:bottom w:val="single" w:sz="4" w:space="0" w:color="auto"/>
              <w:right w:val="single" w:sz="4" w:space="0" w:color="auto"/>
            </w:tcBorders>
            <w:hideMark/>
          </w:tcPr>
          <w:p w14:paraId="570107D5" w14:textId="77777777" w:rsidR="00503A15" w:rsidRDefault="00503A15">
            <w:pPr>
              <w:pStyle w:val="Footer"/>
              <w:tabs>
                <w:tab w:val="clear" w:pos="4819"/>
                <w:tab w:val="clear" w:pos="9071"/>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jc w:val="center"/>
              <w:rPr>
                <w:b/>
                <w:bCs/>
                <w:sz w:val="20"/>
              </w:rPr>
            </w:pPr>
            <w:r>
              <w:rPr>
                <w:b/>
                <w:bCs/>
                <w:sz w:val="20"/>
              </w:rPr>
              <w:t>Appendix number and part</w:t>
            </w:r>
          </w:p>
        </w:tc>
        <w:tc>
          <w:tcPr>
            <w:tcW w:w="5812" w:type="dxa"/>
            <w:tcBorders>
              <w:top w:val="single" w:sz="4" w:space="0" w:color="auto"/>
              <w:left w:val="single" w:sz="4" w:space="0" w:color="auto"/>
              <w:bottom w:val="single" w:sz="4" w:space="0" w:color="auto"/>
              <w:right w:val="single" w:sz="4" w:space="0" w:color="auto"/>
            </w:tcBorders>
            <w:hideMark/>
          </w:tcPr>
          <w:p w14:paraId="5D9669B1"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jc w:val="center"/>
              <w:rPr>
                <w:b/>
                <w:bCs/>
                <w:sz w:val="20"/>
              </w:rPr>
            </w:pPr>
            <w:r>
              <w:rPr>
                <w:b/>
                <w:bCs/>
                <w:sz w:val="20"/>
              </w:rPr>
              <w:t>Matter not complied with</w:t>
            </w:r>
          </w:p>
        </w:tc>
        <w:tc>
          <w:tcPr>
            <w:tcW w:w="2551" w:type="dxa"/>
            <w:tcBorders>
              <w:top w:val="single" w:sz="4" w:space="0" w:color="auto"/>
              <w:left w:val="single" w:sz="4" w:space="0" w:color="auto"/>
              <w:bottom w:val="single" w:sz="4" w:space="0" w:color="auto"/>
              <w:right w:val="single" w:sz="4" w:space="0" w:color="auto"/>
            </w:tcBorders>
            <w:hideMark/>
          </w:tcPr>
          <w:p w14:paraId="6E619A0B" w14:textId="77777777" w:rsidR="00503A15" w:rsidRDefault="00503A15">
            <w:pPr>
              <w:pStyle w:val="TOC2"/>
              <w:tabs>
                <w:tab w:val="clear" w:pos="720"/>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suppressAutoHyphens w:val="0"/>
              <w:spacing w:after="0"/>
              <w:jc w:val="center"/>
              <w:rPr>
                <w:bCs/>
                <w:sz w:val="20"/>
                <w:lang w:val="en-GB"/>
              </w:rPr>
            </w:pPr>
            <w:r>
              <w:rPr>
                <w:bCs/>
                <w:sz w:val="20"/>
                <w:lang w:val="en-GB"/>
              </w:rPr>
              <w:t>Extent of non-compliance/Alternative solutions</w:t>
            </w:r>
          </w:p>
        </w:tc>
      </w:tr>
      <w:tr w:rsidR="00503A15" w14:paraId="2BEA4BBE" w14:textId="77777777" w:rsidTr="000C279D">
        <w:trPr>
          <w:trHeight w:val="1134"/>
        </w:trPr>
        <w:tc>
          <w:tcPr>
            <w:tcW w:w="1844" w:type="dxa"/>
            <w:tcBorders>
              <w:top w:val="single" w:sz="4" w:space="0" w:color="auto"/>
              <w:left w:val="single" w:sz="4" w:space="0" w:color="auto"/>
              <w:bottom w:val="single" w:sz="4" w:space="0" w:color="auto"/>
              <w:right w:val="single" w:sz="4" w:space="0" w:color="auto"/>
            </w:tcBorders>
          </w:tcPr>
          <w:p w14:paraId="384B11B6"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32F33DBF"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38949EEE"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38A1E26F"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35788B3A"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6C81EDCF"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4F8D11D0"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71F13CE4"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5812" w:type="dxa"/>
            <w:tcBorders>
              <w:top w:val="single" w:sz="4" w:space="0" w:color="auto"/>
              <w:left w:val="single" w:sz="4" w:space="0" w:color="auto"/>
              <w:bottom w:val="single" w:sz="4" w:space="0" w:color="auto"/>
              <w:right w:val="single" w:sz="4" w:space="0" w:color="auto"/>
            </w:tcBorders>
          </w:tcPr>
          <w:p w14:paraId="4EB9D8FC"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551" w:type="dxa"/>
            <w:tcBorders>
              <w:top w:val="single" w:sz="4" w:space="0" w:color="auto"/>
              <w:left w:val="single" w:sz="4" w:space="0" w:color="auto"/>
              <w:bottom w:val="single" w:sz="4" w:space="0" w:color="auto"/>
              <w:right w:val="single" w:sz="4" w:space="0" w:color="auto"/>
            </w:tcBorders>
          </w:tcPr>
          <w:p w14:paraId="4AC61396"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503A15" w14:paraId="2FD58F6E" w14:textId="77777777" w:rsidTr="00503A15">
        <w:tc>
          <w:tcPr>
            <w:tcW w:w="1844" w:type="dxa"/>
            <w:tcBorders>
              <w:top w:val="single" w:sz="4" w:space="0" w:color="auto"/>
              <w:left w:val="single" w:sz="4" w:space="0" w:color="auto"/>
              <w:bottom w:val="single" w:sz="4" w:space="0" w:color="auto"/>
              <w:right w:val="single" w:sz="4" w:space="0" w:color="auto"/>
            </w:tcBorders>
          </w:tcPr>
          <w:p w14:paraId="5668813A"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023279AC"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657268AA"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71262FE7"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6108A235"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2343BDAC"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78D030F8"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65F390DA"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5812" w:type="dxa"/>
            <w:tcBorders>
              <w:top w:val="single" w:sz="4" w:space="0" w:color="auto"/>
              <w:left w:val="single" w:sz="4" w:space="0" w:color="auto"/>
              <w:bottom w:val="single" w:sz="4" w:space="0" w:color="auto"/>
              <w:right w:val="single" w:sz="4" w:space="0" w:color="auto"/>
            </w:tcBorders>
          </w:tcPr>
          <w:p w14:paraId="4C08F7A7"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551" w:type="dxa"/>
            <w:tcBorders>
              <w:top w:val="single" w:sz="4" w:space="0" w:color="auto"/>
              <w:left w:val="single" w:sz="4" w:space="0" w:color="auto"/>
              <w:bottom w:val="single" w:sz="4" w:space="0" w:color="auto"/>
              <w:right w:val="single" w:sz="4" w:space="0" w:color="auto"/>
            </w:tcBorders>
          </w:tcPr>
          <w:p w14:paraId="0F119032"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503A15" w14:paraId="2038AEBD" w14:textId="77777777" w:rsidTr="000C279D">
        <w:trPr>
          <w:trHeight w:val="1257"/>
        </w:trPr>
        <w:tc>
          <w:tcPr>
            <w:tcW w:w="1844" w:type="dxa"/>
            <w:tcBorders>
              <w:top w:val="single" w:sz="4" w:space="0" w:color="auto"/>
              <w:left w:val="single" w:sz="4" w:space="0" w:color="auto"/>
              <w:bottom w:val="single" w:sz="4" w:space="0" w:color="auto"/>
              <w:right w:val="single" w:sz="4" w:space="0" w:color="auto"/>
            </w:tcBorders>
          </w:tcPr>
          <w:p w14:paraId="2EEC2A75"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35258686"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7BA6891C"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3EE6ED7C"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3C3180B1"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5222ED8D"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21001F9A"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p w14:paraId="1CC92792"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5812" w:type="dxa"/>
            <w:tcBorders>
              <w:top w:val="single" w:sz="4" w:space="0" w:color="auto"/>
              <w:left w:val="single" w:sz="4" w:space="0" w:color="auto"/>
              <w:bottom w:val="single" w:sz="4" w:space="0" w:color="auto"/>
              <w:right w:val="single" w:sz="4" w:space="0" w:color="auto"/>
            </w:tcBorders>
          </w:tcPr>
          <w:p w14:paraId="6BFFD099"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551" w:type="dxa"/>
            <w:tcBorders>
              <w:top w:val="single" w:sz="4" w:space="0" w:color="auto"/>
              <w:left w:val="single" w:sz="4" w:space="0" w:color="auto"/>
              <w:bottom w:val="single" w:sz="4" w:space="0" w:color="auto"/>
              <w:right w:val="single" w:sz="4" w:space="0" w:color="auto"/>
            </w:tcBorders>
          </w:tcPr>
          <w:p w14:paraId="4FF25F23" w14:textId="77777777" w:rsidR="00503A15" w:rsidRDefault="00503A15">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0C279D" w14:paraId="3A4FBBA5" w14:textId="77777777" w:rsidTr="000C279D">
        <w:trPr>
          <w:trHeight w:val="1397"/>
        </w:trPr>
        <w:tc>
          <w:tcPr>
            <w:tcW w:w="1844" w:type="dxa"/>
            <w:tcBorders>
              <w:top w:val="single" w:sz="4" w:space="0" w:color="auto"/>
              <w:left w:val="single" w:sz="4" w:space="0" w:color="auto"/>
              <w:bottom w:val="single" w:sz="4" w:space="0" w:color="auto"/>
              <w:right w:val="single" w:sz="4" w:space="0" w:color="auto"/>
            </w:tcBorders>
          </w:tcPr>
          <w:p w14:paraId="537192F3" w14:textId="77777777" w:rsidR="000C279D" w:rsidRDefault="000C279D">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5812" w:type="dxa"/>
            <w:tcBorders>
              <w:top w:val="single" w:sz="4" w:space="0" w:color="auto"/>
              <w:left w:val="single" w:sz="4" w:space="0" w:color="auto"/>
              <w:bottom w:val="single" w:sz="4" w:space="0" w:color="auto"/>
              <w:right w:val="single" w:sz="4" w:space="0" w:color="auto"/>
            </w:tcBorders>
          </w:tcPr>
          <w:p w14:paraId="471F492C" w14:textId="77777777" w:rsidR="000C279D" w:rsidRDefault="000C279D">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551" w:type="dxa"/>
            <w:tcBorders>
              <w:top w:val="single" w:sz="4" w:space="0" w:color="auto"/>
              <w:left w:val="single" w:sz="4" w:space="0" w:color="auto"/>
              <w:bottom w:val="single" w:sz="4" w:space="0" w:color="auto"/>
              <w:right w:val="single" w:sz="4" w:space="0" w:color="auto"/>
            </w:tcBorders>
          </w:tcPr>
          <w:p w14:paraId="1646EF1C" w14:textId="77777777" w:rsidR="000C279D" w:rsidRDefault="000C279D">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r>
      <w:tr w:rsidR="000C279D" w14:paraId="5FE891F2" w14:textId="77777777" w:rsidTr="000C279D">
        <w:trPr>
          <w:trHeight w:val="1403"/>
        </w:trPr>
        <w:tc>
          <w:tcPr>
            <w:tcW w:w="1844" w:type="dxa"/>
            <w:tcBorders>
              <w:top w:val="single" w:sz="4" w:space="0" w:color="auto"/>
              <w:left w:val="single" w:sz="4" w:space="0" w:color="auto"/>
              <w:bottom w:val="single" w:sz="4" w:space="0" w:color="auto"/>
              <w:right w:val="single" w:sz="4" w:space="0" w:color="auto"/>
            </w:tcBorders>
          </w:tcPr>
          <w:p w14:paraId="4F967EFB" w14:textId="77777777" w:rsidR="000C279D" w:rsidRDefault="000C279D">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5812" w:type="dxa"/>
            <w:tcBorders>
              <w:top w:val="single" w:sz="4" w:space="0" w:color="auto"/>
              <w:left w:val="single" w:sz="4" w:space="0" w:color="auto"/>
              <w:bottom w:val="single" w:sz="4" w:space="0" w:color="auto"/>
              <w:right w:val="single" w:sz="4" w:space="0" w:color="auto"/>
            </w:tcBorders>
          </w:tcPr>
          <w:p w14:paraId="5B9242F1" w14:textId="77777777" w:rsidR="000C279D" w:rsidRDefault="000C279D">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c>
          <w:tcPr>
            <w:tcW w:w="2551" w:type="dxa"/>
            <w:tcBorders>
              <w:top w:val="single" w:sz="4" w:space="0" w:color="auto"/>
              <w:left w:val="single" w:sz="4" w:space="0" w:color="auto"/>
              <w:bottom w:val="single" w:sz="4" w:space="0" w:color="auto"/>
              <w:right w:val="single" w:sz="4" w:space="0" w:color="auto"/>
            </w:tcBorders>
          </w:tcPr>
          <w:p w14:paraId="151EF6A3" w14:textId="77777777" w:rsidR="000C279D" w:rsidRDefault="000C279D">
            <w:pPr>
              <w:tabs>
                <w:tab w:val="left" w:pos="0"/>
                <w:tab w:val="left" w:pos="465"/>
                <w:tab w:val="left" w:pos="636"/>
                <w:tab w:val="left" w:pos="1995"/>
                <w:tab w:val="left" w:pos="2880"/>
                <w:tab w:val="left" w:pos="3600"/>
                <w:tab w:val="left" w:pos="4320"/>
                <w:tab w:val="left" w:pos="5040"/>
                <w:tab w:val="left" w:pos="5760"/>
                <w:tab w:val="left" w:pos="6480"/>
                <w:tab w:val="left" w:pos="7200"/>
                <w:tab w:val="left" w:pos="7920"/>
                <w:tab w:val="left" w:pos="8640"/>
                <w:tab w:val="left" w:pos="9360"/>
              </w:tabs>
              <w:rPr>
                <w:sz w:val="20"/>
              </w:rPr>
            </w:pPr>
          </w:p>
        </w:tc>
      </w:tr>
    </w:tbl>
    <w:p w14:paraId="447546DF" w14:textId="77777777" w:rsidR="00503A15" w:rsidRDefault="00503A15" w:rsidP="00503A15">
      <w:pPr>
        <w:rPr>
          <w:sz w:val="20"/>
        </w:rPr>
        <w:sectPr w:rsidR="00503A15">
          <w:footerReference w:type="default" r:id="rId6"/>
          <w:pgSz w:w="11906" w:h="16838"/>
          <w:pgMar w:top="737" w:right="1418" w:bottom="737" w:left="1418" w:header="709" w:footer="709" w:gutter="0"/>
          <w:cols w:space="720"/>
        </w:sectPr>
      </w:pPr>
    </w:p>
    <w:p w14:paraId="622CC0DC" w14:textId="77777777" w:rsidR="00C721E7" w:rsidRDefault="00C721E7" w:rsidP="000C279D"/>
    <w:sectPr w:rsidR="00C721E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6ECB7" w14:textId="77777777" w:rsidR="000C279D" w:rsidRDefault="000C279D" w:rsidP="000C279D">
      <w:r>
        <w:separator/>
      </w:r>
    </w:p>
  </w:endnote>
  <w:endnote w:type="continuationSeparator" w:id="0">
    <w:p w14:paraId="04C4D595" w14:textId="77777777" w:rsidR="000C279D" w:rsidRDefault="000C279D" w:rsidP="000C27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AD94BD" w14:textId="3E7AEEF5" w:rsidR="000C279D" w:rsidRDefault="000C279D">
    <w:pPr>
      <w:pStyle w:val="Footer"/>
    </w:pPr>
    <w:r>
      <w:t xml:space="preserve">Lift </w:t>
    </w:r>
    <w:r w:rsidR="00365A54">
      <w:t>Maintenance and Servicing March 2021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E4AAF7" w14:textId="77777777" w:rsidR="000C279D" w:rsidRDefault="000C279D" w:rsidP="000C279D">
      <w:r>
        <w:separator/>
      </w:r>
    </w:p>
  </w:footnote>
  <w:footnote w:type="continuationSeparator" w:id="0">
    <w:p w14:paraId="43C19ADF" w14:textId="77777777" w:rsidR="000C279D" w:rsidRDefault="000C279D" w:rsidP="000C279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03A15"/>
    <w:rsid w:val="000C279D"/>
    <w:rsid w:val="00365A54"/>
    <w:rsid w:val="00503A15"/>
    <w:rsid w:val="00784634"/>
    <w:rsid w:val="00845CD6"/>
    <w:rsid w:val="00C721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766130"/>
  <w15:docId w15:val="{21A0949C-54AF-4910-850B-23991B59EC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3A15"/>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unhideWhenUsed/>
    <w:rsid w:val="00503A15"/>
    <w:pPr>
      <w:tabs>
        <w:tab w:val="left" w:pos="720"/>
      </w:tabs>
      <w:suppressAutoHyphens/>
      <w:spacing w:after="120"/>
    </w:pPr>
    <w:rPr>
      <w:b/>
      <w:lang w:val="en-US"/>
    </w:rPr>
  </w:style>
  <w:style w:type="paragraph" w:styleId="Footer">
    <w:name w:val="footer"/>
    <w:basedOn w:val="Normal"/>
    <w:link w:val="FooterChar"/>
    <w:unhideWhenUsed/>
    <w:rsid w:val="00503A15"/>
    <w:pPr>
      <w:tabs>
        <w:tab w:val="center" w:pos="4819"/>
        <w:tab w:val="right" w:pos="9071"/>
      </w:tabs>
    </w:pPr>
  </w:style>
  <w:style w:type="character" w:customStyle="1" w:styleId="FooterChar">
    <w:name w:val="Footer Char"/>
    <w:basedOn w:val="DefaultParagraphFont"/>
    <w:link w:val="Footer"/>
    <w:rsid w:val="00503A15"/>
    <w:rPr>
      <w:rFonts w:ascii="Arial" w:eastAsia="Times New Roman" w:hAnsi="Arial" w:cs="Times New Roman"/>
      <w:sz w:val="24"/>
      <w:szCs w:val="20"/>
    </w:rPr>
  </w:style>
  <w:style w:type="paragraph" w:styleId="Header">
    <w:name w:val="header"/>
    <w:basedOn w:val="Normal"/>
    <w:link w:val="HeaderChar"/>
    <w:uiPriority w:val="99"/>
    <w:unhideWhenUsed/>
    <w:rsid w:val="000C279D"/>
    <w:pPr>
      <w:tabs>
        <w:tab w:val="center" w:pos="4513"/>
        <w:tab w:val="right" w:pos="9026"/>
      </w:tabs>
    </w:pPr>
  </w:style>
  <w:style w:type="character" w:customStyle="1" w:styleId="HeaderChar">
    <w:name w:val="Header Char"/>
    <w:basedOn w:val="DefaultParagraphFont"/>
    <w:link w:val="Header"/>
    <w:uiPriority w:val="99"/>
    <w:rsid w:val="000C279D"/>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28793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105</Words>
  <Characters>601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WDH</Company>
  <LinksUpToDate>false</LinksUpToDate>
  <CharactersWithSpaces>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Cornwall, Donald</dc:creator>
  <cp:lastModifiedBy>Smith, Andrew</cp:lastModifiedBy>
  <cp:revision>3</cp:revision>
  <dcterms:created xsi:type="dcterms:W3CDTF">2021-03-26T11:18:00Z</dcterms:created>
  <dcterms:modified xsi:type="dcterms:W3CDTF">2021-04-01T13:28:00Z</dcterms:modified>
</cp:coreProperties>
</file>