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D946" w14:textId="3C1401A1" w:rsidR="00EB4DA2" w:rsidRPr="008A378C" w:rsidRDefault="008A378C">
      <w:pPr>
        <w:rPr>
          <w:rFonts w:cstheme="minorHAnsi"/>
          <w:b/>
          <w:bCs/>
          <w:sz w:val="24"/>
          <w:szCs w:val="24"/>
          <w:u w:val="single"/>
        </w:rPr>
      </w:pPr>
      <w:r w:rsidRPr="008A378C">
        <w:rPr>
          <w:rFonts w:cstheme="minorHAnsi"/>
          <w:b/>
          <w:bCs/>
          <w:sz w:val="24"/>
          <w:szCs w:val="24"/>
          <w:u w:val="single"/>
        </w:rPr>
        <w:t xml:space="preserve">Maidstone </w:t>
      </w:r>
      <w:r w:rsidR="00EB4DA2" w:rsidRPr="008A378C">
        <w:rPr>
          <w:rFonts w:cstheme="minorHAnsi"/>
          <w:b/>
          <w:bCs/>
          <w:sz w:val="24"/>
          <w:szCs w:val="24"/>
          <w:u w:val="single"/>
        </w:rPr>
        <w:t>Town Centre Strategy Development</w:t>
      </w:r>
    </w:p>
    <w:p w14:paraId="28A253D7" w14:textId="35F696A5" w:rsidR="00EB4DA2" w:rsidRPr="008A378C" w:rsidRDefault="00EB4DA2">
      <w:pPr>
        <w:rPr>
          <w:rFonts w:cstheme="minorHAnsi"/>
          <w:b/>
          <w:bCs/>
          <w:sz w:val="24"/>
          <w:szCs w:val="24"/>
        </w:rPr>
      </w:pPr>
      <w:r w:rsidRPr="008A378C">
        <w:rPr>
          <w:rFonts w:cstheme="minorHAnsi"/>
          <w:b/>
          <w:bCs/>
          <w:sz w:val="24"/>
          <w:szCs w:val="24"/>
        </w:rPr>
        <w:t>Context</w:t>
      </w:r>
    </w:p>
    <w:p w14:paraId="71D918A5" w14:textId="7A94ED1A" w:rsidR="00DF03E9" w:rsidRPr="00016942" w:rsidRDefault="00EB4DA2">
      <w:pPr>
        <w:rPr>
          <w:rFonts w:cstheme="minorHAnsi"/>
          <w:sz w:val="24"/>
          <w:szCs w:val="24"/>
        </w:rPr>
      </w:pPr>
      <w:r w:rsidRPr="00016942">
        <w:rPr>
          <w:rFonts w:cstheme="minorHAnsi"/>
          <w:sz w:val="24"/>
          <w:szCs w:val="24"/>
        </w:rPr>
        <w:t>Maidstone Council</w:t>
      </w:r>
      <w:r w:rsidR="00DF03E9" w:rsidRPr="00016942">
        <w:rPr>
          <w:rFonts w:cstheme="minorHAnsi"/>
          <w:sz w:val="24"/>
          <w:szCs w:val="24"/>
        </w:rPr>
        <w:t xml:space="preserve"> is </w:t>
      </w:r>
      <w:r w:rsidRPr="00016942">
        <w:rPr>
          <w:rFonts w:cstheme="minorHAnsi"/>
          <w:sz w:val="24"/>
          <w:szCs w:val="24"/>
        </w:rPr>
        <w:t>produc</w:t>
      </w:r>
      <w:r w:rsidR="00DF03E9" w:rsidRPr="00016942">
        <w:rPr>
          <w:rFonts w:cstheme="minorHAnsi"/>
          <w:sz w:val="24"/>
          <w:szCs w:val="24"/>
        </w:rPr>
        <w:t>ing</w:t>
      </w:r>
      <w:r w:rsidRPr="00016942">
        <w:rPr>
          <w:rFonts w:cstheme="minorHAnsi"/>
          <w:sz w:val="24"/>
          <w:szCs w:val="24"/>
        </w:rPr>
        <w:t xml:space="preserve"> a town centre strategy the purpose of which is to establish and provide clarity on the long-term vision for the town centre, complemented by a comprehensive delivery plan to achieve this. This work </w:t>
      </w:r>
      <w:r w:rsidR="00DF03E9" w:rsidRPr="00016942">
        <w:rPr>
          <w:rFonts w:cstheme="minorHAnsi"/>
          <w:sz w:val="24"/>
          <w:szCs w:val="24"/>
        </w:rPr>
        <w:t xml:space="preserve">will </w:t>
      </w:r>
      <w:r w:rsidRPr="00016942">
        <w:rPr>
          <w:rFonts w:cstheme="minorHAnsi"/>
          <w:sz w:val="24"/>
          <w:szCs w:val="24"/>
        </w:rPr>
        <w:t xml:space="preserve">be underpinned by a set of core principles which reflect the vision for both the county town at the heart of Kent and a borough with vibrant and prosperous urban and rural communities. </w:t>
      </w:r>
    </w:p>
    <w:p w14:paraId="06B4F0FB" w14:textId="7FA3CC40" w:rsidR="00DF03E9" w:rsidRPr="00016942" w:rsidRDefault="00DF03E9" w:rsidP="00DF03E9">
      <w:pPr>
        <w:rPr>
          <w:rFonts w:cstheme="minorHAnsi"/>
          <w:sz w:val="24"/>
          <w:szCs w:val="24"/>
        </w:rPr>
      </w:pPr>
      <w:r w:rsidRPr="00016942">
        <w:rPr>
          <w:rFonts w:cstheme="minorHAnsi"/>
          <w:sz w:val="24"/>
          <w:szCs w:val="24"/>
        </w:rPr>
        <w:t xml:space="preserve">The aim is for the strategy to </w:t>
      </w:r>
    </w:p>
    <w:p w14:paraId="5F8B9BF4" w14:textId="7E191EAF" w:rsidR="00F97C50" w:rsidRPr="00016942" w:rsidRDefault="00F97C50" w:rsidP="00DF03E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6942">
        <w:rPr>
          <w:rFonts w:cstheme="minorHAnsi"/>
          <w:sz w:val="24"/>
          <w:szCs w:val="24"/>
        </w:rPr>
        <w:t>Strengthen the economic base of the town centre</w:t>
      </w:r>
    </w:p>
    <w:p w14:paraId="0418CCC3" w14:textId="74B33DF4" w:rsidR="00DF03E9" w:rsidRPr="00016942" w:rsidRDefault="00016942" w:rsidP="00DF03E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DF03E9" w:rsidRPr="00016942">
        <w:rPr>
          <w:rFonts w:cstheme="minorHAnsi"/>
          <w:sz w:val="24"/>
          <w:szCs w:val="24"/>
        </w:rPr>
        <w:t>ring about the re-invention and renaissance of Maidstone town centre as an exemplar of sustainability</w:t>
      </w:r>
      <w:r w:rsidR="006F7EDC">
        <w:rPr>
          <w:rFonts w:cstheme="minorHAnsi"/>
          <w:sz w:val="24"/>
          <w:szCs w:val="24"/>
        </w:rPr>
        <w:t xml:space="preserve"> and design</w:t>
      </w:r>
    </w:p>
    <w:p w14:paraId="18FD4EE8" w14:textId="5E3492D6" w:rsidR="00DF03E9" w:rsidRPr="00016942" w:rsidRDefault="00016942" w:rsidP="00DF03E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DF03E9" w:rsidRPr="00016942">
        <w:rPr>
          <w:rFonts w:cstheme="minorHAnsi"/>
          <w:sz w:val="24"/>
          <w:szCs w:val="24"/>
        </w:rPr>
        <w:t xml:space="preserve">ave a strong focus around heritage, arts, culture, </w:t>
      </w:r>
      <w:r w:rsidR="008A378C" w:rsidRPr="00016942">
        <w:rPr>
          <w:rFonts w:cstheme="minorHAnsi"/>
          <w:sz w:val="24"/>
          <w:szCs w:val="24"/>
        </w:rPr>
        <w:t>leisure,</w:t>
      </w:r>
      <w:r w:rsidR="00DF03E9" w:rsidRPr="00016942">
        <w:rPr>
          <w:rFonts w:cstheme="minorHAnsi"/>
          <w:sz w:val="24"/>
          <w:szCs w:val="24"/>
        </w:rPr>
        <w:t xml:space="preserve"> and the visitor economy</w:t>
      </w:r>
      <w:r w:rsidR="00D24C7D">
        <w:rPr>
          <w:rFonts w:cstheme="minorHAnsi"/>
          <w:sz w:val="24"/>
          <w:szCs w:val="24"/>
        </w:rPr>
        <w:t xml:space="preserve"> including the evening economy</w:t>
      </w:r>
    </w:p>
    <w:p w14:paraId="7BBBDB73" w14:textId="32267213" w:rsidR="005E4292" w:rsidRPr="00016942" w:rsidRDefault="00016942" w:rsidP="00DF03E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DF03E9" w:rsidRPr="00016942">
        <w:rPr>
          <w:rFonts w:cstheme="minorHAnsi"/>
          <w:sz w:val="24"/>
          <w:szCs w:val="24"/>
        </w:rPr>
        <w:t>reate a place where people want to live and feel safe</w:t>
      </w:r>
      <w:r w:rsidR="006F7EDC">
        <w:rPr>
          <w:rFonts w:cstheme="minorHAnsi"/>
          <w:sz w:val="24"/>
          <w:szCs w:val="24"/>
        </w:rPr>
        <w:t xml:space="preserve"> including in the public realm</w:t>
      </w:r>
    </w:p>
    <w:p w14:paraId="764DC223" w14:textId="5EEF6A73" w:rsidR="00DF03E9" w:rsidRPr="00016942" w:rsidRDefault="00016942" w:rsidP="00DF03E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5E4292" w:rsidRPr="00016942">
        <w:rPr>
          <w:rFonts w:cstheme="minorHAnsi"/>
          <w:sz w:val="24"/>
          <w:szCs w:val="24"/>
        </w:rPr>
        <w:t>ave</w:t>
      </w:r>
      <w:r w:rsidR="00DF03E9" w:rsidRPr="00016942">
        <w:rPr>
          <w:rFonts w:cstheme="minorHAnsi"/>
          <w:sz w:val="24"/>
          <w:szCs w:val="24"/>
        </w:rPr>
        <w:t xml:space="preserve"> an equal emphasis upon the town centre as </w:t>
      </w:r>
      <w:r w:rsidR="00D24C7D">
        <w:rPr>
          <w:rFonts w:cstheme="minorHAnsi"/>
          <w:sz w:val="24"/>
          <w:szCs w:val="24"/>
        </w:rPr>
        <w:t xml:space="preserve">the County Town including as </w:t>
      </w:r>
      <w:r w:rsidR="00DF03E9" w:rsidRPr="00016942">
        <w:rPr>
          <w:rFonts w:cstheme="minorHAnsi"/>
          <w:sz w:val="24"/>
          <w:szCs w:val="24"/>
        </w:rPr>
        <w:t>a district/regional destination for those visiting it from within the borough and beyond and its role as a local centre for those who live in the town centre or in the surrounding area.</w:t>
      </w:r>
    </w:p>
    <w:p w14:paraId="7B794218" w14:textId="77777777" w:rsidR="005E4292" w:rsidRPr="00016942" w:rsidRDefault="00DF03E9">
      <w:pPr>
        <w:rPr>
          <w:rFonts w:cstheme="minorHAnsi"/>
          <w:sz w:val="24"/>
          <w:szCs w:val="24"/>
        </w:rPr>
      </w:pPr>
      <w:r w:rsidRPr="00016942">
        <w:rPr>
          <w:rFonts w:cstheme="minorHAnsi"/>
          <w:sz w:val="24"/>
          <w:szCs w:val="24"/>
        </w:rPr>
        <w:t xml:space="preserve">It will </w:t>
      </w:r>
    </w:p>
    <w:p w14:paraId="48B7CBCA" w14:textId="5BFF546F" w:rsidR="005E4292" w:rsidRPr="00016942" w:rsidRDefault="008A378C" w:rsidP="005E429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EB4DA2" w:rsidRPr="00016942">
        <w:rPr>
          <w:rFonts w:cstheme="minorHAnsi"/>
          <w:sz w:val="24"/>
          <w:szCs w:val="24"/>
        </w:rPr>
        <w:t>uide regeneration</w:t>
      </w:r>
      <w:r w:rsidR="00551F73">
        <w:rPr>
          <w:rFonts w:cstheme="minorHAnsi"/>
          <w:sz w:val="24"/>
          <w:szCs w:val="24"/>
        </w:rPr>
        <w:t>, investment</w:t>
      </w:r>
      <w:r w:rsidR="005E4292" w:rsidRPr="00016942">
        <w:rPr>
          <w:rFonts w:cstheme="minorHAnsi"/>
          <w:sz w:val="24"/>
          <w:szCs w:val="24"/>
        </w:rPr>
        <w:t xml:space="preserve"> </w:t>
      </w:r>
      <w:r w:rsidR="00D24C7D">
        <w:rPr>
          <w:rFonts w:cstheme="minorHAnsi"/>
          <w:sz w:val="24"/>
          <w:szCs w:val="24"/>
        </w:rPr>
        <w:t xml:space="preserve">(including directly by MBC) </w:t>
      </w:r>
      <w:r w:rsidR="005E4292" w:rsidRPr="00016942">
        <w:rPr>
          <w:rFonts w:cstheme="minorHAnsi"/>
          <w:sz w:val="24"/>
          <w:szCs w:val="24"/>
        </w:rPr>
        <w:t>and</w:t>
      </w:r>
      <w:r w:rsidR="00EB4DA2" w:rsidRPr="00016942">
        <w:rPr>
          <w:rFonts w:cstheme="minorHAnsi"/>
          <w:sz w:val="24"/>
          <w:szCs w:val="24"/>
        </w:rPr>
        <w:t xml:space="preserve"> development</w:t>
      </w:r>
    </w:p>
    <w:p w14:paraId="134CB4E7" w14:textId="41E6EC4E" w:rsidR="005E4292" w:rsidRPr="00016942" w:rsidRDefault="008A378C" w:rsidP="005E429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5E4292" w:rsidRPr="00016942">
        <w:rPr>
          <w:rFonts w:cstheme="minorHAnsi"/>
          <w:sz w:val="24"/>
          <w:szCs w:val="24"/>
        </w:rPr>
        <w:t>uide</w:t>
      </w:r>
      <w:r w:rsidR="00EB4DA2" w:rsidRPr="00016942">
        <w:rPr>
          <w:rFonts w:cstheme="minorHAnsi"/>
          <w:sz w:val="24"/>
          <w:szCs w:val="24"/>
        </w:rPr>
        <w:t xml:space="preserve"> infrastructure provision</w:t>
      </w:r>
    </w:p>
    <w:p w14:paraId="506D782D" w14:textId="63BA9866" w:rsidR="005E4292" w:rsidRPr="00016942" w:rsidRDefault="008A378C" w:rsidP="005E429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EB4DA2" w:rsidRPr="00016942">
        <w:rPr>
          <w:rFonts w:cstheme="minorHAnsi"/>
          <w:sz w:val="24"/>
          <w:szCs w:val="24"/>
        </w:rPr>
        <w:t>n the short / medium term</w:t>
      </w:r>
      <w:r w:rsidR="005E4292" w:rsidRPr="00016942">
        <w:rPr>
          <w:rFonts w:cstheme="minorHAnsi"/>
          <w:sz w:val="24"/>
          <w:szCs w:val="24"/>
        </w:rPr>
        <w:t xml:space="preserve"> enable</w:t>
      </w:r>
      <w:r w:rsidR="00EB4DA2" w:rsidRPr="00016942">
        <w:rPr>
          <w:rFonts w:cstheme="minorHAnsi"/>
          <w:sz w:val="24"/>
          <w:szCs w:val="24"/>
        </w:rPr>
        <w:t xml:space="preserve"> the provision of support to town centre communities and businesses in continuing to recover from, and respond to, the impacts of the Covid-19 pandemic and a post-Brexit economy</w:t>
      </w:r>
    </w:p>
    <w:p w14:paraId="2FADB49C" w14:textId="1E5CD91E" w:rsidR="00EB4DA2" w:rsidRPr="00016942" w:rsidRDefault="008A378C" w:rsidP="005E429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5E4292" w:rsidRPr="00016942">
        <w:rPr>
          <w:rFonts w:cstheme="minorHAnsi"/>
          <w:sz w:val="24"/>
          <w:szCs w:val="24"/>
        </w:rPr>
        <w:t>nable p</w:t>
      </w:r>
      <w:r w:rsidR="00EB4DA2" w:rsidRPr="00016942">
        <w:rPr>
          <w:rFonts w:cstheme="minorHAnsi"/>
          <w:sz w:val="24"/>
          <w:szCs w:val="24"/>
        </w:rPr>
        <w:t xml:space="preserve">roactive management of potential change resulting from the relaxation of planning rules </w:t>
      </w:r>
    </w:p>
    <w:p w14:paraId="58F641C9" w14:textId="49F2A7C0" w:rsidR="005E4292" w:rsidRPr="00016942" w:rsidRDefault="008A378C" w:rsidP="005E429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5E4292" w:rsidRPr="00016942">
        <w:rPr>
          <w:rFonts w:cstheme="minorHAnsi"/>
          <w:sz w:val="24"/>
          <w:szCs w:val="24"/>
        </w:rPr>
        <w:t xml:space="preserve">e complemented in the short term by investment of resources via the UK Shared Prosperity Fund (around £1m) and Safer Streets Fund (£.56m) </w:t>
      </w:r>
    </w:p>
    <w:p w14:paraId="75F9C586" w14:textId="3B870BBF" w:rsidR="008A378C" w:rsidRDefault="008A37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More detail on the background and scope of this work is contained in a report to the Council’s Policy and Resources Committee in March 2022 available via the Council’s web site. </w:t>
      </w:r>
    </w:p>
    <w:p w14:paraId="5BF2EAA4" w14:textId="7D1A5347" w:rsidR="00DD0A95" w:rsidRPr="00016942" w:rsidRDefault="00DD0A95">
      <w:pPr>
        <w:rPr>
          <w:rFonts w:cstheme="minorHAnsi"/>
          <w:sz w:val="24"/>
          <w:szCs w:val="24"/>
        </w:rPr>
      </w:pPr>
      <w:r w:rsidRPr="00016942">
        <w:rPr>
          <w:rFonts w:cstheme="minorHAnsi"/>
          <w:sz w:val="24"/>
          <w:szCs w:val="24"/>
        </w:rPr>
        <w:t>The strategy will be used to</w:t>
      </w:r>
    </w:p>
    <w:p w14:paraId="600F6B78" w14:textId="43325E0C" w:rsidR="00DD0A95" w:rsidRDefault="008A378C" w:rsidP="00DD0A9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DD0A95" w:rsidRPr="00016942">
        <w:rPr>
          <w:rFonts w:cstheme="minorHAnsi"/>
          <w:sz w:val="24"/>
          <w:szCs w:val="24"/>
        </w:rPr>
        <w:t>omplement the current Local Plan (at examination in September 2022) and inform the next plan potentially being developed into a Development Plan Document</w:t>
      </w:r>
    </w:p>
    <w:p w14:paraId="35596DBE" w14:textId="5CB4744B" w:rsidR="00551F73" w:rsidRPr="00016942" w:rsidRDefault="00551F73" w:rsidP="00DD0A9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Deliver actions of the Economic Development strategy (adopted 2021) </w:t>
      </w:r>
      <w:proofErr w:type="gramStart"/>
      <w:r>
        <w:rPr>
          <w:rFonts w:cstheme="minorHAnsi"/>
          <w:sz w:val="24"/>
          <w:szCs w:val="24"/>
        </w:rPr>
        <w:t>in particular Priority</w:t>
      </w:r>
      <w:proofErr w:type="gramEnd"/>
      <w:r>
        <w:rPr>
          <w:rFonts w:cstheme="minorHAnsi"/>
          <w:sz w:val="24"/>
          <w:szCs w:val="24"/>
        </w:rPr>
        <w:t xml:space="preserve"> 5 ‘Destination Maidstone Town Centre.</w:t>
      </w:r>
    </w:p>
    <w:p w14:paraId="462EB35C" w14:textId="31CB5D61" w:rsidR="00DD0A95" w:rsidRPr="00016942" w:rsidRDefault="008A378C" w:rsidP="00DD0A9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DD0A95" w:rsidRPr="00016942">
        <w:rPr>
          <w:rFonts w:cstheme="minorHAnsi"/>
          <w:sz w:val="24"/>
          <w:szCs w:val="24"/>
        </w:rPr>
        <w:t>nform actions and projects undertaken to achieve the future vision</w:t>
      </w:r>
    </w:p>
    <w:p w14:paraId="226F3BB8" w14:textId="2249611D" w:rsidR="00DD0A95" w:rsidRPr="00016942" w:rsidRDefault="008A378C" w:rsidP="00DD0A9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DD0A95" w:rsidRPr="00016942">
        <w:rPr>
          <w:rFonts w:cstheme="minorHAnsi"/>
          <w:sz w:val="24"/>
          <w:szCs w:val="24"/>
        </w:rPr>
        <w:t>nform future bids for funding including through Levelling Up</w:t>
      </w:r>
    </w:p>
    <w:p w14:paraId="5F527BA8" w14:textId="738AD85B" w:rsidR="00DD0A95" w:rsidRPr="00016942" w:rsidRDefault="008A378C" w:rsidP="00DD0A9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DD0A95" w:rsidRPr="00016942">
        <w:rPr>
          <w:rFonts w:cstheme="minorHAnsi"/>
          <w:sz w:val="24"/>
          <w:szCs w:val="24"/>
        </w:rPr>
        <w:t>romote inward investment into the town centre</w:t>
      </w:r>
    </w:p>
    <w:p w14:paraId="1F231665" w14:textId="112089B8" w:rsidR="00EB4DA2" w:rsidRPr="008A378C" w:rsidRDefault="00EB4DA2">
      <w:pPr>
        <w:rPr>
          <w:rFonts w:cstheme="minorHAnsi"/>
          <w:b/>
          <w:bCs/>
          <w:sz w:val="24"/>
          <w:szCs w:val="24"/>
        </w:rPr>
      </w:pPr>
      <w:r w:rsidRPr="008A378C">
        <w:rPr>
          <w:rFonts w:cstheme="minorHAnsi"/>
          <w:b/>
          <w:bCs/>
          <w:sz w:val="24"/>
          <w:szCs w:val="24"/>
        </w:rPr>
        <w:t>Market Engagement</w:t>
      </w:r>
    </w:p>
    <w:p w14:paraId="18CEB8F4" w14:textId="2721E68C" w:rsidR="00EB4DA2" w:rsidRPr="00016942" w:rsidRDefault="005E4292">
      <w:pPr>
        <w:rPr>
          <w:rFonts w:cstheme="minorHAnsi"/>
          <w:sz w:val="24"/>
          <w:szCs w:val="24"/>
        </w:rPr>
      </w:pPr>
      <w:r w:rsidRPr="00016942">
        <w:rPr>
          <w:rFonts w:cstheme="minorHAnsi"/>
          <w:sz w:val="24"/>
          <w:szCs w:val="24"/>
        </w:rPr>
        <w:t xml:space="preserve">To achieve this MBC is looking to engage a professional team which will work collaboratively with the council’s project team </w:t>
      </w:r>
      <w:r w:rsidR="00016942">
        <w:rPr>
          <w:rFonts w:cstheme="minorHAnsi"/>
          <w:sz w:val="24"/>
          <w:szCs w:val="24"/>
        </w:rPr>
        <w:t xml:space="preserve">and </w:t>
      </w:r>
      <w:r w:rsidRPr="00016942">
        <w:rPr>
          <w:rFonts w:cstheme="minorHAnsi"/>
          <w:sz w:val="24"/>
          <w:szCs w:val="24"/>
        </w:rPr>
        <w:t xml:space="preserve">assist in producing </w:t>
      </w:r>
    </w:p>
    <w:p w14:paraId="27BD53AE" w14:textId="4E5A1548" w:rsidR="005E4292" w:rsidRPr="00016942" w:rsidRDefault="008A378C" w:rsidP="005E429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5E4292" w:rsidRPr="00016942">
        <w:rPr>
          <w:rFonts w:cstheme="minorHAnsi"/>
          <w:sz w:val="24"/>
          <w:szCs w:val="24"/>
        </w:rPr>
        <w:t xml:space="preserve"> “masterplan” of what goes where</w:t>
      </w:r>
      <w:r w:rsidR="006F7EDC">
        <w:rPr>
          <w:rFonts w:cstheme="minorHAnsi"/>
          <w:sz w:val="24"/>
          <w:szCs w:val="24"/>
        </w:rPr>
        <w:t>,</w:t>
      </w:r>
      <w:r w:rsidR="005E4292" w:rsidRPr="00016942">
        <w:rPr>
          <w:rFonts w:cstheme="minorHAnsi"/>
          <w:sz w:val="24"/>
          <w:szCs w:val="24"/>
        </w:rPr>
        <w:t xml:space="preserve"> connectivity within the town centre and of the town centre</w:t>
      </w:r>
      <w:r w:rsidR="00B872E1" w:rsidRPr="00016942">
        <w:rPr>
          <w:rFonts w:cstheme="minorHAnsi"/>
          <w:sz w:val="24"/>
          <w:szCs w:val="24"/>
        </w:rPr>
        <w:t xml:space="preserve"> to surrounding residential areas and transport systems</w:t>
      </w:r>
      <w:r w:rsidR="006F7EDC">
        <w:rPr>
          <w:rFonts w:cstheme="minorHAnsi"/>
          <w:sz w:val="24"/>
          <w:szCs w:val="24"/>
        </w:rPr>
        <w:t xml:space="preserve"> </w:t>
      </w:r>
    </w:p>
    <w:p w14:paraId="518B6BF6" w14:textId="0DA53ACE" w:rsidR="005E4292" w:rsidRPr="00016942" w:rsidRDefault="008A378C" w:rsidP="005E429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5E4292" w:rsidRPr="00016942">
        <w:rPr>
          <w:rFonts w:cstheme="minorHAnsi"/>
          <w:sz w:val="24"/>
          <w:szCs w:val="24"/>
        </w:rPr>
        <w:t xml:space="preserve">rban design principles for the town centre </w:t>
      </w:r>
      <w:r>
        <w:rPr>
          <w:rFonts w:cstheme="minorHAnsi"/>
          <w:sz w:val="24"/>
          <w:szCs w:val="24"/>
        </w:rPr>
        <w:t xml:space="preserve">including for exemplar quality public realm </w:t>
      </w:r>
    </w:p>
    <w:p w14:paraId="3A4EA093" w14:textId="247EF019" w:rsidR="00F97C50" w:rsidRPr="00016942" w:rsidRDefault="008A378C" w:rsidP="005E429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97C50" w:rsidRPr="00016942">
        <w:rPr>
          <w:rFonts w:cstheme="minorHAnsi"/>
          <w:sz w:val="24"/>
          <w:szCs w:val="24"/>
        </w:rPr>
        <w:t>n infrastructure plan</w:t>
      </w:r>
      <w:r w:rsidR="00D24C7D">
        <w:rPr>
          <w:rFonts w:cstheme="minorHAnsi"/>
          <w:sz w:val="24"/>
          <w:szCs w:val="24"/>
        </w:rPr>
        <w:t xml:space="preserve"> to include transport and public realm improvements</w:t>
      </w:r>
    </w:p>
    <w:p w14:paraId="37B69B97" w14:textId="78BB1A04" w:rsidR="00B872E1" w:rsidRPr="00016942" w:rsidRDefault="008A378C" w:rsidP="005E429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B872E1" w:rsidRPr="00016942">
        <w:rPr>
          <w:rFonts w:cstheme="minorHAnsi"/>
          <w:sz w:val="24"/>
          <w:szCs w:val="24"/>
        </w:rPr>
        <w:t>eview of current development guidelines for 3 opportunity sites (</w:t>
      </w:r>
      <w:proofErr w:type="spellStart"/>
      <w:r w:rsidR="00B872E1" w:rsidRPr="00016942">
        <w:rPr>
          <w:rFonts w:cstheme="minorHAnsi"/>
          <w:sz w:val="24"/>
          <w:szCs w:val="24"/>
        </w:rPr>
        <w:t>nb</w:t>
      </w:r>
      <w:proofErr w:type="spellEnd"/>
      <w:r w:rsidR="00B872E1" w:rsidRPr="00016942">
        <w:rPr>
          <w:rFonts w:cstheme="minorHAnsi"/>
          <w:sz w:val="24"/>
          <w:szCs w:val="24"/>
        </w:rPr>
        <w:t xml:space="preserve"> the council produced </w:t>
      </w:r>
      <w:r w:rsidR="00421B6E">
        <w:rPr>
          <w:rFonts w:cstheme="minorHAnsi"/>
          <w:sz w:val="24"/>
          <w:szCs w:val="24"/>
        </w:rPr>
        <w:t xml:space="preserve">and published </w:t>
      </w:r>
      <w:r w:rsidR="00B872E1" w:rsidRPr="00016942">
        <w:rPr>
          <w:rFonts w:cstheme="minorHAnsi"/>
          <w:sz w:val="24"/>
          <w:szCs w:val="24"/>
        </w:rPr>
        <w:t>guidelines for 5 opportunity sites in 20</w:t>
      </w:r>
      <w:r w:rsidR="00421B6E">
        <w:rPr>
          <w:rFonts w:cstheme="minorHAnsi"/>
          <w:sz w:val="24"/>
          <w:szCs w:val="24"/>
        </w:rPr>
        <w:t>20</w:t>
      </w:r>
      <w:r w:rsidR="00B872E1" w:rsidRPr="00016942">
        <w:rPr>
          <w:rFonts w:cstheme="minorHAnsi"/>
          <w:sz w:val="24"/>
          <w:szCs w:val="24"/>
        </w:rPr>
        <w:t xml:space="preserve"> of which 2 have progressed to planning application/development stages)</w:t>
      </w:r>
    </w:p>
    <w:p w14:paraId="26D53B8E" w14:textId="040A6C9A" w:rsidR="00B872E1" w:rsidRPr="00016942" w:rsidRDefault="008A378C" w:rsidP="005E429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97C50" w:rsidRPr="00016942">
        <w:rPr>
          <w:rFonts w:cstheme="minorHAnsi"/>
          <w:sz w:val="24"/>
          <w:szCs w:val="24"/>
        </w:rPr>
        <w:t>roduction</w:t>
      </w:r>
      <w:r w:rsidR="00B872E1" w:rsidRPr="00016942">
        <w:rPr>
          <w:rFonts w:cstheme="minorHAnsi"/>
          <w:sz w:val="24"/>
          <w:szCs w:val="24"/>
        </w:rPr>
        <w:t xml:space="preserve"> of development guidelines for any further opportunity sites identified in the master-planning work</w:t>
      </w:r>
    </w:p>
    <w:p w14:paraId="376C8D52" w14:textId="366370FF" w:rsidR="005E4292" w:rsidRPr="00016942" w:rsidRDefault="008A378C" w:rsidP="005E429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5E4292" w:rsidRPr="00016942">
        <w:rPr>
          <w:rFonts w:cstheme="minorHAnsi"/>
          <w:sz w:val="24"/>
          <w:szCs w:val="24"/>
        </w:rPr>
        <w:t xml:space="preserve">pecific proposals relating to </w:t>
      </w:r>
      <w:r w:rsidR="00B872E1" w:rsidRPr="00016942">
        <w:rPr>
          <w:rFonts w:cstheme="minorHAnsi"/>
          <w:sz w:val="24"/>
          <w:szCs w:val="24"/>
        </w:rPr>
        <w:t>lighting including short- and longer-term improvements</w:t>
      </w:r>
    </w:p>
    <w:p w14:paraId="6AA9F8AA" w14:textId="3DD1E560" w:rsidR="00B872E1" w:rsidRPr="00016942" w:rsidRDefault="008A378C" w:rsidP="005E429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872E1" w:rsidRPr="00016942">
        <w:rPr>
          <w:rFonts w:cstheme="minorHAnsi"/>
          <w:sz w:val="24"/>
          <w:szCs w:val="24"/>
        </w:rPr>
        <w:t>pecific proposals with respect to green infrastructure including short- and longer-term improvements</w:t>
      </w:r>
    </w:p>
    <w:p w14:paraId="536FA010" w14:textId="70BBD037" w:rsidR="00016942" w:rsidRDefault="000169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the spaces in the town centre are used, business support and inward investment activities are outside the scope of the commission.</w:t>
      </w:r>
    </w:p>
    <w:p w14:paraId="0CB6CC88" w14:textId="022DACB6" w:rsidR="008D6BA5" w:rsidRPr="008D6BA5" w:rsidRDefault="008D6BA5" w:rsidP="008D6BA5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b/>
          <w:bCs/>
          <w:color w:val="0B0C0C"/>
          <w:sz w:val="24"/>
          <w:szCs w:val="24"/>
          <w:u w:val="single"/>
          <w:lang w:eastAsia="en-GB"/>
        </w:rPr>
      </w:pPr>
      <w:r w:rsidRPr="008111FC">
        <w:rPr>
          <w:rFonts w:eastAsia="Times New Roman" w:cstheme="minorHAnsi"/>
          <w:b/>
          <w:bCs/>
          <w:color w:val="0B0C0C"/>
          <w:sz w:val="24"/>
          <w:szCs w:val="24"/>
          <w:u w:val="single"/>
          <w:lang w:eastAsia="en-GB"/>
        </w:rPr>
        <w:t>Submission requirements</w:t>
      </w:r>
    </w:p>
    <w:p w14:paraId="4A70A85C" w14:textId="5BD12963" w:rsidR="00EB4DA2" w:rsidRPr="00016942" w:rsidRDefault="00B872E1">
      <w:pPr>
        <w:rPr>
          <w:rFonts w:cstheme="minorHAnsi"/>
          <w:sz w:val="24"/>
          <w:szCs w:val="24"/>
        </w:rPr>
      </w:pPr>
      <w:r w:rsidRPr="00016942">
        <w:rPr>
          <w:rFonts w:cstheme="minorHAnsi"/>
          <w:sz w:val="24"/>
          <w:szCs w:val="24"/>
        </w:rPr>
        <w:t>At this stage we are seeking feedback as to</w:t>
      </w:r>
      <w:r w:rsidR="008D6BA5">
        <w:rPr>
          <w:rFonts w:cstheme="minorHAnsi"/>
          <w:sz w:val="24"/>
          <w:szCs w:val="24"/>
        </w:rPr>
        <w:t>:</w:t>
      </w:r>
      <w:r w:rsidRPr="00016942">
        <w:rPr>
          <w:rFonts w:cstheme="minorHAnsi"/>
          <w:sz w:val="24"/>
          <w:szCs w:val="24"/>
        </w:rPr>
        <w:t xml:space="preserve"> </w:t>
      </w:r>
    </w:p>
    <w:p w14:paraId="2C684161" w14:textId="569CBC23" w:rsidR="00B872E1" w:rsidRPr="00016942" w:rsidRDefault="008A378C" w:rsidP="00B872E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872E1" w:rsidRPr="00016942">
        <w:rPr>
          <w:rFonts w:cstheme="minorHAnsi"/>
          <w:sz w:val="24"/>
          <w:szCs w:val="24"/>
        </w:rPr>
        <w:t xml:space="preserve">he </w:t>
      </w:r>
      <w:r w:rsidR="00F97C50" w:rsidRPr="00016942">
        <w:rPr>
          <w:rFonts w:cstheme="minorHAnsi"/>
          <w:color w:val="333333"/>
          <w:sz w:val="24"/>
          <w:szCs w:val="24"/>
          <w:shd w:val="clear" w:color="auto" w:fill="FFFFFF"/>
        </w:rPr>
        <w:t xml:space="preserve">important issues or decisions which would influence value for money for </w:t>
      </w:r>
      <w:r w:rsidR="00016942">
        <w:rPr>
          <w:rFonts w:cstheme="minorHAnsi"/>
          <w:color w:val="333333"/>
          <w:sz w:val="24"/>
          <w:szCs w:val="24"/>
          <w:shd w:val="clear" w:color="auto" w:fill="FFFFFF"/>
        </w:rPr>
        <w:t xml:space="preserve">partners/suppliers in </w:t>
      </w:r>
      <w:r w:rsidR="00F97C50" w:rsidRPr="00016942">
        <w:rPr>
          <w:rFonts w:cstheme="minorHAnsi"/>
          <w:color w:val="333333"/>
          <w:sz w:val="24"/>
          <w:szCs w:val="24"/>
          <w:shd w:val="clear" w:color="auto" w:fill="FFFFFF"/>
        </w:rPr>
        <w:t>this commission</w:t>
      </w:r>
    </w:p>
    <w:p w14:paraId="782ABBB8" w14:textId="2036BE2F" w:rsidR="00016942" w:rsidRPr="00016942" w:rsidRDefault="008A378C" w:rsidP="009E3C1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V</w:t>
      </w:r>
      <w:r w:rsidR="00F97C50" w:rsidRPr="00016942">
        <w:rPr>
          <w:rFonts w:cstheme="minorHAnsi"/>
          <w:sz w:val="24"/>
          <w:szCs w:val="24"/>
        </w:rPr>
        <w:t>iews about the structure of any procurement to achieve the aims set out above</w:t>
      </w:r>
    </w:p>
    <w:p w14:paraId="4A1FFCAD" w14:textId="5BDC2C2E" w:rsidR="00016942" w:rsidRPr="00016942" w:rsidRDefault="008A378C" w:rsidP="00062F8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>
        <w:rPr>
          <w:rFonts w:eastAsia="Times New Roman" w:cstheme="minorHAnsi"/>
          <w:color w:val="0B0C0C"/>
          <w:sz w:val="24"/>
          <w:szCs w:val="24"/>
          <w:lang w:eastAsia="en-GB"/>
        </w:rPr>
        <w:t>W</w:t>
      </w:r>
      <w:r w:rsidR="00016942" w:rsidRPr="00016942">
        <w:rPr>
          <w:rFonts w:eastAsia="Times New Roman" w:cstheme="minorHAnsi"/>
          <w:color w:val="0B0C0C"/>
          <w:sz w:val="24"/>
          <w:szCs w:val="24"/>
          <w:lang w:eastAsia="en-GB"/>
        </w:rPr>
        <w:t xml:space="preserve">hat information </w:t>
      </w:r>
      <w:r w:rsidR="00016942">
        <w:rPr>
          <w:rFonts w:eastAsia="Times New Roman" w:cstheme="minorHAnsi"/>
          <w:color w:val="0B0C0C"/>
          <w:sz w:val="24"/>
          <w:szCs w:val="24"/>
          <w:lang w:eastAsia="en-GB"/>
        </w:rPr>
        <w:t xml:space="preserve">to be provided by the Council </w:t>
      </w:r>
      <w:r w:rsidR="00016942" w:rsidRPr="00016942">
        <w:rPr>
          <w:rFonts w:eastAsia="Times New Roman" w:cstheme="minorHAnsi"/>
          <w:color w:val="0B0C0C"/>
          <w:sz w:val="24"/>
          <w:szCs w:val="24"/>
          <w:lang w:eastAsia="en-GB"/>
        </w:rPr>
        <w:t>would enable the outputs to be delivered effectively</w:t>
      </w:r>
    </w:p>
    <w:p w14:paraId="5F9A45F5" w14:textId="611E7669" w:rsidR="00016942" w:rsidRPr="00016942" w:rsidRDefault="008A378C" w:rsidP="007242D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>
        <w:rPr>
          <w:rFonts w:eastAsia="Times New Roman" w:cstheme="minorHAnsi"/>
          <w:color w:val="0B0C0C"/>
          <w:sz w:val="24"/>
          <w:szCs w:val="24"/>
          <w:lang w:eastAsia="en-GB"/>
        </w:rPr>
        <w:t>W</w:t>
      </w:r>
      <w:r w:rsidR="00016942">
        <w:rPr>
          <w:rFonts w:eastAsia="Times New Roman" w:cstheme="minorHAnsi"/>
          <w:color w:val="0B0C0C"/>
          <w:sz w:val="24"/>
          <w:szCs w:val="24"/>
          <w:lang w:eastAsia="en-GB"/>
        </w:rPr>
        <w:t xml:space="preserve">hat </w:t>
      </w:r>
      <w:r w:rsidR="00016942" w:rsidRPr="00016942">
        <w:rPr>
          <w:rFonts w:eastAsia="Times New Roman" w:cstheme="minorHAnsi"/>
          <w:color w:val="0B0C0C"/>
          <w:sz w:val="24"/>
          <w:szCs w:val="24"/>
          <w:lang w:eastAsia="en-GB"/>
        </w:rPr>
        <w:t>resources would be needed</w:t>
      </w:r>
    </w:p>
    <w:p w14:paraId="02C4523B" w14:textId="7A7C1F10" w:rsidR="00016942" w:rsidRPr="00016942" w:rsidRDefault="008A378C" w:rsidP="007242D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>
        <w:rPr>
          <w:rFonts w:eastAsia="Times New Roman" w:cstheme="minorHAnsi"/>
          <w:color w:val="0B0C0C"/>
          <w:sz w:val="24"/>
          <w:szCs w:val="24"/>
          <w:lang w:eastAsia="en-GB"/>
        </w:rPr>
        <w:t>H</w:t>
      </w:r>
      <w:r w:rsidR="00016942" w:rsidRPr="00016942">
        <w:rPr>
          <w:rFonts w:eastAsia="Times New Roman" w:cstheme="minorHAnsi"/>
          <w:color w:val="0B0C0C"/>
          <w:sz w:val="24"/>
          <w:szCs w:val="24"/>
          <w:lang w:eastAsia="en-GB"/>
        </w:rPr>
        <w:t>ow long could the work take </w:t>
      </w:r>
    </w:p>
    <w:p w14:paraId="3C3CF809" w14:textId="24667B23" w:rsidR="00B872E1" w:rsidRDefault="008A378C" w:rsidP="00B872E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F97C50" w:rsidRPr="00016942">
        <w:rPr>
          <w:rFonts w:cstheme="minorHAnsi"/>
          <w:sz w:val="24"/>
          <w:szCs w:val="24"/>
        </w:rPr>
        <w:t xml:space="preserve">iews about the most effective </w:t>
      </w:r>
      <w:r w:rsidR="00B872E1" w:rsidRPr="00016942">
        <w:rPr>
          <w:rFonts w:cstheme="minorHAnsi"/>
          <w:sz w:val="24"/>
          <w:szCs w:val="24"/>
        </w:rPr>
        <w:t xml:space="preserve">methodology for collaboration and engagement with key stakeholders including the public, anchor institutions, </w:t>
      </w:r>
      <w:r w:rsidR="00994E6B">
        <w:rPr>
          <w:rFonts w:cstheme="minorHAnsi"/>
          <w:sz w:val="24"/>
          <w:szCs w:val="24"/>
        </w:rPr>
        <w:t xml:space="preserve">key landowners, </w:t>
      </w:r>
      <w:r w:rsidR="00B872E1" w:rsidRPr="00016942">
        <w:rPr>
          <w:rFonts w:cstheme="minorHAnsi"/>
          <w:sz w:val="24"/>
          <w:szCs w:val="24"/>
        </w:rPr>
        <w:t>existing and future investors</w:t>
      </w:r>
    </w:p>
    <w:p w14:paraId="5EB59628" w14:textId="21960F41" w:rsidR="00137901" w:rsidRPr="00137901" w:rsidRDefault="008A378C" w:rsidP="00B872E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</w:t>
      </w:r>
      <w:r w:rsidR="00137901" w:rsidRPr="00137901">
        <w:rPr>
          <w:rFonts w:cstheme="minorHAnsi"/>
          <w:sz w:val="24"/>
          <w:szCs w:val="24"/>
        </w:rPr>
        <w:t xml:space="preserve">or engagement with the public </w:t>
      </w:r>
      <w:r w:rsidR="00137901">
        <w:rPr>
          <w:rFonts w:cstheme="minorHAnsi"/>
          <w:sz w:val="24"/>
          <w:szCs w:val="24"/>
        </w:rPr>
        <w:t xml:space="preserve">views based on </w:t>
      </w:r>
      <w:r w:rsidR="00137901" w:rsidRPr="00137901">
        <w:rPr>
          <w:rFonts w:cstheme="minorHAnsi"/>
          <w:sz w:val="24"/>
          <w:szCs w:val="24"/>
        </w:rPr>
        <w:t xml:space="preserve">experience </w:t>
      </w:r>
      <w:r w:rsidR="00137901">
        <w:rPr>
          <w:rFonts w:cstheme="minorHAnsi"/>
          <w:sz w:val="24"/>
          <w:szCs w:val="24"/>
        </w:rPr>
        <w:t>of s</w:t>
      </w:r>
      <w:r w:rsidR="00137901" w:rsidRPr="00137901">
        <w:rPr>
          <w:sz w:val="24"/>
          <w:szCs w:val="24"/>
        </w:rPr>
        <w:t xml:space="preserve">trategies to reach those who are difficult to engage </w:t>
      </w:r>
      <w:proofErr w:type="gramStart"/>
      <w:r w:rsidR="00137901" w:rsidRPr="00137901">
        <w:rPr>
          <w:sz w:val="24"/>
          <w:szCs w:val="24"/>
        </w:rPr>
        <w:t>e.g.</w:t>
      </w:r>
      <w:proofErr w:type="gramEnd"/>
      <w:r w:rsidR="00137901" w:rsidRPr="00137901">
        <w:rPr>
          <w:sz w:val="24"/>
          <w:szCs w:val="24"/>
        </w:rPr>
        <w:t xml:space="preserve"> young people, 18-34s, digitally excluded, those with language barriers, and the disillusioned</w:t>
      </w:r>
    </w:p>
    <w:p w14:paraId="191B4E7F" w14:textId="20917024" w:rsidR="00016942" w:rsidRPr="00016942" w:rsidRDefault="008A378C" w:rsidP="00960AD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V</w:t>
      </w:r>
      <w:r w:rsidR="00F97C50" w:rsidRPr="00016942">
        <w:rPr>
          <w:rFonts w:cstheme="minorHAnsi"/>
          <w:sz w:val="24"/>
          <w:szCs w:val="24"/>
        </w:rPr>
        <w:t xml:space="preserve">iews about </w:t>
      </w:r>
      <w:r w:rsidR="00B872E1" w:rsidRPr="00016942">
        <w:rPr>
          <w:rFonts w:cstheme="minorHAnsi"/>
          <w:sz w:val="24"/>
          <w:szCs w:val="24"/>
        </w:rPr>
        <w:t>the type of digital tools preferred for both engagement of the public, politic</w:t>
      </w:r>
      <w:r w:rsidR="00F97C50" w:rsidRPr="00016942">
        <w:rPr>
          <w:rFonts w:cstheme="minorHAnsi"/>
          <w:sz w:val="24"/>
          <w:szCs w:val="24"/>
        </w:rPr>
        <w:t>ians</w:t>
      </w:r>
      <w:r w:rsidR="00B872E1" w:rsidRPr="00016942">
        <w:rPr>
          <w:rFonts w:cstheme="minorHAnsi"/>
          <w:sz w:val="24"/>
          <w:szCs w:val="24"/>
        </w:rPr>
        <w:t xml:space="preserve"> and key stakeholder</w:t>
      </w:r>
      <w:r w:rsidR="00F97C50" w:rsidRPr="00016942">
        <w:rPr>
          <w:rFonts w:cstheme="minorHAnsi"/>
          <w:sz w:val="24"/>
          <w:szCs w:val="24"/>
        </w:rPr>
        <w:t>s</w:t>
      </w:r>
      <w:r w:rsidR="00B872E1" w:rsidRPr="00016942">
        <w:rPr>
          <w:rFonts w:cstheme="minorHAnsi"/>
          <w:sz w:val="24"/>
          <w:szCs w:val="24"/>
        </w:rPr>
        <w:t xml:space="preserve"> in the master planning and urban design process</w:t>
      </w:r>
    </w:p>
    <w:p w14:paraId="76FA6675" w14:textId="24A6C46C" w:rsidR="00016942" w:rsidRDefault="008A378C" w:rsidP="00960AD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>
        <w:rPr>
          <w:rFonts w:eastAsia="Times New Roman" w:cstheme="minorHAnsi"/>
          <w:color w:val="0B0C0C"/>
          <w:sz w:val="24"/>
          <w:szCs w:val="24"/>
          <w:lang w:eastAsia="en-GB"/>
        </w:rPr>
        <w:t>H</w:t>
      </w:r>
      <w:r w:rsidR="00016942" w:rsidRPr="00016942">
        <w:rPr>
          <w:rFonts w:eastAsia="Times New Roman" w:cstheme="minorHAnsi"/>
          <w:color w:val="0B0C0C"/>
          <w:sz w:val="24"/>
          <w:szCs w:val="24"/>
          <w:lang w:eastAsia="en-GB"/>
        </w:rPr>
        <w:t>ow much is it likely to cost </w:t>
      </w:r>
    </w:p>
    <w:p w14:paraId="11B57407" w14:textId="6C020FD5" w:rsidR="008D6BA5" w:rsidRDefault="008D6BA5" w:rsidP="008D6BA5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8111FC">
        <w:rPr>
          <w:rFonts w:eastAsia="Times New Roman" w:cstheme="minorHAnsi"/>
          <w:color w:val="0B0C0C"/>
          <w:sz w:val="24"/>
          <w:szCs w:val="24"/>
          <w:lang w:eastAsia="en-GB"/>
        </w:rPr>
        <w:t>Interested parties are invited to submit their responses to the bullet points above</w:t>
      </w:r>
      <w:r w:rsidR="00CB0103" w:rsidRPr="008111FC">
        <w:rPr>
          <w:rFonts w:eastAsia="Times New Roman" w:cstheme="minorHAnsi"/>
          <w:color w:val="0B0C0C"/>
          <w:sz w:val="24"/>
          <w:szCs w:val="24"/>
          <w:lang w:eastAsia="en-GB"/>
        </w:rPr>
        <w:t>, in either Microsoft Word or PDF format.</w:t>
      </w:r>
      <w:r w:rsidRPr="008111FC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Responses should be limited to 500 words per bullet point</w:t>
      </w:r>
      <w:r w:rsidR="00CB0103" w:rsidRPr="008111FC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for the purposes of this exercise.</w:t>
      </w:r>
    </w:p>
    <w:p w14:paraId="34F7354F" w14:textId="0AAC17A5" w:rsidR="00CB0103" w:rsidRPr="00E85284" w:rsidRDefault="00E85284" w:rsidP="008D6BA5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b/>
          <w:bCs/>
          <w:color w:val="0B0C0C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bCs/>
          <w:color w:val="0B0C0C"/>
          <w:sz w:val="24"/>
          <w:szCs w:val="24"/>
          <w:u w:val="single"/>
          <w:lang w:eastAsia="en-GB"/>
        </w:rPr>
        <w:t>All s</w:t>
      </w:r>
      <w:r w:rsidRPr="00E85284">
        <w:rPr>
          <w:rFonts w:eastAsia="Times New Roman" w:cstheme="minorHAnsi"/>
          <w:b/>
          <w:bCs/>
          <w:color w:val="0B0C0C"/>
          <w:sz w:val="24"/>
          <w:szCs w:val="24"/>
          <w:u w:val="single"/>
          <w:lang w:eastAsia="en-GB"/>
        </w:rPr>
        <w:t xml:space="preserve">ubmissions must be </w:t>
      </w:r>
      <w:r>
        <w:rPr>
          <w:rFonts w:eastAsia="Times New Roman" w:cstheme="minorHAnsi"/>
          <w:b/>
          <w:bCs/>
          <w:color w:val="0B0C0C"/>
          <w:sz w:val="24"/>
          <w:szCs w:val="24"/>
          <w:u w:val="single"/>
          <w:lang w:eastAsia="en-GB"/>
        </w:rPr>
        <w:t>made</w:t>
      </w:r>
      <w:r w:rsidRPr="00E85284">
        <w:rPr>
          <w:rFonts w:eastAsia="Times New Roman" w:cstheme="minorHAnsi"/>
          <w:b/>
          <w:bCs/>
          <w:color w:val="0B0C0C"/>
          <w:sz w:val="24"/>
          <w:szCs w:val="24"/>
          <w:u w:val="single"/>
          <w:lang w:eastAsia="en-GB"/>
        </w:rPr>
        <w:t xml:space="preserve"> via the ‘Messaging’ section of the Kent Business Portal.</w:t>
      </w:r>
      <w:r>
        <w:rPr>
          <w:rFonts w:eastAsia="Times New Roman" w:cstheme="minorHAnsi"/>
          <w:b/>
          <w:bCs/>
          <w:color w:val="0B0C0C"/>
          <w:sz w:val="24"/>
          <w:szCs w:val="24"/>
          <w:u w:val="single"/>
          <w:lang w:eastAsia="en-GB"/>
        </w:rPr>
        <w:t xml:space="preserve"> </w:t>
      </w:r>
      <w:r w:rsidR="00CB0103" w:rsidRPr="00E85284">
        <w:rPr>
          <w:rFonts w:eastAsia="Times New Roman" w:cstheme="minorHAnsi"/>
          <w:b/>
          <w:bCs/>
          <w:color w:val="0B0C0C"/>
          <w:sz w:val="24"/>
          <w:szCs w:val="24"/>
          <w:u w:val="single"/>
          <w:lang w:eastAsia="en-GB"/>
        </w:rPr>
        <w:t>Submissions must be received by 5pm on 7</w:t>
      </w:r>
      <w:r w:rsidR="00CB0103" w:rsidRPr="00E85284">
        <w:rPr>
          <w:rFonts w:eastAsia="Times New Roman" w:cstheme="minorHAnsi"/>
          <w:b/>
          <w:bCs/>
          <w:color w:val="0B0C0C"/>
          <w:sz w:val="24"/>
          <w:szCs w:val="24"/>
          <w:u w:val="single"/>
          <w:vertAlign w:val="superscript"/>
          <w:lang w:eastAsia="en-GB"/>
        </w:rPr>
        <w:t>th</w:t>
      </w:r>
      <w:r w:rsidR="00CB0103" w:rsidRPr="00E85284">
        <w:rPr>
          <w:rFonts w:eastAsia="Times New Roman" w:cstheme="minorHAnsi"/>
          <w:b/>
          <w:bCs/>
          <w:color w:val="0B0C0C"/>
          <w:sz w:val="24"/>
          <w:szCs w:val="24"/>
          <w:u w:val="single"/>
          <w:lang w:eastAsia="en-GB"/>
        </w:rPr>
        <w:t xml:space="preserve"> September 2022. </w:t>
      </w:r>
    </w:p>
    <w:p w14:paraId="2C4857A3" w14:textId="4C073267" w:rsidR="00CB0103" w:rsidRPr="008D6BA5" w:rsidRDefault="00CB0103" w:rsidP="008D6BA5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8111FC">
        <w:rPr>
          <w:rFonts w:eastAsia="Times New Roman" w:cstheme="minorHAnsi"/>
          <w:color w:val="0B0C0C"/>
          <w:sz w:val="24"/>
          <w:szCs w:val="24"/>
          <w:lang w:eastAsia="en-GB"/>
        </w:rPr>
        <w:t xml:space="preserve">The information will then be considered by </w:t>
      </w:r>
      <w:r w:rsidR="008111FC" w:rsidRPr="008111FC">
        <w:rPr>
          <w:rFonts w:eastAsia="Times New Roman" w:cstheme="minorHAnsi"/>
          <w:color w:val="0B0C0C"/>
          <w:sz w:val="24"/>
          <w:szCs w:val="24"/>
          <w:lang w:eastAsia="en-GB"/>
        </w:rPr>
        <w:t xml:space="preserve">the council and key stakeholders </w:t>
      </w:r>
      <w:r w:rsidRPr="008111FC">
        <w:rPr>
          <w:rFonts w:eastAsia="Times New Roman" w:cstheme="minorHAnsi"/>
          <w:color w:val="0B0C0C"/>
          <w:sz w:val="24"/>
          <w:szCs w:val="24"/>
          <w:lang w:eastAsia="en-GB"/>
        </w:rPr>
        <w:t xml:space="preserve">with a view to developing a specification for a formal tender in early October. Timescales below are provided for indicative </w:t>
      </w:r>
      <w:r w:rsidR="008111FC" w:rsidRPr="008111FC">
        <w:rPr>
          <w:rFonts w:eastAsia="Times New Roman" w:cstheme="minorHAnsi"/>
          <w:color w:val="0B0C0C"/>
          <w:sz w:val="24"/>
          <w:szCs w:val="24"/>
          <w:lang w:eastAsia="en-GB"/>
        </w:rPr>
        <w:t>purposes but</w:t>
      </w:r>
      <w:r w:rsidRPr="008111FC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are subject to change at the Council’s discretion.</w:t>
      </w:r>
    </w:p>
    <w:p w14:paraId="5E6C3B45" w14:textId="1740B894" w:rsidR="00016942" w:rsidRDefault="00016942">
      <w:pPr>
        <w:spacing w:after="160" w:line="259" w:lineRule="auto"/>
      </w:pPr>
      <w:r>
        <w:br w:type="page"/>
      </w:r>
    </w:p>
    <w:p w14:paraId="28F5D438" w14:textId="77777777" w:rsidR="00EB4DA2" w:rsidRDefault="00EB4DA2"/>
    <w:p w14:paraId="003EFE2A" w14:textId="466D6757" w:rsidR="00A644FF" w:rsidRPr="00E85284" w:rsidRDefault="008A378C">
      <w:pPr>
        <w:rPr>
          <w:b/>
          <w:bCs/>
          <w:sz w:val="24"/>
          <w:szCs w:val="24"/>
          <w:u w:val="single"/>
        </w:rPr>
      </w:pPr>
      <w:r w:rsidRPr="00E85284">
        <w:rPr>
          <w:b/>
          <w:bCs/>
          <w:sz w:val="24"/>
          <w:szCs w:val="24"/>
          <w:u w:val="single"/>
        </w:rPr>
        <w:t xml:space="preserve">Timetable </w:t>
      </w:r>
    </w:p>
    <w:tbl>
      <w:tblPr>
        <w:tblpPr w:leftFromText="180" w:rightFromText="180" w:vertAnchor="text" w:horzAnchor="margin" w:tblpXSpec="center" w:tblpY="42"/>
        <w:tblOverlap w:val="never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6484"/>
        <w:gridCol w:w="2526"/>
      </w:tblGrid>
      <w:tr w:rsidR="00A644FF" w:rsidRPr="00A7342E" w14:paraId="1D760234" w14:textId="77777777" w:rsidTr="00170E1A">
        <w:trPr>
          <w:trHeight w:val="234"/>
          <w:tblCellSpacing w:w="20" w:type="dxa"/>
        </w:trPr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C253800" w14:textId="77777777" w:rsidR="00A644FF" w:rsidRPr="004F542F" w:rsidRDefault="00A644FF" w:rsidP="009A611A">
            <w:pPr>
              <w:spacing w:after="0" w:line="240" w:lineRule="auto"/>
              <w:ind w:left="284"/>
              <w:rPr>
                <w:rFonts w:ascii="Verdana" w:eastAsia="Times New Roman" w:hAnsi="Verdana" w:cs="Arial"/>
                <w:b/>
                <w:lang w:eastAsia="en-GB"/>
              </w:rPr>
            </w:pPr>
            <w:r w:rsidRPr="004F542F">
              <w:rPr>
                <w:rFonts w:ascii="Verdana" w:eastAsia="Times New Roman" w:hAnsi="Verdana" w:cs="Arial"/>
                <w:b/>
                <w:lang w:eastAsia="en-GB"/>
              </w:rPr>
              <w:t>Event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hideMark/>
          </w:tcPr>
          <w:p w14:paraId="0AE20F6A" w14:textId="77777777" w:rsidR="00A644FF" w:rsidRPr="004F542F" w:rsidRDefault="00A644FF" w:rsidP="009A611A">
            <w:pPr>
              <w:spacing w:after="0" w:line="240" w:lineRule="auto"/>
              <w:ind w:left="284"/>
              <w:jc w:val="center"/>
              <w:rPr>
                <w:rFonts w:ascii="Verdana" w:eastAsia="Times New Roman" w:hAnsi="Verdana" w:cs="Arial"/>
                <w:b/>
                <w:lang w:eastAsia="en-GB"/>
              </w:rPr>
            </w:pPr>
            <w:r w:rsidRPr="004F542F">
              <w:rPr>
                <w:rFonts w:ascii="Verdana" w:eastAsia="Times New Roman" w:hAnsi="Verdana" w:cs="Arial"/>
                <w:b/>
                <w:lang w:eastAsia="en-GB"/>
              </w:rPr>
              <w:t>Expected Date</w:t>
            </w:r>
          </w:p>
        </w:tc>
      </w:tr>
      <w:tr w:rsidR="00A644FF" w:rsidRPr="00A7342E" w14:paraId="10E89D8C" w14:textId="77777777" w:rsidTr="00170E1A">
        <w:trPr>
          <w:trHeight w:val="243"/>
          <w:tblCellSpacing w:w="20" w:type="dxa"/>
        </w:trPr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66B71E2C" w14:textId="16C3DEBC" w:rsidR="00A644FF" w:rsidRPr="00A644FF" w:rsidRDefault="00A644FF" w:rsidP="009A611A">
            <w:pPr>
              <w:spacing w:after="0" w:line="240" w:lineRule="auto"/>
              <w:ind w:left="284"/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  <w:t>Produce scope for Supplier Engagement process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</w:tcPr>
          <w:p w14:paraId="1A0D725A" w14:textId="3245CC46" w:rsidR="00A644FF" w:rsidRDefault="00A644FF" w:rsidP="009A6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17</w:t>
            </w:r>
            <w:r w:rsidRPr="00A644FF">
              <w:rPr>
                <w:rFonts w:ascii="Verdana" w:eastAsia="Times New Roman" w:hAnsi="Verdana" w:cs="Arial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August 2022</w:t>
            </w:r>
          </w:p>
        </w:tc>
      </w:tr>
      <w:tr w:rsidR="00A644FF" w:rsidRPr="00A7342E" w14:paraId="508BF210" w14:textId="77777777" w:rsidTr="00170E1A">
        <w:trPr>
          <w:trHeight w:val="243"/>
          <w:tblCellSpacing w:w="20" w:type="dxa"/>
        </w:trPr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0C39EF3A" w14:textId="35436501" w:rsidR="00A644FF" w:rsidRPr="00A644FF" w:rsidRDefault="00A644FF" w:rsidP="009A611A">
            <w:pPr>
              <w:spacing w:after="0" w:line="240" w:lineRule="auto"/>
              <w:ind w:left="284"/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</w:pPr>
            <w:r w:rsidRPr="00A644FF"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  <w:t>Issue Supplier Engagement documents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</w:tcPr>
          <w:p w14:paraId="259B43FC" w14:textId="2BDE0E0E" w:rsidR="00A644FF" w:rsidRPr="004F542F" w:rsidRDefault="00A644FF" w:rsidP="009A6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22</w:t>
            </w:r>
            <w:r w:rsidRPr="00A644FF">
              <w:rPr>
                <w:rFonts w:ascii="Verdana" w:eastAsia="Times New Roman" w:hAnsi="Verdana" w:cs="Arial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August 2022</w:t>
            </w:r>
          </w:p>
        </w:tc>
      </w:tr>
      <w:tr w:rsidR="00A644FF" w:rsidRPr="00A7342E" w14:paraId="666BEA82" w14:textId="77777777" w:rsidTr="00170E1A">
        <w:trPr>
          <w:trHeight w:val="243"/>
          <w:tblCellSpacing w:w="20" w:type="dxa"/>
        </w:trPr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2F7A9DB8" w14:textId="1953135A" w:rsidR="00A644FF" w:rsidRPr="00A644FF" w:rsidRDefault="00A644FF" w:rsidP="009A611A">
            <w:pPr>
              <w:spacing w:after="0" w:line="240" w:lineRule="auto"/>
              <w:ind w:left="284"/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</w:pPr>
            <w:r w:rsidRPr="00A644FF"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  <w:t>Return of supplier responses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</w:tcPr>
          <w:p w14:paraId="0E016427" w14:textId="45064ECF" w:rsidR="00A644FF" w:rsidRPr="004F542F" w:rsidRDefault="00A644FF" w:rsidP="009A6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7</w:t>
            </w:r>
            <w:r w:rsidRPr="00A644FF">
              <w:rPr>
                <w:rFonts w:ascii="Verdana" w:eastAsia="Times New Roman" w:hAnsi="Verdana" w:cs="Arial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September 2022</w:t>
            </w:r>
          </w:p>
        </w:tc>
      </w:tr>
      <w:tr w:rsidR="00A644FF" w:rsidRPr="00A7342E" w14:paraId="23AC5353" w14:textId="77777777" w:rsidTr="00170E1A">
        <w:trPr>
          <w:trHeight w:val="243"/>
          <w:tblCellSpacing w:w="20" w:type="dxa"/>
        </w:trPr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4C3A3940" w14:textId="7C1D01B5" w:rsidR="00A644FF" w:rsidRPr="00A644FF" w:rsidRDefault="00A644FF" w:rsidP="009A611A">
            <w:pPr>
              <w:spacing w:after="0" w:line="240" w:lineRule="auto"/>
              <w:ind w:left="284"/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</w:pPr>
            <w:r w:rsidRPr="00A644FF"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  <w:t xml:space="preserve">Assess issues raised 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</w:tcPr>
          <w:p w14:paraId="70B32556" w14:textId="212DA6B9" w:rsidR="00A644FF" w:rsidRPr="004F542F" w:rsidRDefault="00A644FF" w:rsidP="009A6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12</w:t>
            </w:r>
            <w:r w:rsidRPr="00A644FF">
              <w:rPr>
                <w:rFonts w:ascii="Verdana" w:eastAsia="Times New Roman" w:hAnsi="Verdana" w:cs="Arial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September 2022</w:t>
            </w:r>
          </w:p>
        </w:tc>
      </w:tr>
      <w:tr w:rsidR="00A644FF" w:rsidRPr="00A7342E" w14:paraId="5EBD1FC3" w14:textId="77777777" w:rsidTr="00170E1A">
        <w:trPr>
          <w:trHeight w:val="243"/>
          <w:tblCellSpacing w:w="20" w:type="dxa"/>
        </w:trPr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72B9AD4F" w14:textId="371E87EF" w:rsidR="00A644FF" w:rsidRPr="00A644FF" w:rsidRDefault="00A644FF" w:rsidP="009A611A">
            <w:pPr>
              <w:spacing w:after="0" w:line="240" w:lineRule="auto"/>
              <w:ind w:left="284"/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  <w:t>Consultation/engagement with Informal Executive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</w:tcPr>
          <w:p w14:paraId="583AB1A0" w14:textId="58BBAF07" w:rsidR="00A644FF" w:rsidRPr="004F542F" w:rsidRDefault="00A644FF" w:rsidP="009A6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21</w:t>
            </w:r>
            <w:r w:rsidRPr="00A644FF">
              <w:rPr>
                <w:rFonts w:ascii="Verdana" w:eastAsia="Times New Roman" w:hAnsi="Verdana" w:cs="Arial"/>
                <w:vertAlign w:val="superscript"/>
                <w:lang w:eastAsia="en-GB"/>
              </w:rPr>
              <w:t>st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</w:t>
            </w:r>
            <w:r w:rsidR="00960124">
              <w:rPr>
                <w:rFonts w:ascii="Verdana" w:eastAsia="Times New Roman" w:hAnsi="Verdana" w:cs="Arial"/>
                <w:lang w:eastAsia="en-GB"/>
              </w:rPr>
              <w:t>September 2022</w:t>
            </w:r>
          </w:p>
        </w:tc>
      </w:tr>
      <w:tr w:rsidR="00960124" w:rsidRPr="00A7342E" w14:paraId="6376F758" w14:textId="77777777" w:rsidTr="00170E1A">
        <w:trPr>
          <w:trHeight w:val="243"/>
          <w:tblCellSpacing w:w="20" w:type="dxa"/>
        </w:trPr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3AD2BF39" w14:textId="66CF433F" w:rsidR="00960124" w:rsidRPr="00A644FF" w:rsidRDefault="00960124" w:rsidP="009A611A">
            <w:pPr>
              <w:spacing w:after="0" w:line="240" w:lineRule="auto"/>
              <w:ind w:left="284"/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  <w:t>Stakeholder Event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</w:tcPr>
          <w:p w14:paraId="41FEB51D" w14:textId="4EE54096" w:rsidR="00960124" w:rsidRPr="004F542F" w:rsidRDefault="00960124" w:rsidP="009A6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26</w:t>
            </w:r>
            <w:r w:rsidRPr="00960124">
              <w:rPr>
                <w:rFonts w:ascii="Verdana" w:eastAsia="Times New Roman" w:hAnsi="Verdana" w:cs="Arial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September 2022</w:t>
            </w:r>
          </w:p>
        </w:tc>
      </w:tr>
      <w:tr w:rsidR="00960124" w:rsidRPr="00A7342E" w14:paraId="35FD3622" w14:textId="77777777" w:rsidTr="00170E1A">
        <w:trPr>
          <w:trHeight w:val="243"/>
          <w:tblCellSpacing w:w="20" w:type="dxa"/>
        </w:trPr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1EBBF31F" w14:textId="5F7F7525" w:rsidR="00960124" w:rsidRPr="00A644FF" w:rsidRDefault="00960124" w:rsidP="009A611A">
            <w:pPr>
              <w:spacing w:after="0" w:line="240" w:lineRule="auto"/>
              <w:ind w:left="284"/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  <w:t>Finalise Tender Documentation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</w:tcPr>
          <w:p w14:paraId="2B6AA9B4" w14:textId="040815BA" w:rsidR="00960124" w:rsidRPr="004F542F" w:rsidRDefault="00960124" w:rsidP="009A6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30</w:t>
            </w:r>
            <w:r w:rsidRPr="00960124">
              <w:rPr>
                <w:rFonts w:ascii="Verdana" w:eastAsia="Times New Roman" w:hAnsi="Verdana" w:cs="Arial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September</w:t>
            </w:r>
          </w:p>
        </w:tc>
      </w:tr>
      <w:tr w:rsidR="00A644FF" w:rsidRPr="00A7342E" w14:paraId="6DB9EE35" w14:textId="77777777" w:rsidTr="00170E1A">
        <w:trPr>
          <w:trHeight w:val="243"/>
          <w:tblCellSpacing w:w="20" w:type="dxa"/>
        </w:trPr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533F58EC" w14:textId="34D190D8" w:rsidR="00A644FF" w:rsidRPr="00A644FF" w:rsidRDefault="00A644FF" w:rsidP="009A611A">
            <w:pPr>
              <w:spacing w:after="0" w:line="240" w:lineRule="auto"/>
              <w:ind w:left="284"/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</w:pPr>
            <w:r w:rsidRPr="00A644FF"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  <w:t>Issue ITT</w:t>
            </w:r>
            <w:r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  <w:t xml:space="preserve"> via Find a Tender Service methodology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</w:tcPr>
          <w:p w14:paraId="404337A1" w14:textId="15968899" w:rsidR="00A644FF" w:rsidRPr="004F542F" w:rsidRDefault="00960124" w:rsidP="009A6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3</w:t>
            </w:r>
            <w:r w:rsidRPr="00960124">
              <w:rPr>
                <w:rFonts w:ascii="Verdana" w:eastAsia="Times New Roman" w:hAnsi="Verdana" w:cs="Arial"/>
                <w:vertAlign w:val="superscript"/>
                <w:lang w:eastAsia="en-GB"/>
              </w:rPr>
              <w:t>rd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October 2022</w:t>
            </w:r>
          </w:p>
        </w:tc>
      </w:tr>
      <w:tr w:rsidR="00A644FF" w:rsidRPr="00A7342E" w14:paraId="2D65C2DA" w14:textId="77777777" w:rsidTr="00170E1A">
        <w:trPr>
          <w:trHeight w:val="234"/>
          <w:tblCellSpacing w:w="20" w:type="dxa"/>
        </w:trPr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10F4557A" w14:textId="77777777" w:rsidR="00A644FF" w:rsidRPr="00A644FF" w:rsidRDefault="00A644FF" w:rsidP="009A611A">
            <w:pPr>
              <w:spacing w:after="0" w:line="240" w:lineRule="auto"/>
              <w:ind w:left="284"/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</w:pPr>
            <w:r w:rsidRPr="00A644FF"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  <w:t>Tender Clarification Deadline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</w:tcPr>
          <w:p w14:paraId="087FE44B" w14:textId="57EACB54" w:rsidR="00A644FF" w:rsidRPr="004F542F" w:rsidRDefault="00170E1A" w:rsidP="009A6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31</w:t>
            </w:r>
            <w:r w:rsidRPr="00170E1A">
              <w:rPr>
                <w:rFonts w:ascii="Verdana" w:eastAsia="Times New Roman" w:hAnsi="Verdana" w:cs="Arial"/>
                <w:vertAlign w:val="superscript"/>
                <w:lang w:eastAsia="en-GB"/>
              </w:rPr>
              <w:t>st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October 2022</w:t>
            </w:r>
          </w:p>
        </w:tc>
      </w:tr>
      <w:tr w:rsidR="00A644FF" w:rsidRPr="00A7342E" w14:paraId="38E1C625" w14:textId="77777777" w:rsidTr="00170E1A">
        <w:trPr>
          <w:trHeight w:val="234"/>
          <w:tblCellSpacing w:w="20" w:type="dxa"/>
        </w:trPr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3F0E21D" w14:textId="77777777" w:rsidR="00A644FF" w:rsidRPr="00A644FF" w:rsidRDefault="00A644FF" w:rsidP="009A611A">
            <w:pPr>
              <w:spacing w:after="0" w:line="240" w:lineRule="auto"/>
              <w:ind w:left="284"/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</w:pPr>
            <w:r w:rsidRPr="00A644FF"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  <w:t xml:space="preserve">Return of Final Tender Documents 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</w:tcPr>
          <w:p w14:paraId="3B1F3FDD" w14:textId="41FEB7E0" w:rsidR="00A644FF" w:rsidRPr="004F542F" w:rsidRDefault="00960124" w:rsidP="009A6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7</w:t>
            </w:r>
            <w:r w:rsidRPr="00960124">
              <w:rPr>
                <w:rFonts w:ascii="Verdana" w:eastAsia="Times New Roman" w:hAnsi="Verdana" w:cs="Arial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November (</w:t>
            </w:r>
            <w:proofErr w:type="spellStart"/>
            <w:proofErr w:type="gramStart"/>
            <w:r>
              <w:rPr>
                <w:rFonts w:ascii="Verdana" w:eastAsia="Times New Roman" w:hAnsi="Verdana" w:cs="Arial"/>
                <w:lang w:eastAsia="en-GB"/>
              </w:rPr>
              <w:t>ie</w:t>
            </w:r>
            <w:proofErr w:type="spellEnd"/>
            <w:proofErr w:type="gramEnd"/>
            <w:r>
              <w:rPr>
                <w:rFonts w:ascii="Verdana" w:eastAsia="Times New Roman" w:hAnsi="Verdana" w:cs="Arial"/>
                <w:lang w:eastAsia="en-GB"/>
              </w:rPr>
              <w:t xml:space="preserve"> 35 days)</w:t>
            </w:r>
          </w:p>
        </w:tc>
      </w:tr>
      <w:tr w:rsidR="00A644FF" w:rsidRPr="00A7342E" w14:paraId="65AFCA73" w14:textId="77777777" w:rsidTr="00170E1A">
        <w:trPr>
          <w:trHeight w:val="234"/>
          <w:tblCellSpacing w:w="20" w:type="dxa"/>
        </w:trPr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87B5082" w14:textId="791C24FC" w:rsidR="00A644FF" w:rsidRPr="00A644FF" w:rsidRDefault="00A644FF" w:rsidP="009A611A">
            <w:pPr>
              <w:spacing w:after="0" w:line="240" w:lineRule="auto"/>
              <w:ind w:left="284"/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</w:pPr>
            <w:r w:rsidRPr="00A644FF"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  <w:t>Evaluation of Tenders – and shortlisting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</w:tcPr>
          <w:p w14:paraId="3DCC679D" w14:textId="6E62F9D4" w:rsidR="00A644FF" w:rsidRPr="004F542F" w:rsidRDefault="00960124" w:rsidP="009A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11</w:t>
            </w:r>
            <w:r w:rsidRPr="00960124">
              <w:rPr>
                <w:rFonts w:ascii="Verdana" w:eastAsia="Times New Roman" w:hAnsi="Verdana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 November</w:t>
            </w:r>
          </w:p>
        </w:tc>
      </w:tr>
      <w:tr w:rsidR="00A644FF" w:rsidRPr="00A7342E" w14:paraId="304DCE8F" w14:textId="77777777" w:rsidTr="00170E1A">
        <w:trPr>
          <w:trHeight w:val="234"/>
          <w:tblCellSpacing w:w="20" w:type="dxa"/>
        </w:trPr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6B31A33F" w14:textId="73028B7D" w:rsidR="00A644FF" w:rsidRPr="00A644FF" w:rsidRDefault="00A644FF" w:rsidP="009A611A">
            <w:pPr>
              <w:spacing w:after="0" w:line="240" w:lineRule="auto"/>
              <w:ind w:left="284"/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</w:pPr>
            <w:r w:rsidRPr="00A644FF"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  <w:t>Interview short listed suppliers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</w:tcPr>
          <w:p w14:paraId="6A509415" w14:textId="756406FD" w:rsidR="00A644FF" w:rsidRPr="004F542F" w:rsidRDefault="00960124" w:rsidP="009A6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14</w:t>
            </w:r>
            <w:r w:rsidRPr="00960124">
              <w:rPr>
                <w:rFonts w:ascii="Verdana" w:eastAsia="Times New Roman" w:hAnsi="Verdana" w:cs="Arial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November</w:t>
            </w:r>
          </w:p>
        </w:tc>
      </w:tr>
      <w:tr w:rsidR="00A644FF" w:rsidRPr="00A7342E" w14:paraId="5F94B940" w14:textId="77777777" w:rsidTr="00170E1A">
        <w:trPr>
          <w:trHeight w:val="234"/>
          <w:tblCellSpacing w:w="20" w:type="dxa"/>
        </w:trPr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2C6E2AF4" w14:textId="3710C2A1" w:rsidR="00A644FF" w:rsidRPr="00A644FF" w:rsidRDefault="00A644FF" w:rsidP="009A611A">
            <w:pPr>
              <w:spacing w:after="0" w:line="240" w:lineRule="auto"/>
              <w:ind w:left="284"/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</w:pPr>
            <w:r w:rsidRPr="00A644FF"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  <w:t>Evaluation and conclusion on appointment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</w:tcPr>
          <w:p w14:paraId="1972AE48" w14:textId="7815E6E2" w:rsidR="00A644FF" w:rsidRPr="004F542F" w:rsidRDefault="00170E1A" w:rsidP="009A6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By 18</w:t>
            </w:r>
            <w:r w:rsidRPr="00170E1A">
              <w:rPr>
                <w:rFonts w:ascii="Verdana" w:eastAsia="Times New Roman" w:hAnsi="Verdana" w:cs="Arial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November</w:t>
            </w:r>
          </w:p>
        </w:tc>
      </w:tr>
      <w:tr w:rsidR="00A644FF" w:rsidRPr="00A7342E" w14:paraId="3879AE30" w14:textId="77777777" w:rsidTr="00170E1A">
        <w:trPr>
          <w:trHeight w:val="174"/>
          <w:tblCellSpacing w:w="20" w:type="dxa"/>
        </w:trPr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4DF0E490" w14:textId="77777777" w:rsidR="00A644FF" w:rsidRPr="00A644FF" w:rsidRDefault="00A644FF" w:rsidP="009A611A">
            <w:pPr>
              <w:spacing w:after="0" w:line="240" w:lineRule="auto"/>
              <w:ind w:left="284"/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</w:pPr>
            <w:r w:rsidRPr="00A644FF"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  <w:t>Internal review and approvals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</w:tcPr>
          <w:p w14:paraId="2D7D3C29" w14:textId="49BCC06F" w:rsidR="00A644FF" w:rsidRPr="004F542F" w:rsidRDefault="00170E1A" w:rsidP="009A6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w/c 21</w:t>
            </w:r>
            <w:r w:rsidRPr="00170E1A">
              <w:rPr>
                <w:rFonts w:ascii="Verdana" w:eastAsia="Times New Roman" w:hAnsi="Verdana" w:cs="Arial"/>
                <w:vertAlign w:val="superscript"/>
                <w:lang w:eastAsia="en-GB"/>
              </w:rPr>
              <w:t>st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November</w:t>
            </w:r>
          </w:p>
        </w:tc>
      </w:tr>
      <w:tr w:rsidR="00A644FF" w:rsidRPr="00A7342E" w14:paraId="1751B405" w14:textId="77777777" w:rsidTr="00170E1A">
        <w:trPr>
          <w:trHeight w:val="69"/>
          <w:tblCellSpacing w:w="20" w:type="dxa"/>
        </w:trPr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F1C313E" w14:textId="77777777" w:rsidR="00A644FF" w:rsidRPr="00A644FF" w:rsidRDefault="00A644FF" w:rsidP="009A611A">
            <w:pPr>
              <w:spacing w:after="0" w:line="240" w:lineRule="auto"/>
              <w:ind w:left="284"/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</w:pPr>
            <w:r w:rsidRPr="00A644FF"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  <w:t xml:space="preserve">Inform tenderers of outcome of evaluation 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</w:tcPr>
          <w:p w14:paraId="6799EE23" w14:textId="729100A4" w:rsidR="00A644FF" w:rsidRPr="004F542F" w:rsidRDefault="00170E1A" w:rsidP="009A6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By 25</w:t>
            </w:r>
            <w:r w:rsidRPr="00170E1A">
              <w:rPr>
                <w:rFonts w:ascii="Verdana" w:eastAsia="Times New Roman" w:hAnsi="Verdana" w:cs="Arial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November</w:t>
            </w:r>
          </w:p>
        </w:tc>
      </w:tr>
      <w:tr w:rsidR="00A644FF" w:rsidRPr="00A7342E" w14:paraId="1A3A99C2" w14:textId="77777777" w:rsidTr="00170E1A">
        <w:trPr>
          <w:trHeight w:val="234"/>
          <w:tblCellSpacing w:w="20" w:type="dxa"/>
        </w:trPr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3473EE99" w14:textId="77777777" w:rsidR="00A644FF" w:rsidRPr="00A644FF" w:rsidRDefault="00A644FF" w:rsidP="009A611A">
            <w:pPr>
              <w:spacing w:after="0" w:line="240" w:lineRule="auto"/>
              <w:ind w:left="284"/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</w:pPr>
            <w:r w:rsidRPr="00A644FF"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  <w:t>Standstill Period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</w:tcPr>
          <w:p w14:paraId="5E9521B2" w14:textId="735B8EF7" w:rsidR="00A644FF" w:rsidRPr="004F542F" w:rsidRDefault="00170E1A" w:rsidP="009A6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25</w:t>
            </w:r>
            <w:r w:rsidRPr="00170E1A">
              <w:rPr>
                <w:rFonts w:ascii="Verdana" w:eastAsia="Times New Roman" w:hAnsi="Verdana" w:cs="Arial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November to 5</w:t>
            </w:r>
            <w:r w:rsidRPr="00170E1A">
              <w:rPr>
                <w:rFonts w:ascii="Verdana" w:eastAsia="Times New Roman" w:hAnsi="Verdana" w:cs="Arial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December</w:t>
            </w:r>
          </w:p>
        </w:tc>
      </w:tr>
      <w:tr w:rsidR="00A644FF" w:rsidRPr="00A7342E" w14:paraId="52EAA157" w14:textId="77777777" w:rsidTr="00170E1A">
        <w:trPr>
          <w:trHeight w:val="224"/>
          <w:tblCellSpacing w:w="20" w:type="dxa"/>
        </w:trPr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5297720" w14:textId="77777777" w:rsidR="00A644FF" w:rsidRPr="00A644FF" w:rsidRDefault="00A644FF" w:rsidP="009A611A">
            <w:pPr>
              <w:spacing w:after="0" w:line="240" w:lineRule="auto"/>
              <w:ind w:left="284"/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</w:pPr>
            <w:r w:rsidRPr="00A644FF">
              <w:rPr>
                <w:rFonts w:ascii="Verdana" w:eastAsia="Times New Roman" w:hAnsi="Verdana" w:cs="Arial"/>
                <w:iCs/>
                <w:color w:val="000000" w:themeColor="text1"/>
                <w:lang w:eastAsia="en-GB"/>
              </w:rPr>
              <w:t>Start of Contract Period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/>
            <w:vAlign w:val="bottom"/>
          </w:tcPr>
          <w:p w14:paraId="32CBE3B0" w14:textId="47911C4D" w:rsidR="00A644FF" w:rsidRPr="004F542F" w:rsidRDefault="00170E1A" w:rsidP="009A6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6</w:t>
            </w:r>
            <w:r w:rsidRPr="00170E1A">
              <w:rPr>
                <w:rFonts w:ascii="Verdana" w:eastAsia="Times New Roman" w:hAnsi="Verdana" w:cs="Arial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December</w:t>
            </w:r>
          </w:p>
        </w:tc>
      </w:tr>
    </w:tbl>
    <w:p w14:paraId="74C2145E" w14:textId="58146965" w:rsidR="00A644FF" w:rsidRDefault="00A644FF"/>
    <w:p w14:paraId="1F720639" w14:textId="77777777" w:rsidR="00E85284" w:rsidRDefault="00E85284">
      <w:pPr>
        <w:spacing w:after="160" w:line="259" w:lineRule="auto"/>
      </w:pPr>
    </w:p>
    <w:p w14:paraId="221C383C" w14:textId="0C393649" w:rsidR="00960124" w:rsidRDefault="00E85284" w:rsidP="00E85284">
      <w:pPr>
        <w:tabs>
          <w:tab w:val="left" w:pos="7970"/>
        </w:tabs>
        <w:spacing w:after="160" w:line="259" w:lineRule="auto"/>
      </w:pPr>
      <w:r>
        <w:tab/>
      </w:r>
    </w:p>
    <w:sectPr w:rsidR="00960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3DB"/>
    <w:multiLevelType w:val="multilevel"/>
    <w:tmpl w:val="125E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9949E3"/>
    <w:multiLevelType w:val="hybridMultilevel"/>
    <w:tmpl w:val="9A22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5D75"/>
    <w:multiLevelType w:val="hybridMultilevel"/>
    <w:tmpl w:val="579C8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93DDD"/>
    <w:multiLevelType w:val="hybridMultilevel"/>
    <w:tmpl w:val="064C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8252E"/>
    <w:multiLevelType w:val="hybridMultilevel"/>
    <w:tmpl w:val="2EB64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81BFE"/>
    <w:multiLevelType w:val="hybridMultilevel"/>
    <w:tmpl w:val="085A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FF"/>
    <w:rsid w:val="00016942"/>
    <w:rsid w:val="00137901"/>
    <w:rsid w:val="00170E1A"/>
    <w:rsid w:val="003453D5"/>
    <w:rsid w:val="004130B4"/>
    <w:rsid w:val="00421B6E"/>
    <w:rsid w:val="004C02C0"/>
    <w:rsid w:val="00551F73"/>
    <w:rsid w:val="00571844"/>
    <w:rsid w:val="005E4292"/>
    <w:rsid w:val="00635160"/>
    <w:rsid w:val="006F7EDC"/>
    <w:rsid w:val="008111FC"/>
    <w:rsid w:val="008A378C"/>
    <w:rsid w:val="008D6BA5"/>
    <w:rsid w:val="00960124"/>
    <w:rsid w:val="009732E3"/>
    <w:rsid w:val="00994E6B"/>
    <w:rsid w:val="00A644FF"/>
    <w:rsid w:val="00A727C5"/>
    <w:rsid w:val="00A75BF0"/>
    <w:rsid w:val="00AF09C3"/>
    <w:rsid w:val="00B872E1"/>
    <w:rsid w:val="00CB0103"/>
    <w:rsid w:val="00D22785"/>
    <w:rsid w:val="00D24C7D"/>
    <w:rsid w:val="00DD0A95"/>
    <w:rsid w:val="00DF03E9"/>
    <w:rsid w:val="00E85284"/>
    <w:rsid w:val="00EB4DA2"/>
    <w:rsid w:val="00F6230A"/>
    <w:rsid w:val="00F9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86395"/>
  <w15:chartTrackingRefBased/>
  <w15:docId w15:val="{BA792213-E787-44AC-906D-BEF909F1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4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3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F7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925</Words>
  <Characters>5154</Characters>
  <Application>Microsoft Office Word</Application>
  <DocSecurity>0</DocSecurity>
  <Lines>132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Broom</dc:creator>
  <cp:keywords/>
  <dc:description/>
  <cp:lastModifiedBy>Dan Hutchins</cp:lastModifiedBy>
  <cp:revision>3</cp:revision>
  <dcterms:created xsi:type="dcterms:W3CDTF">2022-08-15T07:05:00Z</dcterms:created>
  <dcterms:modified xsi:type="dcterms:W3CDTF">2022-08-15T16:06:00Z</dcterms:modified>
</cp:coreProperties>
</file>