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214731">
      <w:pPr>
        <w:spacing w:after="360"/>
        <w:jc w:val="center"/>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256A35B3"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FF3947">
        <w:rPr>
          <w:rFonts w:ascii="Calibri" w:hAnsi="Calibri"/>
          <w:b/>
          <w:sz w:val="40"/>
          <w:szCs w:val="40"/>
        </w:rPr>
        <w:t xml:space="preserve">Employability Skills Provision </w:t>
      </w:r>
      <w:r w:rsidR="00F74AB0">
        <w:rPr>
          <w:rFonts w:ascii="Calibri" w:hAnsi="Calibri"/>
          <w:b/>
          <w:sz w:val="40"/>
          <w:szCs w:val="40"/>
        </w:rPr>
        <w:t xml:space="preserve">for </w:t>
      </w:r>
      <w:r w:rsidR="00434017" w:rsidRPr="00434017">
        <w:rPr>
          <w:rFonts w:ascii="Calibri" w:hAnsi="Calibri"/>
          <w:b/>
          <w:sz w:val="40"/>
          <w:szCs w:val="40"/>
        </w:rPr>
        <w:t>Building</w:t>
      </w:r>
      <w:r w:rsidR="00434017">
        <w:rPr>
          <w:rFonts w:ascii="Calibri" w:hAnsi="Calibri"/>
          <w:b/>
          <w:sz w:val="40"/>
          <w:szCs w:val="40"/>
        </w:rPr>
        <w:t xml:space="preserve"> Better </w:t>
      </w:r>
      <w:r w:rsidR="003B0154">
        <w:rPr>
          <w:rFonts w:ascii="Calibri" w:hAnsi="Calibri"/>
          <w:b/>
          <w:sz w:val="40"/>
          <w:szCs w:val="40"/>
        </w:rPr>
        <w:t>Opportunities -</w:t>
      </w:r>
      <w:r w:rsidR="00FF3947">
        <w:rPr>
          <w:rFonts w:ascii="Calibri" w:hAnsi="Calibri"/>
          <w:b/>
          <w:sz w:val="40"/>
          <w:szCs w:val="40"/>
        </w:rPr>
        <w:t xml:space="preserve"> Age of Opportunity Project (</w:t>
      </w:r>
      <w:r w:rsidR="0041113B">
        <w:rPr>
          <w:rFonts w:ascii="Calibri" w:hAnsi="Calibri"/>
          <w:b/>
          <w:sz w:val="40"/>
          <w:szCs w:val="40"/>
        </w:rPr>
        <w:t xml:space="preserve">East </w:t>
      </w:r>
      <w:r w:rsidR="00FF3947">
        <w:rPr>
          <w:rFonts w:ascii="Calibri" w:hAnsi="Calibri"/>
          <w:b/>
          <w:sz w:val="40"/>
          <w:szCs w:val="40"/>
        </w:rPr>
        <w:t>L</w:t>
      </w:r>
      <w:r w:rsidR="00F00334">
        <w:rPr>
          <w:rFonts w:ascii="Calibri" w:hAnsi="Calibri"/>
          <w:b/>
          <w:sz w:val="40"/>
          <w:szCs w:val="40"/>
        </w:rPr>
        <w:t>ancashire</w:t>
      </w:r>
      <w:r w:rsidR="00FF3947">
        <w:rPr>
          <w:rFonts w:ascii="Calibri" w:hAnsi="Calibri"/>
          <w:b/>
          <w:sz w:val="40"/>
          <w:szCs w:val="40"/>
        </w:rPr>
        <w:t>)</w:t>
      </w:r>
      <w:r w:rsidR="00824C2B">
        <w:rPr>
          <w:rFonts w:ascii="Calibri" w:hAnsi="Calibri"/>
          <w:b/>
          <w:sz w:val="40"/>
          <w:szCs w:val="40"/>
        </w:rPr>
        <w:t xml:space="preserve"> Phase 3</w:t>
      </w:r>
    </w:p>
    <w:p w14:paraId="624703AC" w14:textId="64292266"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530330" w:rsidRPr="00530330">
        <w:rPr>
          <w:rFonts w:ascii="Calibri" w:hAnsi="Calibri" w:cs="Calibri"/>
          <w:b/>
          <w:bCs/>
          <w:sz w:val="40"/>
        </w:rPr>
        <w:t>DN555715</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77777777" w:rsidR="00881B38" w:rsidRDefault="00881B38" w:rsidP="002E608C">
      <w:pPr>
        <w:spacing w:after="120"/>
        <w:jc w:val="left"/>
        <w:rPr>
          <w:rFonts w:ascii="Calibri" w:hAnsi="Calibri"/>
          <w:b/>
          <w:bCs/>
          <w:color w:val="1D2F68"/>
          <w:sz w:val="28"/>
          <w:szCs w:val="28"/>
        </w:rPr>
      </w:pPr>
    </w:p>
    <w:p w14:paraId="1475A154" w14:textId="77777777" w:rsidR="00881B38" w:rsidRDefault="00881B38" w:rsidP="002E608C">
      <w:pPr>
        <w:spacing w:after="120"/>
        <w:jc w:val="left"/>
        <w:rPr>
          <w:rFonts w:ascii="Calibri" w:hAnsi="Calibri"/>
          <w:b/>
          <w:bCs/>
          <w:color w:val="1D2F68"/>
          <w:sz w:val="28"/>
          <w:szCs w:val="28"/>
        </w:rPr>
      </w:pPr>
    </w:p>
    <w:p w14:paraId="7FBAD91F" w14:textId="77777777" w:rsidR="00881B38" w:rsidRDefault="00881B38" w:rsidP="002E608C">
      <w:pPr>
        <w:spacing w:after="120"/>
        <w:jc w:val="left"/>
        <w:rPr>
          <w:rFonts w:ascii="Calibri" w:hAnsi="Calibri"/>
          <w:b/>
          <w:bCs/>
          <w:color w:val="1D2F68"/>
          <w:sz w:val="28"/>
          <w:szCs w:val="28"/>
        </w:rPr>
      </w:pPr>
    </w:p>
    <w:p w14:paraId="3E2870A6" w14:textId="77777777" w:rsidR="009464D4" w:rsidRDefault="009464D4"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31165A14"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partnership to provide specialist employability and skills support to</w:t>
      </w:r>
      <w:r>
        <w:rPr>
          <w:rFonts w:ascii="Calibri" w:hAnsi="Calibri"/>
        </w:rPr>
        <w:t xml:space="preserve"> </w:t>
      </w:r>
      <w:r w:rsidR="00626FDD">
        <w:rPr>
          <w:rFonts w:ascii="Calibri" w:hAnsi="Calibri"/>
        </w:rPr>
        <w:t xml:space="preserve">unemployed </w:t>
      </w:r>
      <w:r>
        <w:rPr>
          <w:rFonts w:ascii="Calibri" w:hAnsi="Calibri"/>
        </w:rPr>
        <w:t>people aged 50 and over</w:t>
      </w:r>
      <w:r w:rsidR="005550C8">
        <w:rPr>
          <w:rFonts w:ascii="Calibri" w:hAnsi="Calibri"/>
        </w:rPr>
        <w:t>.</w:t>
      </w:r>
      <w:r>
        <w:rPr>
          <w:rFonts w:ascii="Calibri" w:hAnsi="Calibri"/>
        </w:rPr>
        <w:t xml:space="preserve"> </w:t>
      </w:r>
      <w:r w:rsidR="005550C8">
        <w:rPr>
          <w:rFonts w:ascii="Calibri" w:hAnsi="Calibri"/>
        </w:rPr>
        <w:t>T</w:t>
      </w:r>
      <w:r>
        <w:rPr>
          <w:rFonts w:ascii="Calibri" w:hAnsi="Calibri"/>
        </w:rPr>
        <w:t>h</w:t>
      </w:r>
      <w:r w:rsidR="005550C8">
        <w:rPr>
          <w:rFonts w:ascii="Calibri" w:hAnsi="Calibri"/>
        </w:rPr>
        <w:t>is</w:t>
      </w:r>
      <w:r>
        <w:rPr>
          <w:rFonts w:ascii="Calibri" w:hAnsi="Calibri"/>
        </w:rPr>
        <w:t xml:space="preserve"> project is known as Age of Opportunity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4A84F5A5" w:rsidR="007635B3" w:rsidRDefault="007635B3" w:rsidP="007635B3">
      <w:pPr>
        <w:spacing w:after="360"/>
        <w:rPr>
          <w:rFonts w:ascii="Calibri" w:hAnsi="Calibri"/>
          <w:color w:val="000000" w:themeColor="text1"/>
        </w:rPr>
      </w:pPr>
      <w:r>
        <w:rPr>
          <w:rFonts w:ascii="Calibri" w:hAnsi="Calibri"/>
        </w:rPr>
        <w:t>The Age of Opportunity project cons</w:t>
      </w:r>
      <w:r w:rsidRPr="007635B3">
        <w:rPr>
          <w:rFonts w:ascii="Calibri" w:hAnsi="Calibri"/>
        </w:rPr>
        <w:t xml:space="preserve">ists of approximately </w:t>
      </w:r>
      <w:r>
        <w:rPr>
          <w:rFonts w:ascii="Calibri" w:hAnsi="Calibri"/>
        </w:rPr>
        <w:t>1</w:t>
      </w:r>
      <w:r w:rsidR="00824C2B">
        <w:rPr>
          <w:rFonts w:ascii="Calibri" w:hAnsi="Calibri"/>
        </w:rPr>
        <w:t>3</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302C98">
        <w:rPr>
          <w:rFonts w:ascii="Calibri" w:hAnsi="Calibri"/>
          <w:color w:val="000000" w:themeColor="text1"/>
        </w:rPr>
        <w:t>Age of Opportunity has been operational since August 2016 and has recently received additional investment extending project delivery</w:t>
      </w:r>
      <w:r w:rsidR="00824C2B">
        <w:rPr>
          <w:rFonts w:ascii="Calibri" w:hAnsi="Calibri"/>
          <w:color w:val="000000" w:themeColor="text1"/>
        </w:rPr>
        <w:t xml:space="preserve"> to the end of 2022.</w:t>
      </w:r>
    </w:p>
    <w:p w14:paraId="123C4019" w14:textId="5D529D4C" w:rsidR="00302C98" w:rsidRPr="005550C8" w:rsidRDefault="00302C98" w:rsidP="00302C98">
      <w:pPr>
        <w:spacing w:after="240" w:line="264" w:lineRule="auto"/>
        <w:rPr>
          <w:rFonts w:ascii="Calibri" w:hAnsi="Calibri" w:cs="Arial"/>
          <w:bCs/>
          <w:color w:val="FF0000"/>
          <w:szCs w:val="22"/>
        </w:rPr>
      </w:pPr>
      <w:r w:rsidRPr="00881B38">
        <w:rPr>
          <w:rFonts w:ascii="Calibri" w:hAnsi="Calibri" w:cs="Arial"/>
          <w:bCs/>
          <w:szCs w:val="22"/>
        </w:rPr>
        <w:t xml:space="preserve">Over the lifetime of the project, over </w:t>
      </w:r>
      <w:r w:rsidR="00824C2B">
        <w:rPr>
          <w:rFonts w:ascii="Calibri" w:hAnsi="Calibri" w:cs="Arial"/>
          <w:bCs/>
          <w:szCs w:val="22"/>
        </w:rPr>
        <w:t xml:space="preserve">2300 </w:t>
      </w:r>
      <w:r w:rsidRPr="00881B38">
        <w:rPr>
          <w:rFonts w:ascii="Calibri" w:hAnsi="Calibri" w:cs="Arial"/>
          <w:bCs/>
          <w:szCs w:val="22"/>
        </w:rPr>
        <w:t>disadvantaged people will benefit from support tailored to their individual needs and interests to overcome complex barriers and move towards work and training.</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older people who live in the Lancashire LEP area and have low or no skills, thereby preventing them from engaging with training and employment opportunities. It will support them in moving towards and into employment, training and education. </w:t>
      </w:r>
    </w:p>
    <w:p w14:paraId="2C73B016" w14:textId="77777777" w:rsidR="00302C98" w:rsidRPr="00FF7A90" w:rsidRDefault="00302C98" w:rsidP="00FF7A90">
      <w:pPr>
        <w:rPr>
          <w:rFonts w:ascii="Calibri" w:hAnsi="Calibri"/>
        </w:rPr>
      </w:pPr>
      <w:r w:rsidRPr="00351EFA">
        <w:rPr>
          <w:rFonts w:ascii="Calibri" w:hAnsi="Calibri" w:cs="Arial"/>
          <w:bCs/>
          <w:color w:val="000000" w:themeColor="text1"/>
          <w:szCs w:val="22"/>
        </w:rPr>
        <w:t xml:space="preserve">The project </w:t>
      </w:r>
      <w:r w:rsidR="00351EFA" w:rsidRPr="00351EFA">
        <w:rPr>
          <w:rFonts w:ascii="Calibri" w:hAnsi="Calibri" w:cs="Arial"/>
          <w:bCs/>
          <w:color w:val="000000" w:themeColor="text1"/>
          <w:szCs w:val="22"/>
        </w:rPr>
        <w:t xml:space="preserve">consists of </w:t>
      </w:r>
      <w:r w:rsidRPr="00351EFA">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351EFA" w:rsidRPr="00351EFA">
        <w:rPr>
          <w:rFonts w:ascii="Calibri" w:hAnsi="Calibri" w:cs="Arial"/>
          <w:bCs/>
          <w:color w:val="000000" w:themeColor="text1"/>
          <w:szCs w:val="22"/>
        </w:rPr>
        <w:t xml:space="preserve">Age of Opportunity </w:t>
      </w:r>
      <w:r w:rsidRPr="00351EFA">
        <w:rPr>
          <w:rFonts w:ascii="Calibri" w:hAnsi="Calibri" w:cs="Arial"/>
          <w:bCs/>
          <w:color w:val="000000" w:themeColor="text1"/>
          <w:szCs w:val="22"/>
        </w:rPr>
        <w:t>project delivery staff work to enable participants to overcome obstacles to sustainable employment arising out of their situations, circumstances and behaviours</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helping to build </w:t>
      </w:r>
      <w:r w:rsidRPr="00FF7A90">
        <w:rPr>
          <w:rFonts w:ascii="Calibri" w:hAnsi="Calibri" w:cs="Calibri"/>
          <w:bCs/>
          <w:color w:val="000000" w:themeColor="text1"/>
          <w:szCs w:val="22"/>
        </w:rPr>
        <w:t xml:space="preserve">resilience, self-esteem and self-confidence in working towards successful employment and training outcomes. </w:t>
      </w:r>
      <w:r w:rsidR="00FF7A90" w:rsidRPr="00FF7A90">
        <w:rPr>
          <w:rFonts w:ascii="Calibri" w:hAnsi="Calibri" w:cs="Calibri"/>
        </w:rPr>
        <w:t>Participants will benefit from a range of</w:t>
      </w:r>
      <w:r w:rsidRPr="00FF7A90">
        <w:rPr>
          <w:rFonts w:ascii="Calibri" w:hAnsi="Calibri" w:cs="Calibri"/>
          <w:bCs/>
          <w:color w:val="000000" w:themeColor="text1"/>
          <w:szCs w:val="22"/>
        </w:rPr>
        <w:t xml:space="preserve"> practical</w:t>
      </w:r>
      <w:r w:rsidRPr="00351EFA">
        <w:rPr>
          <w:rFonts w:ascii="Calibri" w:hAnsi="Calibri" w:cs="Arial"/>
          <w:bCs/>
          <w:color w:val="000000" w:themeColor="text1"/>
          <w:szCs w:val="22"/>
        </w:rPr>
        <w:t xml:space="preserve"> support including</w:t>
      </w:r>
      <w:r w:rsidR="005550C8">
        <w:rPr>
          <w:rFonts w:ascii="Calibri" w:hAnsi="Calibri" w:cs="Arial"/>
          <w:bCs/>
          <w:color w:val="000000" w:themeColor="text1"/>
          <w:szCs w:val="22"/>
        </w:rPr>
        <w:t>:</w:t>
      </w:r>
      <w:r w:rsidRPr="00351EFA">
        <w:rPr>
          <w:rFonts w:ascii="Calibri" w:hAnsi="Calibri" w:cs="Arial"/>
          <w:bCs/>
          <w:color w:val="000000" w:themeColor="text1"/>
          <w:szCs w:val="22"/>
        </w:rPr>
        <w:t xml:space="preserve"> money and budgeting advice, IT skills, business start-up, CV building, interview practice, confidence building activities, volunteering experience, basic skills, housing advice, support with childcare, and much more. </w:t>
      </w:r>
    </w:p>
    <w:p w14:paraId="7ADC8AE5" w14:textId="77777777" w:rsidR="00E3213A" w:rsidRDefault="00E3213A" w:rsidP="00BB3D50">
      <w:pPr>
        <w:pStyle w:val="Heading2"/>
        <w:tabs>
          <w:tab w:val="left" w:pos="567"/>
        </w:tabs>
        <w:spacing w:line="264" w:lineRule="auto"/>
        <w:rPr>
          <w:rFonts w:ascii="Calibri" w:hAnsi="Calibri" w:cs="Arial"/>
          <w:bCs/>
          <w:color w:val="000000" w:themeColor="text1"/>
          <w:szCs w:val="22"/>
        </w:rPr>
      </w:pP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t>Project</w:t>
      </w:r>
      <w:r w:rsidR="009454C2" w:rsidRPr="003A7012">
        <w:rPr>
          <w:rFonts w:ascii="Calibri" w:hAnsi="Calibri" w:cs="Arial"/>
          <w:bCs/>
          <w:color w:val="000000" w:themeColor="text1"/>
          <w:szCs w:val="22"/>
        </w:rPr>
        <w:t xml:space="preserve"> Participants:</w:t>
      </w:r>
    </w:p>
    <w:p w14:paraId="741CABC2" w14:textId="27ECA11F" w:rsidR="00F00334" w:rsidRPr="003A7012" w:rsidRDefault="003A2568" w:rsidP="00BB3D50">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p>
    <w:p w14:paraId="0AF619B5" w14:textId="77777777"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the mandate from the funders 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77777777"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 xml:space="preserve">The successful applicant(s) 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497"/>
        <w:gridCol w:w="1654"/>
        <w:gridCol w:w="1721"/>
        <w:gridCol w:w="1643"/>
        <w:gridCol w:w="1696"/>
        <w:gridCol w:w="1384"/>
      </w:tblGrid>
      <w:tr w:rsidR="00D03298" w:rsidRPr="008D2C46" w14:paraId="4451724F" w14:textId="77777777" w:rsidTr="00F72B53">
        <w:tc>
          <w:tcPr>
            <w:tcW w:w="780"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862"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97"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856" w:type="pct"/>
          </w:tcPr>
          <w:p w14:paraId="3B394079" w14:textId="7777777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 xml:space="preserve">Result: </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self employment </w:t>
            </w:r>
          </w:p>
        </w:tc>
        <w:tc>
          <w:tcPr>
            <w:tcW w:w="884" w:type="pct"/>
          </w:tcPr>
          <w:p w14:paraId="11C25FB8" w14:textId="7BE59483" w:rsidR="001A5FBC" w:rsidRPr="008D2C46" w:rsidRDefault="004E0183" w:rsidP="00951AA5">
            <w:pPr>
              <w:jc w:val="left"/>
              <w:rPr>
                <w:rFonts w:ascii="Calibri" w:hAnsi="Calibri" w:cs="Calibri"/>
                <w:b/>
                <w:color w:val="000000" w:themeColor="text1"/>
              </w:rPr>
            </w:pPr>
            <w:r w:rsidRPr="008D2C46">
              <w:rPr>
                <w:rFonts w:ascii="Calibri" w:hAnsi="Calibri" w:cs="Calibri"/>
                <w:b/>
                <w:color w:val="000000" w:themeColor="text1"/>
              </w:rPr>
              <w:t xml:space="preserve">Result: Economically inactive people </w:t>
            </w:r>
            <w:r w:rsidR="00D03298">
              <w:rPr>
                <w:rFonts w:ascii="Calibri" w:hAnsi="Calibri" w:cs="Calibri"/>
                <w:b/>
                <w:color w:val="000000" w:themeColor="text1"/>
              </w:rPr>
              <w:t xml:space="preserve">leaving the project into employment, self employment or </w:t>
            </w:r>
            <w:r w:rsidRPr="008D2C46">
              <w:rPr>
                <w:rFonts w:ascii="Calibri" w:hAnsi="Calibri" w:cs="Calibri"/>
                <w:b/>
                <w:color w:val="000000" w:themeColor="text1"/>
              </w:rPr>
              <w:t>job search</w:t>
            </w:r>
          </w:p>
        </w:tc>
        <w:tc>
          <w:tcPr>
            <w:tcW w:w="721"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F72B53">
        <w:tc>
          <w:tcPr>
            <w:tcW w:w="780" w:type="pct"/>
          </w:tcPr>
          <w:p w14:paraId="039B1359" w14:textId="77777777" w:rsidR="00E8754F" w:rsidRPr="008D2C46" w:rsidRDefault="00E8754F" w:rsidP="00EE65D6">
            <w:pPr>
              <w:rPr>
                <w:rFonts w:ascii="Calibri" w:hAnsi="Calibri" w:cs="Calibri"/>
                <w:color w:val="000000" w:themeColor="text1"/>
              </w:rPr>
            </w:pPr>
            <w:r w:rsidRPr="008D2C46">
              <w:rPr>
                <w:rFonts w:ascii="Calibri" w:hAnsi="Calibri" w:cs="Calibri"/>
                <w:color w:val="000000" w:themeColor="text1"/>
              </w:rPr>
              <w:t>Blackburn</w:t>
            </w:r>
          </w:p>
        </w:tc>
        <w:tc>
          <w:tcPr>
            <w:tcW w:w="862" w:type="pct"/>
          </w:tcPr>
          <w:p w14:paraId="6F41FE38" w14:textId="1D91BBB2" w:rsidR="00E8754F" w:rsidRPr="008D2C46" w:rsidRDefault="00E8754F" w:rsidP="00EE65D6">
            <w:pPr>
              <w:rPr>
                <w:rFonts w:ascii="Calibri" w:hAnsi="Calibri" w:cs="Calibri"/>
                <w:color w:val="000000" w:themeColor="text1"/>
              </w:rPr>
            </w:pPr>
            <w:r>
              <w:rPr>
                <w:rFonts w:ascii="Calibri" w:hAnsi="Calibri" w:cs="Calibri"/>
                <w:color w:val="000000" w:themeColor="text1"/>
              </w:rPr>
              <w:t>30</w:t>
            </w:r>
          </w:p>
        </w:tc>
        <w:tc>
          <w:tcPr>
            <w:tcW w:w="897" w:type="pct"/>
            <w:vMerge w:val="restart"/>
          </w:tcPr>
          <w:p w14:paraId="51C28FB9" w14:textId="77777777" w:rsidR="00E8754F" w:rsidRPr="008D2C46" w:rsidRDefault="00E8754F" w:rsidP="004E0183">
            <w:pPr>
              <w:jc w:val="center"/>
              <w:rPr>
                <w:rFonts w:ascii="Calibri" w:hAnsi="Calibri" w:cs="Calibri"/>
                <w:color w:val="000000" w:themeColor="text1"/>
              </w:rPr>
            </w:pPr>
          </w:p>
          <w:p w14:paraId="30107CE8" w14:textId="05596CE3" w:rsidR="00E8754F" w:rsidRDefault="00E8754F" w:rsidP="004E0183">
            <w:pPr>
              <w:jc w:val="center"/>
              <w:rPr>
                <w:rFonts w:ascii="Calibri" w:hAnsi="Calibri" w:cs="Calibri"/>
                <w:color w:val="000000" w:themeColor="text1"/>
              </w:rPr>
            </w:pPr>
          </w:p>
          <w:p w14:paraId="52B30579" w14:textId="77777777" w:rsidR="00E8754F" w:rsidRPr="008D2C46" w:rsidRDefault="00E8754F" w:rsidP="004E0183">
            <w:pPr>
              <w:jc w:val="center"/>
              <w:rPr>
                <w:rFonts w:ascii="Calibri" w:hAnsi="Calibri" w:cs="Calibri"/>
                <w:color w:val="000000" w:themeColor="text1"/>
              </w:rPr>
            </w:pPr>
          </w:p>
          <w:p w14:paraId="03949BD0" w14:textId="77777777" w:rsidR="00E8754F" w:rsidRPr="008D2C46" w:rsidRDefault="00E8754F" w:rsidP="004E0183">
            <w:pPr>
              <w:jc w:val="center"/>
              <w:rPr>
                <w:rFonts w:ascii="Calibri" w:hAnsi="Calibri" w:cs="Calibri"/>
                <w:color w:val="000000" w:themeColor="text1"/>
              </w:rPr>
            </w:pPr>
            <w:r w:rsidRPr="008D2C46">
              <w:rPr>
                <w:rFonts w:ascii="Calibri" w:hAnsi="Calibri" w:cs="Calibri"/>
                <w:color w:val="000000" w:themeColor="text1"/>
              </w:rPr>
              <w:t>15</w:t>
            </w:r>
          </w:p>
        </w:tc>
        <w:tc>
          <w:tcPr>
            <w:tcW w:w="856" w:type="pct"/>
            <w:vMerge w:val="restart"/>
          </w:tcPr>
          <w:p w14:paraId="772A31A2" w14:textId="21A496C2" w:rsidR="00E8754F" w:rsidRDefault="00E8754F" w:rsidP="004E0183">
            <w:pPr>
              <w:jc w:val="center"/>
              <w:rPr>
                <w:rFonts w:ascii="Calibri" w:hAnsi="Calibri" w:cs="Calibri"/>
                <w:color w:val="000000" w:themeColor="text1"/>
              </w:rPr>
            </w:pPr>
          </w:p>
          <w:p w14:paraId="423849CC" w14:textId="77777777" w:rsidR="00E8754F" w:rsidRPr="008D2C46" w:rsidRDefault="00E8754F" w:rsidP="004E0183">
            <w:pPr>
              <w:jc w:val="center"/>
              <w:rPr>
                <w:rFonts w:ascii="Calibri" w:hAnsi="Calibri" w:cs="Calibri"/>
                <w:color w:val="000000" w:themeColor="text1"/>
              </w:rPr>
            </w:pPr>
          </w:p>
          <w:p w14:paraId="28BF0119" w14:textId="77777777" w:rsidR="00E8754F" w:rsidRPr="008D2C46" w:rsidRDefault="00E8754F" w:rsidP="004E0183">
            <w:pPr>
              <w:jc w:val="center"/>
              <w:rPr>
                <w:rFonts w:ascii="Calibri" w:hAnsi="Calibri" w:cs="Calibri"/>
                <w:color w:val="000000" w:themeColor="text1"/>
              </w:rPr>
            </w:pPr>
          </w:p>
          <w:p w14:paraId="4299EFA1" w14:textId="65599E2E" w:rsidR="00E8754F" w:rsidRPr="008D2C46" w:rsidRDefault="00E8754F" w:rsidP="004E0183">
            <w:pPr>
              <w:jc w:val="center"/>
              <w:rPr>
                <w:rFonts w:ascii="Calibri" w:hAnsi="Calibri" w:cs="Calibri"/>
                <w:color w:val="000000" w:themeColor="text1"/>
              </w:rPr>
            </w:pPr>
            <w:r>
              <w:rPr>
                <w:rFonts w:ascii="Calibri" w:hAnsi="Calibri" w:cs="Calibri"/>
                <w:color w:val="000000" w:themeColor="text1"/>
              </w:rPr>
              <w:t>8</w:t>
            </w:r>
          </w:p>
        </w:tc>
        <w:tc>
          <w:tcPr>
            <w:tcW w:w="884" w:type="pct"/>
            <w:vMerge w:val="restart"/>
          </w:tcPr>
          <w:p w14:paraId="268ABB45" w14:textId="0473EF3B" w:rsidR="00E8754F" w:rsidRDefault="00E8754F" w:rsidP="004E0183">
            <w:pPr>
              <w:jc w:val="center"/>
              <w:rPr>
                <w:rFonts w:ascii="Calibri" w:hAnsi="Calibri" w:cs="Calibri"/>
                <w:color w:val="000000" w:themeColor="text1"/>
              </w:rPr>
            </w:pPr>
          </w:p>
          <w:p w14:paraId="6EAD4EEC" w14:textId="77777777" w:rsidR="00E8754F" w:rsidRPr="008D2C46" w:rsidRDefault="00E8754F" w:rsidP="004E0183">
            <w:pPr>
              <w:jc w:val="center"/>
              <w:rPr>
                <w:rFonts w:ascii="Calibri" w:hAnsi="Calibri" w:cs="Calibri"/>
                <w:color w:val="000000" w:themeColor="text1"/>
              </w:rPr>
            </w:pPr>
          </w:p>
          <w:p w14:paraId="333F205B" w14:textId="77777777" w:rsidR="00E8754F" w:rsidRPr="008D2C46" w:rsidRDefault="00E8754F" w:rsidP="004E0183">
            <w:pPr>
              <w:jc w:val="center"/>
              <w:rPr>
                <w:rFonts w:ascii="Calibri" w:hAnsi="Calibri" w:cs="Calibri"/>
                <w:color w:val="000000" w:themeColor="text1"/>
              </w:rPr>
            </w:pPr>
          </w:p>
          <w:p w14:paraId="17C9182E" w14:textId="0E925B3E" w:rsidR="00E8754F" w:rsidRPr="008D2C46" w:rsidRDefault="00E8754F" w:rsidP="004E0183">
            <w:pPr>
              <w:jc w:val="center"/>
              <w:rPr>
                <w:rFonts w:ascii="Calibri" w:hAnsi="Calibri" w:cs="Calibri"/>
                <w:color w:val="000000" w:themeColor="text1"/>
              </w:rPr>
            </w:pPr>
            <w:r>
              <w:rPr>
                <w:rFonts w:ascii="Calibri" w:hAnsi="Calibri" w:cs="Calibri"/>
                <w:color w:val="000000" w:themeColor="text1"/>
              </w:rPr>
              <w:t>22</w:t>
            </w:r>
          </w:p>
        </w:tc>
        <w:tc>
          <w:tcPr>
            <w:tcW w:w="721" w:type="pct"/>
            <w:vMerge w:val="restart"/>
          </w:tcPr>
          <w:p w14:paraId="0CEFC43E" w14:textId="09B99F2F" w:rsidR="00E8754F" w:rsidRDefault="00E8754F" w:rsidP="00951AA5">
            <w:pPr>
              <w:jc w:val="left"/>
              <w:rPr>
                <w:rFonts w:ascii="Calibri" w:hAnsi="Calibri" w:cs="Calibri"/>
                <w:color w:val="000000" w:themeColor="text1"/>
              </w:rPr>
            </w:pPr>
          </w:p>
          <w:p w14:paraId="311C93D5" w14:textId="77777777" w:rsidR="00E8754F" w:rsidRDefault="00E8754F" w:rsidP="00951AA5">
            <w:pPr>
              <w:jc w:val="left"/>
              <w:rPr>
                <w:rFonts w:ascii="Calibri" w:hAnsi="Calibri" w:cs="Calibri"/>
                <w:color w:val="000000" w:themeColor="text1"/>
              </w:rPr>
            </w:pPr>
          </w:p>
          <w:p w14:paraId="1E87B21B" w14:textId="77777777" w:rsidR="00E8754F" w:rsidRDefault="00E8754F" w:rsidP="00951AA5">
            <w:pPr>
              <w:jc w:val="left"/>
              <w:rPr>
                <w:rFonts w:ascii="Calibri" w:hAnsi="Calibri" w:cs="Calibri"/>
                <w:color w:val="000000" w:themeColor="text1"/>
              </w:rPr>
            </w:pPr>
          </w:p>
          <w:p w14:paraId="61B5649A" w14:textId="7321B90C" w:rsidR="00E8754F" w:rsidRDefault="00E8754F" w:rsidP="00951AA5">
            <w:pPr>
              <w:jc w:val="left"/>
              <w:rPr>
                <w:rFonts w:ascii="Calibri" w:hAnsi="Calibri" w:cs="Calibri"/>
                <w:color w:val="000000" w:themeColor="text1"/>
              </w:rPr>
            </w:pPr>
            <w:r>
              <w:rPr>
                <w:rFonts w:ascii="Calibri" w:hAnsi="Calibri" w:cs="Calibri"/>
                <w:color w:val="000000" w:themeColor="text1"/>
              </w:rPr>
              <w:t>348</w:t>
            </w:r>
          </w:p>
          <w:p w14:paraId="18B15D60" w14:textId="56C86AC8" w:rsidR="00E8754F" w:rsidRPr="008D2C46" w:rsidRDefault="00E8754F" w:rsidP="00951AA5">
            <w:pPr>
              <w:jc w:val="left"/>
              <w:rPr>
                <w:rFonts w:ascii="Calibri" w:hAnsi="Calibri" w:cs="Calibri"/>
                <w:color w:val="000000" w:themeColor="text1"/>
              </w:rPr>
            </w:pPr>
          </w:p>
        </w:tc>
      </w:tr>
      <w:tr w:rsidR="00E8754F" w:rsidRPr="008D2C46" w14:paraId="0510FF3C" w14:textId="77777777" w:rsidTr="00F72B53">
        <w:tc>
          <w:tcPr>
            <w:tcW w:w="780" w:type="pct"/>
          </w:tcPr>
          <w:p w14:paraId="3578BF52" w14:textId="77777777" w:rsidR="00E8754F" w:rsidRPr="008D2C46" w:rsidRDefault="00E8754F" w:rsidP="00EE65D6">
            <w:pPr>
              <w:rPr>
                <w:rFonts w:ascii="Calibri" w:hAnsi="Calibri" w:cs="Calibri"/>
                <w:color w:val="000000" w:themeColor="text1"/>
              </w:rPr>
            </w:pPr>
            <w:r w:rsidRPr="008D2C46">
              <w:rPr>
                <w:rFonts w:ascii="Calibri" w:hAnsi="Calibri" w:cs="Calibri"/>
                <w:color w:val="000000" w:themeColor="text1"/>
              </w:rPr>
              <w:t>Burnley</w:t>
            </w:r>
          </w:p>
        </w:tc>
        <w:tc>
          <w:tcPr>
            <w:tcW w:w="862" w:type="pct"/>
          </w:tcPr>
          <w:p w14:paraId="74507039" w14:textId="27A71EAF" w:rsidR="00E8754F" w:rsidRPr="008D2C46" w:rsidRDefault="00E8754F" w:rsidP="00EE65D6">
            <w:pPr>
              <w:rPr>
                <w:rFonts w:ascii="Calibri" w:hAnsi="Calibri" w:cs="Calibri"/>
                <w:color w:val="000000" w:themeColor="text1"/>
              </w:rPr>
            </w:pPr>
            <w:r>
              <w:rPr>
                <w:rFonts w:ascii="Calibri" w:hAnsi="Calibri" w:cs="Calibri"/>
                <w:color w:val="000000" w:themeColor="text1"/>
              </w:rPr>
              <w:t>10</w:t>
            </w:r>
          </w:p>
        </w:tc>
        <w:tc>
          <w:tcPr>
            <w:tcW w:w="897" w:type="pct"/>
            <w:vMerge/>
          </w:tcPr>
          <w:p w14:paraId="4CEE26D4" w14:textId="77777777" w:rsidR="00E8754F" w:rsidRPr="008D2C46" w:rsidRDefault="00E8754F" w:rsidP="00951AA5">
            <w:pPr>
              <w:jc w:val="left"/>
              <w:rPr>
                <w:rFonts w:ascii="Calibri" w:hAnsi="Calibri" w:cs="Calibri"/>
                <w:color w:val="000000" w:themeColor="text1"/>
              </w:rPr>
            </w:pPr>
          </w:p>
        </w:tc>
        <w:tc>
          <w:tcPr>
            <w:tcW w:w="856" w:type="pct"/>
            <w:vMerge/>
          </w:tcPr>
          <w:p w14:paraId="6754710C" w14:textId="77777777" w:rsidR="00E8754F" w:rsidRPr="008D2C46" w:rsidRDefault="00E8754F" w:rsidP="00951AA5">
            <w:pPr>
              <w:jc w:val="left"/>
              <w:rPr>
                <w:rFonts w:ascii="Calibri" w:hAnsi="Calibri" w:cs="Calibri"/>
                <w:color w:val="FF0000"/>
              </w:rPr>
            </w:pPr>
          </w:p>
        </w:tc>
        <w:tc>
          <w:tcPr>
            <w:tcW w:w="884" w:type="pct"/>
            <w:vMerge/>
          </w:tcPr>
          <w:p w14:paraId="2D81D7FD" w14:textId="77777777" w:rsidR="00E8754F" w:rsidRPr="008D2C46" w:rsidRDefault="00E8754F" w:rsidP="00951AA5">
            <w:pPr>
              <w:jc w:val="left"/>
              <w:rPr>
                <w:rFonts w:ascii="Calibri" w:hAnsi="Calibri" w:cs="Calibri"/>
                <w:color w:val="FF0000"/>
              </w:rPr>
            </w:pPr>
          </w:p>
        </w:tc>
        <w:tc>
          <w:tcPr>
            <w:tcW w:w="721" w:type="pct"/>
            <w:vMerge/>
          </w:tcPr>
          <w:p w14:paraId="6947DDB3" w14:textId="29F31D9F" w:rsidR="00E8754F" w:rsidRPr="008D2C46" w:rsidRDefault="00E8754F" w:rsidP="00951AA5">
            <w:pPr>
              <w:jc w:val="left"/>
              <w:rPr>
                <w:rFonts w:ascii="Calibri" w:hAnsi="Calibri" w:cs="Calibri"/>
                <w:color w:val="000000" w:themeColor="text1"/>
              </w:rPr>
            </w:pPr>
          </w:p>
        </w:tc>
      </w:tr>
      <w:tr w:rsidR="00E8754F" w:rsidRPr="008D2C46" w14:paraId="346948F2" w14:textId="77777777" w:rsidTr="00F72B53">
        <w:tc>
          <w:tcPr>
            <w:tcW w:w="780" w:type="pct"/>
          </w:tcPr>
          <w:p w14:paraId="781C6727" w14:textId="77777777" w:rsidR="00E8754F" w:rsidRPr="008D2C46" w:rsidRDefault="00E8754F" w:rsidP="00EE65D6">
            <w:pPr>
              <w:rPr>
                <w:rFonts w:ascii="Calibri" w:hAnsi="Calibri" w:cs="Calibri"/>
                <w:color w:val="000000" w:themeColor="text1"/>
              </w:rPr>
            </w:pPr>
            <w:r w:rsidRPr="008D2C46">
              <w:rPr>
                <w:rFonts w:ascii="Calibri" w:hAnsi="Calibri" w:cs="Calibri"/>
                <w:color w:val="000000" w:themeColor="text1"/>
              </w:rPr>
              <w:t>Hyndburn</w:t>
            </w:r>
          </w:p>
        </w:tc>
        <w:tc>
          <w:tcPr>
            <w:tcW w:w="862" w:type="pct"/>
          </w:tcPr>
          <w:p w14:paraId="74AE3282" w14:textId="4B242E67" w:rsidR="00E8754F" w:rsidRPr="008D2C46" w:rsidRDefault="00E8754F" w:rsidP="00EE65D6">
            <w:pPr>
              <w:rPr>
                <w:rFonts w:ascii="Calibri" w:hAnsi="Calibri" w:cs="Calibri"/>
                <w:color w:val="000000" w:themeColor="text1"/>
              </w:rPr>
            </w:pPr>
          </w:p>
        </w:tc>
        <w:tc>
          <w:tcPr>
            <w:tcW w:w="897" w:type="pct"/>
            <w:vMerge/>
          </w:tcPr>
          <w:p w14:paraId="59D4A26E" w14:textId="77777777" w:rsidR="00E8754F" w:rsidRPr="008D2C46" w:rsidRDefault="00E8754F" w:rsidP="00951AA5">
            <w:pPr>
              <w:jc w:val="left"/>
              <w:rPr>
                <w:rFonts w:ascii="Calibri" w:hAnsi="Calibri" w:cs="Calibri"/>
                <w:color w:val="000000" w:themeColor="text1"/>
              </w:rPr>
            </w:pPr>
          </w:p>
        </w:tc>
        <w:tc>
          <w:tcPr>
            <w:tcW w:w="856" w:type="pct"/>
            <w:vMerge/>
          </w:tcPr>
          <w:p w14:paraId="4D6843E1" w14:textId="77777777" w:rsidR="00E8754F" w:rsidRPr="008D2C46" w:rsidRDefault="00E8754F" w:rsidP="00951AA5">
            <w:pPr>
              <w:jc w:val="left"/>
              <w:rPr>
                <w:rFonts w:ascii="Calibri" w:hAnsi="Calibri" w:cs="Calibri"/>
                <w:color w:val="FF0000"/>
              </w:rPr>
            </w:pPr>
          </w:p>
        </w:tc>
        <w:tc>
          <w:tcPr>
            <w:tcW w:w="884" w:type="pct"/>
            <w:vMerge/>
          </w:tcPr>
          <w:p w14:paraId="3400FA7C" w14:textId="77777777" w:rsidR="00E8754F" w:rsidRPr="008D2C46" w:rsidRDefault="00E8754F" w:rsidP="00951AA5">
            <w:pPr>
              <w:jc w:val="left"/>
              <w:rPr>
                <w:rFonts w:ascii="Calibri" w:hAnsi="Calibri" w:cs="Calibri"/>
                <w:color w:val="FF0000"/>
              </w:rPr>
            </w:pPr>
          </w:p>
        </w:tc>
        <w:tc>
          <w:tcPr>
            <w:tcW w:w="721" w:type="pct"/>
            <w:vMerge/>
          </w:tcPr>
          <w:p w14:paraId="24964888" w14:textId="6CBB377D" w:rsidR="00E8754F" w:rsidRPr="008D2C46" w:rsidRDefault="00E8754F" w:rsidP="00951AA5">
            <w:pPr>
              <w:jc w:val="left"/>
              <w:rPr>
                <w:rFonts w:ascii="Calibri" w:hAnsi="Calibri" w:cs="Calibri"/>
                <w:color w:val="000000" w:themeColor="text1"/>
              </w:rPr>
            </w:pPr>
          </w:p>
        </w:tc>
      </w:tr>
      <w:tr w:rsidR="00E8754F" w:rsidRPr="008D2C46" w14:paraId="7837AAB6" w14:textId="77777777" w:rsidTr="00F72B53">
        <w:tc>
          <w:tcPr>
            <w:tcW w:w="780" w:type="pct"/>
          </w:tcPr>
          <w:p w14:paraId="462046F4" w14:textId="77777777" w:rsidR="00E8754F" w:rsidRPr="008D2C46" w:rsidRDefault="00E8754F" w:rsidP="00EE65D6">
            <w:pPr>
              <w:rPr>
                <w:rFonts w:ascii="Calibri" w:hAnsi="Calibri" w:cs="Calibri"/>
                <w:color w:val="000000" w:themeColor="text1"/>
              </w:rPr>
            </w:pPr>
            <w:r w:rsidRPr="008D2C46">
              <w:rPr>
                <w:rFonts w:ascii="Calibri" w:hAnsi="Calibri" w:cs="Calibri"/>
                <w:color w:val="000000" w:themeColor="text1"/>
              </w:rPr>
              <w:t xml:space="preserve">Pendle </w:t>
            </w:r>
          </w:p>
        </w:tc>
        <w:tc>
          <w:tcPr>
            <w:tcW w:w="862" w:type="pct"/>
          </w:tcPr>
          <w:p w14:paraId="5F4ECCB7" w14:textId="01254B68" w:rsidR="00E8754F" w:rsidRPr="008D2C46" w:rsidRDefault="00E8754F" w:rsidP="00EE65D6">
            <w:pPr>
              <w:rPr>
                <w:rFonts w:ascii="Calibri" w:hAnsi="Calibri" w:cs="Calibri"/>
                <w:color w:val="000000" w:themeColor="text1"/>
              </w:rPr>
            </w:pPr>
            <w:r>
              <w:rPr>
                <w:rFonts w:ascii="Calibri" w:hAnsi="Calibri" w:cs="Calibri"/>
                <w:color w:val="000000" w:themeColor="text1"/>
              </w:rPr>
              <w:t>25</w:t>
            </w:r>
          </w:p>
        </w:tc>
        <w:tc>
          <w:tcPr>
            <w:tcW w:w="897" w:type="pct"/>
            <w:vMerge/>
          </w:tcPr>
          <w:p w14:paraId="6D106CA8" w14:textId="77777777" w:rsidR="00E8754F" w:rsidRPr="008D2C46" w:rsidRDefault="00E8754F" w:rsidP="00951AA5">
            <w:pPr>
              <w:jc w:val="left"/>
              <w:rPr>
                <w:rFonts w:ascii="Calibri" w:hAnsi="Calibri" w:cs="Calibri"/>
                <w:color w:val="000000" w:themeColor="text1"/>
              </w:rPr>
            </w:pPr>
          </w:p>
        </w:tc>
        <w:tc>
          <w:tcPr>
            <w:tcW w:w="856" w:type="pct"/>
            <w:vMerge/>
          </w:tcPr>
          <w:p w14:paraId="2A25639E" w14:textId="77777777" w:rsidR="00E8754F" w:rsidRPr="008D2C46" w:rsidRDefault="00E8754F" w:rsidP="00951AA5">
            <w:pPr>
              <w:jc w:val="left"/>
              <w:rPr>
                <w:rFonts w:ascii="Calibri" w:hAnsi="Calibri" w:cs="Calibri"/>
                <w:color w:val="FF0000"/>
              </w:rPr>
            </w:pPr>
          </w:p>
        </w:tc>
        <w:tc>
          <w:tcPr>
            <w:tcW w:w="884" w:type="pct"/>
            <w:vMerge/>
          </w:tcPr>
          <w:p w14:paraId="776B5E2A" w14:textId="77777777" w:rsidR="00E8754F" w:rsidRPr="008D2C46" w:rsidRDefault="00E8754F" w:rsidP="00951AA5">
            <w:pPr>
              <w:jc w:val="left"/>
              <w:rPr>
                <w:rFonts w:ascii="Calibri" w:hAnsi="Calibri" w:cs="Calibri"/>
                <w:color w:val="FF0000"/>
              </w:rPr>
            </w:pPr>
          </w:p>
        </w:tc>
        <w:tc>
          <w:tcPr>
            <w:tcW w:w="721" w:type="pct"/>
            <w:vMerge/>
          </w:tcPr>
          <w:p w14:paraId="6D08732E" w14:textId="35FE512E" w:rsidR="00E8754F" w:rsidRPr="008D2C46" w:rsidRDefault="00E8754F" w:rsidP="00951AA5">
            <w:pPr>
              <w:jc w:val="left"/>
              <w:rPr>
                <w:rFonts w:ascii="Calibri" w:hAnsi="Calibri" w:cs="Calibri"/>
                <w:color w:val="000000" w:themeColor="text1"/>
              </w:rPr>
            </w:pPr>
          </w:p>
        </w:tc>
      </w:tr>
      <w:tr w:rsidR="00E8754F" w:rsidRPr="008D2C46" w14:paraId="660EB1E4" w14:textId="77777777" w:rsidTr="00F72B53">
        <w:tc>
          <w:tcPr>
            <w:tcW w:w="780" w:type="pct"/>
          </w:tcPr>
          <w:p w14:paraId="0A9D03D4" w14:textId="77777777" w:rsidR="00E8754F" w:rsidRPr="008D2C46" w:rsidRDefault="00E8754F" w:rsidP="00EE65D6">
            <w:pPr>
              <w:rPr>
                <w:rFonts w:ascii="Calibri" w:hAnsi="Calibri" w:cs="Calibri"/>
                <w:color w:val="000000" w:themeColor="text1"/>
              </w:rPr>
            </w:pPr>
            <w:r w:rsidRPr="008D2C46">
              <w:rPr>
                <w:rFonts w:ascii="Calibri" w:hAnsi="Calibri" w:cs="Calibri"/>
                <w:color w:val="000000" w:themeColor="text1"/>
              </w:rPr>
              <w:t>Rossendale</w:t>
            </w:r>
          </w:p>
        </w:tc>
        <w:tc>
          <w:tcPr>
            <w:tcW w:w="862" w:type="pct"/>
          </w:tcPr>
          <w:p w14:paraId="44A88B4C" w14:textId="736A6732" w:rsidR="00E8754F" w:rsidRPr="008D2C46" w:rsidRDefault="00E8754F" w:rsidP="00EE65D6">
            <w:pPr>
              <w:rPr>
                <w:rFonts w:ascii="Calibri" w:hAnsi="Calibri" w:cs="Calibri"/>
                <w:color w:val="000000" w:themeColor="text1"/>
              </w:rPr>
            </w:pPr>
          </w:p>
        </w:tc>
        <w:tc>
          <w:tcPr>
            <w:tcW w:w="897" w:type="pct"/>
            <w:vMerge/>
          </w:tcPr>
          <w:p w14:paraId="10F4ADB1" w14:textId="77777777" w:rsidR="00E8754F" w:rsidRPr="008D2C46" w:rsidRDefault="00E8754F" w:rsidP="00951AA5">
            <w:pPr>
              <w:jc w:val="left"/>
              <w:rPr>
                <w:rFonts w:ascii="Calibri" w:hAnsi="Calibri" w:cs="Calibri"/>
                <w:color w:val="000000" w:themeColor="text1"/>
              </w:rPr>
            </w:pPr>
          </w:p>
        </w:tc>
        <w:tc>
          <w:tcPr>
            <w:tcW w:w="856" w:type="pct"/>
            <w:vMerge/>
          </w:tcPr>
          <w:p w14:paraId="15B812EE" w14:textId="77777777" w:rsidR="00E8754F" w:rsidRPr="008D2C46" w:rsidRDefault="00E8754F" w:rsidP="00951AA5">
            <w:pPr>
              <w:jc w:val="left"/>
              <w:rPr>
                <w:rFonts w:ascii="Calibri" w:hAnsi="Calibri" w:cs="Calibri"/>
                <w:color w:val="FF0000"/>
              </w:rPr>
            </w:pPr>
          </w:p>
        </w:tc>
        <w:tc>
          <w:tcPr>
            <w:tcW w:w="884" w:type="pct"/>
            <w:vMerge/>
          </w:tcPr>
          <w:p w14:paraId="51BAEDB5" w14:textId="77777777" w:rsidR="00E8754F" w:rsidRPr="008D2C46" w:rsidRDefault="00E8754F" w:rsidP="00951AA5">
            <w:pPr>
              <w:jc w:val="left"/>
              <w:rPr>
                <w:rFonts w:ascii="Calibri" w:hAnsi="Calibri" w:cs="Calibri"/>
                <w:color w:val="FF0000"/>
              </w:rPr>
            </w:pPr>
          </w:p>
        </w:tc>
        <w:tc>
          <w:tcPr>
            <w:tcW w:w="721" w:type="pct"/>
            <w:vMerge/>
          </w:tcPr>
          <w:p w14:paraId="0B3E09E8" w14:textId="2CD6DE55" w:rsidR="00E8754F" w:rsidRPr="008D2C46" w:rsidRDefault="00E8754F" w:rsidP="00951AA5">
            <w:pPr>
              <w:jc w:val="left"/>
              <w:rPr>
                <w:rFonts w:ascii="Calibri" w:hAnsi="Calibri" w:cs="Calibri"/>
                <w:color w:val="000000" w:themeColor="text1"/>
              </w:rPr>
            </w:pPr>
          </w:p>
        </w:tc>
      </w:tr>
      <w:tr w:rsidR="00E8754F" w:rsidRPr="008D2C46" w14:paraId="05050DE2" w14:textId="77777777" w:rsidTr="00F72B53">
        <w:tc>
          <w:tcPr>
            <w:tcW w:w="780" w:type="pct"/>
          </w:tcPr>
          <w:p w14:paraId="7984F5C7" w14:textId="27CE481A" w:rsidR="00E8754F" w:rsidRPr="008D2C46" w:rsidRDefault="00E8754F" w:rsidP="00824C2B">
            <w:pPr>
              <w:jc w:val="left"/>
              <w:rPr>
                <w:rFonts w:ascii="Calibri" w:hAnsi="Calibri" w:cs="Calibri"/>
                <w:color w:val="000000" w:themeColor="text1"/>
              </w:rPr>
            </w:pPr>
            <w:r>
              <w:rPr>
                <w:rFonts w:ascii="Calibri" w:hAnsi="Calibri" w:cs="Calibri"/>
                <w:color w:val="000000" w:themeColor="text1"/>
              </w:rPr>
              <w:t>Any of the above Boroughs</w:t>
            </w:r>
          </w:p>
        </w:tc>
        <w:tc>
          <w:tcPr>
            <w:tcW w:w="862" w:type="pct"/>
          </w:tcPr>
          <w:p w14:paraId="7CD5BC30" w14:textId="276243FD" w:rsidR="00E8754F" w:rsidRPr="008D2C46" w:rsidRDefault="00E8754F" w:rsidP="00EE65D6">
            <w:pPr>
              <w:rPr>
                <w:rFonts w:ascii="Calibri" w:hAnsi="Calibri" w:cs="Calibri"/>
                <w:color w:val="000000" w:themeColor="text1"/>
              </w:rPr>
            </w:pPr>
            <w:r>
              <w:rPr>
                <w:rFonts w:ascii="Calibri" w:hAnsi="Calibri" w:cs="Calibri"/>
                <w:color w:val="000000" w:themeColor="text1"/>
              </w:rPr>
              <w:t>51</w:t>
            </w:r>
          </w:p>
        </w:tc>
        <w:tc>
          <w:tcPr>
            <w:tcW w:w="897" w:type="pct"/>
            <w:vMerge/>
          </w:tcPr>
          <w:p w14:paraId="2EA18908" w14:textId="77777777" w:rsidR="00E8754F" w:rsidRPr="008D2C46" w:rsidRDefault="00E8754F" w:rsidP="00951AA5">
            <w:pPr>
              <w:jc w:val="left"/>
              <w:rPr>
                <w:rFonts w:ascii="Calibri" w:hAnsi="Calibri" w:cs="Calibri"/>
                <w:color w:val="000000" w:themeColor="text1"/>
              </w:rPr>
            </w:pPr>
          </w:p>
        </w:tc>
        <w:tc>
          <w:tcPr>
            <w:tcW w:w="856" w:type="pct"/>
            <w:vMerge/>
          </w:tcPr>
          <w:p w14:paraId="0612BAAC" w14:textId="77777777" w:rsidR="00E8754F" w:rsidRPr="008D2C46" w:rsidRDefault="00E8754F" w:rsidP="00951AA5">
            <w:pPr>
              <w:jc w:val="left"/>
              <w:rPr>
                <w:rFonts w:ascii="Calibri" w:hAnsi="Calibri" w:cs="Calibri"/>
                <w:color w:val="FF0000"/>
              </w:rPr>
            </w:pPr>
          </w:p>
        </w:tc>
        <w:tc>
          <w:tcPr>
            <w:tcW w:w="884" w:type="pct"/>
            <w:vMerge/>
          </w:tcPr>
          <w:p w14:paraId="179005E5" w14:textId="77777777" w:rsidR="00E8754F" w:rsidRPr="008D2C46" w:rsidRDefault="00E8754F" w:rsidP="00951AA5">
            <w:pPr>
              <w:jc w:val="left"/>
              <w:rPr>
                <w:rFonts w:ascii="Calibri" w:hAnsi="Calibri" w:cs="Calibri"/>
                <w:color w:val="FF0000"/>
              </w:rPr>
            </w:pPr>
          </w:p>
        </w:tc>
        <w:tc>
          <w:tcPr>
            <w:tcW w:w="721" w:type="pct"/>
            <w:vMerge/>
          </w:tcPr>
          <w:p w14:paraId="0B3ED885" w14:textId="77777777" w:rsidR="00E8754F" w:rsidRPr="008D2C46" w:rsidRDefault="00E8754F" w:rsidP="00951AA5">
            <w:pPr>
              <w:jc w:val="left"/>
              <w:rPr>
                <w:rFonts w:ascii="Calibri" w:hAnsi="Calibri" w:cs="Calibri"/>
                <w:color w:val="000000" w:themeColor="text1"/>
              </w:rPr>
            </w:pPr>
          </w:p>
        </w:tc>
      </w:tr>
      <w:tr w:rsidR="00E8754F" w:rsidRPr="008D2C46" w14:paraId="1AA4676B" w14:textId="77777777" w:rsidTr="00F72B53">
        <w:tc>
          <w:tcPr>
            <w:tcW w:w="780" w:type="pct"/>
          </w:tcPr>
          <w:p w14:paraId="14BCB8A0" w14:textId="29B085A8" w:rsidR="00E8754F" w:rsidRPr="00D03298" w:rsidRDefault="00E8754F" w:rsidP="00EE65D6">
            <w:pPr>
              <w:rPr>
                <w:rFonts w:ascii="Calibri" w:hAnsi="Calibri" w:cs="Calibri"/>
                <w:b/>
                <w:bCs/>
                <w:color w:val="000000" w:themeColor="text1"/>
              </w:rPr>
            </w:pPr>
            <w:r w:rsidRPr="00D03298">
              <w:rPr>
                <w:rFonts w:ascii="Calibri" w:hAnsi="Calibri" w:cs="Calibri"/>
                <w:b/>
                <w:bCs/>
                <w:color w:val="000000" w:themeColor="text1"/>
              </w:rPr>
              <w:t>Total</w:t>
            </w:r>
          </w:p>
        </w:tc>
        <w:tc>
          <w:tcPr>
            <w:tcW w:w="862" w:type="pct"/>
          </w:tcPr>
          <w:p w14:paraId="27039C28" w14:textId="7EEFB74D" w:rsidR="00E8754F" w:rsidRPr="008D2C46" w:rsidRDefault="00E8754F" w:rsidP="00EE65D6">
            <w:pPr>
              <w:rPr>
                <w:rFonts w:ascii="Calibri" w:hAnsi="Calibri" w:cs="Calibri"/>
                <w:color w:val="000000" w:themeColor="text1"/>
              </w:rPr>
            </w:pPr>
            <w:r>
              <w:rPr>
                <w:rFonts w:ascii="Calibri" w:hAnsi="Calibri" w:cs="Calibri"/>
                <w:color w:val="000000" w:themeColor="text1"/>
              </w:rPr>
              <w:t>116</w:t>
            </w:r>
          </w:p>
        </w:tc>
        <w:tc>
          <w:tcPr>
            <w:tcW w:w="897" w:type="pct"/>
            <w:vMerge/>
          </w:tcPr>
          <w:p w14:paraId="508A6FB0" w14:textId="77777777" w:rsidR="00E8754F" w:rsidRPr="008D2C46" w:rsidRDefault="00E8754F" w:rsidP="00951AA5">
            <w:pPr>
              <w:jc w:val="left"/>
              <w:rPr>
                <w:rFonts w:ascii="Calibri" w:hAnsi="Calibri" w:cs="Calibri"/>
                <w:color w:val="000000" w:themeColor="text1"/>
              </w:rPr>
            </w:pPr>
          </w:p>
        </w:tc>
        <w:tc>
          <w:tcPr>
            <w:tcW w:w="856" w:type="pct"/>
            <w:vMerge/>
          </w:tcPr>
          <w:p w14:paraId="69EBA5E0" w14:textId="77777777" w:rsidR="00E8754F" w:rsidRPr="008D2C46" w:rsidRDefault="00E8754F" w:rsidP="00951AA5">
            <w:pPr>
              <w:jc w:val="left"/>
              <w:rPr>
                <w:rFonts w:ascii="Calibri" w:hAnsi="Calibri" w:cs="Calibri"/>
                <w:color w:val="FF0000"/>
              </w:rPr>
            </w:pPr>
          </w:p>
        </w:tc>
        <w:tc>
          <w:tcPr>
            <w:tcW w:w="884" w:type="pct"/>
            <w:vMerge/>
          </w:tcPr>
          <w:p w14:paraId="104774A5" w14:textId="77777777" w:rsidR="00E8754F" w:rsidRPr="008D2C46" w:rsidRDefault="00E8754F" w:rsidP="00951AA5">
            <w:pPr>
              <w:jc w:val="left"/>
              <w:rPr>
                <w:rFonts w:ascii="Calibri" w:hAnsi="Calibri" w:cs="Calibri"/>
                <w:color w:val="FF0000"/>
              </w:rPr>
            </w:pPr>
          </w:p>
        </w:tc>
        <w:tc>
          <w:tcPr>
            <w:tcW w:w="721" w:type="pct"/>
            <w:vMerge/>
          </w:tcPr>
          <w:p w14:paraId="2052917F" w14:textId="77777777" w:rsidR="00E8754F" w:rsidRPr="008D2C46" w:rsidRDefault="00E8754F" w:rsidP="00951AA5">
            <w:pPr>
              <w:jc w:val="left"/>
              <w:rPr>
                <w:rFonts w:ascii="Calibri" w:hAnsi="Calibri" w:cs="Calibri"/>
                <w:color w:val="000000" w:themeColor="text1"/>
              </w:rPr>
            </w:pP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116</w:t>
            </w:r>
          </w:p>
        </w:tc>
      </w:tr>
      <w:tr w:rsidR="007F5595" w:rsidRPr="008D2C46" w14:paraId="53BE839F" w14:textId="77777777" w:rsidTr="008F2F48">
        <w:tc>
          <w:tcPr>
            <w:tcW w:w="3397" w:type="dxa"/>
          </w:tcPr>
          <w:p w14:paraId="378F52AD"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 xml:space="preserve">Male </w:t>
            </w:r>
          </w:p>
        </w:tc>
        <w:tc>
          <w:tcPr>
            <w:tcW w:w="709" w:type="dxa"/>
          </w:tcPr>
          <w:p w14:paraId="10637CFC" w14:textId="614C8684" w:rsidR="007F5595" w:rsidRPr="008D2C46" w:rsidRDefault="00824C2B" w:rsidP="00EE65D6">
            <w:pPr>
              <w:rPr>
                <w:rFonts w:ascii="Calibri" w:hAnsi="Calibri" w:cs="Calibri"/>
                <w:color w:val="000000" w:themeColor="text1"/>
              </w:rPr>
            </w:pPr>
            <w:r>
              <w:rPr>
                <w:rFonts w:ascii="Calibri" w:hAnsi="Calibri" w:cs="Calibri"/>
                <w:color w:val="000000" w:themeColor="text1"/>
              </w:rPr>
              <w:t>47</w:t>
            </w:r>
          </w:p>
        </w:tc>
      </w:tr>
      <w:tr w:rsidR="007F5595" w:rsidRPr="008D2C46" w14:paraId="2F96FC57" w14:textId="77777777" w:rsidTr="008F2F48">
        <w:tc>
          <w:tcPr>
            <w:tcW w:w="3397" w:type="dxa"/>
          </w:tcPr>
          <w:p w14:paraId="4ECC4DD1"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Female</w:t>
            </w:r>
          </w:p>
        </w:tc>
        <w:tc>
          <w:tcPr>
            <w:tcW w:w="709" w:type="dxa"/>
          </w:tcPr>
          <w:p w14:paraId="0ED229B7" w14:textId="2E705B09" w:rsidR="007F5595" w:rsidRPr="008D2C46" w:rsidRDefault="00824C2B" w:rsidP="00EE65D6">
            <w:pPr>
              <w:rPr>
                <w:rFonts w:ascii="Calibri" w:hAnsi="Calibri" w:cs="Calibri"/>
                <w:color w:val="000000" w:themeColor="text1"/>
              </w:rPr>
            </w:pPr>
            <w:r>
              <w:rPr>
                <w:rFonts w:ascii="Calibri" w:hAnsi="Calibri" w:cs="Calibri"/>
                <w:color w:val="000000" w:themeColor="text1"/>
              </w:rPr>
              <w:t>69</w:t>
            </w: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64C3DDB2" w:rsidR="007F5595" w:rsidRPr="008D2C46" w:rsidRDefault="00824C2B" w:rsidP="00EE65D6">
            <w:pPr>
              <w:rPr>
                <w:rFonts w:ascii="Calibri" w:hAnsi="Calibri" w:cs="Calibri"/>
                <w:color w:val="000000" w:themeColor="text1"/>
              </w:rPr>
            </w:pPr>
            <w:r>
              <w:rPr>
                <w:rFonts w:ascii="Calibri" w:hAnsi="Calibri" w:cs="Calibri"/>
                <w:color w:val="000000" w:themeColor="text1"/>
              </w:rPr>
              <w:t>69</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5CC327FA" w:rsidR="007F5595" w:rsidRPr="008D2C46" w:rsidRDefault="00824C2B" w:rsidP="00EE65D6">
            <w:pPr>
              <w:rPr>
                <w:rFonts w:ascii="Calibri" w:hAnsi="Calibri" w:cs="Calibri"/>
                <w:color w:val="000000" w:themeColor="text1"/>
              </w:rPr>
            </w:pPr>
            <w:r>
              <w:rPr>
                <w:rFonts w:ascii="Calibri" w:hAnsi="Calibri" w:cs="Calibri"/>
                <w:color w:val="000000" w:themeColor="text1"/>
              </w:rPr>
              <w:t>47</w:t>
            </w:r>
          </w:p>
        </w:tc>
      </w:tr>
      <w:tr w:rsidR="007F5595" w:rsidRPr="008D2C46" w14:paraId="75575DA1" w14:textId="77777777" w:rsidTr="008F2F48">
        <w:tc>
          <w:tcPr>
            <w:tcW w:w="3397" w:type="dxa"/>
          </w:tcPr>
          <w:p w14:paraId="5B50825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14</w:t>
            </w:r>
          </w:p>
        </w:tc>
      </w:tr>
      <w:tr w:rsidR="007F5595" w14:paraId="71488011" w14:textId="77777777" w:rsidTr="008F2F48">
        <w:tc>
          <w:tcPr>
            <w:tcW w:w="3397" w:type="dxa"/>
          </w:tcPr>
          <w:p w14:paraId="33AFE69F"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E2F226C" w14:textId="77777777" w:rsidR="007F5595" w:rsidRPr="007F5595" w:rsidRDefault="007F5595" w:rsidP="00EE65D6">
            <w:pPr>
              <w:rPr>
                <w:rFonts w:ascii="Calibri" w:hAnsi="Calibri" w:cs="Calibri"/>
                <w:color w:val="000000" w:themeColor="text1"/>
              </w:rPr>
            </w:pPr>
            <w:r w:rsidRPr="008D2C46">
              <w:rPr>
                <w:rFonts w:ascii="Calibri" w:hAnsi="Calibri" w:cs="Calibri"/>
                <w:color w:val="000000" w:themeColor="text1"/>
              </w:rPr>
              <w:t>23</w:t>
            </w:r>
          </w:p>
        </w:tc>
      </w:tr>
    </w:tbl>
    <w:p w14:paraId="3774314C" w14:textId="4D1837C8"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lastRenderedPageBreak/>
        <w:t>BRIEF</w:t>
      </w:r>
    </w:p>
    <w:p w14:paraId="1330C568" w14:textId="77777777" w:rsidR="006101E4" w:rsidRDefault="00520C3F" w:rsidP="00520C3F">
      <w:pPr>
        <w:spacing w:after="360"/>
        <w:rPr>
          <w:rFonts w:ascii="Calibri" w:hAnsi="Calibri"/>
          <w:color w:val="000000" w:themeColor="text1"/>
        </w:rPr>
      </w:pPr>
      <w:r w:rsidRPr="00A778EE">
        <w:rPr>
          <w:rFonts w:ascii="Calibri" w:hAnsi="Calibri"/>
          <w:color w:val="000000" w:themeColor="text1"/>
        </w:rPr>
        <w:t xml:space="preserve">Applications are invited from suitably qualified and experienced organisations to </w:t>
      </w:r>
      <w:r w:rsidR="001E391A" w:rsidRPr="00A778EE">
        <w:rPr>
          <w:rFonts w:ascii="Calibri" w:hAnsi="Calibri"/>
          <w:color w:val="000000" w:themeColor="text1"/>
        </w:rPr>
        <w:t>provide</w:t>
      </w:r>
      <w:r w:rsidRPr="00A778EE">
        <w:rPr>
          <w:rFonts w:ascii="Calibri" w:hAnsi="Calibri"/>
          <w:color w:val="000000" w:themeColor="text1"/>
        </w:rPr>
        <w:t xml:space="preserve"> </w:t>
      </w:r>
      <w:r w:rsidR="001E391A" w:rsidRPr="00A778EE">
        <w:rPr>
          <w:rFonts w:ascii="Calibri" w:hAnsi="Calibri"/>
          <w:color w:val="000000" w:themeColor="text1"/>
        </w:rPr>
        <w:t xml:space="preserve">employability skills support </w:t>
      </w:r>
      <w:r w:rsidRPr="00A778EE">
        <w:rPr>
          <w:rFonts w:ascii="Calibri" w:hAnsi="Calibri"/>
          <w:color w:val="000000" w:themeColor="text1"/>
        </w:rPr>
        <w:t xml:space="preserve">to </w:t>
      </w:r>
      <w:r w:rsidR="001E391A" w:rsidRPr="00A778EE">
        <w:rPr>
          <w:rFonts w:ascii="Calibri" w:hAnsi="Calibri"/>
          <w:color w:val="000000" w:themeColor="text1"/>
        </w:rPr>
        <w:t xml:space="preserve">Age of Opportunity </w:t>
      </w:r>
      <w:r w:rsidRPr="00A778EE">
        <w:rPr>
          <w:rFonts w:ascii="Calibri" w:hAnsi="Calibri"/>
          <w:color w:val="000000" w:themeColor="text1"/>
        </w:rPr>
        <w:t xml:space="preserve">participants from </w:t>
      </w:r>
      <w:r w:rsidR="001E391A" w:rsidRPr="00A778EE">
        <w:rPr>
          <w:rFonts w:ascii="Calibri" w:hAnsi="Calibri"/>
          <w:color w:val="000000" w:themeColor="text1"/>
        </w:rPr>
        <w:t>specified Boroughs within Lancashir</w:t>
      </w:r>
      <w:r w:rsidR="007C4321" w:rsidRPr="00A778EE">
        <w:rPr>
          <w:rFonts w:ascii="Calibri" w:hAnsi="Calibri"/>
          <w:color w:val="000000" w:themeColor="text1"/>
        </w:rPr>
        <w:t>e</w:t>
      </w:r>
      <w:r w:rsidR="00A778EE">
        <w:rPr>
          <w:rFonts w:ascii="Calibri" w:hAnsi="Calibri"/>
          <w:color w:val="000000" w:themeColor="text1"/>
        </w:rPr>
        <w:t xml:space="preserve"> (Blackburn, Burnley, Hyndburn, Pendle, Rossendale)</w:t>
      </w:r>
      <w:r w:rsidR="001E391A" w:rsidRPr="00A778EE">
        <w:rPr>
          <w:rFonts w:ascii="Calibri" w:hAnsi="Calibri"/>
          <w:color w:val="000000" w:themeColor="text1"/>
        </w:rPr>
        <w:t xml:space="preserve">.  </w:t>
      </w:r>
      <w:r w:rsidR="00AF673E" w:rsidRPr="00A778EE">
        <w:rPr>
          <w:rFonts w:ascii="Calibri" w:hAnsi="Calibri"/>
          <w:color w:val="000000" w:themeColor="text1"/>
        </w:rPr>
        <w:t>Proposals are sought from organisations that can</w:t>
      </w:r>
      <w:r w:rsidR="006101E4" w:rsidRPr="00A778EE">
        <w:rPr>
          <w:rFonts w:ascii="Calibri" w:hAnsi="Calibri"/>
          <w:color w:val="000000" w:themeColor="text1"/>
        </w:rPr>
        <w:t xml:space="preserve"> demonstrate competence in </w:t>
      </w:r>
      <w:r w:rsidR="006101E4" w:rsidRPr="00BA1A19">
        <w:rPr>
          <w:rFonts w:ascii="Calibri" w:hAnsi="Calibri"/>
          <w:color w:val="000000" w:themeColor="text1"/>
        </w:rPr>
        <w:t xml:space="preserve">delivering relevant support to people aged over 50 with multiple and complex barriers </w:t>
      </w:r>
      <w:r w:rsidR="00104B06">
        <w:rPr>
          <w:rFonts w:ascii="Calibri" w:hAnsi="Calibri"/>
          <w:color w:val="000000" w:themeColor="text1"/>
        </w:rPr>
        <w:t>in</w:t>
      </w:r>
      <w:r w:rsidR="006101E4" w:rsidRPr="00BA1A19">
        <w:rPr>
          <w:rFonts w:ascii="Calibri" w:hAnsi="Calibri"/>
          <w:color w:val="000000" w:themeColor="text1"/>
        </w:rPr>
        <w:t>to employment</w:t>
      </w:r>
      <w:r w:rsidR="00104B06">
        <w:rPr>
          <w:rFonts w:ascii="Calibri" w:hAnsi="Calibri"/>
          <w:color w:val="000000" w:themeColor="text1"/>
        </w:rPr>
        <w:t>, training</w:t>
      </w:r>
      <w:r w:rsidR="006101E4" w:rsidRPr="00BA1A19">
        <w:rPr>
          <w:rFonts w:ascii="Calibri" w:hAnsi="Calibri"/>
          <w:color w:val="000000" w:themeColor="text1"/>
        </w:rPr>
        <w:t xml:space="preserve"> or </w:t>
      </w:r>
      <w:r w:rsidR="00104B06">
        <w:rPr>
          <w:rFonts w:ascii="Calibri" w:hAnsi="Calibri"/>
          <w:color w:val="000000" w:themeColor="text1"/>
        </w:rPr>
        <w:t>education</w:t>
      </w:r>
      <w:r w:rsidR="006101E4" w:rsidRPr="00BA1A19">
        <w:rPr>
          <w:rFonts w:ascii="Calibri" w:hAnsi="Calibri"/>
          <w:color w:val="000000" w:themeColor="text1"/>
        </w:rPr>
        <w:t>.</w:t>
      </w:r>
      <w:r w:rsidR="00FE31B6" w:rsidRPr="00BA1A19">
        <w:rPr>
          <w:rFonts w:ascii="Calibri" w:hAnsi="Calibri"/>
          <w:color w:val="000000" w:themeColor="text1"/>
        </w:rPr>
        <w:t xml:space="preserve"> </w:t>
      </w:r>
      <w:r w:rsidR="00215335" w:rsidRPr="00BA1A19">
        <w:rPr>
          <w:rFonts w:ascii="Calibri" w:hAnsi="Calibri"/>
          <w:color w:val="000000" w:themeColor="text1"/>
        </w:rPr>
        <w:t xml:space="preserve">The delivery partner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00215335"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00215335"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volunteering,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5111DDEE" w14:textId="434E34CE" w:rsidR="004E6913" w:rsidRPr="0041113B" w:rsidRDefault="004E6913" w:rsidP="00520C3F">
      <w:pPr>
        <w:spacing w:after="360"/>
        <w:rPr>
          <w:rFonts w:ascii="Calibri" w:hAnsi="Calibri"/>
          <w:color w:val="FF0000"/>
        </w:rPr>
      </w:pPr>
      <w:r w:rsidRPr="00BA1A19">
        <w:rPr>
          <w:rFonts w:ascii="Calibri" w:hAnsi="Calibri"/>
          <w:color w:val="000000" w:themeColor="text1"/>
        </w:rPr>
        <w:t xml:space="preserve">The successful applicant will become an Age of Opportunity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357BC150" w14:textId="77777777" w:rsidR="009D3F41" w:rsidRPr="009D3F41" w:rsidRDefault="009D3F41" w:rsidP="009D3F41">
      <w:pPr>
        <w:spacing w:after="240" w:line="264" w:lineRule="auto"/>
        <w:rPr>
          <w:rFonts w:ascii="Calibri" w:hAnsi="Calibri"/>
          <w:color w:val="000000" w:themeColor="text1"/>
          <w:u w:val="single"/>
        </w:rPr>
      </w:pPr>
      <w:r w:rsidRPr="009D3F41">
        <w:rPr>
          <w:rFonts w:ascii="Calibri" w:hAnsi="Calibri"/>
          <w:color w:val="000000" w:themeColor="text1"/>
          <w:u w:val="single"/>
        </w:rPr>
        <w:t xml:space="preserve">The service is currently being delivered by The Calico Group Ltd. Please see Section 3, TUPE and Pensions for further information. </w:t>
      </w:r>
    </w:p>
    <w:p w14:paraId="67B3E956" w14:textId="701922D8"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questions.  </w:t>
      </w:r>
      <w:r w:rsidR="004E6913" w:rsidRPr="00BA1A19">
        <w:rPr>
          <w:rFonts w:ascii="Calibri" w:hAnsi="Calibri"/>
          <w:color w:val="000000" w:themeColor="text1"/>
        </w:rPr>
        <w:t xml:space="preserve">As the successful delivery partner will be expected to identify their own participants to support it is important that the submission outlines evidence of previous experience of relevant engagement. </w:t>
      </w:r>
    </w:p>
    <w:p w14:paraId="7C0B68D2" w14:textId="77777777" w:rsidR="002A2CE4" w:rsidRPr="009E4652" w:rsidRDefault="004E6913" w:rsidP="00520C3F">
      <w:pPr>
        <w:spacing w:after="360"/>
        <w:rPr>
          <w:rFonts w:ascii="Calibri" w:hAnsi="Calibri"/>
        </w:rPr>
      </w:pPr>
      <w:r w:rsidRPr="009E4652">
        <w:rPr>
          <w:rFonts w:ascii="Calibri" w:hAnsi="Calibri"/>
        </w:rPr>
        <w:t>The successful organisation</w:t>
      </w:r>
      <w:r w:rsidR="006F58DF" w:rsidRPr="009E4652">
        <w:rPr>
          <w:rFonts w:ascii="Calibri" w:hAnsi="Calibri"/>
        </w:rPr>
        <w:t xml:space="preserve"> </w:t>
      </w:r>
      <w:r w:rsidRPr="009E4652">
        <w:rPr>
          <w:rFonts w:ascii="Calibri" w:hAnsi="Calibri"/>
        </w:rPr>
        <w:t xml:space="preserve">must deliver the targets for </w:t>
      </w:r>
      <w:r w:rsidR="009E4652" w:rsidRPr="009E4652">
        <w:rPr>
          <w:rFonts w:ascii="Calibri" w:hAnsi="Calibri"/>
        </w:rPr>
        <w:t xml:space="preserve">every </w:t>
      </w:r>
      <w:r w:rsidRPr="009E4652">
        <w:rPr>
          <w:rFonts w:ascii="Calibri" w:hAnsi="Calibri"/>
        </w:rPr>
        <w:t xml:space="preserve">area listed below. </w:t>
      </w:r>
      <w:r w:rsidR="002A2CE4" w:rsidRPr="009E4652">
        <w:rPr>
          <w:rFonts w:ascii="Calibri" w:hAnsi="Calibri"/>
        </w:rPr>
        <w:t xml:space="preserve">Please note that all Building Better Opportunity activity </w:t>
      </w:r>
      <w:r w:rsidR="002A2CE4" w:rsidRPr="009E4652">
        <w:rPr>
          <w:rFonts w:ascii="Calibri" w:hAnsi="Calibri"/>
          <w:u w:val="single"/>
        </w:rPr>
        <w:t>must</w:t>
      </w:r>
      <w:r w:rsidR="002A2CE4"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1511F077" w:rsidR="00EF7906" w:rsidRPr="0041113B" w:rsidRDefault="002A2CE4" w:rsidP="00520C3F">
      <w:pPr>
        <w:spacing w:after="360"/>
        <w:rPr>
          <w:rFonts w:ascii="Calibri" w:hAnsi="Calibri"/>
          <w:color w:val="FF0000"/>
        </w:rPr>
      </w:pPr>
      <w:r w:rsidRPr="00BA1A19">
        <w:rPr>
          <w:rFonts w:ascii="Calibri" w:hAnsi="Calibri"/>
          <w:color w:val="000000" w:themeColor="text1"/>
        </w:rPr>
        <w:t>A total of £</w:t>
      </w:r>
      <w:r w:rsidR="00BA1A19" w:rsidRPr="00BA1A19">
        <w:rPr>
          <w:rFonts w:ascii="Calibri" w:hAnsi="Calibri"/>
          <w:color w:val="000000" w:themeColor="text1"/>
        </w:rPr>
        <w:t>1</w:t>
      </w:r>
      <w:r w:rsidR="00143DF1">
        <w:rPr>
          <w:rFonts w:ascii="Calibri" w:hAnsi="Calibri"/>
          <w:color w:val="000000" w:themeColor="text1"/>
        </w:rPr>
        <w:t>80</w:t>
      </w:r>
      <w:r w:rsidR="00BA1A19" w:rsidRPr="00BA1A19">
        <w:rPr>
          <w:rFonts w:ascii="Calibri" w:hAnsi="Calibri"/>
          <w:color w:val="000000" w:themeColor="text1"/>
        </w:rPr>
        <w:t>,</w:t>
      </w:r>
      <w:r w:rsidR="00143DF1">
        <w:rPr>
          <w:rFonts w:ascii="Calibri" w:hAnsi="Calibri"/>
          <w:color w:val="000000" w:themeColor="text1"/>
        </w:rPr>
        <w:t>000</w:t>
      </w:r>
      <w:r w:rsidR="00CF31CE" w:rsidRPr="00BA1A19">
        <w:rPr>
          <w:rFonts w:ascii="Calibri" w:hAnsi="Calibri"/>
          <w:color w:val="000000" w:themeColor="text1"/>
        </w:rPr>
        <w:t xml:space="preserve"> </w:t>
      </w:r>
      <w:r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C73337" w:rsidRPr="00BA1A19">
        <w:rPr>
          <w:rFonts w:ascii="Calibri" w:hAnsi="Calibri"/>
          <w:color w:val="000000" w:themeColor="text1"/>
        </w:rPr>
        <w:t xml:space="preserve">employability skills </w:t>
      </w:r>
      <w:r w:rsidRPr="00BA1A19">
        <w:rPr>
          <w:rFonts w:ascii="Calibri" w:hAnsi="Calibri"/>
          <w:color w:val="000000" w:themeColor="text1"/>
        </w:rPr>
        <w:t>to</w:t>
      </w:r>
      <w:r w:rsidR="00C73337" w:rsidRPr="00BA1A19">
        <w:rPr>
          <w:rFonts w:ascii="Calibri" w:hAnsi="Calibri"/>
          <w:color w:val="000000" w:themeColor="text1"/>
        </w:rPr>
        <w:t xml:space="preserve"> Age of Opportunity</w:t>
      </w:r>
      <w:r w:rsidRPr="00BA1A19">
        <w:rPr>
          <w:rFonts w:ascii="Calibri" w:hAnsi="Calibri"/>
          <w:color w:val="000000" w:themeColor="text1"/>
        </w:rPr>
        <w:t xml:space="preserve"> participants</w:t>
      </w:r>
      <w:r w:rsidR="00143DF1">
        <w:rPr>
          <w:rFonts w:ascii="Calibri" w:hAnsi="Calibri"/>
          <w:color w:val="000000" w:themeColor="text1"/>
        </w:rPr>
        <w:t xml:space="preserve">. </w:t>
      </w:r>
      <w:r w:rsidRPr="00BA1A19">
        <w:rPr>
          <w:rFonts w:ascii="Calibri" w:hAnsi="Calibri"/>
          <w:color w:val="000000" w:themeColor="text1"/>
        </w:rPr>
        <w:t xml:space="preserve">This must provide support for </w:t>
      </w:r>
      <w:r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BA1A19" w:rsidRPr="00BA1A19">
        <w:rPr>
          <w:rFonts w:ascii="Calibri" w:hAnsi="Calibri"/>
          <w:color w:val="000000" w:themeColor="text1"/>
        </w:rPr>
        <w:t>116</w:t>
      </w:r>
      <w:r w:rsidRPr="00BA1A19">
        <w:rPr>
          <w:rFonts w:ascii="Calibri" w:hAnsi="Calibri"/>
          <w:color w:val="000000" w:themeColor="text1"/>
        </w:rPr>
        <w:t xml:space="preserve"> participants, with value for mon</w:t>
      </w:r>
      <w:r w:rsidRPr="00881B38">
        <w:rPr>
          <w:rFonts w:ascii="Calibri" w:hAnsi="Calibri"/>
        </w:rPr>
        <w:t xml:space="preserve">ey </w:t>
      </w:r>
      <w:r w:rsidR="003A3A04" w:rsidRPr="00881B38">
        <w:rPr>
          <w:rFonts w:ascii="Calibri" w:hAnsi="Calibri"/>
        </w:rPr>
        <w:t xml:space="preserve">being </w:t>
      </w:r>
      <w:r w:rsidRPr="00BA1A19">
        <w:rPr>
          <w:rFonts w:ascii="Calibri" w:hAnsi="Calibri"/>
          <w:color w:val="000000" w:themeColor="text1"/>
        </w:rPr>
        <w:t xml:space="preserve">a consideration in assessment of proposals. </w:t>
      </w:r>
    </w:p>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54B587B0" w14:textId="77777777" w:rsidR="001019E0"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With experience and track record in</w:t>
      </w:r>
      <w:r w:rsidR="009708F8" w:rsidRPr="00BA1A19">
        <w:rPr>
          <w:rFonts w:ascii="Calibri" w:hAnsi="Calibri"/>
          <w:color w:val="000000" w:themeColor="text1"/>
        </w:rPr>
        <w:t xml:space="preserve"> providing end to end employability</w:t>
      </w:r>
      <w:r w:rsidRPr="00BA1A19">
        <w:rPr>
          <w:rFonts w:ascii="Calibri" w:hAnsi="Calibri"/>
          <w:color w:val="000000" w:themeColor="text1"/>
        </w:rPr>
        <w:t xml:space="preserve"> support</w:t>
      </w:r>
      <w:r w:rsidR="009708F8" w:rsidRPr="00BA1A19">
        <w:rPr>
          <w:rFonts w:ascii="Calibri" w:hAnsi="Calibri"/>
          <w:color w:val="000000" w:themeColor="text1"/>
        </w:rPr>
        <w:t xml:space="preserve"> to</w:t>
      </w:r>
      <w:r w:rsidRPr="00BA1A19">
        <w:rPr>
          <w:rFonts w:ascii="Calibri" w:hAnsi="Calibri"/>
          <w:color w:val="000000" w:themeColor="text1"/>
        </w:rPr>
        <w:t xml:space="preserve"> people </w:t>
      </w:r>
      <w:r w:rsidR="005F08B0" w:rsidRPr="00BA1A19">
        <w:rPr>
          <w:rFonts w:ascii="Calibri" w:hAnsi="Calibri"/>
          <w:color w:val="000000" w:themeColor="text1"/>
        </w:rPr>
        <w:t xml:space="preserve">aged 50 and above </w:t>
      </w:r>
      <w:r w:rsidRPr="00BA1A19">
        <w:rPr>
          <w:rFonts w:ascii="Calibri" w:hAnsi="Calibri"/>
          <w:color w:val="000000" w:themeColor="text1"/>
        </w:rPr>
        <w:t>with</w:t>
      </w:r>
      <w:r w:rsidR="00B92117" w:rsidRPr="00BA1A19">
        <w:rPr>
          <w:rFonts w:ascii="Calibri" w:hAnsi="Calibri"/>
          <w:color w:val="000000" w:themeColor="text1"/>
        </w:rPr>
        <w:t xml:space="preserve"> multiple and complex needs </w:t>
      </w:r>
    </w:p>
    <w:p w14:paraId="53233E08" w14:textId="77777777" w:rsidR="0075078C" w:rsidRPr="00BA1A19" w:rsidRDefault="0075078C" w:rsidP="001019E0">
      <w:pPr>
        <w:pStyle w:val="ListParagraph"/>
        <w:numPr>
          <w:ilvl w:val="0"/>
          <w:numId w:val="26"/>
        </w:numPr>
        <w:rPr>
          <w:rFonts w:ascii="Calibri" w:hAnsi="Calibri"/>
          <w:color w:val="000000" w:themeColor="text1"/>
        </w:rPr>
      </w:pPr>
      <w:r>
        <w:rPr>
          <w:rFonts w:ascii="Calibri" w:hAnsi="Calibri"/>
          <w:color w:val="000000" w:themeColor="text1"/>
        </w:rPr>
        <w:t>With strong knowledge of communities within each listed delivery</w:t>
      </w:r>
      <w:r w:rsidR="00881B38">
        <w:rPr>
          <w:rFonts w:ascii="Calibri" w:hAnsi="Calibri"/>
          <w:color w:val="000000" w:themeColor="text1"/>
        </w:rPr>
        <w:t xml:space="preserve"> area</w:t>
      </w:r>
      <w:r>
        <w:rPr>
          <w:rFonts w:ascii="Calibri" w:hAnsi="Calibri"/>
          <w:color w:val="000000" w:themeColor="text1"/>
        </w:rPr>
        <w:t>, and strong links to local complementary services</w:t>
      </w:r>
    </w:p>
    <w:p w14:paraId="0A0FA39C"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5DE9C456" w:rsidR="001019E0" w:rsidRPr="00BA1A19" w:rsidRDefault="0001252D" w:rsidP="001019E0">
      <w:pPr>
        <w:pStyle w:val="ListParagraph"/>
        <w:numPr>
          <w:ilvl w:val="0"/>
          <w:numId w:val="26"/>
        </w:numPr>
        <w:rPr>
          <w:rFonts w:ascii="Calibri" w:hAnsi="Calibri"/>
          <w:color w:val="000000" w:themeColor="text1"/>
        </w:rPr>
      </w:pPr>
      <w:r w:rsidRPr="00BA1A19">
        <w:rPr>
          <w:rFonts w:ascii="Calibri" w:hAnsi="Calibri"/>
          <w:color w:val="000000" w:themeColor="text1"/>
        </w:rPr>
        <w:t>Ready to commence delivery no later than</w:t>
      </w:r>
      <w:r w:rsidR="00672EF3" w:rsidRPr="00BA1A19">
        <w:rPr>
          <w:rFonts w:ascii="Calibri" w:hAnsi="Calibri"/>
          <w:color w:val="000000" w:themeColor="text1"/>
        </w:rPr>
        <w:t xml:space="preserve"> </w:t>
      </w:r>
      <w:r w:rsidR="00143DF1">
        <w:rPr>
          <w:rFonts w:ascii="Calibri" w:hAnsi="Calibri"/>
          <w:color w:val="000000" w:themeColor="text1"/>
          <w:shd w:val="clear" w:color="auto" w:fill="FFFFFF" w:themeFill="background1"/>
        </w:rPr>
        <w:t>October</w:t>
      </w:r>
      <w:r w:rsidR="00BA1A19" w:rsidRPr="0075078C">
        <w:rPr>
          <w:rFonts w:ascii="Calibri" w:hAnsi="Calibri"/>
          <w:color w:val="000000" w:themeColor="text1"/>
          <w:shd w:val="clear" w:color="auto" w:fill="FFFFFF" w:themeFill="background1"/>
        </w:rPr>
        <w:t xml:space="preserve"> </w:t>
      </w:r>
      <w:r w:rsidR="00BA1A19" w:rsidRPr="00BA1A19">
        <w:rPr>
          <w:rFonts w:ascii="Calibri" w:hAnsi="Calibri"/>
          <w:color w:val="000000" w:themeColor="text1"/>
        </w:rPr>
        <w:t>202</w:t>
      </w:r>
      <w:r w:rsidR="00143DF1">
        <w:rPr>
          <w:rFonts w:ascii="Calibri" w:hAnsi="Calibri"/>
          <w:color w:val="000000" w:themeColor="text1"/>
        </w:rPr>
        <w:t>1</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Delivery Dates </w:t>
      </w:r>
    </w:p>
    <w:p w14:paraId="251CB98E" w14:textId="1F9AF196"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143DF1">
        <w:rPr>
          <w:rFonts w:ascii="Calibri" w:hAnsi="Calibri"/>
          <w:sz w:val="22"/>
          <w:szCs w:val="22"/>
        </w:rPr>
        <w:t>October</w:t>
      </w:r>
      <w:r w:rsidR="00BA1A19" w:rsidRPr="00881B38">
        <w:rPr>
          <w:rFonts w:ascii="Calibri" w:hAnsi="Calibri"/>
          <w:sz w:val="22"/>
          <w:szCs w:val="22"/>
        </w:rPr>
        <w:t xml:space="preserve"> 202</w:t>
      </w:r>
      <w:r w:rsidR="00143DF1">
        <w:rPr>
          <w:rFonts w:ascii="Calibri" w:hAnsi="Calibri"/>
          <w:sz w:val="22"/>
          <w:szCs w:val="22"/>
        </w:rPr>
        <w:t>1</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bookmarkStart w:id="4" w:name="_GoBack"/>
      <w:bookmarkEnd w:id="4"/>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7777777" w:rsidR="001B1D75" w:rsidRPr="0041113B" w:rsidRDefault="001B1D75" w:rsidP="001B1D75">
      <w:pPr>
        <w:pStyle w:val="Body"/>
        <w:tabs>
          <w:tab w:val="clear" w:pos="851"/>
          <w:tab w:val="left" w:pos="1134"/>
        </w:tabs>
        <w:jc w:val="both"/>
        <w:rPr>
          <w:rFonts w:ascii="Calibri" w:hAnsi="Calibri"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80"/>
      </w:tblGrid>
      <w:tr w:rsidR="0041113B" w:rsidRPr="0041113B" w14:paraId="6390188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57F9CED8" w14:textId="77777777" w:rsidR="001B1D75" w:rsidRPr="00BA1A19" w:rsidRDefault="001B1D75" w:rsidP="00437FA1">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258111AE" w14:textId="77777777" w:rsidR="001B1D75" w:rsidRPr="00BA1A19" w:rsidRDefault="001B1D75" w:rsidP="00437FA1">
            <w:pPr>
              <w:rPr>
                <w:rFonts w:ascii="Calibri" w:hAnsi="Calibri" w:cs="Arial"/>
                <w:b/>
                <w:color w:val="000000" w:themeColor="text1"/>
                <w:szCs w:val="22"/>
              </w:rPr>
            </w:pPr>
            <w:r w:rsidRPr="00BA1A19">
              <w:rPr>
                <w:rFonts w:ascii="Calibri" w:hAnsi="Calibri" w:cs="Arial"/>
                <w:b/>
                <w:color w:val="000000" w:themeColor="text1"/>
                <w:szCs w:val="22"/>
              </w:rPr>
              <w:t>DATE</w:t>
            </w:r>
          </w:p>
        </w:tc>
      </w:tr>
      <w:tr w:rsidR="0041113B" w:rsidRPr="0041113B" w14:paraId="2F18A1C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A0AB8FC" w14:textId="77777777" w:rsidR="001B1D75" w:rsidRPr="00BA1A19" w:rsidRDefault="001B1D75" w:rsidP="00437FA1">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78675444" w14:textId="042BEDEE" w:rsidR="001B1D75" w:rsidRPr="00AF1047" w:rsidRDefault="0098051B" w:rsidP="007A6234">
            <w:pPr>
              <w:tabs>
                <w:tab w:val="left" w:pos="851"/>
                <w:tab w:val="left" w:pos="1843"/>
                <w:tab w:val="left" w:pos="3119"/>
                <w:tab w:val="left" w:pos="4253"/>
              </w:tabs>
              <w:ind w:left="284" w:hanging="284"/>
              <w:jc w:val="center"/>
              <w:rPr>
                <w:rFonts w:ascii="Calibri" w:hAnsi="Calibri" w:cs="Arial"/>
                <w:szCs w:val="22"/>
              </w:rPr>
            </w:pPr>
            <w:r w:rsidRPr="00AF1047">
              <w:rPr>
                <w:rFonts w:ascii="Calibri" w:hAnsi="Calibri" w:cs="Arial"/>
                <w:szCs w:val="22"/>
              </w:rPr>
              <w:t>1</w:t>
            </w:r>
            <w:r w:rsidR="007A6234">
              <w:rPr>
                <w:rFonts w:ascii="Calibri" w:hAnsi="Calibri" w:cs="Arial"/>
                <w:szCs w:val="22"/>
              </w:rPr>
              <w:t>2</w:t>
            </w:r>
            <w:r w:rsidRPr="00AF1047">
              <w:rPr>
                <w:rFonts w:ascii="Calibri" w:hAnsi="Calibri" w:cs="Arial"/>
                <w:szCs w:val="22"/>
              </w:rPr>
              <w:t>/0</w:t>
            </w:r>
            <w:r w:rsidR="00143DF1">
              <w:rPr>
                <w:rFonts w:ascii="Calibri" w:hAnsi="Calibri" w:cs="Arial"/>
                <w:szCs w:val="22"/>
              </w:rPr>
              <w:t>7</w:t>
            </w:r>
            <w:r w:rsidRPr="00AF1047">
              <w:rPr>
                <w:rFonts w:ascii="Calibri" w:hAnsi="Calibri" w:cs="Arial"/>
                <w:szCs w:val="22"/>
              </w:rPr>
              <w:t>/202</w:t>
            </w:r>
            <w:r w:rsidR="00143DF1">
              <w:rPr>
                <w:rFonts w:ascii="Calibri" w:hAnsi="Calibri" w:cs="Arial"/>
                <w:szCs w:val="22"/>
              </w:rPr>
              <w:t>1</w:t>
            </w:r>
          </w:p>
        </w:tc>
      </w:tr>
      <w:tr w:rsidR="0041113B" w:rsidRPr="0041113B" w14:paraId="4132206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5F03FAEE" w14:textId="77777777" w:rsidR="001B1D75" w:rsidRPr="00BA1A19" w:rsidRDefault="001B1D75" w:rsidP="00437FA1">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36BE64E9" w14:textId="57E91849" w:rsidR="001B1D75" w:rsidRPr="00AF1047" w:rsidRDefault="00143DF1" w:rsidP="00F72B53">
            <w:pPr>
              <w:jc w:val="center"/>
              <w:rPr>
                <w:rFonts w:ascii="Calibri" w:hAnsi="Calibri" w:cs="Arial"/>
                <w:szCs w:val="22"/>
              </w:rPr>
            </w:pPr>
            <w:r>
              <w:rPr>
                <w:rFonts w:ascii="Calibri" w:hAnsi="Calibri" w:cs="Arial"/>
                <w:szCs w:val="22"/>
              </w:rPr>
              <w:t>10</w:t>
            </w:r>
            <w:r w:rsidR="0098051B" w:rsidRPr="00AF1047">
              <w:rPr>
                <w:rFonts w:ascii="Calibri" w:hAnsi="Calibri" w:cs="Arial"/>
                <w:szCs w:val="22"/>
              </w:rPr>
              <w:t>/0</w:t>
            </w:r>
            <w:r>
              <w:rPr>
                <w:rFonts w:ascii="Calibri" w:hAnsi="Calibri" w:cs="Arial"/>
                <w:szCs w:val="22"/>
              </w:rPr>
              <w:t>8</w:t>
            </w:r>
            <w:r w:rsidR="0098051B" w:rsidRPr="00AF1047">
              <w:rPr>
                <w:rFonts w:ascii="Calibri" w:hAnsi="Calibri" w:cs="Arial"/>
                <w:szCs w:val="22"/>
              </w:rPr>
              <w:t>/202</w:t>
            </w:r>
            <w:r>
              <w:rPr>
                <w:rFonts w:ascii="Calibri" w:hAnsi="Calibri" w:cs="Arial"/>
                <w:szCs w:val="22"/>
              </w:rPr>
              <w:t>1</w:t>
            </w:r>
          </w:p>
        </w:tc>
      </w:tr>
      <w:tr w:rsidR="0041113B" w:rsidRPr="0041113B" w14:paraId="1B15CB85"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3B12D103" w14:textId="77777777" w:rsidR="001B1D75" w:rsidRPr="00BA1A19" w:rsidRDefault="001B1D75" w:rsidP="00437FA1">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5BE92AA4" w14:textId="3DFBC918" w:rsidR="001B1D75" w:rsidRPr="00AF1047" w:rsidRDefault="00143DF1" w:rsidP="00F72B53">
            <w:pPr>
              <w:jc w:val="center"/>
              <w:rPr>
                <w:rFonts w:ascii="Calibri" w:hAnsi="Calibri" w:cs="Arial"/>
                <w:szCs w:val="22"/>
              </w:rPr>
            </w:pPr>
            <w:r>
              <w:rPr>
                <w:rFonts w:ascii="Calibri" w:hAnsi="Calibri" w:cs="Arial"/>
                <w:szCs w:val="22"/>
              </w:rPr>
              <w:t>13</w:t>
            </w:r>
            <w:r w:rsidR="0098051B" w:rsidRPr="00AF1047">
              <w:rPr>
                <w:rFonts w:ascii="Calibri" w:hAnsi="Calibri" w:cs="Arial"/>
                <w:szCs w:val="22"/>
              </w:rPr>
              <w:t>/0</w:t>
            </w:r>
            <w:r>
              <w:rPr>
                <w:rFonts w:ascii="Calibri" w:hAnsi="Calibri" w:cs="Arial"/>
                <w:szCs w:val="22"/>
              </w:rPr>
              <w:t>8</w:t>
            </w:r>
            <w:r w:rsidR="0098051B" w:rsidRPr="00AF1047">
              <w:rPr>
                <w:rFonts w:ascii="Calibri" w:hAnsi="Calibri" w:cs="Arial"/>
                <w:szCs w:val="22"/>
              </w:rPr>
              <w:t>/202</w:t>
            </w:r>
            <w:r>
              <w:rPr>
                <w:rFonts w:ascii="Calibri" w:hAnsi="Calibri" w:cs="Arial"/>
                <w:szCs w:val="22"/>
              </w:rPr>
              <w:t>1</w:t>
            </w:r>
          </w:p>
        </w:tc>
      </w:tr>
      <w:tr w:rsidR="0041113B" w:rsidRPr="0041113B" w14:paraId="3C9FBCBA"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E2D5D0C" w14:textId="77777777" w:rsidR="001B1D75" w:rsidRPr="00BA1A19" w:rsidRDefault="001B1D75" w:rsidP="00437FA1">
            <w:pPr>
              <w:rPr>
                <w:rFonts w:ascii="Calibri" w:hAnsi="Calibri" w:cs="Arial"/>
                <w:color w:val="000000" w:themeColor="text1"/>
                <w:szCs w:val="22"/>
              </w:rPr>
            </w:pPr>
            <w:r w:rsidRPr="00BA1A19">
              <w:rPr>
                <w:rFonts w:ascii="Calibri" w:hAnsi="Calibri" w:cs="Arial"/>
                <w:color w:val="000000" w:themeColor="text1"/>
                <w:szCs w:val="22"/>
              </w:rPr>
              <w:t>Evaluation of Tenders</w:t>
            </w:r>
            <w:r w:rsidR="003706D8" w:rsidRPr="00BA1A19">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1D5763E3" w14:textId="7CC00EE3" w:rsidR="001B1D75" w:rsidRPr="00AF1047" w:rsidRDefault="00A45F22" w:rsidP="00F72B53">
            <w:pPr>
              <w:jc w:val="center"/>
              <w:rPr>
                <w:rFonts w:ascii="Calibri" w:hAnsi="Calibri" w:cs="Arial"/>
                <w:szCs w:val="22"/>
              </w:rPr>
            </w:pPr>
            <w:r>
              <w:rPr>
                <w:rFonts w:ascii="Calibri" w:hAnsi="Calibri" w:cs="Arial"/>
                <w:szCs w:val="22"/>
              </w:rPr>
              <w:t>20</w:t>
            </w:r>
            <w:r w:rsidR="0098051B" w:rsidRPr="00AF1047">
              <w:rPr>
                <w:rFonts w:ascii="Calibri" w:hAnsi="Calibri" w:cs="Arial"/>
                <w:szCs w:val="22"/>
              </w:rPr>
              <w:t>/0</w:t>
            </w:r>
            <w:r w:rsidR="00143DF1">
              <w:rPr>
                <w:rFonts w:ascii="Calibri" w:hAnsi="Calibri" w:cs="Arial"/>
                <w:szCs w:val="22"/>
              </w:rPr>
              <w:t>8</w:t>
            </w:r>
            <w:r w:rsidR="0098051B" w:rsidRPr="00AF1047">
              <w:rPr>
                <w:rFonts w:ascii="Calibri" w:hAnsi="Calibri" w:cs="Arial"/>
                <w:szCs w:val="22"/>
              </w:rPr>
              <w:t>/202</w:t>
            </w:r>
            <w:r w:rsidR="00143DF1">
              <w:rPr>
                <w:rFonts w:ascii="Calibri" w:hAnsi="Calibri" w:cs="Arial"/>
                <w:szCs w:val="22"/>
              </w:rPr>
              <w:t>1</w:t>
            </w:r>
          </w:p>
        </w:tc>
      </w:tr>
      <w:tr w:rsidR="0041113B" w:rsidRPr="0041113B" w14:paraId="3BAE0A3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FE45A" w14:textId="72CC23F4" w:rsidR="001B1D75" w:rsidRPr="00BA1A19" w:rsidRDefault="001B1D75" w:rsidP="00437FA1">
            <w:pPr>
              <w:rPr>
                <w:rFonts w:ascii="Calibri" w:hAnsi="Calibri" w:cs="Arial"/>
                <w:color w:val="000000" w:themeColor="text1"/>
                <w:szCs w:val="22"/>
              </w:rPr>
            </w:pPr>
            <w:r w:rsidRPr="00BA1A19">
              <w:rPr>
                <w:rFonts w:ascii="Calibri" w:hAnsi="Calibri" w:cs="Arial"/>
                <w:color w:val="000000" w:themeColor="text1"/>
                <w:szCs w:val="22"/>
              </w:rPr>
              <w:t>Award of Contract</w:t>
            </w:r>
            <w:r w:rsidR="00A45F22">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63F7FCE7" w14:textId="25E6C0AF" w:rsidR="001B1D75" w:rsidRPr="00AF1047" w:rsidRDefault="00A45F22" w:rsidP="00F72B53">
            <w:pPr>
              <w:jc w:val="center"/>
              <w:rPr>
                <w:rFonts w:ascii="Calibri" w:hAnsi="Calibri" w:cs="Arial"/>
                <w:szCs w:val="22"/>
              </w:rPr>
            </w:pPr>
            <w:r>
              <w:rPr>
                <w:rFonts w:ascii="Calibri" w:hAnsi="Calibri" w:cs="Arial"/>
                <w:szCs w:val="22"/>
              </w:rPr>
              <w:t>27</w:t>
            </w:r>
            <w:r w:rsidR="0098051B" w:rsidRPr="00AF1047">
              <w:rPr>
                <w:rFonts w:ascii="Calibri" w:hAnsi="Calibri" w:cs="Arial"/>
                <w:szCs w:val="22"/>
              </w:rPr>
              <w:t>/0</w:t>
            </w:r>
            <w:r>
              <w:rPr>
                <w:rFonts w:ascii="Calibri" w:hAnsi="Calibri" w:cs="Arial"/>
                <w:szCs w:val="22"/>
              </w:rPr>
              <w:t>8</w:t>
            </w:r>
            <w:r w:rsidR="0098051B" w:rsidRPr="00AF1047">
              <w:rPr>
                <w:rFonts w:ascii="Calibri" w:hAnsi="Calibri" w:cs="Arial"/>
                <w:szCs w:val="22"/>
              </w:rPr>
              <w:t>/202</w:t>
            </w:r>
            <w:r>
              <w:rPr>
                <w:rFonts w:ascii="Calibri" w:hAnsi="Calibri" w:cs="Arial"/>
                <w:szCs w:val="22"/>
              </w:rPr>
              <w:t>1</w:t>
            </w:r>
          </w:p>
        </w:tc>
      </w:tr>
      <w:tr w:rsidR="00D56D77" w:rsidRPr="0041113B" w14:paraId="400BCFD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1ECA3007" w14:textId="77777777" w:rsidR="001B1D75" w:rsidRPr="00BA1A19" w:rsidRDefault="00D56D77" w:rsidP="00437FA1">
            <w:pPr>
              <w:rPr>
                <w:rFonts w:ascii="Calibri" w:hAnsi="Calibri" w:cs="Arial"/>
                <w:color w:val="000000" w:themeColor="text1"/>
                <w:szCs w:val="22"/>
              </w:rPr>
            </w:pPr>
            <w:r w:rsidRPr="00BA1A19">
              <w:rPr>
                <w:rFonts w:ascii="Calibri" w:hAnsi="Calibri" w:cs="Arial"/>
                <w:color w:val="000000" w:themeColor="text1"/>
                <w:szCs w:val="22"/>
              </w:rPr>
              <w:t>Delivery</w:t>
            </w:r>
            <w:r w:rsidR="001B1D75" w:rsidRPr="00BA1A19">
              <w:rPr>
                <w:rFonts w:ascii="Calibri" w:hAnsi="Calibri" w:cs="Arial"/>
                <w:color w:val="000000" w:themeColor="text1"/>
                <w:szCs w:val="22"/>
              </w:rPr>
              <w:t xml:space="preserve"> Start Date</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4DA14CCA" w14:textId="34EB7D8B" w:rsidR="001B1D75" w:rsidRPr="00AF1047" w:rsidRDefault="0001252D" w:rsidP="00F72B53">
            <w:pPr>
              <w:ind w:left="720" w:hanging="720"/>
              <w:jc w:val="center"/>
              <w:rPr>
                <w:rFonts w:ascii="Calibri" w:hAnsi="Calibri" w:cs="Arial"/>
                <w:szCs w:val="22"/>
              </w:rPr>
            </w:pPr>
            <w:r w:rsidRPr="00AF1047">
              <w:rPr>
                <w:rFonts w:ascii="Calibri" w:hAnsi="Calibri" w:cs="Arial"/>
                <w:szCs w:val="22"/>
              </w:rPr>
              <w:t>No later than</w:t>
            </w:r>
            <w:r w:rsidR="003706D8" w:rsidRPr="00AF1047">
              <w:rPr>
                <w:rFonts w:ascii="Calibri" w:hAnsi="Calibri" w:cs="Arial"/>
                <w:szCs w:val="22"/>
              </w:rPr>
              <w:t xml:space="preserve"> </w:t>
            </w:r>
            <w:r w:rsidR="00A45F22">
              <w:rPr>
                <w:rFonts w:ascii="Calibri" w:hAnsi="Calibri" w:cs="Arial"/>
                <w:szCs w:val="22"/>
              </w:rPr>
              <w:t>October 2021</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0A6E6190" w14:textId="77777777" w:rsidR="009D3F41" w:rsidRDefault="009D3F41" w:rsidP="009D3F41">
      <w:pPr>
        <w:rPr>
          <w:rFonts w:ascii="Calibri" w:hAnsi="Calibri"/>
          <w:b/>
          <w:highlight w:val="yellow"/>
        </w:rPr>
      </w:pPr>
    </w:p>
    <w:p w14:paraId="47A19379" w14:textId="77777777" w:rsidR="009D3F41" w:rsidRPr="009D3F41" w:rsidRDefault="009D3F41" w:rsidP="009D3F41">
      <w:pPr>
        <w:rPr>
          <w:rFonts w:ascii="Calibri" w:hAnsi="Calibri"/>
          <w:b/>
        </w:rPr>
      </w:pPr>
      <w:r w:rsidRPr="009D3F41">
        <w:rPr>
          <w:rFonts w:ascii="Calibri" w:hAnsi="Calibri"/>
          <w:b/>
        </w:rPr>
        <w:t xml:space="preserve">TUPE and Pensions </w:t>
      </w:r>
    </w:p>
    <w:p w14:paraId="1CA371B6" w14:textId="77777777" w:rsidR="009D3F41" w:rsidRPr="009D3F41" w:rsidRDefault="009D3F41" w:rsidP="009D3F41">
      <w:pPr>
        <w:spacing w:after="360" w:line="280" w:lineRule="exact"/>
        <w:rPr>
          <w:rFonts w:ascii="Calibri" w:hAnsi="Calibri"/>
        </w:rPr>
      </w:pPr>
      <w:r w:rsidRPr="009D3F41">
        <w:rPr>
          <w:rFonts w:ascii="Calibri" w:hAnsi="Calibri"/>
        </w:rPr>
        <w:t xml:space="preserve">It has been advised that TUPE will apply for the requirements of this service.  </w:t>
      </w:r>
    </w:p>
    <w:p w14:paraId="454E040C" w14:textId="77777777" w:rsidR="009D3F41" w:rsidRPr="009D3F41" w:rsidRDefault="009D3F41" w:rsidP="009D3F41">
      <w:pPr>
        <w:spacing w:after="360"/>
        <w:rPr>
          <w:rFonts w:ascii="Calibri" w:hAnsi="Calibri"/>
        </w:rPr>
      </w:pPr>
      <w:r w:rsidRPr="009D3F41">
        <w:rPr>
          <w:rFonts w:ascii="Calibri" w:hAnsi="Calibri" w:cs="Arial"/>
          <w:szCs w:val="22"/>
        </w:rPr>
        <w:t>You are referred to the European Acquired Rights Directive 77/187 and to the Transfer of Undertakings (Protection of Employment) Regulations 1981 (“the Legislation”), and are recommended to seek independent professional advice about this legislation, the effect of which can be the automatic continuation of employment contracts and the transfer to a successful tenderer of rights, powers, duties, and liabilities under or in connection with those employment contracts. Selnet will not provide advice on the issue of TUPE applicability, and if any view is expressed, no liability will be accepted with regard to it.</w:t>
      </w:r>
    </w:p>
    <w:p w14:paraId="5CFE0B49" w14:textId="77777777" w:rsidR="009D3F41" w:rsidRPr="009D3F41" w:rsidRDefault="009D3F41" w:rsidP="009D3F41">
      <w:pPr>
        <w:spacing w:after="360"/>
        <w:rPr>
          <w:rFonts w:ascii="Calibri" w:hAnsi="Calibri"/>
        </w:rPr>
      </w:pPr>
      <w:r w:rsidRPr="009D3F41">
        <w:rPr>
          <w:rFonts w:ascii="Calibri" w:hAnsi="Calibri" w:cs="Arial"/>
          <w:b/>
          <w:szCs w:val="22"/>
          <w:shd w:val="clear" w:color="auto" w:fill="D9D9D9"/>
        </w:rPr>
        <w:t>Before workforce information (including that relating to pensions) is supplied Tenderers are required to complete and return the Non-Disclosure Agreement (NDA) issued with the Tender documents</w:t>
      </w:r>
      <w:r w:rsidR="00EC5B1D">
        <w:rPr>
          <w:rFonts w:ascii="Calibri" w:hAnsi="Calibri" w:cs="Arial"/>
          <w:b/>
          <w:szCs w:val="22"/>
          <w:shd w:val="clear" w:color="auto" w:fill="D9D9D9"/>
        </w:rPr>
        <w:t xml:space="preserve"> (</w:t>
      </w:r>
      <w:r w:rsidR="00EC5B1D" w:rsidRPr="00EC5B1D">
        <w:rPr>
          <w:rFonts w:ascii="Calibri" w:hAnsi="Calibri" w:cs="Arial"/>
          <w:b/>
          <w:color w:val="FF0000"/>
          <w:szCs w:val="22"/>
          <w:shd w:val="clear" w:color="auto" w:fill="D9D9D9"/>
        </w:rPr>
        <w:t>attached at Appendix 3</w:t>
      </w:r>
      <w:r w:rsidR="00EC5B1D">
        <w:rPr>
          <w:rFonts w:ascii="Calibri" w:hAnsi="Calibri" w:cs="Arial"/>
          <w:b/>
          <w:szCs w:val="22"/>
          <w:shd w:val="clear" w:color="auto" w:fill="D9D9D9"/>
        </w:rPr>
        <w:t>)</w:t>
      </w:r>
      <w:r w:rsidRPr="009D3F41">
        <w:rPr>
          <w:rFonts w:ascii="Calibri" w:hAnsi="Calibri" w:cs="Arial"/>
          <w:b/>
          <w:szCs w:val="22"/>
          <w:shd w:val="clear" w:color="auto" w:fill="D9D9D9"/>
        </w:rPr>
        <w:t>.</w:t>
      </w:r>
      <w:r w:rsidRPr="009D3F41">
        <w:rPr>
          <w:rFonts w:ascii="Calibri" w:hAnsi="Calibri" w:cs="Arial"/>
          <w:szCs w:val="22"/>
        </w:rPr>
        <w:t xml:space="preserve"> The completed NDA should be returned via the questions area of The Chest. This NDA constitutes an undertaking that the information will only be used for the purpose of tendering for the particular contract concerned and will comply with the Data Protection Acts 1984 and 1998 or any statutory re-enactment or modification thereof.</w:t>
      </w:r>
    </w:p>
    <w:p w14:paraId="1903E1F0" w14:textId="77777777" w:rsidR="009D3F41" w:rsidRPr="009D3F41" w:rsidRDefault="009D3F41" w:rsidP="009D3F41">
      <w:pPr>
        <w:spacing w:after="360"/>
        <w:rPr>
          <w:rFonts w:ascii="Calibri" w:hAnsi="Calibri"/>
        </w:rPr>
      </w:pPr>
      <w:r w:rsidRPr="009D3F41">
        <w:rPr>
          <w:rFonts w:ascii="Calibri" w:hAnsi="Calibri" w:cs="Arial"/>
          <w:szCs w:val="22"/>
        </w:rPr>
        <w:t>Where information is provided which originates from third parties, Selnet has no control over the compilation of this information and gives no guarantees or assurances as to the accuracy or completeness of the information.</w:t>
      </w:r>
    </w:p>
    <w:p w14:paraId="44FF75AD" w14:textId="77777777" w:rsidR="009D3F41" w:rsidRPr="009D3F41" w:rsidRDefault="009D3F41" w:rsidP="009D3F41">
      <w:pPr>
        <w:spacing w:after="360"/>
        <w:rPr>
          <w:rFonts w:ascii="Calibri" w:hAnsi="Calibri"/>
        </w:rPr>
      </w:pPr>
      <w:r w:rsidRPr="009D3F41">
        <w:rPr>
          <w:rFonts w:ascii="Calibri" w:hAnsi="Calibri" w:cs="Arial"/>
          <w:szCs w:val="22"/>
        </w:rPr>
        <w:lastRenderedPageBreak/>
        <w:t>You may put forward proposals with different TUPE implications, but are required to indicate in the tender whether or not they have been prepared on the basis that the contract will give rise to a transfer under the legislation. You must confirm in writing whether or not you have sought independent legal advice in relation to your tender submission.</w:t>
      </w:r>
    </w:p>
    <w:p w14:paraId="17523E40" w14:textId="77777777" w:rsidR="009D3F41" w:rsidRPr="009D3F41" w:rsidRDefault="009D3F41" w:rsidP="009D3F41">
      <w:pPr>
        <w:spacing w:after="360"/>
        <w:rPr>
          <w:rFonts w:ascii="Calibri" w:hAnsi="Calibri"/>
        </w:rPr>
      </w:pPr>
      <w:r w:rsidRPr="009D3F41">
        <w:rPr>
          <w:rFonts w:ascii="Calibri" w:hAnsi="Calibri" w:cs="Arial"/>
          <w:szCs w:val="22"/>
        </w:rPr>
        <w:t xml:space="preserve">If, after careful consideration of detailed proposals, there is uncertainty about the applicability of the legislation, and the successful Tenderer wishes to </w:t>
      </w:r>
      <w:r w:rsidRPr="009D3F41">
        <w:rPr>
          <w:rFonts w:ascii="Calibri" w:hAnsi="Calibri" w:cs="Arial"/>
          <w:b/>
          <w:bCs/>
          <w:szCs w:val="22"/>
        </w:rPr>
        <w:t>proceed on the basis that a transfer will not occur,</w:t>
      </w:r>
      <w:r w:rsidRPr="009D3F41">
        <w:rPr>
          <w:rFonts w:ascii="Calibri" w:hAnsi="Calibri" w:cs="Arial"/>
          <w:szCs w:val="22"/>
        </w:rPr>
        <w:t xml:space="preserve"> Selnet</w:t>
      </w:r>
      <w:r w:rsidR="00FF1CB5">
        <w:rPr>
          <w:rFonts w:ascii="Calibri" w:hAnsi="Calibri" w:cs="Arial"/>
          <w:szCs w:val="22"/>
        </w:rPr>
        <w:t xml:space="preserve"> will</w:t>
      </w:r>
      <w:r w:rsidRPr="009D3F41">
        <w:rPr>
          <w:rFonts w:ascii="Calibri" w:hAnsi="Calibri" w:cs="Arial"/>
          <w:szCs w:val="22"/>
        </w:rPr>
        <w:t xml:space="preserve"> require the successful Tenderer to indemnify them in respect of any failure to comply with the Legislation. </w:t>
      </w:r>
    </w:p>
    <w:p w14:paraId="492ACCE7" w14:textId="77777777" w:rsidR="009D3F41" w:rsidRPr="009D3F41" w:rsidRDefault="009D3F41" w:rsidP="009D3F41">
      <w:pPr>
        <w:spacing w:after="360"/>
        <w:rPr>
          <w:rFonts w:ascii="Calibri" w:hAnsi="Calibri"/>
        </w:rPr>
      </w:pPr>
      <w:r w:rsidRPr="009D3F41">
        <w:rPr>
          <w:rFonts w:ascii="Calibri" w:hAnsi="Calibri" w:cs="Arial"/>
          <w:szCs w:val="22"/>
        </w:rPr>
        <w:t xml:space="preserve">If, after careful consideration of your detailed tender, Selnet takes the view that the </w:t>
      </w:r>
      <w:r w:rsidRPr="009D3F41">
        <w:rPr>
          <w:rFonts w:ascii="Calibri" w:hAnsi="Calibri" w:cs="Arial"/>
          <w:b/>
          <w:bCs/>
          <w:szCs w:val="22"/>
        </w:rPr>
        <w:t>Contract will give rise to a transfer</w:t>
      </w:r>
      <w:r w:rsidRPr="009D3F41">
        <w:rPr>
          <w:rFonts w:ascii="Calibri" w:hAnsi="Calibri" w:cs="Arial"/>
          <w:szCs w:val="22"/>
        </w:rPr>
        <w:t>, the Conditions of Contract will require the successful tenderer:</w:t>
      </w:r>
    </w:p>
    <w:p w14:paraId="0A03A7D7" w14:textId="77777777" w:rsidR="009D3F41" w:rsidRPr="009D3F41" w:rsidRDefault="009D3F41" w:rsidP="009D3F41">
      <w:pPr>
        <w:numPr>
          <w:ilvl w:val="0"/>
          <w:numId w:val="3"/>
        </w:numPr>
        <w:tabs>
          <w:tab w:val="clear" w:pos="1145"/>
        </w:tabs>
        <w:spacing w:after="120"/>
        <w:ind w:left="1134" w:hanging="567"/>
        <w:rPr>
          <w:rFonts w:ascii="Calibri" w:hAnsi="Calibri" w:cs="Arial"/>
          <w:szCs w:val="22"/>
        </w:rPr>
      </w:pPr>
      <w:r w:rsidRPr="009D3F41">
        <w:rPr>
          <w:rFonts w:ascii="Calibri" w:hAnsi="Calibri" w:cs="Arial"/>
          <w:szCs w:val="22"/>
        </w:rPr>
        <w:t>to fully assume and discharge all the duties and liabilities imposed upon the successful tenderer by, or in consequence of the transfer;</w:t>
      </w:r>
    </w:p>
    <w:p w14:paraId="494AA87D" w14:textId="77777777" w:rsidR="009D3F41" w:rsidRPr="009D3F41" w:rsidRDefault="009D3F41" w:rsidP="009D3F41">
      <w:pPr>
        <w:numPr>
          <w:ilvl w:val="0"/>
          <w:numId w:val="3"/>
        </w:numPr>
        <w:spacing w:after="120"/>
        <w:ind w:left="1134" w:hanging="567"/>
        <w:jc w:val="left"/>
        <w:rPr>
          <w:rFonts w:ascii="Calibri" w:hAnsi="Calibri" w:cs="Arial"/>
          <w:color w:val="1F497D"/>
          <w:szCs w:val="22"/>
        </w:rPr>
      </w:pPr>
      <w:r w:rsidRPr="009D3F41">
        <w:rPr>
          <w:rFonts w:ascii="Calibri" w:hAnsi="Calibri" w:cs="Arial"/>
          <w:szCs w:val="22"/>
        </w:rPr>
        <w:t xml:space="preserve">to offer to transferred employees’ pension arrangements broadly comparable to those applying to them immediately before the transfer; </w:t>
      </w:r>
    </w:p>
    <w:p w14:paraId="502EA4E4" w14:textId="77777777" w:rsidR="009D3F41" w:rsidRPr="009D3F41" w:rsidRDefault="009D3F41" w:rsidP="009D3F41">
      <w:pPr>
        <w:numPr>
          <w:ilvl w:val="0"/>
          <w:numId w:val="3"/>
        </w:numPr>
        <w:tabs>
          <w:tab w:val="clear" w:pos="1145"/>
        </w:tabs>
        <w:spacing w:after="120"/>
        <w:ind w:left="1134" w:hanging="567"/>
        <w:rPr>
          <w:rFonts w:ascii="Calibri" w:hAnsi="Calibri" w:cs="Arial"/>
          <w:szCs w:val="22"/>
        </w:rPr>
      </w:pPr>
      <w:r w:rsidRPr="009D3F41">
        <w:rPr>
          <w:rFonts w:ascii="Calibri" w:hAnsi="Calibri" w:cs="Arial"/>
          <w:szCs w:val="22"/>
        </w:rPr>
        <w:t>to indemnify Selnet in respect of any failure to give effect to the requirements of the condition referred to in paragraph (i) above;</w:t>
      </w:r>
    </w:p>
    <w:p w14:paraId="2878A4BB" w14:textId="77777777" w:rsidR="009D3F41" w:rsidRPr="009D3F41" w:rsidRDefault="009D3F41" w:rsidP="009D3F41">
      <w:pPr>
        <w:numPr>
          <w:ilvl w:val="0"/>
          <w:numId w:val="3"/>
        </w:numPr>
        <w:tabs>
          <w:tab w:val="clear" w:pos="1145"/>
        </w:tabs>
        <w:spacing w:after="120"/>
        <w:ind w:left="1134" w:hanging="567"/>
        <w:rPr>
          <w:rFonts w:ascii="Calibri" w:hAnsi="Calibri" w:cs="Arial"/>
          <w:szCs w:val="22"/>
        </w:rPr>
      </w:pPr>
      <w:r w:rsidRPr="009D3F41">
        <w:rPr>
          <w:rFonts w:ascii="Calibri" w:hAnsi="Calibri" w:cs="Arial"/>
          <w:szCs w:val="22"/>
        </w:rPr>
        <w:t>to supply Selnet a list, together with all necessary details relating to their terms and conditions of employment of all operatives and staff likely to transfer to a subsequent successful tenderer in the event that the legislation referred to above is deemed to apply at that time, such list to be provided at the request of Selnet, on or before the termination of the Contract, ensuring that the information provided is accurate;</w:t>
      </w:r>
    </w:p>
    <w:p w14:paraId="375474F9" w14:textId="77777777" w:rsidR="009D3F41" w:rsidRPr="009D3F41" w:rsidRDefault="009D3F41" w:rsidP="009D3F41">
      <w:pPr>
        <w:numPr>
          <w:ilvl w:val="0"/>
          <w:numId w:val="3"/>
        </w:numPr>
        <w:tabs>
          <w:tab w:val="clear" w:pos="1145"/>
        </w:tabs>
        <w:spacing w:after="120"/>
        <w:ind w:left="1134" w:hanging="567"/>
        <w:rPr>
          <w:rFonts w:ascii="Calibri" w:hAnsi="Calibri" w:cs="Arial"/>
          <w:szCs w:val="22"/>
        </w:rPr>
      </w:pPr>
      <w:r w:rsidRPr="009D3F41">
        <w:rPr>
          <w:rFonts w:ascii="Calibri" w:hAnsi="Calibri" w:cs="Arial"/>
          <w:szCs w:val="22"/>
        </w:rPr>
        <w:t>to indemnify and hold harmless Selnet against any costs, claims, or actions arising from the information provided in accordance with paragraph (iv) above;</w:t>
      </w:r>
    </w:p>
    <w:p w14:paraId="3E184288" w14:textId="77777777" w:rsidR="009D3F41" w:rsidRPr="009D3F41" w:rsidRDefault="009D3F41" w:rsidP="009D3F41">
      <w:pPr>
        <w:numPr>
          <w:ilvl w:val="0"/>
          <w:numId w:val="3"/>
        </w:numPr>
        <w:tabs>
          <w:tab w:val="clear" w:pos="1145"/>
        </w:tabs>
        <w:spacing w:after="120"/>
        <w:ind w:left="1134" w:hanging="567"/>
        <w:rPr>
          <w:rFonts w:ascii="Calibri" w:hAnsi="Calibri" w:cs="Arial"/>
          <w:szCs w:val="22"/>
        </w:rPr>
      </w:pPr>
      <w:r w:rsidRPr="009D3F41">
        <w:rPr>
          <w:rFonts w:ascii="Calibri" w:hAnsi="Calibri" w:cs="Arial"/>
          <w:szCs w:val="22"/>
        </w:rPr>
        <w:t>to indemnify and hold harmless Selnet and any other subsequent successful tenderer who may succeed to all or any part of the work tendered for under the terms of the Contract against any costs, claims, or actions brought by any employee or sub-contractor of the successful tenderer arising out of or connected with the termination of the Contract;</w:t>
      </w:r>
    </w:p>
    <w:p w14:paraId="43BD3F96" w14:textId="77777777" w:rsidR="009D3F41" w:rsidRPr="009D3F41" w:rsidRDefault="009D3F41" w:rsidP="009D3F41">
      <w:pPr>
        <w:numPr>
          <w:ilvl w:val="0"/>
          <w:numId w:val="3"/>
        </w:numPr>
        <w:tabs>
          <w:tab w:val="clear" w:pos="1145"/>
        </w:tabs>
        <w:spacing w:after="360"/>
        <w:ind w:left="1134" w:hanging="567"/>
        <w:rPr>
          <w:rFonts w:ascii="Calibri" w:hAnsi="Calibri" w:cs="Arial"/>
          <w:szCs w:val="22"/>
        </w:rPr>
      </w:pPr>
      <w:r w:rsidRPr="009D3F41">
        <w:rPr>
          <w:rFonts w:ascii="Calibri" w:hAnsi="Calibri" w:cs="Arial"/>
          <w:szCs w:val="22"/>
        </w:rPr>
        <w:t>to agree that these provisions will survive the termination of the Agreement howsoever caused.</w:t>
      </w:r>
    </w:p>
    <w:p w14:paraId="4E3D31B6" w14:textId="77777777" w:rsidR="009D3F41" w:rsidRDefault="009D3F41" w:rsidP="009D3F41">
      <w:pPr>
        <w:spacing w:after="360"/>
        <w:rPr>
          <w:rFonts w:ascii="Calibri" w:hAnsi="Calibri"/>
        </w:rPr>
      </w:pPr>
      <w:r w:rsidRPr="009D3F41">
        <w:rPr>
          <w:rFonts w:ascii="Calibri" w:hAnsi="Calibri" w:cs="Arial"/>
          <w:szCs w:val="22"/>
        </w:rPr>
        <w:t>A Tenderer who submits a tender on the basis that the contract will give rise to a transfer is required to include with the tender full particulars of the arrangements to be offered or compensation to be paid in accordance with the condition referred to in paragraph (ii) above.</w:t>
      </w:r>
    </w:p>
    <w:p w14:paraId="1CA8F341" w14:textId="77777777" w:rsidR="004C76F2" w:rsidRPr="00BA1A19" w:rsidRDefault="004C76F2"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Partnership Arrangements</w:t>
      </w:r>
    </w:p>
    <w:p w14:paraId="1888B9D1" w14:textId="77777777"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lastRenderedPageBreak/>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0C41B50B"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r w:rsidRPr="00BA1A19">
        <w:rPr>
          <w:rFonts w:ascii="Calibri" w:hAnsi="Calibri"/>
          <w:color w:val="000000" w:themeColor="text1"/>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lastRenderedPageBreak/>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77777777"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attached at Appendix 4</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4D5B6C32"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541283">
        <w:rPr>
          <w:rFonts w:ascii="Calibri" w:hAnsi="Calibri"/>
          <w:szCs w:val="22"/>
        </w:rPr>
        <w:t>10</w:t>
      </w:r>
      <w:r w:rsidR="003B02D8" w:rsidRPr="00AF1047">
        <w:rPr>
          <w:rFonts w:ascii="Calibri" w:hAnsi="Calibri"/>
          <w:szCs w:val="22"/>
        </w:rPr>
        <w:t>/0</w:t>
      </w:r>
      <w:r w:rsidR="00541283">
        <w:rPr>
          <w:rFonts w:ascii="Calibri" w:hAnsi="Calibri"/>
          <w:szCs w:val="22"/>
        </w:rPr>
        <w:t>8</w:t>
      </w:r>
      <w:r w:rsidR="00F030A4" w:rsidRPr="00AF1047">
        <w:rPr>
          <w:rFonts w:ascii="Calibri" w:hAnsi="Calibri"/>
          <w:szCs w:val="22"/>
        </w:rPr>
        <w:t>/20</w:t>
      </w:r>
      <w:r w:rsidR="007F494D" w:rsidRPr="00AF1047">
        <w:rPr>
          <w:rFonts w:ascii="Calibri" w:hAnsi="Calibri"/>
          <w:szCs w:val="22"/>
        </w:rPr>
        <w:t>2</w:t>
      </w:r>
      <w:r w:rsidR="00541283">
        <w:rPr>
          <w:rFonts w:ascii="Calibri" w:hAnsi="Calibri"/>
          <w:szCs w:val="22"/>
        </w:rPr>
        <w:t>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lastRenderedPageBreak/>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0 – delivery does not meet the stated minimum number of participants in each area chosen </w:t>
            </w:r>
          </w:p>
          <w:p w14:paraId="3390A000" w14:textId="777777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minimums for each area chosen</w:t>
            </w:r>
          </w:p>
          <w:p w14:paraId="4E56DD84" w14:textId="77777777"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 xml:space="preserve">he stated minimums </w:t>
            </w:r>
          </w:p>
          <w:p w14:paraId="757CEFA9" w14:textId="77777777" w:rsidR="00E60051" w:rsidRPr="002E246F" w:rsidRDefault="00E60051" w:rsidP="00A61642">
            <w:pPr>
              <w:jc w:val="left"/>
              <w:rPr>
                <w:rFonts w:ascii="Calibri" w:hAnsi="Calibri" w:cs="Arial"/>
                <w:szCs w:val="22"/>
              </w:rPr>
            </w:pPr>
            <w:r w:rsidRPr="002E246F">
              <w:rPr>
                <w:rFonts w:ascii="Calibri" w:hAnsi="Calibri" w:cs="Arial"/>
                <w:szCs w:val="22"/>
              </w:rPr>
              <w:lastRenderedPageBreak/>
              <w:t>5 – delivery exceeds the stated minimums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lastRenderedPageBreak/>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0 – no staffing plan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lastRenderedPageBreak/>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Should we decide to obtain references the referees will be asked a series of questions around but not limited to the following</w:t>
      </w:r>
      <w:r w:rsidR="00660AD4" w:rsidRPr="00BA1A19">
        <w:rPr>
          <w:rFonts w:ascii="Calibri" w:hAnsi="Calibri" w:cs="Arial"/>
          <w:color w:val="000000" w:themeColor="text1"/>
          <w:szCs w:val="22"/>
        </w:rPr>
        <w:t>:</w:t>
      </w:r>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77777777"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w:t>
      </w:r>
      <w:r w:rsidR="00C16999" w:rsidRPr="00BA1A19">
        <w:rPr>
          <w:rFonts w:ascii="Calibri" w:hAnsi="Calibri"/>
          <w:iCs/>
          <w:color w:val="000000" w:themeColor="text1"/>
        </w:rPr>
        <w:lastRenderedPageBreak/>
        <w:t xml:space="preserve">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A632" w14:textId="77777777" w:rsidR="00526B0B" w:rsidRDefault="00526B0B">
      <w:r>
        <w:separator/>
      </w:r>
    </w:p>
  </w:endnote>
  <w:endnote w:type="continuationSeparator" w:id="0">
    <w:p w14:paraId="02C16D5B" w14:textId="77777777" w:rsidR="00526B0B" w:rsidRDefault="0052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0288A55A"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7A6234" w:rsidRPr="007A6234">
      <w:rPr>
        <w:b/>
        <w:bCs/>
        <w:noProof/>
      </w:rPr>
      <w:t>5</w:t>
    </w:r>
    <w:r>
      <w:rPr>
        <w:b/>
        <w:bCs/>
        <w:noProof/>
      </w:rPr>
      <w:fldChar w:fldCharType="end"/>
    </w:r>
    <w:r>
      <w:rPr>
        <w:b/>
        <w:bCs/>
      </w:rPr>
      <w:t xml:space="preserve"> | </w:t>
    </w:r>
    <w:r w:rsidRPr="000D59EC">
      <w:rPr>
        <w:color w:val="7F7F7F"/>
        <w:spacing w:val="60"/>
      </w:rPr>
      <w:t>Page</w:t>
    </w:r>
  </w:p>
  <w:p w14:paraId="70ACF01C" w14:textId="32042BE5" w:rsidR="00D02A68" w:rsidRDefault="00F00866" w:rsidP="009464D4">
    <w:pPr>
      <w:pStyle w:val="Footer"/>
      <w:jc w:val="center"/>
      <w:rPr>
        <w:rFonts w:ascii="Calibri" w:hAnsi="Calibri"/>
        <w:sz w:val="20"/>
      </w:rPr>
    </w:pPr>
    <w:bookmarkStart w:id="5" w:name="_Hlk32519615"/>
    <w:r>
      <w:rPr>
        <w:rFonts w:ascii="Calibri" w:hAnsi="Calibri"/>
        <w:sz w:val="20"/>
      </w:rPr>
      <w:t xml:space="preserve">Selnet </w:t>
    </w:r>
    <w:r w:rsidR="00824C2B">
      <w:rPr>
        <w:rFonts w:ascii="Calibri" w:hAnsi="Calibri"/>
        <w:sz w:val="20"/>
      </w:rPr>
      <w:t>July</w:t>
    </w:r>
    <w:r w:rsidR="0041113B">
      <w:rPr>
        <w:rFonts w:ascii="Calibri" w:hAnsi="Calibri"/>
        <w:sz w:val="20"/>
      </w:rPr>
      <w:t xml:space="preserve"> </w:t>
    </w:r>
    <w:r w:rsidR="00DA7A08">
      <w:rPr>
        <w:rFonts w:ascii="Calibri" w:hAnsi="Calibri"/>
        <w:sz w:val="20"/>
      </w:rPr>
      <w:t>20</w:t>
    </w:r>
    <w:r w:rsidR="0041113B">
      <w:rPr>
        <w:rFonts w:ascii="Calibri" w:hAnsi="Calibri"/>
        <w:sz w:val="20"/>
      </w:rPr>
      <w:t>2</w:t>
    </w:r>
    <w:r w:rsidR="00824C2B">
      <w:rPr>
        <w:rFonts w:ascii="Calibri" w:hAnsi="Calibri"/>
        <w:sz w:val="20"/>
      </w:rPr>
      <w:t>1</w:t>
    </w:r>
    <w:r w:rsidR="00DA7A08">
      <w:rPr>
        <w:rFonts w:ascii="Calibri" w:hAnsi="Calibri"/>
        <w:sz w:val="20"/>
      </w:rPr>
      <w:t xml:space="preserve"> – Age of Opportunity</w:t>
    </w:r>
    <w:r w:rsidR="0041113B">
      <w:rPr>
        <w:rFonts w:ascii="Calibri" w:hAnsi="Calibri"/>
        <w:sz w:val="20"/>
      </w:rPr>
      <w:t xml:space="preserve"> Employability Provision East Lancs</w:t>
    </w:r>
    <w:r w:rsidR="00824C2B">
      <w:rPr>
        <w:rFonts w:ascii="Calibri" w:hAnsi="Calibri"/>
        <w:sz w:val="20"/>
      </w:rPr>
      <w:t xml:space="preserve"> Phase 3</w:t>
    </w:r>
  </w:p>
  <w:bookmarkEnd w:id="5"/>
  <w:p w14:paraId="358466DF" w14:textId="77777777" w:rsidR="0041113B" w:rsidRDefault="0041113B" w:rsidP="0041113B">
    <w:pPr>
      <w:pStyle w:val="Footer"/>
      <w:rPr>
        <w:rFonts w:ascii="Calibri" w:hAnsi="Calibri"/>
        <w:sz w:val="20"/>
      </w:rPr>
    </w:pPr>
  </w:p>
  <w:p w14:paraId="336B46DD" w14:textId="77777777" w:rsidR="001C55DF" w:rsidRPr="00CC5A95" w:rsidRDefault="001C55DF"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6A8F1" w14:textId="77777777" w:rsidR="00526B0B" w:rsidRDefault="00526B0B">
      <w:r>
        <w:separator/>
      </w:r>
    </w:p>
  </w:footnote>
  <w:footnote w:type="continuationSeparator" w:id="0">
    <w:p w14:paraId="260C39F1" w14:textId="77777777" w:rsidR="00526B0B" w:rsidRDefault="0052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D02A68" w:rsidRDefault="00D02A68">
    <w:pPr>
      <w:pStyle w:val="Header"/>
    </w:pPr>
  </w:p>
  <w:p w14:paraId="687C9357"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F1A"/>
    <w:rsid w:val="00007DC0"/>
    <w:rsid w:val="0001252D"/>
    <w:rsid w:val="000207CC"/>
    <w:rsid w:val="00026594"/>
    <w:rsid w:val="00031112"/>
    <w:rsid w:val="00031B7F"/>
    <w:rsid w:val="0003450C"/>
    <w:rsid w:val="00054133"/>
    <w:rsid w:val="000557C8"/>
    <w:rsid w:val="00056779"/>
    <w:rsid w:val="00076E1D"/>
    <w:rsid w:val="00081FA0"/>
    <w:rsid w:val="00082459"/>
    <w:rsid w:val="00091F63"/>
    <w:rsid w:val="00096199"/>
    <w:rsid w:val="00096C18"/>
    <w:rsid w:val="000A15D3"/>
    <w:rsid w:val="000B49A7"/>
    <w:rsid w:val="000B4C42"/>
    <w:rsid w:val="000B7B1E"/>
    <w:rsid w:val="000C0FEB"/>
    <w:rsid w:val="000C2801"/>
    <w:rsid w:val="000D057E"/>
    <w:rsid w:val="000D2DEC"/>
    <w:rsid w:val="000D59EC"/>
    <w:rsid w:val="000E1AF7"/>
    <w:rsid w:val="000E2F2D"/>
    <w:rsid w:val="000F2CA2"/>
    <w:rsid w:val="000F3D6F"/>
    <w:rsid w:val="000F54F9"/>
    <w:rsid w:val="000F7E3E"/>
    <w:rsid w:val="001019E0"/>
    <w:rsid w:val="001024A4"/>
    <w:rsid w:val="00102C63"/>
    <w:rsid w:val="00104B06"/>
    <w:rsid w:val="001061FA"/>
    <w:rsid w:val="00110B4E"/>
    <w:rsid w:val="0011106B"/>
    <w:rsid w:val="001166E0"/>
    <w:rsid w:val="00116CC3"/>
    <w:rsid w:val="00120846"/>
    <w:rsid w:val="00122093"/>
    <w:rsid w:val="0012492C"/>
    <w:rsid w:val="0012607C"/>
    <w:rsid w:val="00126D15"/>
    <w:rsid w:val="00132041"/>
    <w:rsid w:val="001326C2"/>
    <w:rsid w:val="00133EF8"/>
    <w:rsid w:val="00135D03"/>
    <w:rsid w:val="00143DF1"/>
    <w:rsid w:val="00146D04"/>
    <w:rsid w:val="00150B61"/>
    <w:rsid w:val="001526A0"/>
    <w:rsid w:val="001550E3"/>
    <w:rsid w:val="001563AA"/>
    <w:rsid w:val="001661DF"/>
    <w:rsid w:val="00171A18"/>
    <w:rsid w:val="001721D5"/>
    <w:rsid w:val="00181F51"/>
    <w:rsid w:val="001839A0"/>
    <w:rsid w:val="0018752A"/>
    <w:rsid w:val="001A378F"/>
    <w:rsid w:val="001A5127"/>
    <w:rsid w:val="001A5FBC"/>
    <w:rsid w:val="001B1D75"/>
    <w:rsid w:val="001B2F38"/>
    <w:rsid w:val="001B4C5F"/>
    <w:rsid w:val="001B5D15"/>
    <w:rsid w:val="001B69E5"/>
    <w:rsid w:val="001C1393"/>
    <w:rsid w:val="001C16B4"/>
    <w:rsid w:val="001C55DF"/>
    <w:rsid w:val="001C6921"/>
    <w:rsid w:val="001C7A9D"/>
    <w:rsid w:val="001D43CC"/>
    <w:rsid w:val="001D7EED"/>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93533"/>
    <w:rsid w:val="00297567"/>
    <w:rsid w:val="002A2CE4"/>
    <w:rsid w:val="002A4386"/>
    <w:rsid w:val="002B06C0"/>
    <w:rsid w:val="002B479D"/>
    <w:rsid w:val="002B5AEB"/>
    <w:rsid w:val="002B5D37"/>
    <w:rsid w:val="002C02C2"/>
    <w:rsid w:val="002C5657"/>
    <w:rsid w:val="002D00D5"/>
    <w:rsid w:val="002D35A7"/>
    <w:rsid w:val="002D3AE8"/>
    <w:rsid w:val="002D3D8A"/>
    <w:rsid w:val="002D69F0"/>
    <w:rsid w:val="002E087D"/>
    <w:rsid w:val="002E246F"/>
    <w:rsid w:val="002E4A9D"/>
    <w:rsid w:val="002E52BB"/>
    <w:rsid w:val="002E55DD"/>
    <w:rsid w:val="002E608C"/>
    <w:rsid w:val="00301AB7"/>
    <w:rsid w:val="00302C98"/>
    <w:rsid w:val="0030358D"/>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230C"/>
    <w:rsid w:val="003C38F3"/>
    <w:rsid w:val="003C4BBE"/>
    <w:rsid w:val="003C5286"/>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55C04"/>
    <w:rsid w:val="004603DA"/>
    <w:rsid w:val="00460503"/>
    <w:rsid w:val="004613E6"/>
    <w:rsid w:val="00464044"/>
    <w:rsid w:val="00467F3E"/>
    <w:rsid w:val="004703A1"/>
    <w:rsid w:val="0047097D"/>
    <w:rsid w:val="004727D8"/>
    <w:rsid w:val="00480524"/>
    <w:rsid w:val="0048059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341A"/>
    <w:rsid w:val="004D5811"/>
    <w:rsid w:val="004D5C50"/>
    <w:rsid w:val="004D67D9"/>
    <w:rsid w:val="004E0183"/>
    <w:rsid w:val="004E6913"/>
    <w:rsid w:val="004F03AD"/>
    <w:rsid w:val="004F0ABA"/>
    <w:rsid w:val="004F5B38"/>
    <w:rsid w:val="004F68A5"/>
    <w:rsid w:val="005007A4"/>
    <w:rsid w:val="00502FFC"/>
    <w:rsid w:val="00505F16"/>
    <w:rsid w:val="005205F7"/>
    <w:rsid w:val="00520C3F"/>
    <w:rsid w:val="00520D37"/>
    <w:rsid w:val="005262BD"/>
    <w:rsid w:val="00526B0B"/>
    <w:rsid w:val="00530330"/>
    <w:rsid w:val="00533616"/>
    <w:rsid w:val="00533AD8"/>
    <w:rsid w:val="00535871"/>
    <w:rsid w:val="00541283"/>
    <w:rsid w:val="00543321"/>
    <w:rsid w:val="0054577D"/>
    <w:rsid w:val="00546CC8"/>
    <w:rsid w:val="005519D0"/>
    <w:rsid w:val="005550C8"/>
    <w:rsid w:val="005577C8"/>
    <w:rsid w:val="00562C85"/>
    <w:rsid w:val="00563290"/>
    <w:rsid w:val="005638F7"/>
    <w:rsid w:val="005656D2"/>
    <w:rsid w:val="005659D4"/>
    <w:rsid w:val="0057366A"/>
    <w:rsid w:val="0057378B"/>
    <w:rsid w:val="005742C1"/>
    <w:rsid w:val="00580D7C"/>
    <w:rsid w:val="005827B0"/>
    <w:rsid w:val="00585F24"/>
    <w:rsid w:val="00594B98"/>
    <w:rsid w:val="005A2755"/>
    <w:rsid w:val="005A4440"/>
    <w:rsid w:val="005A60F8"/>
    <w:rsid w:val="005B0DAF"/>
    <w:rsid w:val="005B2D41"/>
    <w:rsid w:val="005C19EF"/>
    <w:rsid w:val="005C276B"/>
    <w:rsid w:val="005C3679"/>
    <w:rsid w:val="005C489A"/>
    <w:rsid w:val="005D5ACC"/>
    <w:rsid w:val="005E0EF2"/>
    <w:rsid w:val="005E3124"/>
    <w:rsid w:val="005E4EB4"/>
    <w:rsid w:val="005E6721"/>
    <w:rsid w:val="005F08B0"/>
    <w:rsid w:val="006101E4"/>
    <w:rsid w:val="00626FDD"/>
    <w:rsid w:val="00627358"/>
    <w:rsid w:val="00630D4D"/>
    <w:rsid w:val="006357C9"/>
    <w:rsid w:val="00636C10"/>
    <w:rsid w:val="006415CF"/>
    <w:rsid w:val="006419AF"/>
    <w:rsid w:val="006554BF"/>
    <w:rsid w:val="00656D67"/>
    <w:rsid w:val="00660027"/>
    <w:rsid w:val="00660AD4"/>
    <w:rsid w:val="00672EF3"/>
    <w:rsid w:val="006763D3"/>
    <w:rsid w:val="00681858"/>
    <w:rsid w:val="006856E0"/>
    <w:rsid w:val="006872BA"/>
    <w:rsid w:val="006933DF"/>
    <w:rsid w:val="006966F9"/>
    <w:rsid w:val="006B4997"/>
    <w:rsid w:val="006B5EC5"/>
    <w:rsid w:val="006B5EFC"/>
    <w:rsid w:val="006C18B3"/>
    <w:rsid w:val="006C4322"/>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42886"/>
    <w:rsid w:val="00743E0C"/>
    <w:rsid w:val="00747465"/>
    <w:rsid w:val="00747B1A"/>
    <w:rsid w:val="0075078C"/>
    <w:rsid w:val="00754DB0"/>
    <w:rsid w:val="007600F6"/>
    <w:rsid w:val="007624BA"/>
    <w:rsid w:val="007635B3"/>
    <w:rsid w:val="007674AD"/>
    <w:rsid w:val="00771DE5"/>
    <w:rsid w:val="00771FA2"/>
    <w:rsid w:val="007722E6"/>
    <w:rsid w:val="007756B5"/>
    <w:rsid w:val="00780E54"/>
    <w:rsid w:val="007918DC"/>
    <w:rsid w:val="007940A4"/>
    <w:rsid w:val="0079625C"/>
    <w:rsid w:val="007A1AD8"/>
    <w:rsid w:val="007A33AE"/>
    <w:rsid w:val="007A3F7E"/>
    <w:rsid w:val="007A4C30"/>
    <w:rsid w:val="007A4C5C"/>
    <w:rsid w:val="007A6234"/>
    <w:rsid w:val="007B378B"/>
    <w:rsid w:val="007B5D88"/>
    <w:rsid w:val="007C16BC"/>
    <w:rsid w:val="007C4321"/>
    <w:rsid w:val="007D0596"/>
    <w:rsid w:val="007D14A5"/>
    <w:rsid w:val="007D5131"/>
    <w:rsid w:val="007D66A8"/>
    <w:rsid w:val="007E305A"/>
    <w:rsid w:val="007E3122"/>
    <w:rsid w:val="007E3AC5"/>
    <w:rsid w:val="007E4257"/>
    <w:rsid w:val="007E523A"/>
    <w:rsid w:val="007E56DA"/>
    <w:rsid w:val="007E6C4F"/>
    <w:rsid w:val="007F16CA"/>
    <w:rsid w:val="007F25D5"/>
    <w:rsid w:val="007F494D"/>
    <w:rsid w:val="007F5595"/>
    <w:rsid w:val="007F6908"/>
    <w:rsid w:val="00802EB3"/>
    <w:rsid w:val="008037BF"/>
    <w:rsid w:val="00807C97"/>
    <w:rsid w:val="00812B47"/>
    <w:rsid w:val="008160E3"/>
    <w:rsid w:val="00816C5B"/>
    <w:rsid w:val="00817279"/>
    <w:rsid w:val="00824ACD"/>
    <w:rsid w:val="00824C2B"/>
    <w:rsid w:val="0082788B"/>
    <w:rsid w:val="0084078A"/>
    <w:rsid w:val="008440E8"/>
    <w:rsid w:val="00855A03"/>
    <w:rsid w:val="00857469"/>
    <w:rsid w:val="00860022"/>
    <w:rsid w:val="00860080"/>
    <w:rsid w:val="00861E57"/>
    <w:rsid w:val="00862614"/>
    <w:rsid w:val="00866BDB"/>
    <w:rsid w:val="00874D19"/>
    <w:rsid w:val="00876ABF"/>
    <w:rsid w:val="00880080"/>
    <w:rsid w:val="00881B38"/>
    <w:rsid w:val="0088760A"/>
    <w:rsid w:val="00887F37"/>
    <w:rsid w:val="008A6612"/>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7CE8"/>
    <w:rsid w:val="009708F8"/>
    <w:rsid w:val="00971EE9"/>
    <w:rsid w:val="00974F1D"/>
    <w:rsid w:val="00980189"/>
    <w:rsid w:val="0098051B"/>
    <w:rsid w:val="00980AAC"/>
    <w:rsid w:val="00985CD8"/>
    <w:rsid w:val="00986A68"/>
    <w:rsid w:val="00986AF3"/>
    <w:rsid w:val="009872F6"/>
    <w:rsid w:val="00993C94"/>
    <w:rsid w:val="009B3E58"/>
    <w:rsid w:val="009B7BCB"/>
    <w:rsid w:val="009D1C1E"/>
    <w:rsid w:val="009D3F41"/>
    <w:rsid w:val="009D501C"/>
    <w:rsid w:val="009D5AF8"/>
    <w:rsid w:val="009E0BB5"/>
    <w:rsid w:val="009E1D6F"/>
    <w:rsid w:val="009E4652"/>
    <w:rsid w:val="009F0C5F"/>
    <w:rsid w:val="009F55AD"/>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435F"/>
    <w:rsid w:val="00A76F75"/>
    <w:rsid w:val="00A778EE"/>
    <w:rsid w:val="00A820F5"/>
    <w:rsid w:val="00A82DEA"/>
    <w:rsid w:val="00A83CA6"/>
    <w:rsid w:val="00A87326"/>
    <w:rsid w:val="00A9075D"/>
    <w:rsid w:val="00A92DBC"/>
    <w:rsid w:val="00AA42CD"/>
    <w:rsid w:val="00AC445C"/>
    <w:rsid w:val="00AD6B64"/>
    <w:rsid w:val="00AD78B1"/>
    <w:rsid w:val="00AD7E6E"/>
    <w:rsid w:val="00AE039C"/>
    <w:rsid w:val="00AF0DC7"/>
    <w:rsid w:val="00AF1047"/>
    <w:rsid w:val="00AF633B"/>
    <w:rsid w:val="00AF673E"/>
    <w:rsid w:val="00B03F88"/>
    <w:rsid w:val="00B13500"/>
    <w:rsid w:val="00B21154"/>
    <w:rsid w:val="00B22623"/>
    <w:rsid w:val="00B254A4"/>
    <w:rsid w:val="00B26ACC"/>
    <w:rsid w:val="00B50611"/>
    <w:rsid w:val="00B51746"/>
    <w:rsid w:val="00B5575F"/>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4397"/>
    <w:rsid w:val="00C0514A"/>
    <w:rsid w:val="00C1061F"/>
    <w:rsid w:val="00C11215"/>
    <w:rsid w:val="00C16037"/>
    <w:rsid w:val="00C16999"/>
    <w:rsid w:val="00C170E9"/>
    <w:rsid w:val="00C223EA"/>
    <w:rsid w:val="00C269BE"/>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97133"/>
    <w:rsid w:val="00CA255F"/>
    <w:rsid w:val="00CA2571"/>
    <w:rsid w:val="00CA3FDE"/>
    <w:rsid w:val="00CB790C"/>
    <w:rsid w:val="00CC07E5"/>
    <w:rsid w:val="00CC1D9E"/>
    <w:rsid w:val="00CC453B"/>
    <w:rsid w:val="00CC50A5"/>
    <w:rsid w:val="00CC5A95"/>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72F1"/>
    <w:rsid w:val="00D10AB3"/>
    <w:rsid w:val="00D10C9F"/>
    <w:rsid w:val="00D12713"/>
    <w:rsid w:val="00D12E0A"/>
    <w:rsid w:val="00D13CF4"/>
    <w:rsid w:val="00D15BE9"/>
    <w:rsid w:val="00D2036C"/>
    <w:rsid w:val="00D24B8E"/>
    <w:rsid w:val="00D25E6A"/>
    <w:rsid w:val="00D33AB9"/>
    <w:rsid w:val="00D41CFE"/>
    <w:rsid w:val="00D44E43"/>
    <w:rsid w:val="00D46660"/>
    <w:rsid w:val="00D46747"/>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562D"/>
    <w:rsid w:val="00DD62F9"/>
    <w:rsid w:val="00DD6CF0"/>
    <w:rsid w:val="00DD747F"/>
    <w:rsid w:val="00DE42CF"/>
    <w:rsid w:val="00DF00DB"/>
    <w:rsid w:val="00DF0A98"/>
    <w:rsid w:val="00DF635B"/>
    <w:rsid w:val="00E021ED"/>
    <w:rsid w:val="00E06530"/>
    <w:rsid w:val="00E066E6"/>
    <w:rsid w:val="00E07D30"/>
    <w:rsid w:val="00E10924"/>
    <w:rsid w:val="00E10B84"/>
    <w:rsid w:val="00E132E9"/>
    <w:rsid w:val="00E15176"/>
    <w:rsid w:val="00E16E82"/>
    <w:rsid w:val="00E26C27"/>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3436"/>
    <w:rsid w:val="00EB3A98"/>
    <w:rsid w:val="00EC049B"/>
    <w:rsid w:val="00EC5B1D"/>
    <w:rsid w:val="00EC7276"/>
    <w:rsid w:val="00EC7F8F"/>
    <w:rsid w:val="00ED24DE"/>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2AAE"/>
    <w:rsid w:val="00F2631D"/>
    <w:rsid w:val="00F30B64"/>
    <w:rsid w:val="00F32999"/>
    <w:rsid w:val="00F32FE8"/>
    <w:rsid w:val="00F4509B"/>
    <w:rsid w:val="00F52413"/>
    <w:rsid w:val="00F55721"/>
    <w:rsid w:val="00F621CB"/>
    <w:rsid w:val="00F659F0"/>
    <w:rsid w:val="00F72B53"/>
    <w:rsid w:val="00F74AB0"/>
    <w:rsid w:val="00F7659C"/>
    <w:rsid w:val="00F81756"/>
    <w:rsid w:val="00F86139"/>
    <w:rsid w:val="00F94C9C"/>
    <w:rsid w:val="00F94F5C"/>
    <w:rsid w:val="00F95A69"/>
    <w:rsid w:val="00F97766"/>
    <w:rsid w:val="00FA0851"/>
    <w:rsid w:val="00FB0F18"/>
    <w:rsid w:val="00FC1DD3"/>
    <w:rsid w:val="00FD201F"/>
    <w:rsid w:val="00FE2C75"/>
    <w:rsid w:val="00FE2F08"/>
    <w:rsid w:val="00FE31B6"/>
    <w:rsid w:val="00FE6870"/>
    <w:rsid w:val="00FF0115"/>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3647-72C0-4AB0-A8A3-840E1223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4214</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27886</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4</cp:revision>
  <cp:lastPrinted>2019-12-11T09:25:00Z</cp:lastPrinted>
  <dcterms:created xsi:type="dcterms:W3CDTF">2021-07-09T13:42:00Z</dcterms:created>
  <dcterms:modified xsi:type="dcterms:W3CDTF">2021-07-12T12:31:00Z</dcterms:modified>
  <cp:category>Tender</cp:category>
</cp:coreProperties>
</file>