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0278D" w14:textId="77777777" w:rsidR="00A6728A" w:rsidRPr="00AB124C" w:rsidRDefault="00A6728A" w:rsidP="00AB124C">
      <w:pPr>
        <w:jc w:val="both"/>
        <w:rPr>
          <w:b/>
          <w:lang w:val="en-US"/>
        </w:rPr>
      </w:pPr>
    </w:p>
    <w:p w14:paraId="474A1640" w14:textId="77777777" w:rsidR="00A6728A" w:rsidRPr="00AB124C" w:rsidRDefault="00A6728A" w:rsidP="009716EA">
      <w:pPr>
        <w:jc w:val="center"/>
        <w:rPr>
          <w:b/>
          <w:lang w:val="en-US"/>
        </w:rPr>
      </w:pPr>
      <w:r w:rsidRPr="00AB124C">
        <w:rPr>
          <w:b/>
          <w:lang w:val="en-US"/>
        </w:rPr>
        <w:t>GOSPORT BOROUGH COUNCIL (GBC)</w:t>
      </w:r>
    </w:p>
    <w:p w14:paraId="004480C7" w14:textId="77777777" w:rsidR="00A6728A" w:rsidRPr="00AB124C" w:rsidRDefault="00A6728A" w:rsidP="009716EA">
      <w:pPr>
        <w:jc w:val="center"/>
        <w:rPr>
          <w:b/>
          <w:lang w:val="en-US"/>
        </w:rPr>
      </w:pPr>
    </w:p>
    <w:p w14:paraId="5F0CF881" w14:textId="77777777" w:rsidR="008320E9" w:rsidRPr="00AB124C" w:rsidRDefault="00C00D19" w:rsidP="009716EA">
      <w:pPr>
        <w:jc w:val="center"/>
        <w:rPr>
          <w:b/>
          <w:lang w:val="en-US"/>
        </w:rPr>
      </w:pPr>
      <w:r w:rsidRPr="00AB124C">
        <w:rPr>
          <w:b/>
          <w:lang w:val="en-US"/>
        </w:rPr>
        <w:t>INVITATION TO QUOTE (ITQ)</w:t>
      </w:r>
    </w:p>
    <w:p w14:paraId="0FA65F22" w14:textId="77777777" w:rsidR="00C00D19" w:rsidRPr="00AB124C" w:rsidRDefault="00C00D19" w:rsidP="009716EA">
      <w:pPr>
        <w:jc w:val="center"/>
        <w:rPr>
          <w:b/>
          <w:lang w:val="en-US"/>
        </w:rPr>
      </w:pPr>
    </w:p>
    <w:p w14:paraId="7C9C5D49" w14:textId="41F5E70A" w:rsidR="00C00D19" w:rsidRPr="00AB124C" w:rsidRDefault="00074310" w:rsidP="009716EA">
      <w:pPr>
        <w:jc w:val="center"/>
        <w:rPr>
          <w:b/>
          <w:lang w:val="en-US"/>
        </w:rPr>
      </w:pPr>
      <w:r>
        <w:rPr>
          <w:b/>
          <w:lang w:val="en-US"/>
        </w:rPr>
        <w:t>PUBLISHED: THURSDAY 20</w:t>
      </w:r>
      <w:r w:rsidR="00002F17" w:rsidRPr="00002F17">
        <w:rPr>
          <w:b/>
          <w:vertAlign w:val="superscript"/>
          <w:lang w:val="en-US"/>
        </w:rPr>
        <w:t>th</w:t>
      </w:r>
      <w:r w:rsidR="00002F17">
        <w:rPr>
          <w:b/>
          <w:lang w:val="en-US"/>
        </w:rPr>
        <w:t xml:space="preserve"> JUNE 2024 </w:t>
      </w:r>
      <w:r w:rsidR="00C00D19" w:rsidRPr="00AB124C">
        <w:rPr>
          <w:b/>
          <w:lang w:val="en-US"/>
        </w:rPr>
        <w:t>FOR:</w:t>
      </w:r>
    </w:p>
    <w:p w14:paraId="15B3B3BB" w14:textId="77777777" w:rsidR="00C00D19" w:rsidRPr="00AB124C" w:rsidRDefault="00C00D19" w:rsidP="009716EA">
      <w:pPr>
        <w:jc w:val="center"/>
        <w:rPr>
          <w:b/>
          <w:lang w:val="en-US"/>
        </w:rPr>
      </w:pPr>
    </w:p>
    <w:p w14:paraId="2A02CA4D" w14:textId="77777777" w:rsidR="00C00D19" w:rsidRPr="004F2973" w:rsidRDefault="004F2973" w:rsidP="009716EA">
      <w:pPr>
        <w:jc w:val="center"/>
        <w:rPr>
          <w:b/>
          <w:color w:val="auto"/>
          <w:lang w:val="en-US"/>
        </w:rPr>
      </w:pPr>
      <w:r w:rsidRPr="004F2973">
        <w:rPr>
          <w:b/>
          <w:color w:val="auto"/>
          <w:lang w:val="en-US"/>
        </w:rPr>
        <w:t>ENFORCEMENT AGENTS</w:t>
      </w:r>
    </w:p>
    <w:p w14:paraId="4817BCBF" w14:textId="77777777" w:rsidR="00C00D19" w:rsidRPr="00AB124C" w:rsidRDefault="00C00D19" w:rsidP="009716EA">
      <w:pPr>
        <w:jc w:val="center"/>
        <w:rPr>
          <w:b/>
          <w:lang w:val="en-US"/>
        </w:rPr>
      </w:pPr>
    </w:p>
    <w:p w14:paraId="51B0BDE2" w14:textId="6CCF1F93" w:rsidR="00C00D19" w:rsidRPr="00AB124C" w:rsidRDefault="00C00D19" w:rsidP="009716EA">
      <w:pPr>
        <w:jc w:val="center"/>
        <w:rPr>
          <w:b/>
          <w:lang w:val="en-US"/>
        </w:rPr>
      </w:pPr>
      <w:r w:rsidRPr="00AB124C">
        <w:rPr>
          <w:b/>
          <w:lang w:val="en-US"/>
        </w:rPr>
        <w:t xml:space="preserve">RESPONSE DEADLINE: </w:t>
      </w:r>
      <w:r w:rsidR="00720D9A">
        <w:rPr>
          <w:b/>
          <w:lang w:val="en-US"/>
        </w:rPr>
        <w:t>FRIDAY 5</w:t>
      </w:r>
      <w:r w:rsidR="00A62788">
        <w:rPr>
          <w:b/>
          <w:lang w:val="en-US"/>
        </w:rPr>
        <w:t>th</w:t>
      </w:r>
      <w:r w:rsidR="003573BF">
        <w:rPr>
          <w:b/>
          <w:lang w:val="en-US"/>
        </w:rPr>
        <w:t xml:space="preserve"> JULY</w:t>
      </w:r>
      <w:r w:rsidR="004F2973">
        <w:rPr>
          <w:b/>
          <w:lang w:val="en-US"/>
        </w:rPr>
        <w:t xml:space="preserve"> 2024 12:00PM</w:t>
      </w:r>
    </w:p>
    <w:p w14:paraId="0471606C" w14:textId="77777777" w:rsidR="00C00D19" w:rsidRPr="00AB124C" w:rsidRDefault="00C00D19" w:rsidP="00AB124C">
      <w:pPr>
        <w:jc w:val="both"/>
        <w:rPr>
          <w:b/>
          <w:lang w:val="en-US"/>
        </w:rPr>
      </w:pPr>
    </w:p>
    <w:sdt>
      <w:sdtPr>
        <w:rPr>
          <w:rFonts w:eastAsiaTheme="minorHAnsi" w:cs="Arial"/>
          <w:b w:val="0"/>
          <w:color w:val="000000" w:themeColor="text1"/>
          <w:szCs w:val="24"/>
          <w:u w:val="none"/>
          <w:lang w:val="en-GB"/>
        </w:rPr>
        <w:id w:val="750856773"/>
        <w:docPartObj>
          <w:docPartGallery w:val="Table of Contents"/>
          <w:docPartUnique/>
        </w:docPartObj>
      </w:sdtPr>
      <w:sdtEndPr>
        <w:rPr>
          <w:bCs/>
          <w:noProof/>
        </w:rPr>
      </w:sdtEndPr>
      <w:sdtContent>
        <w:p w14:paraId="0C8CB022" w14:textId="77777777" w:rsidR="00C00D19" w:rsidRPr="00AB124C" w:rsidRDefault="00C00D19" w:rsidP="00AB124C">
          <w:pPr>
            <w:pStyle w:val="TOCHeading"/>
            <w:jc w:val="both"/>
            <w:rPr>
              <w:rFonts w:cs="Arial"/>
              <w:szCs w:val="24"/>
            </w:rPr>
          </w:pPr>
          <w:r w:rsidRPr="00AB124C">
            <w:rPr>
              <w:rFonts w:cs="Arial"/>
              <w:szCs w:val="24"/>
            </w:rPr>
            <w:t>Contents</w:t>
          </w:r>
        </w:p>
        <w:p w14:paraId="0C4DB1DE" w14:textId="77777777" w:rsidR="00A76F29" w:rsidRPr="00AB124C" w:rsidRDefault="00A76F29" w:rsidP="00AB124C">
          <w:pPr>
            <w:jc w:val="both"/>
            <w:rPr>
              <w:lang w:val="en-US"/>
            </w:rPr>
          </w:pPr>
        </w:p>
        <w:p w14:paraId="3C655DE1" w14:textId="4273B288" w:rsidR="00BE756B" w:rsidRDefault="00C00D19">
          <w:pPr>
            <w:pStyle w:val="TOC1"/>
            <w:tabs>
              <w:tab w:val="left" w:pos="440"/>
              <w:tab w:val="right" w:leader="dot" w:pos="9016"/>
            </w:tabs>
            <w:rPr>
              <w:rFonts w:asciiTheme="minorHAnsi" w:eastAsiaTheme="minorEastAsia" w:hAnsiTheme="minorHAnsi" w:cstheme="minorBidi"/>
              <w:noProof/>
              <w:color w:val="auto"/>
              <w:sz w:val="22"/>
              <w:szCs w:val="22"/>
              <w:lang w:eastAsia="en-GB"/>
            </w:rPr>
          </w:pPr>
          <w:r w:rsidRPr="00AB124C">
            <w:fldChar w:fldCharType="begin"/>
          </w:r>
          <w:r w:rsidRPr="00AB124C">
            <w:instrText xml:space="preserve"> TOC \o "1-3" \h \z \u </w:instrText>
          </w:r>
          <w:r w:rsidRPr="00AB124C">
            <w:fldChar w:fldCharType="separate"/>
          </w:r>
          <w:hyperlink w:anchor="_Toc168998838" w:history="1">
            <w:r w:rsidR="00BE756B" w:rsidRPr="000573DF">
              <w:rPr>
                <w:rStyle w:val="Hyperlink"/>
                <w:noProof/>
                <w:lang w:val="en-US"/>
              </w:rPr>
              <w:t>1.</w:t>
            </w:r>
            <w:r w:rsidR="00BE756B">
              <w:rPr>
                <w:rFonts w:asciiTheme="minorHAnsi" w:eastAsiaTheme="minorEastAsia" w:hAnsiTheme="minorHAnsi" w:cstheme="minorBidi"/>
                <w:noProof/>
                <w:color w:val="auto"/>
                <w:sz w:val="22"/>
                <w:szCs w:val="22"/>
                <w:lang w:eastAsia="en-GB"/>
              </w:rPr>
              <w:tab/>
            </w:r>
            <w:r w:rsidR="00BE756B" w:rsidRPr="000573DF">
              <w:rPr>
                <w:rStyle w:val="Hyperlink"/>
                <w:noProof/>
                <w:lang w:val="en-US"/>
              </w:rPr>
              <w:t>Introduction</w:t>
            </w:r>
            <w:r w:rsidR="00BE756B">
              <w:rPr>
                <w:noProof/>
                <w:webHidden/>
              </w:rPr>
              <w:tab/>
            </w:r>
            <w:r w:rsidR="00BE756B">
              <w:rPr>
                <w:noProof/>
                <w:webHidden/>
              </w:rPr>
              <w:fldChar w:fldCharType="begin"/>
            </w:r>
            <w:r w:rsidR="00BE756B">
              <w:rPr>
                <w:noProof/>
                <w:webHidden/>
              </w:rPr>
              <w:instrText xml:space="preserve"> PAGEREF _Toc168998838 \h </w:instrText>
            </w:r>
            <w:r w:rsidR="00BE756B">
              <w:rPr>
                <w:noProof/>
                <w:webHidden/>
              </w:rPr>
            </w:r>
            <w:r w:rsidR="00BE756B">
              <w:rPr>
                <w:noProof/>
                <w:webHidden/>
              </w:rPr>
              <w:fldChar w:fldCharType="separate"/>
            </w:r>
            <w:r w:rsidR="00BE756B">
              <w:rPr>
                <w:noProof/>
                <w:webHidden/>
              </w:rPr>
              <w:t>2</w:t>
            </w:r>
            <w:r w:rsidR="00BE756B">
              <w:rPr>
                <w:noProof/>
                <w:webHidden/>
              </w:rPr>
              <w:fldChar w:fldCharType="end"/>
            </w:r>
          </w:hyperlink>
        </w:p>
        <w:p w14:paraId="17CF4A78" w14:textId="1B79A378" w:rsidR="00BE756B" w:rsidRDefault="00EC0CBC">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8998839" w:history="1">
            <w:r w:rsidR="00BE756B" w:rsidRPr="000573DF">
              <w:rPr>
                <w:rStyle w:val="Hyperlink"/>
                <w:noProof/>
                <w:lang w:val="en-US"/>
              </w:rPr>
              <w:t>2.</w:t>
            </w:r>
            <w:r w:rsidR="00BE756B">
              <w:rPr>
                <w:rFonts w:asciiTheme="minorHAnsi" w:eastAsiaTheme="minorEastAsia" w:hAnsiTheme="minorHAnsi" w:cstheme="minorBidi"/>
                <w:noProof/>
                <w:color w:val="auto"/>
                <w:sz w:val="22"/>
                <w:szCs w:val="22"/>
                <w:lang w:eastAsia="en-GB"/>
              </w:rPr>
              <w:tab/>
            </w:r>
            <w:r w:rsidR="00BE756B" w:rsidRPr="000573DF">
              <w:rPr>
                <w:rStyle w:val="Hyperlink"/>
                <w:noProof/>
                <w:lang w:val="en-US"/>
              </w:rPr>
              <w:t>Specification / Requirements</w:t>
            </w:r>
            <w:r w:rsidR="00BE756B">
              <w:rPr>
                <w:noProof/>
                <w:webHidden/>
              </w:rPr>
              <w:tab/>
            </w:r>
            <w:r w:rsidR="00BE756B">
              <w:rPr>
                <w:noProof/>
                <w:webHidden/>
              </w:rPr>
              <w:fldChar w:fldCharType="begin"/>
            </w:r>
            <w:r w:rsidR="00BE756B">
              <w:rPr>
                <w:noProof/>
                <w:webHidden/>
              </w:rPr>
              <w:instrText xml:space="preserve"> PAGEREF _Toc168998839 \h </w:instrText>
            </w:r>
            <w:r w:rsidR="00BE756B">
              <w:rPr>
                <w:noProof/>
                <w:webHidden/>
              </w:rPr>
            </w:r>
            <w:r w:rsidR="00BE756B">
              <w:rPr>
                <w:noProof/>
                <w:webHidden/>
              </w:rPr>
              <w:fldChar w:fldCharType="separate"/>
            </w:r>
            <w:r w:rsidR="00BE756B">
              <w:rPr>
                <w:noProof/>
                <w:webHidden/>
              </w:rPr>
              <w:t>2</w:t>
            </w:r>
            <w:r w:rsidR="00BE756B">
              <w:rPr>
                <w:noProof/>
                <w:webHidden/>
              </w:rPr>
              <w:fldChar w:fldCharType="end"/>
            </w:r>
          </w:hyperlink>
        </w:p>
        <w:p w14:paraId="0668AD3F" w14:textId="5313E708" w:rsidR="00BE756B" w:rsidRDefault="00EC0CBC">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8998840" w:history="1">
            <w:r w:rsidR="00BE756B" w:rsidRPr="000573DF">
              <w:rPr>
                <w:rStyle w:val="Hyperlink"/>
                <w:noProof/>
                <w:lang w:val="en-US"/>
              </w:rPr>
              <w:t>3.</w:t>
            </w:r>
            <w:r w:rsidR="00BE756B">
              <w:rPr>
                <w:rFonts w:asciiTheme="minorHAnsi" w:eastAsiaTheme="minorEastAsia" w:hAnsiTheme="minorHAnsi" w:cstheme="minorBidi"/>
                <w:noProof/>
                <w:color w:val="auto"/>
                <w:sz w:val="22"/>
                <w:szCs w:val="22"/>
                <w:lang w:eastAsia="en-GB"/>
              </w:rPr>
              <w:tab/>
            </w:r>
            <w:r w:rsidR="00BE756B" w:rsidRPr="000573DF">
              <w:rPr>
                <w:rStyle w:val="Hyperlink"/>
                <w:noProof/>
                <w:lang w:val="en-US"/>
              </w:rPr>
              <w:t>Health and Safety</w:t>
            </w:r>
            <w:r w:rsidR="00BE756B">
              <w:rPr>
                <w:noProof/>
                <w:webHidden/>
              </w:rPr>
              <w:tab/>
            </w:r>
            <w:r w:rsidR="00BE756B">
              <w:rPr>
                <w:noProof/>
                <w:webHidden/>
              </w:rPr>
              <w:fldChar w:fldCharType="begin"/>
            </w:r>
            <w:r w:rsidR="00BE756B">
              <w:rPr>
                <w:noProof/>
                <w:webHidden/>
              </w:rPr>
              <w:instrText xml:space="preserve"> PAGEREF _Toc168998840 \h </w:instrText>
            </w:r>
            <w:r w:rsidR="00BE756B">
              <w:rPr>
                <w:noProof/>
                <w:webHidden/>
              </w:rPr>
            </w:r>
            <w:r w:rsidR="00BE756B">
              <w:rPr>
                <w:noProof/>
                <w:webHidden/>
              </w:rPr>
              <w:fldChar w:fldCharType="separate"/>
            </w:r>
            <w:r w:rsidR="00BE756B">
              <w:rPr>
                <w:noProof/>
                <w:webHidden/>
              </w:rPr>
              <w:t>5</w:t>
            </w:r>
            <w:r w:rsidR="00BE756B">
              <w:rPr>
                <w:noProof/>
                <w:webHidden/>
              </w:rPr>
              <w:fldChar w:fldCharType="end"/>
            </w:r>
          </w:hyperlink>
        </w:p>
        <w:p w14:paraId="78CB0095" w14:textId="5D328B88" w:rsidR="00BE756B" w:rsidRDefault="00EC0CBC">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8998841" w:history="1">
            <w:r w:rsidR="00BE756B" w:rsidRPr="000573DF">
              <w:rPr>
                <w:rStyle w:val="Hyperlink"/>
                <w:noProof/>
                <w:lang w:val="en-US"/>
              </w:rPr>
              <w:t>4.</w:t>
            </w:r>
            <w:r w:rsidR="00BE756B">
              <w:rPr>
                <w:rFonts w:asciiTheme="minorHAnsi" w:eastAsiaTheme="minorEastAsia" w:hAnsiTheme="minorHAnsi" w:cstheme="minorBidi"/>
                <w:noProof/>
                <w:color w:val="auto"/>
                <w:sz w:val="22"/>
                <w:szCs w:val="22"/>
                <w:lang w:eastAsia="en-GB"/>
              </w:rPr>
              <w:tab/>
            </w:r>
            <w:r w:rsidR="00BE756B" w:rsidRPr="000573DF">
              <w:rPr>
                <w:rStyle w:val="Hyperlink"/>
                <w:noProof/>
                <w:lang w:val="en-US"/>
              </w:rPr>
              <w:t>Insurance</w:t>
            </w:r>
            <w:r w:rsidR="00BE756B">
              <w:rPr>
                <w:noProof/>
                <w:webHidden/>
              </w:rPr>
              <w:tab/>
            </w:r>
            <w:r w:rsidR="00BE756B">
              <w:rPr>
                <w:noProof/>
                <w:webHidden/>
              </w:rPr>
              <w:fldChar w:fldCharType="begin"/>
            </w:r>
            <w:r w:rsidR="00BE756B">
              <w:rPr>
                <w:noProof/>
                <w:webHidden/>
              </w:rPr>
              <w:instrText xml:space="preserve"> PAGEREF _Toc168998841 \h </w:instrText>
            </w:r>
            <w:r w:rsidR="00BE756B">
              <w:rPr>
                <w:noProof/>
                <w:webHidden/>
              </w:rPr>
            </w:r>
            <w:r w:rsidR="00BE756B">
              <w:rPr>
                <w:noProof/>
                <w:webHidden/>
              </w:rPr>
              <w:fldChar w:fldCharType="separate"/>
            </w:r>
            <w:r w:rsidR="00BE756B">
              <w:rPr>
                <w:noProof/>
                <w:webHidden/>
              </w:rPr>
              <w:t>5</w:t>
            </w:r>
            <w:r w:rsidR="00BE756B">
              <w:rPr>
                <w:noProof/>
                <w:webHidden/>
              </w:rPr>
              <w:fldChar w:fldCharType="end"/>
            </w:r>
          </w:hyperlink>
        </w:p>
        <w:p w14:paraId="1EE244E6" w14:textId="6D91FE5E" w:rsidR="00BE756B" w:rsidRDefault="00EC0CBC">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8998842" w:history="1">
            <w:r w:rsidR="00BE756B" w:rsidRPr="000573DF">
              <w:rPr>
                <w:rStyle w:val="Hyperlink"/>
                <w:noProof/>
                <w:lang w:val="en-US"/>
              </w:rPr>
              <w:t>5.</w:t>
            </w:r>
            <w:r w:rsidR="00BE756B">
              <w:rPr>
                <w:rFonts w:asciiTheme="minorHAnsi" w:eastAsiaTheme="minorEastAsia" w:hAnsiTheme="minorHAnsi" w:cstheme="minorBidi"/>
                <w:noProof/>
                <w:color w:val="auto"/>
                <w:sz w:val="22"/>
                <w:szCs w:val="22"/>
                <w:lang w:eastAsia="en-GB"/>
              </w:rPr>
              <w:tab/>
            </w:r>
            <w:r w:rsidR="00BE756B" w:rsidRPr="000573DF">
              <w:rPr>
                <w:rStyle w:val="Hyperlink"/>
                <w:noProof/>
                <w:lang w:val="en-US"/>
              </w:rPr>
              <w:t>Procurement Timetable</w:t>
            </w:r>
            <w:r w:rsidR="00BE756B">
              <w:rPr>
                <w:noProof/>
                <w:webHidden/>
              </w:rPr>
              <w:tab/>
            </w:r>
            <w:r w:rsidR="00BE756B">
              <w:rPr>
                <w:noProof/>
                <w:webHidden/>
              </w:rPr>
              <w:fldChar w:fldCharType="begin"/>
            </w:r>
            <w:r w:rsidR="00BE756B">
              <w:rPr>
                <w:noProof/>
                <w:webHidden/>
              </w:rPr>
              <w:instrText xml:space="preserve"> PAGEREF _Toc168998842 \h </w:instrText>
            </w:r>
            <w:r w:rsidR="00BE756B">
              <w:rPr>
                <w:noProof/>
                <w:webHidden/>
              </w:rPr>
            </w:r>
            <w:r w:rsidR="00BE756B">
              <w:rPr>
                <w:noProof/>
                <w:webHidden/>
              </w:rPr>
              <w:fldChar w:fldCharType="separate"/>
            </w:r>
            <w:r w:rsidR="00BE756B">
              <w:rPr>
                <w:noProof/>
                <w:webHidden/>
              </w:rPr>
              <w:t>6</w:t>
            </w:r>
            <w:r w:rsidR="00BE756B">
              <w:rPr>
                <w:noProof/>
                <w:webHidden/>
              </w:rPr>
              <w:fldChar w:fldCharType="end"/>
            </w:r>
          </w:hyperlink>
        </w:p>
        <w:p w14:paraId="6979ED44" w14:textId="0C5EF46C" w:rsidR="00BE756B" w:rsidRDefault="00EC0CBC">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8998843" w:history="1">
            <w:r w:rsidR="00BE756B" w:rsidRPr="000573DF">
              <w:rPr>
                <w:rStyle w:val="Hyperlink"/>
                <w:noProof/>
                <w:lang w:val="en-US"/>
              </w:rPr>
              <w:t>6.</w:t>
            </w:r>
            <w:r w:rsidR="00BE756B">
              <w:rPr>
                <w:rFonts w:asciiTheme="minorHAnsi" w:eastAsiaTheme="minorEastAsia" w:hAnsiTheme="minorHAnsi" w:cstheme="minorBidi"/>
                <w:noProof/>
                <w:color w:val="auto"/>
                <w:sz w:val="22"/>
                <w:szCs w:val="22"/>
                <w:lang w:eastAsia="en-GB"/>
              </w:rPr>
              <w:tab/>
            </w:r>
            <w:r w:rsidR="00BE756B" w:rsidRPr="000573DF">
              <w:rPr>
                <w:rStyle w:val="Hyperlink"/>
                <w:noProof/>
                <w:lang w:val="en-US"/>
              </w:rPr>
              <w:t>Instructions on submitting a response</w:t>
            </w:r>
            <w:r w:rsidR="00BE756B">
              <w:rPr>
                <w:noProof/>
                <w:webHidden/>
              </w:rPr>
              <w:tab/>
            </w:r>
            <w:r w:rsidR="00BE756B">
              <w:rPr>
                <w:noProof/>
                <w:webHidden/>
              </w:rPr>
              <w:fldChar w:fldCharType="begin"/>
            </w:r>
            <w:r w:rsidR="00BE756B">
              <w:rPr>
                <w:noProof/>
                <w:webHidden/>
              </w:rPr>
              <w:instrText xml:space="preserve"> PAGEREF _Toc168998843 \h </w:instrText>
            </w:r>
            <w:r w:rsidR="00BE756B">
              <w:rPr>
                <w:noProof/>
                <w:webHidden/>
              </w:rPr>
            </w:r>
            <w:r w:rsidR="00BE756B">
              <w:rPr>
                <w:noProof/>
                <w:webHidden/>
              </w:rPr>
              <w:fldChar w:fldCharType="separate"/>
            </w:r>
            <w:r w:rsidR="00BE756B">
              <w:rPr>
                <w:noProof/>
                <w:webHidden/>
              </w:rPr>
              <w:t>7</w:t>
            </w:r>
            <w:r w:rsidR="00BE756B">
              <w:rPr>
                <w:noProof/>
                <w:webHidden/>
              </w:rPr>
              <w:fldChar w:fldCharType="end"/>
            </w:r>
          </w:hyperlink>
        </w:p>
        <w:p w14:paraId="05902F03" w14:textId="4B3B2153" w:rsidR="00BE756B" w:rsidRDefault="00EC0CBC">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8998844" w:history="1">
            <w:r w:rsidR="00BE756B" w:rsidRPr="000573DF">
              <w:rPr>
                <w:rStyle w:val="Hyperlink"/>
                <w:noProof/>
                <w:lang w:val="en-US"/>
              </w:rPr>
              <w:t>7.</w:t>
            </w:r>
            <w:r w:rsidR="00BE756B">
              <w:rPr>
                <w:rFonts w:asciiTheme="minorHAnsi" w:eastAsiaTheme="minorEastAsia" w:hAnsiTheme="minorHAnsi" w:cstheme="minorBidi"/>
                <w:noProof/>
                <w:color w:val="auto"/>
                <w:sz w:val="22"/>
                <w:szCs w:val="22"/>
                <w:lang w:eastAsia="en-GB"/>
              </w:rPr>
              <w:tab/>
            </w:r>
            <w:r w:rsidR="00BE756B" w:rsidRPr="000573DF">
              <w:rPr>
                <w:rStyle w:val="Hyperlink"/>
                <w:noProof/>
                <w:lang w:val="en-US"/>
              </w:rPr>
              <w:t>Clarifications</w:t>
            </w:r>
            <w:r w:rsidR="00BE756B">
              <w:rPr>
                <w:noProof/>
                <w:webHidden/>
              </w:rPr>
              <w:tab/>
            </w:r>
            <w:r w:rsidR="00BE756B">
              <w:rPr>
                <w:noProof/>
                <w:webHidden/>
              </w:rPr>
              <w:fldChar w:fldCharType="begin"/>
            </w:r>
            <w:r w:rsidR="00BE756B">
              <w:rPr>
                <w:noProof/>
                <w:webHidden/>
              </w:rPr>
              <w:instrText xml:space="preserve"> PAGEREF _Toc168998844 \h </w:instrText>
            </w:r>
            <w:r w:rsidR="00BE756B">
              <w:rPr>
                <w:noProof/>
                <w:webHidden/>
              </w:rPr>
            </w:r>
            <w:r w:rsidR="00BE756B">
              <w:rPr>
                <w:noProof/>
                <w:webHidden/>
              </w:rPr>
              <w:fldChar w:fldCharType="separate"/>
            </w:r>
            <w:r w:rsidR="00BE756B">
              <w:rPr>
                <w:noProof/>
                <w:webHidden/>
              </w:rPr>
              <w:t>7</w:t>
            </w:r>
            <w:r w:rsidR="00BE756B">
              <w:rPr>
                <w:noProof/>
                <w:webHidden/>
              </w:rPr>
              <w:fldChar w:fldCharType="end"/>
            </w:r>
          </w:hyperlink>
        </w:p>
        <w:p w14:paraId="07682963" w14:textId="666782C5" w:rsidR="00BE756B" w:rsidRDefault="00EC0CBC">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8998845" w:history="1">
            <w:r w:rsidR="00BE756B" w:rsidRPr="000573DF">
              <w:rPr>
                <w:rStyle w:val="Hyperlink"/>
                <w:noProof/>
                <w:lang w:val="en-US"/>
              </w:rPr>
              <w:t>8.</w:t>
            </w:r>
            <w:r w:rsidR="00BE756B">
              <w:rPr>
                <w:rFonts w:asciiTheme="minorHAnsi" w:eastAsiaTheme="minorEastAsia" w:hAnsiTheme="minorHAnsi" w:cstheme="minorBidi"/>
                <w:noProof/>
                <w:color w:val="auto"/>
                <w:sz w:val="22"/>
                <w:szCs w:val="22"/>
                <w:lang w:eastAsia="en-GB"/>
              </w:rPr>
              <w:tab/>
            </w:r>
            <w:r w:rsidR="00BE756B" w:rsidRPr="000573DF">
              <w:rPr>
                <w:rStyle w:val="Hyperlink"/>
                <w:noProof/>
                <w:lang w:val="en-US"/>
              </w:rPr>
              <w:t>Evaluation</w:t>
            </w:r>
            <w:r w:rsidR="00BE756B">
              <w:rPr>
                <w:noProof/>
                <w:webHidden/>
              </w:rPr>
              <w:tab/>
            </w:r>
            <w:r w:rsidR="00BE756B">
              <w:rPr>
                <w:noProof/>
                <w:webHidden/>
              </w:rPr>
              <w:fldChar w:fldCharType="begin"/>
            </w:r>
            <w:r w:rsidR="00BE756B">
              <w:rPr>
                <w:noProof/>
                <w:webHidden/>
              </w:rPr>
              <w:instrText xml:space="preserve"> PAGEREF _Toc168998845 \h </w:instrText>
            </w:r>
            <w:r w:rsidR="00BE756B">
              <w:rPr>
                <w:noProof/>
                <w:webHidden/>
              </w:rPr>
            </w:r>
            <w:r w:rsidR="00BE756B">
              <w:rPr>
                <w:noProof/>
                <w:webHidden/>
              </w:rPr>
              <w:fldChar w:fldCharType="separate"/>
            </w:r>
            <w:r w:rsidR="00BE756B">
              <w:rPr>
                <w:noProof/>
                <w:webHidden/>
              </w:rPr>
              <w:t>7</w:t>
            </w:r>
            <w:r w:rsidR="00BE756B">
              <w:rPr>
                <w:noProof/>
                <w:webHidden/>
              </w:rPr>
              <w:fldChar w:fldCharType="end"/>
            </w:r>
          </w:hyperlink>
        </w:p>
        <w:p w14:paraId="42085D48" w14:textId="38B93D87" w:rsidR="00BE756B" w:rsidRDefault="00EC0CBC">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8998846" w:history="1">
            <w:r w:rsidR="00BE756B" w:rsidRPr="000573DF">
              <w:rPr>
                <w:rStyle w:val="Hyperlink"/>
                <w:noProof/>
                <w:lang w:val="en-US"/>
              </w:rPr>
              <w:t>9.</w:t>
            </w:r>
            <w:r w:rsidR="00BE756B">
              <w:rPr>
                <w:rFonts w:asciiTheme="minorHAnsi" w:eastAsiaTheme="minorEastAsia" w:hAnsiTheme="minorHAnsi" w:cstheme="minorBidi"/>
                <w:noProof/>
                <w:color w:val="auto"/>
                <w:sz w:val="22"/>
                <w:szCs w:val="22"/>
                <w:lang w:eastAsia="en-GB"/>
              </w:rPr>
              <w:tab/>
            </w:r>
            <w:r w:rsidR="00BE756B" w:rsidRPr="000573DF">
              <w:rPr>
                <w:rStyle w:val="Hyperlink"/>
                <w:noProof/>
                <w:lang w:val="en-US"/>
              </w:rPr>
              <w:t>Award</w:t>
            </w:r>
            <w:r w:rsidR="00BE756B">
              <w:rPr>
                <w:noProof/>
                <w:webHidden/>
              </w:rPr>
              <w:tab/>
            </w:r>
            <w:r w:rsidR="00BE756B">
              <w:rPr>
                <w:noProof/>
                <w:webHidden/>
              </w:rPr>
              <w:fldChar w:fldCharType="begin"/>
            </w:r>
            <w:r w:rsidR="00BE756B">
              <w:rPr>
                <w:noProof/>
                <w:webHidden/>
              </w:rPr>
              <w:instrText xml:space="preserve"> PAGEREF _Toc168998846 \h </w:instrText>
            </w:r>
            <w:r w:rsidR="00BE756B">
              <w:rPr>
                <w:noProof/>
                <w:webHidden/>
              </w:rPr>
            </w:r>
            <w:r w:rsidR="00BE756B">
              <w:rPr>
                <w:noProof/>
                <w:webHidden/>
              </w:rPr>
              <w:fldChar w:fldCharType="separate"/>
            </w:r>
            <w:r w:rsidR="00BE756B">
              <w:rPr>
                <w:noProof/>
                <w:webHidden/>
              </w:rPr>
              <w:t>8</w:t>
            </w:r>
            <w:r w:rsidR="00BE756B">
              <w:rPr>
                <w:noProof/>
                <w:webHidden/>
              </w:rPr>
              <w:fldChar w:fldCharType="end"/>
            </w:r>
          </w:hyperlink>
        </w:p>
        <w:p w14:paraId="55EF7456" w14:textId="3994F78B" w:rsidR="00BE756B" w:rsidRDefault="00EC0CBC">
          <w:pPr>
            <w:pStyle w:val="TOC1"/>
            <w:tabs>
              <w:tab w:val="left" w:pos="660"/>
              <w:tab w:val="right" w:leader="dot" w:pos="9016"/>
            </w:tabs>
            <w:rPr>
              <w:rFonts w:asciiTheme="minorHAnsi" w:eastAsiaTheme="minorEastAsia" w:hAnsiTheme="minorHAnsi" w:cstheme="minorBidi"/>
              <w:noProof/>
              <w:color w:val="auto"/>
              <w:sz w:val="22"/>
              <w:szCs w:val="22"/>
              <w:lang w:eastAsia="en-GB"/>
            </w:rPr>
          </w:pPr>
          <w:hyperlink w:anchor="_Toc168998847" w:history="1">
            <w:r w:rsidR="00BE756B" w:rsidRPr="000573DF">
              <w:rPr>
                <w:rStyle w:val="Hyperlink"/>
                <w:noProof/>
                <w:lang w:val="en-US"/>
              </w:rPr>
              <w:t>10.</w:t>
            </w:r>
            <w:r w:rsidR="00BE756B">
              <w:rPr>
                <w:rFonts w:asciiTheme="minorHAnsi" w:eastAsiaTheme="minorEastAsia" w:hAnsiTheme="minorHAnsi" w:cstheme="minorBidi"/>
                <w:noProof/>
                <w:color w:val="auto"/>
                <w:sz w:val="22"/>
                <w:szCs w:val="22"/>
                <w:lang w:eastAsia="en-GB"/>
              </w:rPr>
              <w:tab/>
            </w:r>
            <w:r w:rsidR="00BE756B" w:rsidRPr="000573DF">
              <w:rPr>
                <w:rStyle w:val="Hyperlink"/>
                <w:noProof/>
                <w:lang w:val="en-US"/>
              </w:rPr>
              <w:t>Terms and Conditions</w:t>
            </w:r>
            <w:r w:rsidR="00BE756B">
              <w:rPr>
                <w:noProof/>
                <w:webHidden/>
              </w:rPr>
              <w:tab/>
            </w:r>
            <w:r w:rsidR="00BE756B">
              <w:rPr>
                <w:noProof/>
                <w:webHidden/>
              </w:rPr>
              <w:fldChar w:fldCharType="begin"/>
            </w:r>
            <w:r w:rsidR="00BE756B">
              <w:rPr>
                <w:noProof/>
                <w:webHidden/>
              </w:rPr>
              <w:instrText xml:space="preserve"> PAGEREF _Toc168998847 \h </w:instrText>
            </w:r>
            <w:r w:rsidR="00BE756B">
              <w:rPr>
                <w:noProof/>
                <w:webHidden/>
              </w:rPr>
            </w:r>
            <w:r w:rsidR="00BE756B">
              <w:rPr>
                <w:noProof/>
                <w:webHidden/>
              </w:rPr>
              <w:fldChar w:fldCharType="separate"/>
            </w:r>
            <w:r w:rsidR="00BE756B">
              <w:rPr>
                <w:noProof/>
                <w:webHidden/>
              </w:rPr>
              <w:t>8</w:t>
            </w:r>
            <w:r w:rsidR="00BE756B">
              <w:rPr>
                <w:noProof/>
                <w:webHidden/>
              </w:rPr>
              <w:fldChar w:fldCharType="end"/>
            </w:r>
          </w:hyperlink>
        </w:p>
        <w:p w14:paraId="5E4EF7A2" w14:textId="1D3F3E2E" w:rsidR="00BE756B" w:rsidRDefault="00EC0CBC">
          <w:pPr>
            <w:pStyle w:val="TOC1"/>
            <w:tabs>
              <w:tab w:val="left" w:pos="660"/>
              <w:tab w:val="right" w:leader="dot" w:pos="9016"/>
            </w:tabs>
            <w:rPr>
              <w:rFonts w:asciiTheme="minorHAnsi" w:eastAsiaTheme="minorEastAsia" w:hAnsiTheme="minorHAnsi" w:cstheme="minorBidi"/>
              <w:noProof/>
              <w:color w:val="auto"/>
              <w:sz w:val="22"/>
              <w:szCs w:val="22"/>
              <w:lang w:eastAsia="en-GB"/>
            </w:rPr>
          </w:pPr>
          <w:hyperlink w:anchor="_Toc168998848" w:history="1">
            <w:r w:rsidR="00BE756B" w:rsidRPr="000573DF">
              <w:rPr>
                <w:rStyle w:val="Hyperlink"/>
                <w:noProof/>
                <w:lang w:val="en-US"/>
              </w:rPr>
              <w:t>11.</w:t>
            </w:r>
            <w:r w:rsidR="00BE756B">
              <w:rPr>
                <w:rFonts w:asciiTheme="minorHAnsi" w:eastAsiaTheme="minorEastAsia" w:hAnsiTheme="minorHAnsi" w:cstheme="minorBidi"/>
                <w:noProof/>
                <w:color w:val="auto"/>
                <w:sz w:val="22"/>
                <w:szCs w:val="22"/>
                <w:lang w:eastAsia="en-GB"/>
              </w:rPr>
              <w:tab/>
            </w:r>
            <w:r w:rsidR="00BE756B" w:rsidRPr="000573DF">
              <w:rPr>
                <w:rStyle w:val="Hyperlink"/>
                <w:noProof/>
                <w:lang w:val="en-US"/>
              </w:rPr>
              <w:t>Conduct and Conflicts of interest</w:t>
            </w:r>
            <w:r w:rsidR="00BE756B">
              <w:rPr>
                <w:noProof/>
                <w:webHidden/>
              </w:rPr>
              <w:tab/>
            </w:r>
            <w:r w:rsidR="00BE756B">
              <w:rPr>
                <w:noProof/>
                <w:webHidden/>
              </w:rPr>
              <w:fldChar w:fldCharType="begin"/>
            </w:r>
            <w:r w:rsidR="00BE756B">
              <w:rPr>
                <w:noProof/>
                <w:webHidden/>
              </w:rPr>
              <w:instrText xml:space="preserve"> PAGEREF _Toc168998848 \h </w:instrText>
            </w:r>
            <w:r w:rsidR="00BE756B">
              <w:rPr>
                <w:noProof/>
                <w:webHidden/>
              </w:rPr>
            </w:r>
            <w:r w:rsidR="00BE756B">
              <w:rPr>
                <w:noProof/>
                <w:webHidden/>
              </w:rPr>
              <w:fldChar w:fldCharType="separate"/>
            </w:r>
            <w:r w:rsidR="00BE756B">
              <w:rPr>
                <w:noProof/>
                <w:webHidden/>
              </w:rPr>
              <w:t>8</w:t>
            </w:r>
            <w:r w:rsidR="00BE756B">
              <w:rPr>
                <w:noProof/>
                <w:webHidden/>
              </w:rPr>
              <w:fldChar w:fldCharType="end"/>
            </w:r>
          </w:hyperlink>
        </w:p>
        <w:p w14:paraId="0235F5CC" w14:textId="0F1F3C9F" w:rsidR="00C00D19" w:rsidRPr="00AB124C" w:rsidRDefault="00C00D19" w:rsidP="00AB124C">
          <w:pPr>
            <w:jc w:val="both"/>
          </w:pPr>
          <w:r w:rsidRPr="00AB124C">
            <w:rPr>
              <w:b/>
              <w:bCs/>
              <w:noProof/>
            </w:rPr>
            <w:fldChar w:fldCharType="end"/>
          </w:r>
        </w:p>
      </w:sdtContent>
    </w:sdt>
    <w:p w14:paraId="698EA427" w14:textId="77777777" w:rsidR="00EC0CBC" w:rsidRDefault="00EC0CBC" w:rsidP="00AB124C">
      <w:pPr>
        <w:jc w:val="both"/>
        <w:rPr>
          <w:lang w:val="en-US"/>
        </w:rPr>
      </w:pPr>
      <w:r>
        <w:rPr>
          <w:lang w:val="en-US"/>
        </w:rPr>
        <w:t>Schedule 1 – ITQ Response Document</w:t>
      </w:r>
    </w:p>
    <w:p w14:paraId="6B2356B1" w14:textId="11752C77" w:rsidR="00415D04" w:rsidRPr="00AB124C" w:rsidRDefault="00EC0CBC" w:rsidP="00AB124C">
      <w:pPr>
        <w:jc w:val="both"/>
        <w:rPr>
          <w:rFonts w:eastAsiaTheme="majorEastAsia"/>
          <w:b/>
          <w:color w:val="auto"/>
          <w:u w:val="single"/>
          <w:lang w:val="en-US"/>
        </w:rPr>
      </w:pPr>
      <w:r>
        <w:rPr>
          <w:lang w:val="en-US"/>
        </w:rPr>
        <w:t>Appendix 1 – GBC Services Contract</w:t>
      </w:r>
      <w:bookmarkStart w:id="0" w:name="_GoBack"/>
      <w:bookmarkEnd w:id="0"/>
      <w:r w:rsidR="00415D04" w:rsidRPr="00AB124C">
        <w:rPr>
          <w:lang w:val="en-US"/>
        </w:rPr>
        <w:br w:type="page"/>
      </w:r>
    </w:p>
    <w:p w14:paraId="45C1BE5C" w14:textId="77777777" w:rsidR="00C00D19" w:rsidRPr="00AB124C" w:rsidRDefault="00C00D19" w:rsidP="00AB124C">
      <w:pPr>
        <w:pStyle w:val="Heading1"/>
        <w:numPr>
          <w:ilvl w:val="0"/>
          <w:numId w:val="1"/>
        </w:numPr>
        <w:ind w:left="426" w:hanging="426"/>
        <w:jc w:val="both"/>
        <w:rPr>
          <w:rFonts w:cs="Arial"/>
          <w:szCs w:val="24"/>
          <w:lang w:val="en-US"/>
        </w:rPr>
      </w:pPr>
      <w:bookmarkStart w:id="1" w:name="_Toc168998838"/>
      <w:r w:rsidRPr="00AB124C">
        <w:rPr>
          <w:rFonts w:cs="Arial"/>
          <w:szCs w:val="24"/>
          <w:lang w:val="en-US"/>
        </w:rPr>
        <w:lastRenderedPageBreak/>
        <w:t>Introduction</w:t>
      </w:r>
      <w:bookmarkEnd w:id="1"/>
    </w:p>
    <w:p w14:paraId="34B0BC25" w14:textId="77777777" w:rsidR="00C00D19" w:rsidRPr="00AB124C" w:rsidRDefault="00C00D19" w:rsidP="00AB124C">
      <w:pPr>
        <w:jc w:val="both"/>
        <w:rPr>
          <w:lang w:val="en-US"/>
        </w:rPr>
      </w:pPr>
    </w:p>
    <w:p w14:paraId="7B2EA06B" w14:textId="77777777" w:rsidR="00B30965" w:rsidRPr="00A9223D" w:rsidRDefault="00B30965" w:rsidP="00B30965">
      <w:pPr>
        <w:jc w:val="both"/>
        <w:rPr>
          <w:color w:val="auto"/>
        </w:rPr>
      </w:pPr>
      <w:r w:rsidRPr="00A9223D">
        <w:rPr>
          <w:color w:val="auto"/>
        </w:rPr>
        <w:t>Gosport is a mainly urban town in Hampshire with a population of approximately 85,000.</w:t>
      </w:r>
    </w:p>
    <w:p w14:paraId="46CD25ED" w14:textId="77777777" w:rsidR="00B30965" w:rsidRPr="00A9223D" w:rsidRDefault="00B30965" w:rsidP="00B30965">
      <w:pPr>
        <w:jc w:val="both"/>
        <w:rPr>
          <w:color w:val="auto"/>
        </w:rPr>
      </w:pPr>
    </w:p>
    <w:p w14:paraId="4734D515" w14:textId="77777777" w:rsidR="00B30965" w:rsidRPr="00A9223D" w:rsidRDefault="00B30965" w:rsidP="00B30965">
      <w:pPr>
        <w:jc w:val="both"/>
        <w:rPr>
          <w:color w:val="auto"/>
        </w:rPr>
      </w:pPr>
      <w:r w:rsidRPr="00A9223D">
        <w:rPr>
          <w:color w:val="auto"/>
        </w:rPr>
        <w:t>Gosport Borough Council (GBC) operates 23 off street pay and display car parks as well as managing and enforcing various residents and free car parks throughout the borough under Civil Parking Enforcement (CPE).</w:t>
      </w:r>
    </w:p>
    <w:p w14:paraId="50DF5441" w14:textId="77777777" w:rsidR="00B30965" w:rsidRPr="00B30965" w:rsidRDefault="00B30965" w:rsidP="00B30965">
      <w:pPr>
        <w:jc w:val="both"/>
        <w:rPr>
          <w:color w:val="FF0000"/>
        </w:rPr>
      </w:pPr>
    </w:p>
    <w:p w14:paraId="22B02259" w14:textId="77777777" w:rsidR="00C00D19" w:rsidRPr="00AB124C" w:rsidRDefault="00C00D19" w:rsidP="00AB124C">
      <w:pPr>
        <w:pStyle w:val="Heading1"/>
        <w:numPr>
          <w:ilvl w:val="0"/>
          <w:numId w:val="1"/>
        </w:numPr>
        <w:ind w:left="426" w:hanging="426"/>
        <w:jc w:val="both"/>
        <w:rPr>
          <w:rFonts w:cs="Arial"/>
          <w:szCs w:val="24"/>
          <w:lang w:val="en-US"/>
        </w:rPr>
      </w:pPr>
      <w:bookmarkStart w:id="2" w:name="_Toc168998839"/>
      <w:r w:rsidRPr="00AB124C">
        <w:rPr>
          <w:rFonts w:cs="Arial"/>
          <w:szCs w:val="24"/>
          <w:lang w:val="en-US"/>
        </w:rPr>
        <w:t>Specification / Requirements</w:t>
      </w:r>
      <w:bookmarkEnd w:id="2"/>
    </w:p>
    <w:p w14:paraId="5A2276EA" w14:textId="77777777" w:rsidR="00C00D19" w:rsidRPr="00AB124C" w:rsidRDefault="00C00D19" w:rsidP="00AB124C">
      <w:pPr>
        <w:jc w:val="both"/>
        <w:rPr>
          <w:lang w:val="en-US"/>
        </w:rPr>
      </w:pPr>
    </w:p>
    <w:p w14:paraId="7738CCE4" w14:textId="77777777" w:rsidR="001C48EB" w:rsidRPr="001C48EB" w:rsidRDefault="001C48EB" w:rsidP="001C48EB">
      <w:pPr>
        <w:numPr>
          <w:ilvl w:val="1"/>
          <w:numId w:val="11"/>
        </w:numPr>
        <w:jc w:val="both"/>
        <w:rPr>
          <w:color w:val="auto"/>
        </w:rPr>
      </w:pPr>
      <w:r w:rsidRPr="001C48EB">
        <w:rPr>
          <w:color w:val="auto"/>
        </w:rPr>
        <w:t xml:space="preserve">GBC requires the collection of debts resulting from unpaid Penalty Charge Notices issued in off-street car parks. </w:t>
      </w:r>
    </w:p>
    <w:p w14:paraId="59193785" w14:textId="77777777" w:rsidR="001C48EB" w:rsidRPr="001C48EB" w:rsidRDefault="001C48EB" w:rsidP="001C48EB">
      <w:pPr>
        <w:numPr>
          <w:ilvl w:val="1"/>
          <w:numId w:val="11"/>
        </w:numPr>
        <w:jc w:val="both"/>
        <w:rPr>
          <w:color w:val="auto"/>
        </w:rPr>
      </w:pPr>
      <w:r w:rsidRPr="001C48EB">
        <w:rPr>
          <w:color w:val="auto"/>
        </w:rPr>
        <w:t>GBC will be awarding the contract to one provider.</w:t>
      </w:r>
    </w:p>
    <w:p w14:paraId="3773CA59" w14:textId="7ED3A5C3" w:rsidR="006C27A3" w:rsidRPr="006C27A3" w:rsidRDefault="001C48EB" w:rsidP="006C27A3">
      <w:pPr>
        <w:numPr>
          <w:ilvl w:val="1"/>
          <w:numId w:val="11"/>
        </w:numPr>
        <w:jc w:val="both"/>
        <w:rPr>
          <w:color w:val="auto"/>
        </w:rPr>
      </w:pPr>
      <w:r w:rsidRPr="001C48EB">
        <w:rPr>
          <w:color w:val="auto"/>
        </w:rPr>
        <w:t xml:space="preserve">Term/length of the agreement will be for two years </w:t>
      </w:r>
      <w:r w:rsidR="00D91CD6">
        <w:rPr>
          <w:color w:val="auto"/>
        </w:rPr>
        <w:t xml:space="preserve">from approximately </w:t>
      </w:r>
      <w:r w:rsidR="009E602A">
        <w:rPr>
          <w:color w:val="auto"/>
        </w:rPr>
        <w:t xml:space="preserve">1 </w:t>
      </w:r>
      <w:r w:rsidR="00C447AC">
        <w:rPr>
          <w:color w:val="auto"/>
        </w:rPr>
        <w:t>August</w:t>
      </w:r>
      <w:r w:rsidR="00D91CD6">
        <w:rPr>
          <w:color w:val="auto"/>
        </w:rPr>
        <w:t xml:space="preserve"> 2024 </w:t>
      </w:r>
      <w:r w:rsidRPr="001C48EB">
        <w:rPr>
          <w:color w:val="auto"/>
        </w:rPr>
        <w:t>with an oppo</w:t>
      </w:r>
      <w:r w:rsidR="00134171">
        <w:rPr>
          <w:color w:val="auto"/>
        </w:rPr>
        <w:t>rtunity of a two</w:t>
      </w:r>
      <w:r w:rsidR="005C1B46">
        <w:rPr>
          <w:color w:val="auto"/>
        </w:rPr>
        <w:t xml:space="preserve"> year extension by mutual agreement.</w:t>
      </w:r>
    </w:p>
    <w:p w14:paraId="70269AC9" w14:textId="77777777" w:rsidR="006C27A3" w:rsidRDefault="006C27A3" w:rsidP="006C27A3">
      <w:pPr>
        <w:pStyle w:val="ListParagraph"/>
        <w:rPr>
          <w:color w:val="auto"/>
        </w:rPr>
      </w:pPr>
    </w:p>
    <w:p w14:paraId="140D04C9" w14:textId="77777777" w:rsidR="006C27A3" w:rsidRPr="006C27A3" w:rsidRDefault="006C27A3" w:rsidP="006C27A3">
      <w:pPr>
        <w:rPr>
          <w:color w:val="auto"/>
        </w:rPr>
      </w:pPr>
      <w:r w:rsidRPr="006C27A3">
        <w:rPr>
          <w:color w:val="auto"/>
        </w:rPr>
        <w:t>All Enforcement Agents acting on behalf of the Contractor must be</w:t>
      </w:r>
    </w:p>
    <w:p w14:paraId="527D5EEC" w14:textId="77777777" w:rsidR="006C27A3" w:rsidRDefault="006C27A3" w:rsidP="006C27A3">
      <w:pPr>
        <w:rPr>
          <w:color w:val="auto"/>
        </w:rPr>
      </w:pPr>
      <w:proofErr w:type="gramStart"/>
      <w:r w:rsidRPr="006C27A3">
        <w:rPr>
          <w:color w:val="auto"/>
        </w:rPr>
        <w:t>employed</w:t>
      </w:r>
      <w:proofErr w:type="gramEnd"/>
      <w:r w:rsidRPr="006C27A3">
        <w:rPr>
          <w:color w:val="auto"/>
        </w:rPr>
        <w:t xml:space="preserve"> by the Contractor.</w:t>
      </w:r>
      <w:r>
        <w:rPr>
          <w:color w:val="auto"/>
        </w:rPr>
        <w:t xml:space="preserve">  </w:t>
      </w:r>
      <w:r w:rsidRPr="006C27A3">
        <w:rPr>
          <w:color w:val="auto"/>
        </w:rPr>
        <w:t>The Contractor must ensure that Enforcement Agents and other employees</w:t>
      </w:r>
      <w:r>
        <w:rPr>
          <w:color w:val="auto"/>
        </w:rPr>
        <w:t xml:space="preserve"> </w:t>
      </w:r>
      <w:r w:rsidRPr="006C27A3">
        <w:rPr>
          <w:color w:val="auto"/>
        </w:rPr>
        <w:t>have an appropriate knowledge of relevant legislation, case law and powers, and the</w:t>
      </w:r>
      <w:r>
        <w:rPr>
          <w:color w:val="auto"/>
        </w:rPr>
        <w:t xml:space="preserve"> </w:t>
      </w:r>
      <w:r w:rsidRPr="006C27A3">
        <w:rPr>
          <w:color w:val="auto"/>
        </w:rPr>
        <w:t>role they are required to undertake. The Contractor must ensure that adequate</w:t>
      </w:r>
      <w:r>
        <w:rPr>
          <w:color w:val="auto"/>
        </w:rPr>
        <w:t xml:space="preserve"> </w:t>
      </w:r>
      <w:r w:rsidRPr="006C27A3">
        <w:rPr>
          <w:color w:val="auto"/>
        </w:rPr>
        <w:t xml:space="preserve">training is undertaken and that it is effective. </w:t>
      </w:r>
    </w:p>
    <w:p w14:paraId="2EAF5DA6" w14:textId="77777777" w:rsidR="001C48EB" w:rsidRDefault="001C48EB" w:rsidP="001C48EB">
      <w:pPr>
        <w:jc w:val="both"/>
        <w:rPr>
          <w:color w:val="FF0000"/>
        </w:rPr>
      </w:pPr>
    </w:p>
    <w:p w14:paraId="18A881F3" w14:textId="77777777" w:rsidR="001C48EB" w:rsidRPr="001C48EB" w:rsidRDefault="001C48EB" w:rsidP="001C48EB">
      <w:pPr>
        <w:jc w:val="both"/>
        <w:rPr>
          <w:color w:val="auto"/>
        </w:rPr>
      </w:pPr>
      <w:r w:rsidRPr="001C48EB">
        <w:rPr>
          <w:color w:val="auto"/>
        </w:rPr>
        <w:t xml:space="preserve">The total amount of debt sent to our current Enforcement Agent provider over the last </w:t>
      </w:r>
      <w:r w:rsidR="00AE42FC" w:rsidRPr="001C48EB">
        <w:rPr>
          <w:color w:val="auto"/>
        </w:rPr>
        <w:t>3 financial</w:t>
      </w:r>
      <w:r w:rsidRPr="001C48EB">
        <w:rPr>
          <w:color w:val="auto"/>
        </w:rPr>
        <w:t xml:space="preserve"> years is shown in the table(s) below:-  </w:t>
      </w:r>
    </w:p>
    <w:p w14:paraId="138DF62F" w14:textId="77777777" w:rsidR="001C48EB" w:rsidRPr="001C48EB" w:rsidRDefault="001C48EB" w:rsidP="001C48EB">
      <w:pPr>
        <w:jc w:val="both"/>
        <w:rPr>
          <w:color w:val="auto"/>
        </w:rPr>
      </w:pPr>
    </w:p>
    <w:tbl>
      <w:tblPr>
        <w:tblStyle w:val="TableGrid"/>
        <w:tblW w:w="9214" w:type="dxa"/>
        <w:tblInd w:w="675" w:type="dxa"/>
        <w:tblLayout w:type="fixed"/>
        <w:tblLook w:val="04A0" w:firstRow="1" w:lastRow="0" w:firstColumn="1" w:lastColumn="0" w:noHBand="0" w:noVBand="1"/>
      </w:tblPr>
      <w:tblGrid>
        <w:gridCol w:w="2410"/>
        <w:gridCol w:w="3544"/>
        <w:gridCol w:w="3260"/>
      </w:tblGrid>
      <w:tr w:rsidR="001C48EB" w:rsidRPr="001C48EB" w14:paraId="736E5BC1" w14:textId="77777777" w:rsidTr="001C48EB">
        <w:tc>
          <w:tcPr>
            <w:tcW w:w="2410" w:type="dxa"/>
            <w:tcBorders>
              <w:top w:val="single" w:sz="4" w:space="0" w:color="auto"/>
              <w:left w:val="single" w:sz="4" w:space="0" w:color="auto"/>
              <w:bottom w:val="single" w:sz="4" w:space="0" w:color="auto"/>
              <w:right w:val="single" w:sz="4" w:space="0" w:color="auto"/>
            </w:tcBorders>
            <w:hideMark/>
          </w:tcPr>
          <w:p w14:paraId="482A37AC" w14:textId="77777777" w:rsidR="001C48EB" w:rsidRPr="001C48EB" w:rsidRDefault="001C48EB" w:rsidP="001C48EB">
            <w:pPr>
              <w:spacing w:line="360" w:lineRule="auto"/>
              <w:jc w:val="both"/>
              <w:rPr>
                <w:b/>
              </w:rPr>
            </w:pPr>
            <w:r w:rsidRPr="001C48EB">
              <w:rPr>
                <w:b/>
                <w:bCs/>
              </w:rPr>
              <w:t xml:space="preserve">Financial Year </w:t>
            </w:r>
          </w:p>
        </w:tc>
        <w:tc>
          <w:tcPr>
            <w:tcW w:w="3544" w:type="dxa"/>
            <w:tcBorders>
              <w:top w:val="single" w:sz="4" w:space="0" w:color="auto"/>
              <w:left w:val="single" w:sz="4" w:space="0" w:color="auto"/>
              <w:bottom w:val="single" w:sz="4" w:space="0" w:color="auto"/>
              <w:right w:val="single" w:sz="4" w:space="0" w:color="auto"/>
            </w:tcBorders>
            <w:vAlign w:val="bottom"/>
            <w:hideMark/>
          </w:tcPr>
          <w:p w14:paraId="16A6B015" w14:textId="77777777" w:rsidR="001C48EB" w:rsidRPr="001C48EB" w:rsidRDefault="001C48EB" w:rsidP="001C48EB">
            <w:pPr>
              <w:spacing w:line="360" w:lineRule="auto"/>
              <w:jc w:val="both"/>
              <w:rPr>
                <w:b/>
                <w:bCs/>
              </w:rPr>
            </w:pPr>
            <w:r w:rsidRPr="001C48EB">
              <w:rPr>
                <w:b/>
                <w:bCs/>
              </w:rPr>
              <w:t xml:space="preserve">No. of Penalty Charge Notices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3BDCD01" w14:textId="77777777" w:rsidR="001C48EB" w:rsidRPr="001C48EB" w:rsidRDefault="001C48EB" w:rsidP="001C48EB">
            <w:pPr>
              <w:spacing w:line="360" w:lineRule="auto"/>
              <w:jc w:val="both"/>
              <w:rPr>
                <w:b/>
                <w:bCs/>
              </w:rPr>
            </w:pPr>
            <w:r w:rsidRPr="001C48EB">
              <w:rPr>
                <w:b/>
                <w:bCs/>
              </w:rPr>
              <w:t>Amount of debt</w:t>
            </w:r>
          </w:p>
        </w:tc>
      </w:tr>
      <w:tr w:rsidR="001C48EB" w:rsidRPr="001C48EB" w14:paraId="3227D7E6" w14:textId="77777777" w:rsidTr="001C48EB">
        <w:tc>
          <w:tcPr>
            <w:tcW w:w="2410" w:type="dxa"/>
            <w:tcBorders>
              <w:top w:val="single" w:sz="4" w:space="0" w:color="auto"/>
              <w:left w:val="single" w:sz="4" w:space="0" w:color="auto"/>
              <w:bottom w:val="single" w:sz="4" w:space="0" w:color="auto"/>
              <w:right w:val="single" w:sz="4" w:space="0" w:color="auto"/>
            </w:tcBorders>
            <w:vAlign w:val="center"/>
            <w:hideMark/>
          </w:tcPr>
          <w:p w14:paraId="6BC2E463" w14:textId="77777777" w:rsidR="001C48EB" w:rsidRPr="001C48EB" w:rsidRDefault="001C48EB" w:rsidP="001C48EB">
            <w:pPr>
              <w:spacing w:line="360" w:lineRule="auto"/>
              <w:jc w:val="both"/>
              <w:rPr>
                <w:b/>
              </w:rPr>
            </w:pPr>
            <w:r w:rsidRPr="001C48EB">
              <w:rPr>
                <w:b/>
              </w:rPr>
              <w:t>2021/22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C08BBF" w14:textId="77777777" w:rsidR="001C48EB" w:rsidRPr="001C48EB" w:rsidRDefault="001C48EB" w:rsidP="001C48EB">
            <w:pPr>
              <w:spacing w:line="360" w:lineRule="auto"/>
              <w:jc w:val="both"/>
              <w:rPr>
                <w:b/>
              </w:rPr>
            </w:pPr>
            <w:r w:rsidRPr="001C48EB">
              <w:rPr>
                <w:b/>
              </w:rPr>
              <w:t>83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BBDF9E0" w14:textId="77777777" w:rsidR="001C48EB" w:rsidRPr="001C48EB" w:rsidRDefault="001C48EB" w:rsidP="001C48EB">
            <w:pPr>
              <w:spacing w:line="360" w:lineRule="auto"/>
              <w:jc w:val="both"/>
              <w:rPr>
                <w:b/>
              </w:rPr>
            </w:pPr>
            <w:r w:rsidRPr="001C48EB">
              <w:rPr>
                <w:b/>
              </w:rPr>
              <w:t>£7,296</w:t>
            </w:r>
          </w:p>
        </w:tc>
      </w:tr>
      <w:tr w:rsidR="001C48EB" w:rsidRPr="001C48EB" w14:paraId="08BB1AA5" w14:textId="77777777" w:rsidTr="001C48EB">
        <w:tc>
          <w:tcPr>
            <w:tcW w:w="2410" w:type="dxa"/>
            <w:tcBorders>
              <w:top w:val="single" w:sz="4" w:space="0" w:color="auto"/>
              <w:left w:val="single" w:sz="4" w:space="0" w:color="auto"/>
              <w:bottom w:val="single" w:sz="4" w:space="0" w:color="auto"/>
              <w:right w:val="single" w:sz="4" w:space="0" w:color="auto"/>
            </w:tcBorders>
            <w:vAlign w:val="center"/>
            <w:hideMark/>
          </w:tcPr>
          <w:p w14:paraId="3D925E02" w14:textId="77777777" w:rsidR="001C48EB" w:rsidRPr="001C48EB" w:rsidRDefault="001C48EB" w:rsidP="001C48EB">
            <w:pPr>
              <w:spacing w:line="360" w:lineRule="auto"/>
              <w:jc w:val="both"/>
              <w:rPr>
                <w:b/>
              </w:rPr>
            </w:pPr>
            <w:r w:rsidRPr="001C48EB">
              <w:rPr>
                <w:b/>
              </w:rPr>
              <w:t>2022/23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32D4932" w14:textId="77777777" w:rsidR="001C48EB" w:rsidRPr="001C48EB" w:rsidRDefault="001C48EB" w:rsidP="001C48EB">
            <w:pPr>
              <w:spacing w:line="360" w:lineRule="auto"/>
              <w:jc w:val="both"/>
              <w:rPr>
                <w:b/>
              </w:rPr>
            </w:pPr>
            <w:r w:rsidRPr="001C48EB">
              <w:rPr>
                <w:b/>
              </w:rPr>
              <w:t>114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B5DCE2A" w14:textId="77777777" w:rsidR="001C48EB" w:rsidRPr="001C48EB" w:rsidRDefault="001C48EB" w:rsidP="001C48EB">
            <w:pPr>
              <w:spacing w:line="360" w:lineRule="auto"/>
              <w:jc w:val="both"/>
              <w:rPr>
                <w:b/>
              </w:rPr>
            </w:pPr>
            <w:r w:rsidRPr="001C48EB">
              <w:rPr>
                <w:b/>
              </w:rPr>
              <w:t>£10,356</w:t>
            </w:r>
          </w:p>
        </w:tc>
      </w:tr>
      <w:tr w:rsidR="001C48EB" w:rsidRPr="001C48EB" w14:paraId="2A248B75" w14:textId="77777777" w:rsidTr="001C48EB">
        <w:tc>
          <w:tcPr>
            <w:tcW w:w="2410" w:type="dxa"/>
            <w:tcBorders>
              <w:top w:val="single" w:sz="4" w:space="0" w:color="auto"/>
              <w:left w:val="single" w:sz="4" w:space="0" w:color="auto"/>
              <w:bottom w:val="single" w:sz="4" w:space="0" w:color="auto"/>
              <w:right w:val="single" w:sz="4" w:space="0" w:color="auto"/>
            </w:tcBorders>
            <w:vAlign w:val="center"/>
            <w:hideMark/>
          </w:tcPr>
          <w:p w14:paraId="0CF9E950" w14:textId="77777777" w:rsidR="001C48EB" w:rsidRPr="001C48EB" w:rsidRDefault="001C48EB" w:rsidP="001C48EB">
            <w:pPr>
              <w:spacing w:line="360" w:lineRule="auto"/>
              <w:jc w:val="both"/>
              <w:rPr>
                <w:b/>
              </w:rPr>
            </w:pPr>
            <w:r w:rsidRPr="001C48EB">
              <w:rPr>
                <w:b/>
              </w:rPr>
              <w:t>2023/24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A784C78" w14:textId="77777777" w:rsidR="001C48EB" w:rsidRPr="001C48EB" w:rsidRDefault="001C48EB" w:rsidP="001C48EB">
            <w:pPr>
              <w:spacing w:line="360" w:lineRule="auto"/>
              <w:jc w:val="both"/>
              <w:rPr>
                <w:b/>
              </w:rPr>
            </w:pPr>
            <w:r w:rsidRPr="001C48EB">
              <w:rPr>
                <w:b/>
              </w:rPr>
              <w:t>186</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41A9075" w14:textId="77777777" w:rsidR="001C48EB" w:rsidRPr="001C48EB" w:rsidRDefault="001C48EB" w:rsidP="001C48EB">
            <w:pPr>
              <w:spacing w:line="360" w:lineRule="auto"/>
              <w:jc w:val="both"/>
              <w:rPr>
                <w:b/>
              </w:rPr>
            </w:pPr>
            <w:r w:rsidRPr="001C48EB">
              <w:rPr>
                <w:b/>
              </w:rPr>
              <w:t>£16,884</w:t>
            </w:r>
          </w:p>
        </w:tc>
      </w:tr>
    </w:tbl>
    <w:p w14:paraId="5706CEC2" w14:textId="77777777" w:rsidR="001C48EB" w:rsidRPr="001C48EB" w:rsidRDefault="001C48EB" w:rsidP="001C48EB">
      <w:pPr>
        <w:jc w:val="both"/>
        <w:rPr>
          <w:b/>
          <w:color w:val="auto"/>
        </w:rPr>
      </w:pPr>
    </w:p>
    <w:p w14:paraId="3B36DEB7" w14:textId="77777777" w:rsidR="006C27A3" w:rsidRPr="006C27A3" w:rsidRDefault="006C27A3" w:rsidP="006C27A3">
      <w:pPr>
        <w:jc w:val="both"/>
        <w:rPr>
          <w:color w:val="auto"/>
        </w:rPr>
      </w:pPr>
      <w:r w:rsidRPr="006C27A3">
        <w:rPr>
          <w:color w:val="auto"/>
        </w:rPr>
        <w:t>Please note that the Council cannot guarantee volumes of work for any of the</w:t>
      </w:r>
      <w:r>
        <w:rPr>
          <w:color w:val="auto"/>
        </w:rPr>
        <w:t xml:space="preserve"> </w:t>
      </w:r>
      <w:r w:rsidRPr="006C27A3">
        <w:rPr>
          <w:color w:val="auto"/>
        </w:rPr>
        <w:t>above</w:t>
      </w:r>
      <w:r>
        <w:rPr>
          <w:color w:val="auto"/>
        </w:rPr>
        <w:t>.</w:t>
      </w:r>
    </w:p>
    <w:p w14:paraId="430ADE15" w14:textId="77777777" w:rsidR="006C27A3" w:rsidRDefault="006C27A3" w:rsidP="001C48EB">
      <w:pPr>
        <w:jc w:val="both"/>
        <w:rPr>
          <w:b/>
          <w:color w:val="auto"/>
        </w:rPr>
      </w:pPr>
    </w:p>
    <w:p w14:paraId="12F6B009" w14:textId="77777777" w:rsidR="001C48EB" w:rsidRPr="001C48EB" w:rsidRDefault="001C48EB" w:rsidP="001C48EB">
      <w:pPr>
        <w:jc w:val="both"/>
        <w:rPr>
          <w:color w:val="auto"/>
        </w:rPr>
      </w:pPr>
      <w:r w:rsidRPr="001C48EB">
        <w:rPr>
          <w:b/>
          <w:color w:val="auto"/>
        </w:rPr>
        <w:t>Service Specification</w:t>
      </w:r>
    </w:p>
    <w:p w14:paraId="1CCC0C08" w14:textId="77777777" w:rsidR="001C48EB" w:rsidRDefault="001C48EB" w:rsidP="001C48EB">
      <w:pPr>
        <w:jc w:val="both"/>
        <w:rPr>
          <w:color w:val="auto"/>
        </w:rPr>
      </w:pPr>
      <w:r w:rsidRPr="001C48EB">
        <w:rPr>
          <w:color w:val="auto"/>
        </w:rPr>
        <w:t>You are required to provide method statement and evidence for assessment on each of the following areas:</w:t>
      </w:r>
    </w:p>
    <w:p w14:paraId="5AF662AD" w14:textId="77777777" w:rsidR="001C48EB" w:rsidRPr="001C48EB" w:rsidRDefault="001C48EB" w:rsidP="001C48EB">
      <w:pPr>
        <w:jc w:val="both"/>
        <w:rPr>
          <w:color w:val="auto"/>
        </w:rPr>
      </w:pPr>
    </w:p>
    <w:tbl>
      <w:tblPr>
        <w:tblStyle w:val="TableGrid"/>
        <w:tblW w:w="0" w:type="auto"/>
        <w:tblLook w:val="04A0" w:firstRow="1" w:lastRow="0" w:firstColumn="1" w:lastColumn="0" w:noHBand="0" w:noVBand="1"/>
      </w:tblPr>
      <w:tblGrid>
        <w:gridCol w:w="2467"/>
        <w:gridCol w:w="4812"/>
        <w:gridCol w:w="1737"/>
      </w:tblGrid>
      <w:tr w:rsidR="006B6042" w:rsidRPr="001C48EB" w14:paraId="4E2086BE" w14:textId="77777777" w:rsidTr="001E0C15">
        <w:tc>
          <w:tcPr>
            <w:tcW w:w="2467" w:type="dxa"/>
            <w:tcBorders>
              <w:top w:val="single" w:sz="4" w:space="0" w:color="auto"/>
              <w:left w:val="single" w:sz="4" w:space="0" w:color="auto"/>
              <w:bottom w:val="single" w:sz="4" w:space="0" w:color="auto"/>
              <w:right w:val="single" w:sz="4" w:space="0" w:color="auto"/>
            </w:tcBorders>
            <w:hideMark/>
          </w:tcPr>
          <w:p w14:paraId="39346389" w14:textId="77777777" w:rsidR="001C48EB" w:rsidRPr="001C48EB" w:rsidRDefault="001C48EB" w:rsidP="001C48EB">
            <w:pPr>
              <w:spacing w:line="360" w:lineRule="auto"/>
              <w:jc w:val="both"/>
              <w:rPr>
                <w:rFonts w:cs="Arial"/>
                <w:b/>
                <w:szCs w:val="24"/>
              </w:rPr>
            </w:pPr>
            <w:r w:rsidRPr="001C48EB">
              <w:rPr>
                <w:rFonts w:cs="Arial"/>
                <w:b/>
                <w:szCs w:val="24"/>
              </w:rPr>
              <w:t>Service Area</w:t>
            </w:r>
          </w:p>
        </w:tc>
        <w:tc>
          <w:tcPr>
            <w:tcW w:w="4812" w:type="dxa"/>
            <w:tcBorders>
              <w:top w:val="single" w:sz="4" w:space="0" w:color="auto"/>
              <w:left w:val="single" w:sz="4" w:space="0" w:color="auto"/>
              <w:bottom w:val="single" w:sz="4" w:space="0" w:color="auto"/>
              <w:right w:val="single" w:sz="4" w:space="0" w:color="auto"/>
            </w:tcBorders>
            <w:hideMark/>
          </w:tcPr>
          <w:p w14:paraId="29DB4CB2" w14:textId="77777777" w:rsidR="001C48EB" w:rsidRPr="001C48EB" w:rsidRDefault="001C48EB" w:rsidP="001C48EB">
            <w:pPr>
              <w:spacing w:line="360" w:lineRule="auto"/>
              <w:jc w:val="both"/>
              <w:rPr>
                <w:rFonts w:cs="Arial"/>
                <w:b/>
                <w:szCs w:val="24"/>
              </w:rPr>
            </w:pPr>
            <w:r w:rsidRPr="001C48EB">
              <w:rPr>
                <w:rFonts w:cs="Arial"/>
                <w:b/>
                <w:szCs w:val="24"/>
              </w:rPr>
              <w:t>Required Information</w:t>
            </w:r>
          </w:p>
        </w:tc>
        <w:tc>
          <w:tcPr>
            <w:tcW w:w="1737" w:type="dxa"/>
            <w:tcBorders>
              <w:top w:val="single" w:sz="4" w:space="0" w:color="auto"/>
              <w:left w:val="single" w:sz="4" w:space="0" w:color="auto"/>
              <w:bottom w:val="single" w:sz="4" w:space="0" w:color="auto"/>
              <w:right w:val="single" w:sz="4" w:space="0" w:color="auto"/>
            </w:tcBorders>
            <w:hideMark/>
          </w:tcPr>
          <w:p w14:paraId="5D1A1EE8" w14:textId="77777777" w:rsidR="001C48EB" w:rsidRPr="001C48EB" w:rsidRDefault="001C48EB" w:rsidP="001C48EB">
            <w:pPr>
              <w:spacing w:line="360" w:lineRule="auto"/>
              <w:jc w:val="both"/>
              <w:rPr>
                <w:rFonts w:cs="Arial"/>
                <w:b/>
                <w:szCs w:val="24"/>
              </w:rPr>
            </w:pPr>
            <w:r w:rsidRPr="001C48EB">
              <w:rPr>
                <w:rFonts w:cs="Arial"/>
                <w:b/>
                <w:szCs w:val="24"/>
              </w:rPr>
              <w:t>Weighting</w:t>
            </w:r>
          </w:p>
        </w:tc>
      </w:tr>
      <w:tr w:rsidR="006B6042" w:rsidRPr="001C48EB" w14:paraId="616616FF" w14:textId="77777777" w:rsidTr="001E0C15">
        <w:tc>
          <w:tcPr>
            <w:tcW w:w="2467" w:type="dxa"/>
            <w:tcBorders>
              <w:top w:val="single" w:sz="4" w:space="0" w:color="auto"/>
              <w:left w:val="single" w:sz="4" w:space="0" w:color="auto"/>
              <w:bottom w:val="single" w:sz="4" w:space="0" w:color="auto"/>
              <w:right w:val="single" w:sz="4" w:space="0" w:color="auto"/>
            </w:tcBorders>
            <w:hideMark/>
          </w:tcPr>
          <w:p w14:paraId="50DE0668" w14:textId="77777777" w:rsidR="001C48EB" w:rsidRPr="001C48EB" w:rsidRDefault="001C48EB" w:rsidP="001C48EB">
            <w:pPr>
              <w:spacing w:line="360" w:lineRule="auto"/>
              <w:jc w:val="both"/>
              <w:rPr>
                <w:rFonts w:cs="Arial"/>
                <w:b/>
                <w:szCs w:val="24"/>
              </w:rPr>
            </w:pPr>
            <w:r w:rsidRPr="001C48EB">
              <w:rPr>
                <w:rFonts w:cs="Arial"/>
                <w:szCs w:val="24"/>
              </w:rPr>
              <w:t>Particulars of your organisation</w:t>
            </w:r>
          </w:p>
        </w:tc>
        <w:tc>
          <w:tcPr>
            <w:tcW w:w="4812" w:type="dxa"/>
            <w:tcBorders>
              <w:top w:val="single" w:sz="4" w:space="0" w:color="auto"/>
              <w:left w:val="single" w:sz="4" w:space="0" w:color="auto"/>
              <w:bottom w:val="single" w:sz="4" w:space="0" w:color="auto"/>
              <w:right w:val="single" w:sz="4" w:space="0" w:color="auto"/>
            </w:tcBorders>
            <w:hideMark/>
          </w:tcPr>
          <w:p w14:paraId="70A8A662" w14:textId="6A9CE62A" w:rsidR="001C48EB" w:rsidRPr="001C48EB" w:rsidRDefault="00A83224" w:rsidP="00524862">
            <w:pPr>
              <w:spacing w:line="360" w:lineRule="auto"/>
              <w:jc w:val="both"/>
              <w:rPr>
                <w:rFonts w:cs="Arial"/>
                <w:b/>
                <w:szCs w:val="24"/>
              </w:rPr>
            </w:pPr>
            <w:r>
              <w:rPr>
                <w:rFonts w:cs="Arial"/>
                <w:szCs w:val="24"/>
              </w:rPr>
              <w:t>Please provide information on n</w:t>
            </w:r>
            <w:r w:rsidR="001C48EB" w:rsidRPr="001C48EB">
              <w:rPr>
                <w:rFonts w:cs="Arial"/>
                <w:szCs w:val="24"/>
              </w:rPr>
              <w:t>umber</w:t>
            </w:r>
            <w:r w:rsidR="00524862">
              <w:rPr>
                <w:rFonts w:cs="Arial"/>
                <w:szCs w:val="24"/>
              </w:rPr>
              <w:t xml:space="preserve"> of personnel and </w:t>
            </w:r>
            <w:r w:rsidR="001C48EB" w:rsidRPr="001C48EB">
              <w:rPr>
                <w:rFonts w:cs="Arial"/>
                <w:szCs w:val="24"/>
              </w:rPr>
              <w:t>coverage</w:t>
            </w:r>
            <w:r w:rsidR="00524862">
              <w:rPr>
                <w:rFonts w:cs="Arial"/>
                <w:szCs w:val="24"/>
              </w:rPr>
              <w:t xml:space="preserve">.  How many staff locally employed (Gosport area) Are staff </w:t>
            </w:r>
            <w:r w:rsidR="001C48EB" w:rsidRPr="001C48EB">
              <w:rPr>
                <w:rFonts w:cs="Arial"/>
                <w:szCs w:val="24"/>
              </w:rPr>
              <w:t>Employed or contracted</w:t>
            </w:r>
            <w:proofErr w:type="gramStart"/>
            <w:r w:rsidR="001C48EB" w:rsidRPr="001C48EB">
              <w:rPr>
                <w:rFonts w:cs="Arial"/>
                <w:szCs w:val="24"/>
              </w:rPr>
              <w:t>?</w:t>
            </w:r>
            <w:r w:rsidR="00880A68">
              <w:rPr>
                <w:rFonts w:cs="Arial"/>
                <w:szCs w:val="24"/>
              </w:rPr>
              <w:t>.</w:t>
            </w:r>
            <w:proofErr w:type="gramEnd"/>
            <w:r w:rsidR="00880A68">
              <w:rPr>
                <w:rFonts w:cs="Arial"/>
                <w:szCs w:val="24"/>
              </w:rPr>
              <w:t xml:space="preserve"> </w:t>
            </w:r>
            <w:r w:rsidR="00524862">
              <w:rPr>
                <w:rFonts w:cs="Arial"/>
                <w:szCs w:val="24"/>
              </w:rPr>
              <w:t xml:space="preserve">Please provide information on your </w:t>
            </w:r>
            <w:r w:rsidR="001C48EB" w:rsidRPr="001C48EB">
              <w:rPr>
                <w:rFonts w:cs="Arial"/>
                <w:szCs w:val="24"/>
              </w:rPr>
              <w:t>Code of Conduct and Complaints Procedure</w:t>
            </w:r>
          </w:p>
        </w:tc>
        <w:tc>
          <w:tcPr>
            <w:tcW w:w="1737" w:type="dxa"/>
            <w:tcBorders>
              <w:top w:val="single" w:sz="4" w:space="0" w:color="auto"/>
              <w:left w:val="single" w:sz="4" w:space="0" w:color="auto"/>
              <w:bottom w:val="single" w:sz="4" w:space="0" w:color="auto"/>
              <w:right w:val="single" w:sz="4" w:space="0" w:color="auto"/>
            </w:tcBorders>
            <w:hideMark/>
          </w:tcPr>
          <w:p w14:paraId="1103FF4E" w14:textId="10135FF3" w:rsidR="001C48EB" w:rsidRPr="001C48EB" w:rsidRDefault="00DB279E" w:rsidP="00DB279E">
            <w:pPr>
              <w:spacing w:line="360" w:lineRule="auto"/>
              <w:jc w:val="both"/>
              <w:rPr>
                <w:rFonts w:cs="Arial"/>
                <w:b/>
                <w:szCs w:val="24"/>
              </w:rPr>
            </w:pPr>
            <w:r>
              <w:rPr>
                <w:rFonts w:cs="Arial"/>
                <w:szCs w:val="24"/>
              </w:rPr>
              <w:t>25</w:t>
            </w:r>
            <w:r w:rsidR="001C48EB" w:rsidRPr="001C48EB">
              <w:rPr>
                <w:rFonts w:cs="Arial"/>
                <w:szCs w:val="24"/>
              </w:rPr>
              <w:t>%</w:t>
            </w:r>
          </w:p>
        </w:tc>
      </w:tr>
      <w:tr w:rsidR="006B6042" w:rsidRPr="001C48EB" w14:paraId="0B134638" w14:textId="77777777" w:rsidTr="001E0C15">
        <w:tc>
          <w:tcPr>
            <w:tcW w:w="2467" w:type="dxa"/>
            <w:tcBorders>
              <w:top w:val="single" w:sz="4" w:space="0" w:color="auto"/>
              <w:left w:val="single" w:sz="4" w:space="0" w:color="auto"/>
              <w:bottom w:val="single" w:sz="4" w:space="0" w:color="auto"/>
              <w:right w:val="single" w:sz="4" w:space="0" w:color="auto"/>
            </w:tcBorders>
            <w:hideMark/>
          </w:tcPr>
          <w:p w14:paraId="248D0F4D" w14:textId="77777777" w:rsidR="001C48EB" w:rsidRPr="001C48EB" w:rsidRDefault="001C48EB" w:rsidP="001C48EB">
            <w:pPr>
              <w:spacing w:line="360" w:lineRule="auto"/>
              <w:jc w:val="both"/>
              <w:rPr>
                <w:rFonts w:cs="Arial"/>
                <w:b/>
                <w:szCs w:val="24"/>
              </w:rPr>
            </w:pPr>
            <w:r w:rsidRPr="001C48EB">
              <w:rPr>
                <w:rFonts w:cs="Arial"/>
                <w:szCs w:val="24"/>
              </w:rPr>
              <w:t>Accessibility to the Council</w:t>
            </w:r>
          </w:p>
        </w:tc>
        <w:tc>
          <w:tcPr>
            <w:tcW w:w="4812" w:type="dxa"/>
            <w:tcBorders>
              <w:top w:val="single" w:sz="4" w:space="0" w:color="auto"/>
              <w:left w:val="single" w:sz="4" w:space="0" w:color="auto"/>
              <w:bottom w:val="single" w:sz="4" w:space="0" w:color="auto"/>
              <w:right w:val="single" w:sz="4" w:space="0" w:color="auto"/>
            </w:tcBorders>
            <w:hideMark/>
          </w:tcPr>
          <w:p w14:paraId="02FE0F77" w14:textId="53CD4422" w:rsidR="00524862" w:rsidRDefault="00524862" w:rsidP="00524862">
            <w:pPr>
              <w:spacing w:line="360" w:lineRule="auto"/>
              <w:jc w:val="both"/>
              <w:rPr>
                <w:rFonts w:cs="Arial"/>
                <w:szCs w:val="24"/>
              </w:rPr>
            </w:pPr>
            <w:r>
              <w:rPr>
                <w:rFonts w:cs="Arial"/>
                <w:szCs w:val="24"/>
              </w:rPr>
              <w:t>What is your a</w:t>
            </w:r>
            <w:r w:rsidR="001C48EB" w:rsidRPr="001C48EB">
              <w:rPr>
                <w:rFonts w:cs="Arial"/>
                <w:szCs w:val="24"/>
              </w:rPr>
              <w:t xml:space="preserve">vailability of point of contact in emergency </w:t>
            </w:r>
            <w:r w:rsidR="00D6550A" w:rsidRPr="001C48EB">
              <w:rPr>
                <w:rFonts w:cs="Arial"/>
                <w:szCs w:val="24"/>
              </w:rPr>
              <w:t>situations?</w:t>
            </w:r>
          </w:p>
          <w:p w14:paraId="73883223" w14:textId="77777777" w:rsidR="00DB279E" w:rsidRDefault="00524862" w:rsidP="00F31192">
            <w:pPr>
              <w:spacing w:line="360" w:lineRule="auto"/>
              <w:jc w:val="both"/>
              <w:rPr>
                <w:rFonts w:cs="Arial"/>
                <w:szCs w:val="24"/>
              </w:rPr>
            </w:pPr>
            <w:r>
              <w:rPr>
                <w:rFonts w:cs="Arial"/>
                <w:szCs w:val="24"/>
              </w:rPr>
              <w:t>Do you provide an on-line portal with access to GBC staff</w:t>
            </w:r>
            <w:r w:rsidR="006B6042">
              <w:rPr>
                <w:rFonts w:cs="Arial"/>
                <w:szCs w:val="24"/>
              </w:rPr>
              <w:t xml:space="preserve"> in real time</w:t>
            </w:r>
            <w:r>
              <w:rPr>
                <w:rFonts w:cs="Arial"/>
                <w:szCs w:val="24"/>
              </w:rPr>
              <w:t>?</w:t>
            </w:r>
          </w:p>
          <w:p w14:paraId="5290CE92" w14:textId="1E4C633F" w:rsidR="001C48EB" w:rsidRPr="001C48EB" w:rsidRDefault="00524862" w:rsidP="00F31192">
            <w:pPr>
              <w:spacing w:line="360" w:lineRule="auto"/>
              <w:jc w:val="both"/>
              <w:rPr>
                <w:rFonts w:cs="Arial"/>
                <w:b/>
                <w:szCs w:val="24"/>
              </w:rPr>
            </w:pPr>
            <w:r>
              <w:rPr>
                <w:rFonts w:cs="Arial"/>
                <w:szCs w:val="24"/>
              </w:rPr>
              <w:t xml:space="preserve"> How will perfor</w:t>
            </w:r>
            <w:r w:rsidR="00D6550A">
              <w:rPr>
                <w:rFonts w:cs="Arial"/>
                <w:szCs w:val="24"/>
              </w:rPr>
              <w:t>mance reports be made available and how frequently will they be provided?</w:t>
            </w:r>
          </w:p>
        </w:tc>
        <w:tc>
          <w:tcPr>
            <w:tcW w:w="1737" w:type="dxa"/>
            <w:tcBorders>
              <w:top w:val="single" w:sz="4" w:space="0" w:color="auto"/>
              <w:left w:val="single" w:sz="4" w:space="0" w:color="auto"/>
              <w:bottom w:val="single" w:sz="4" w:space="0" w:color="auto"/>
              <w:right w:val="single" w:sz="4" w:space="0" w:color="auto"/>
            </w:tcBorders>
            <w:hideMark/>
          </w:tcPr>
          <w:p w14:paraId="18518977" w14:textId="51FDF138" w:rsidR="001C48EB" w:rsidRPr="001C48EB" w:rsidRDefault="00DB279E" w:rsidP="00DB279E">
            <w:pPr>
              <w:spacing w:line="360" w:lineRule="auto"/>
              <w:jc w:val="both"/>
              <w:rPr>
                <w:rFonts w:cs="Arial"/>
                <w:b/>
                <w:szCs w:val="24"/>
              </w:rPr>
            </w:pPr>
            <w:r>
              <w:rPr>
                <w:rFonts w:cs="Arial"/>
                <w:szCs w:val="24"/>
              </w:rPr>
              <w:t>25</w:t>
            </w:r>
            <w:r w:rsidR="001C48EB" w:rsidRPr="001C48EB">
              <w:rPr>
                <w:rFonts w:cs="Arial"/>
                <w:szCs w:val="24"/>
              </w:rPr>
              <w:t>%</w:t>
            </w:r>
          </w:p>
        </w:tc>
      </w:tr>
      <w:tr w:rsidR="006B6042" w:rsidRPr="001C48EB" w14:paraId="61A95170" w14:textId="77777777" w:rsidTr="001E0C15">
        <w:tc>
          <w:tcPr>
            <w:tcW w:w="2467" w:type="dxa"/>
            <w:tcBorders>
              <w:top w:val="single" w:sz="4" w:space="0" w:color="auto"/>
              <w:left w:val="single" w:sz="4" w:space="0" w:color="auto"/>
              <w:bottom w:val="single" w:sz="4" w:space="0" w:color="auto"/>
              <w:right w:val="single" w:sz="4" w:space="0" w:color="auto"/>
            </w:tcBorders>
            <w:hideMark/>
          </w:tcPr>
          <w:p w14:paraId="7D79775B" w14:textId="77777777" w:rsidR="001C48EB" w:rsidRPr="001C48EB" w:rsidRDefault="001C48EB" w:rsidP="001C48EB">
            <w:pPr>
              <w:spacing w:line="360" w:lineRule="auto"/>
              <w:jc w:val="both"/>
              <w:rPr>
                <w:rFonts w:cs="Arial"/>
                <w:b/>
                <w:szCs w:val="24"/>
              </w:rPr>
            </w:pPr>
            <w:r w:rsidRPr="001C48EB">
              <w:rPr>
                <w:rFonts w:cs="Arial"/>
                <w:szCs w:val="24"/>
              </w:rPr>
              <w:t>Instructions</w:t>
            </w:r>
          </w:p>
        </w:tc>
        <w:tc>
          <w:tcPr>
            <w:tcW w:w="4812" w:type="dxa"/>
            <w:tcBorders>
              <w:top w:val="single" w:sz="4" w:space="0" w:color="auto"/>
              <w:left w:val="single" w:sz="4" w:space="0" w:color="auto"/>
              <w:bottom w:val="single" w:sz="4" w:space="0" w:color="auto"/>
              <w:right w:val="single" w:sz="4" w:space="0" w:color="auto"/>
            </w:tcBorders>
            <w:hideMark/>
          </w:tcPr>
          <w:p w14:paraId="19974433" w14:textId="107910E3" w:rsidR="006B6042" w:rsidRDefault="006B6042" w:rsidP="006B6042">
            <w:pPr>
              <w:spacing w:line="360" w:lineRule="auto"/>
              <w:jc w:val="both"/>
              <w:rPr>
                <w:rFonts w:cs="Arial"/>
                <w:szCs w:val="24"/>
              </w:rPr>
            </w:pPr>
            <w:r>
              <w:rPr>
                <w:rFonts w:cs="Arial"/>
                <w:szCs w:val="24"/>
              </w:rPr>
              <w:t>Will the council have the f</w:t>
            </w:r>
            <w:r w:rsidR="001C48EB" w:rsidRPr="001C48EB">
              <w:rPr>
                <w:rFonts w:cs="Arial"/>
                <w:szCs w:val="24"/>
              </w:rPr>
              <w:t xml:space="preserve">lexibility to withdraw a case in certain </w:t>
            </w:r>
            <w:r w:rsidRPr="001C48EB">
              <w:rPr>
                <w:rFonts w:cs="Arial"/>
                <w:szCs w:val="24"/>
              </w:rPr>
              <w:t>conditions?</w:t>
            </w:r>
            <w:r w:rsidR="001C48EB" w:rsidRPr="001C48EB">
              <w:rPr>
                <w:rFonts w:cs="Arial"/>
                <w:szCs w:val="24"/>
              </w:rPr>
              <w:t xml:space="preserve"> </w:t>
            </w:r>
          </w:p>
          <w:p w14:paraId="37E4D3EC" w14:textId="305F4227" w:rsidR="001C48EB" w:rsidRPr="001C48EB" w:rsidRDefault="006B6042" w:rsidP="006B6042">
            <w:pPr>
              <w:spacing w:line="360" w:lineRule="auto"/>
              <w:jc w:val="both"/>
              <w:rPr>
                <w:rFonts w:cs="Arial"/>
                <w:b/>
                <w:szCs w:val="24"/>
              </w:rPr>
            </w:pPr>
            <w:r>
              <w:rPr>
                <w:rFonts w:cs="Arial"/>
                <w:szCs w:val="24"/>
              </w:rPr>
              <w:t>What is your p</w:t>
            </w:r>
            <w:r w:rsidR="001C48EB" w:rsidRPr="001C48EB">
              <w:rPr>
                <w:rFonts w:cs="Arial"/>
                <w:szCs w:val="24"/>
              </w:rPr>
              <w:t>erformance level in respect of debtor tracing and debt recovery</w:t>
            </w:r>
          </w:p>
        </w:tc>
        <w:tc>
          <w:tcPr>
            <w:tcW w:w="1737" w:type="dxa"/>
            <w:tcBorders>
              <w:top w:val="single" w:sz="4" w:space="0" w:color="auto"/>
              <w:left w:val="single" w:sz="4" w:space="0" w:color="auto"/>
              <w:bottom w:val="single" w:sz="4" w:space="0" w:color="auto"/>
              <w:right w:val="single" w:sz="4" w:space="0" w:color="auto"/>
            </w:tcBorders>
            <w:hideMark/>
          </w:tcPr>
          <w:p w14:paraId="60A2D3EF" w14:textId="4377AFB4" w:rsidR="001C48EB" w:rsidRPr="001C48EB" w:rsidRDefault="00DB279E" w:rsidP="001C48EB">
            <w:pPr>
              <w:spacing w:line="360" w:lineRule="auto"/>
              <w:jc w:val="both"/>
              <w:rPr>
                <w:rFonts w:cs="Arial"/>
                <w:b/>
                <w:szCs w:val="24"/>
              </w:rPr>
            </w:pPr>
            <w:r>
              <w:rPr>
                <w:rFonts w:cs="Arial"/>
                <w:szCs w:val="24"/>
              </w:rPr>
              <w:t>25</w:t>
            </w:r>
            <w:r w:rsidR="001C48EB" w:rsidRPr="001C48EB">
              <w:rPr>
                <w:rFonts w:cs="Arial"/>
                <w:szCs w:val="24"/>
              </w:rPr>
              <w:t>%</w:t>
            </w:r>
          </w:p>
        </w:tc>
      </w:tr>
      <w:tr w:rsidR="006B6042" w:rsidRPr="001C48EB" w14:paraId="61C8DA74" w14:textId="77777777" w:rsidTr="001E0C15">
        <w:tc>
          <w:tcPr>
            <w:tcW w:w="2467" w:type="dxa"/>
            <w:tcBorders>
              <w:top w:val="single" w:sz="4" w:space="0" w:color="auto"/>
              <w:left w:val="single" w:sz="4" w:space="0" w:color="auto"/>
              <w:bottom w:val="single" w:sz="4" w:space="0" w:color="auto"/>
              <w:right w:val="single" w:sz="4" w:space="0" w:color="auto"/>
            </w:tcBorders>
            <w:hideMark/>
          </w:tcPr>
          <w:p w14:paraId="37A618D2" w14:textId="77777777" w:rsidR="001C48EB" w:rsidRPr="001C48EB" w:rsidRDefault="001C48EB" w:rsidP="001C48EB">
            <w:pPr>
              <w:spacing w:line="360" w:lineRule="auto"/>
              <w:jc w:val="both"/>
              <w:rPr>
                <w:rFonts w:cs="Arial"/>
                <w:b/>
                <w:szCs w:val="24"/>
              </w:rPr>
            </w:pPr>
            <w:r w:rsidRPr="001C48EB">
              <w:rPr>
                <w:rFonts w:cs="Arial"/>
                <w:szCs w:val="24"/>
              </w:rPr>
              <w:t>Financial procedures</w:t>
            </w:r>
          </w:p>
        </w:tc>
        <w:tc>
          <w:tcPr>
            <w:tcW w:w="4812" w:type="dxa"/>
            <w:tcBorders>
              <w:top w:val="single" w:sz="4" w:space="0" w:color="auto"/>
              <w:left w:val="single" w:sz="4" w:space="0" w:color="auto"/>
              <w:bottom w:val="single" w:sz="4" w:space="0" w:color="auto"/>
              <w:right w:val="single" w:sz="4" w:space="0" w:color="auto"/>
            </w:tcBorders>
            <w:hideMark/>
          </w:tcPr>
          <w:p w14:paraId="0D1F4D69" w14:textId="4CE97685" w:rsidR="006B6042" w:rsidRDefault="006B6042" w:rsidP="006B6042">
            <w:pPr>
              <w:spacing w:line="360" w:lineRule="auto"/>
              <w:jc w:val="both"/>
              <w:rPr>
                <w:rFonts w:cs="Arial"/>
                <w:szCs w:val="24"/>
              </w:rPr>
            </w:pPr>
            <w:r>
              <w:rPr>
                <w:rFonts w:cs="Arial"/>
                <w:szCs w:val="24"/>
              </w:rPr>
              <w:t>Please provide information of your b</w:t>
            </w:r>
            <w:r w:rsidR="006D426F">
              <w:rPr>
                <w:rFonts w:cs="Arial"/>
                <w:szCs w:val="24"/>
              </w:rPr>
              <w:t>anking, accounting and</w:t>
            </w:r>
            <w:r w:rsidR="001C48EB" w:rsidRPr="001C48EB">
              <w:rPr>
                <w:rFonts w:cs="Arial"/>
                <w:szCs w:val="24"/>
              </w:rPr>
              <w:t xml:space="preserve"> invoicing</w:t>
            </w:r>
            <w:r w:rsidR="006D426F">
              <w:rPr>
                <w:rFonts w:cs="Arial"/>
                <w:szCs w:val="24"/>
              </w:rPr>
              <w:t>. H</w:t>
            </w:r>
            <w:r>
              <w:rPr>
                <w:rFonts w:cs="Arial"/>
                <w:szCs w:val="24"/>
              </w:rPr>
              <w:t xml:space="preserve">ow </w:t>
            </w:r>
            <w:r w:rsidR="006D426F">
              <w:rPr>
                <w:rFonts w:cs="Arial"/>
                <w:szCs w:val="24"/>
              </w:rPr>
              <w:t xml:space="preserve">will </w:t>
            </w:r>
            <w:r w:rsidR="001C48EB" w:rsidRPr="001C48EB">
              <w:rPr>
                <w:rFonts w:cs="Arial"/>
                <w:szCs w:val="24"/>
              </w:rPr>
              <w:t>payments</w:t>
            </w:r>
            <w:r>
              <w:rPr>
                <w:rFonts w:cs="Arial"/>
                <w:szCs w:val="24"/>
              </w:rPr>
              <w:t xml:space="preserve"> will be made</w:t>
            </w:r>
            <w:r w:rsidR="001C48EB" w:rsidRPr="001C48EB">
              <w:rPr>
                <w:rFonts w:cs="Arial"/>
                <w:szCs w:val="24"/>
              </w:rPr>
              <w:t xml:space="preserve"> to the </w:t>
            </w:r>
            <w:proofErr w:type="gramStart"/>
            <w:r w:rsidR="001C48EB" w:rsidRPr="001C48EB">
              <w:rPr>
                <w:rFonts w:cs="Arial"/>
                <w:szCs w:val="24"/>
              </w:rPr>
              <w:t>Council.</w:t>
            </w:r>
            <w:proofErr w:type="gramEnd"/>
            <w:r w:rsidR="001C48EB" w:rsidRPr="001C48EB">
              <w:rPr>
                <w:rFonts w:cs="Arial"/>
                <w:szCs w:val="24"/>
              </w:rPr>
              <w:t xml:space="preserve"> </w:t>
            </w:r>
            <w:r w:rsidR="00F31192">
              <w:rPr>
                <w:rFonts w:cs="Arial"/>
                <w:szCs w:val="24"/>
              </w:rPr>
              <w:t>Will the suppliers IT systems interface with the council software provider (Chipside) to allow for payments and returns to be processed.</w:t>
            </w:r>
          </w:p>
          <w:p w14:paraId="7A12EFAD" w14:textId="238C1D94" w:rsidR="001C48EB" w:rsidRPr="001C48EB" w:rsidRDefault="006B6042" w:rsidP="006B6042">
            <w:pPr>
              <w:spacing w:line="360" w:lineRule="auto"/>
              <w:jc w:val="both"/>
              <w:rPr>
                <w:rFonts w:cs="Arial"/>
                <w:b/>
                <w:szCs w:val="24"/>
              </w:rPr>
            </w:pPr>
            <w:r>
              <w:rPr>
                <w:rFonts w:cs="Arial"/>
                <w:szCs w:val="24"/>
              </w:rPr>
              <w:t xml:space="preserve">Please provide proof of </w:t>
            </w:r>
            <w:r w:rsidR="001C48EB" w:rsidRPr="001C48EB">
              <w:rPr>
                <w:rFonts w:cs="Arial"/>
                <w:szCs w:val="24"/>
              </w:rPr>
              <w:t>Indemnity and Insurance</w:t>
            </w:r>
          </w:p>
        </w:tc>
        <w:tc>
          <w:tcPr>
            <w:tcW w:w="1737" w:type="dxa"/>
            <w:tcBorders>
              <w:top w:val="single" w:sz="4" w:space="0" w:color="auto"/>
              <w:left w:val="single" w:sz="4" w:space="0" w:color="auto"/>
              <w:bottom w:val="single" w:sz="4" w:space="0" w:color="auto"/>
              <w:right w:val="single" w:sz="4" w:space="0" w:color="auto"/>
            </w:tcBorders>
            <w:hideMark/>
          </w:tcPr>
          <w:p w14:paraId="4381B350" w14:textId="631AAB73" w:rsidR="001C48EB" w:rsidRPr="001C48EB" w:rsidRDefault="00DB279E" w:rsidP="001C48EB">
            <w:pPr>
              <w:spacing w:line="360" w:lineRule="auto"/>
              <w:jc w:val="both"/>
              <w:rPr>
                <w:rFonts w:cs="Arial"/>
                <w:b/>
                <w:szCs w:val="24"/>
              </w:rPr>
            </w:pPr>
            <w:r>
              <w:rPr>
                <w:rFonts w:cs="Arial"/>
                <w:szCs w:val="24"/>
              </w:rPr>
              <w:t>15</w:t>
            </w:r>
            <w:r w:rsidR="001C48EB" w:rsidRPr="001C48EB">
              <w:rPr>
                <w:rFonts w:cs="Arial"/>
                <w:szCs w:val="24"/>
              </w:rPr>
              <w:t>%</w:t>
            </w:r>
          </w:p>
        </w:tc>
      </w:tr>
      <w:tr w:rsidR="006B6042" w:rsidRPr="001C48EB" w14:paraId="6E15962F" w14:textId="77777777" w:rsidTr="001E0C15">
        <w:tc>
          <w:tcPr>
            <w:tcW w:w="2467" w:type="dxa"/>
            <w:tcBorders>
              <w:top w:val="single" w:sz="4" w:space="0" w:color="auto"/>
              <w:left w:val="single" w:sz="4" w:space="0" w:color="auto"/>
              <w:bottom w:val="single" w:sz="4" w:space="0" w:color="auto"/>
              <w:right w:val="single" w:sz="4" w:space="0" w:color="auto"/>
            </w:tcBorders>
            <w:hideMark/>
          </w:tcPr>
          <w:p w14:paraId="71717E89" w14:textId="77777777" w:rsidR="001C48EB" w:rsidRPr="001C48EB" w:rsidRDefault="001C48EB" w:rsidP="001C48EB">
            <w:pPr>
              <w:spacing w:line="360" w:lineRule="auto"/>
              <w:jc w:val="both"/>
              <w:rPr>
                <w:rFonts w:cs="Arial"/>
                <w:b/>
                <w:szCs w:val="24"/>
              </w:rPr>
            </w:pPr>
            <w:r w:rsidRPr="001C48EB">
              <w:rPr>
                <w:rFonts w:cs="Arial"/>
                <w:szCs w:val="24"/>
              </w:rPr>
              <w:t>Vulnerability</w:t>
            </w:r>
          </w:p>
        </w:tc>
        <w:tc>
          <w:tcPr>
            <w:tcW w:w="4812" w:type="dxa"/>
            <w:tcBorders>
              <w:top w:val="single" w:sz="4" w:space="0" w:color="auto"/>
              <w:left w:val="single" w:sz="4" w:space="0" w:color="auto"/>
              <w:bottom w:val="single" w:sz="4" w:space="0" w:color="auto"/>
              <w:right w:val="single" w:sz="4" w:space="0" w:color="auto"/>
            </w:tcBorders>
            <w:hideMark/>
          </w:tcPr>
          <w:p w14:paraId="2A104B47" w14:textId="15AF35BF" w:rsidR="001C48EB" w:rsidRPr="001C48EB" w:rsidRDefault="006B6042" w:rsidP="006B6042">
            <w:pPr>
              <w:spacing w:line="360" w:lineRule="auto"/>
              <w:jc w:val="both"/>
              <w:rPr>
                <w:rFonts w:cs="Arial"/>
                <w:b/>
                <w:szCs w:val="24"/>
              </w:rPr>
            </w:pPr>
            <w:r>
              <w:rPr>
                <w:rFonts w:cs="Arial"/>
                <w:szCs w:val="24"/>
              </w:rPr>
              <w:t>Please provide information on how you deal with v</w:t>
            </w:r>
            <w:r w:rsidR="001C48EB" w:rsidRPr="001C48EB">
              <w:rPr>
                <w:rFonts w:cs="Arial"/>
                <w:szCs w:val="24"/>
              </w:rPr>
              <w:t>ulnerabilit</w:t>
            </w:r>
            <w:r>
              <w:rPr>
                <w:rFonts w:cs="Arial"/>
                <w:szCs w:val="24"/>
              </w:rPr>
              <w:t>ies</w:t>
            </w:r>
            <w:r w:rsidR="001C48EB" w:rsidRPr="001C48EB">
              <w:rPr>
                <w:rFonts w:cs="Arial"/>
                <w:szCs w:val="24"/>
              </w:rPr>
              <w:t xml:space="preserve">, including medical conditions, learning disabilities, addiction, domestic violence and severe debt. Safeguarding and discrimination. </w:t>
            </w:r>
            <w:r>
              <w:rPr>
                <w:rFonts w:cs="Arial"/>
                <w:szCs w:val="24"/>
              </w:rPr>
              <w:lastRenderedPageBreak/>
              <w:t>How do you deal with b</w:t>
            </w:r>
            <w:r w:rsidR="001C48EB" w:rsidRPr="001C48EB">
              <w:rPr>
                <w:rFonts w:cs="Arial"/>
                <w:szCs w:val="24"/>
              </w:rPr>
              <w:t xml:space="preserve">reathing </w:t>
            </w:r>
            <w:r>
              <w:rPr>
                <w:rFonts w:cs="Arial"/>
                <w:szCs w:val="24"/>
              </w:rPr>
              <w:t>s</w:t>
            </w:r>
            <w:r w:rsidR="001C48EB" w:rsidRPr="001C48EB">
              <w:rPr>
                <w:rFonts w:cs="Arial"/>
                <w:szCs w:val="24"/>
              </w:rPr>
              <w:t xml:space="preserve">pace </w:t>
            </w:r>
            <w:r>
              <w:rPr>
                <w:rFonts w:cs="Arial"/>
                <w:szCs w:val="24"/>
              </w:rPr>
              <w:t>notifications?</w:t>
            </w:r>
          </w:p>
        </w:tc>
        <w:tc>
          <w:tcPr>
            <w:tcW w:w="1737" w:type="dxa"/>
            <w:tcBorders>
              <w:top w:val="single" w:sz="4" w:space="0" w:color="auto"/>
              <w:left w:val="single" w:sz="4" w:space="0" w:color="auto"/>
              <w:bottom w:val="single" w:sz="4" w:space="0" w:color="auto"/>
              <w:right w:val="single" w:sz="4" w:space="0" w:color="auto"/>
            </w:tcBorders>
            <w:hideMark/>
          </w:tcPr>
          <w:p w14:paraId="4E249FDC" w14:textId="1F0B7FFA" w:rsidR="001C48EB" w:rsidRPr="001C48EB" w:rsidRDefault="00DB279E" w:rsidP="001C48EB">
            <w:pPr>
              <w:spacing w:line="360" w:lineRule="auto"/>
              <w:jc w:val="both"/>
              <w:rPr>
                <w:rFonts w:cs="Arial"/>
                <w:b/>
                <w:szCs w:val="24"/>
              </w:rPr>
            </w:pPr>
            <w:r>
              <w:rPr>
                <w:rFonts w:cs="Arial"/>
                <w:szCs w:val="24"/>
              </w:rPr>
              <w:lastRenderedPageBreak/>
              <w:t>1</w:t>
            </w:r>
            <w:r w:rsidR="001C48EB" w:rsidRPr="001C48EB">
              <w:rPr>
                <w:rFonts w:cs="Arial"/>
                <w:szCs w:val="24"/>
              </w:rPr>
              <w:t>0%</w:t>
            </w:r>
          </w:p>
        </w:tc>
      </w:tr>
    </w:tbl>
    <w:p w14:paraId="4D2F6C0E" w14:textId="4503043B" w:rsidR="001C48EB" w:rsidRPr="001C48EB" w:rsidRDefault="001E0C15" w:rsidP="00AB124C">
      <w:pPr>
        <w:jc w:val="both"/>
        <w:rPr>
          <w:color w:val="auto"/>
          <w:lang w:val="en-US"/>
        </w:rPr>
      </w:pPr>
      <w:r w:rsidRPr="003627F6">
        <w:rPr>
          <w:i/>
          <w:sz w:val="22"/>
        </w:rPr>
        <w:t>Please note that scoring ‘1’ or less for any one or more quality questions will give grounds for excluding the response from further consideration</w:t>
      </w:r>
      <w:r>
        <w:rPr>
          <w:i/>
          <w:sz w:val="22"/>
        </w:rPr>
        <w:t xml:space="preserve"> and will not be included in the final evaluation.</w:t>
      </w:r>
    </w:p>
    <w:p w14:paraId="2D6241BC" w14:textId="77777777" w:rsidR="001E0C15" w:rsidRDefault="001E0C15" w:rsidP="00097418">
      <w:pPr>
        <w:jc w:val="both"/>
        <w:rPr>
          <w:b/>
          <w:color w:val="auto"/>
        </w:rPr>
      </w:pPr>
    </w:p>
    <w:p w14:paraId="2F512CFA" w14:textId="2E772F67" w:rsidR="00097418" w:rsidRPr="00097418" w:rsidRDefault="006A1EF4" w:rsidP="00097418">
      <w:pPr>
        <w:jc w:val="both"/>
        <w:rPr>
          <w:b/>
          <w:color w:val="auto"/>
        </w:rPr>
      </w:pPr>
      <w:r>
        <w:rPr>
          <w:b/>
          <w:color w:val="auto"/>
        </w:rPr>
        <w:t xml:space="preserve">Responses for all </w:t>
      </w:r>
      <w:r w:rsidR="00097418" w:rsidRPr="00097418">
        <w:rPr>
          <w:b/>
          <w:color w:val="auto"/>
        </w:rPr>
        <w:t>service area</w:t>
      </w:r>
      <w:r>
        <w:rPr>
          <w:b/>
          <w:color w:val="auto"/>
        </w:rPr>
        <w:t>s</w:t>
      </w:r>
      <w:r w:rsidR="00097418" w:rsidRPr="00097418">
        <w:rPr>
          <w:b/>
          <w:color w:val="auto"/>
        </w:rPr>
        <w:t xml:space="preserve"> have the following mandatory limitations:</w:t>
      </w:r>
    </w:p>
    <w:p w14:paraId="58374F21" w14:textId="4E8C0B9F" w:rsidR="00097418" w:rsidRPr="00097418" w:rsidRDefault="00097418" w:rsidP="00097418">
      <w:pPr>
        <w:numPr>
          <w:ilvl w:val="0"/>
          <w:numId w:val="12"/>
        </w:numPr>
        <w:jc w:val="both"/>
        <w:rPr>
          <w:color w:val="auto"/>
        </w:rPr>
      </w:pPr>
      <w:r w:rsidRPr="00097418">
        <w:rPr>
          <w:color w:val="auto"/>
        </w:rPr>
        <w:t>Page</w:t>
      </w:r>
      <w:r w:rsidR="008529C0">
        <w:rPr>
          <w:color w:val="auto"/>
        </w:rPr>
        <w:t>/Word</w:t>
      </w:r>
      <w:r w:rsidRPr="00097418">
        <w:rPr>
          <w:color w:val="auto"/>
        </w:rPr>
        <w:t xml:space="preserve"> Limit – A4 page with normal margins, </w:t>
      </w:r>
      <w:r w:rsidR="006A1EF4">
        <w:rPr>
          <w:color w:val="auto"/>
        </w:rPr>
        <w:t>2</w:t>
      </w:r>
      <w:r w:rsidR="008529C0">
        <w:rPr>
          <w:color w:val="auto"/>
        </w:rPr>
        <w:t>500 max word count</w:t>
      </w:r>
    </w:p>
    <w:p w14:paraId="5CE39CCC" w14:textId="77777777" w:rsidR="00097418" w:rsidRPr="00097418" w:rsidRDefault="00097418" w:rsidP="00097418">
      <w:pPr>
        <w:numPr>
          <w:ilvl w:val="0"/>
          <w:numId w:val="12"/>
        </w:numPr>
        <w:jc w:val="both"/>
        <w:rPr>
          <w:color w:val="auto"/>
        </w:rPr>
      </w:pPr>
      <w:r w:rsidRPr="00097418">
        <w:rPr>
          <w:color w:val="auto"/>
        </w:rPr>
        <w:t>Document Format – Word or PDF</w:t>
      </w:r>
    </w:p>
    <w:p w14:paraId="230328F6" w14:textId="77777777" w:rsidR="00097418" w:rsidRPr="00097418" w:rsidRDefault="00097418" w:rsidP="00097418">
      <w:pPr>
        <w:numPr>
          <w:ilvl w:val="0"/>
          <w:numId w:val="12"/>
        </w:numPr>
        <w:jc w:val="both"/>
        <w:rPr>
          <w:color w:val="auto"/>
        </w:rPr>
      </w:pPr>
      <w:r w:rsidRPr="00097418">
        <w:rPr>
          <w:color w:val="auto"/>
        </w:rPr>
        <w:t xml:space="preserve">Tables, pictures, diagrams and images </w:t>
      </w:r>
      <w:r w:rsidRPr="00097418">
        <w:rPr>
          <w:color w:val="auto"/>
          <w:u w:val="single"/>
        </w:rPr>
        <w:t>may</w:t>
      </w:r>
      <w:r w:rsidRPr="00097418">
        <w:rPr>
          <w:color w:val="auto"/>
        </w:rPr>
        <w:t xml:space="preserve"> be included if appropriate to the question and must fall in line with the page limit</w:t>
      </w:r>
    </w:p>
    <w:p w14:paraId="4B471998" w14:textId="77777777" w:rsidR="00097418" w:rsidRPr="00097418" w:rsidRDefault="00097418" w:rsidP="00097418">
      <w:pPr>
        <w:numPr>
          <w:ilvl w:val="0"/>
          <w:numId w:val="12"/>
        </w:numPr>
        <w:jc w:val="both"/>
        <w:rPr>
          <w:color w:val="auto"/>
        </w:rPr>
      </w:pPr>
      <w:r w:rsidRPr="00097418">
        <w:rPr>
          <w:color w:val="auto"/>
        </w:rPr>
        <w:t>Marketing brochures, company policy documents and annual reports will not be accepted</w:t>
      </w:r>
    </w:p>
    <w:p w14:paraId="01ADA6DA" w14:textId="77777777" w:rsidR="00643F40" w:rsidRDefault="00643F40" w:rsidP="00643F40">
      <w:pPr>
        <w:jc w:val="both"/>
        <w:rPr>
          <w:color w:val="FF0000"/>
          <w:lang w:val="en-US"/>
        </w:rPr>
      </w:pPr>
    </w:p>
    <w:p w14:paraId="7DE6A95F" w14:textId="77777777" w:rsidR="00643F40" w:rsidRPr="001C48EB" w:rsidRDefault="00643F40" w:rsidP="00643F40">
      <w:pPr>
        <w:rPr>
          <w:color w:val="auto"/>
          <w:lang w:val="en-US"/>
        </w:rPr>
      </w:pPr>
      <w:r w:rsidRPr="001C48EB">
        <w:rPr>
          <w:color w:val="auto"/>
          <w:lang w:val="en-US"/>
        </w:rPr>
        <w:t xml:space="preserve">The </w:t>
      </w:r>
      <w:r w:rsidR="00097418">
        <w:rPr>
          <w:color w:val="auto"/>
          <w:lang w:val="en-US"/>
        </w:rPr>
        <w:t>contractor</w:t>
      </w:r>
      <w:r w:rsidRPr="001C48EB">
        <w:rPr>
          <w:color w:val="auto"/>
          <w:lang w:val="en-US"/>
        </w:rPr>
        <w:t xml:space="preserve"> must offer open lines of communication via phone and email for GBC staff to receive advice and discuss requirements.  This must be available Monday to Friday from 9am until 5pm.</w:t>
      </w:r>
    </w:p>
    <w:p w14:paraId="14FC99DA" w14:textId="77777777" w:rsidR="00643F40" w:rsidRDefault="00643F40" w:rsidP="00643F40">
      <w:pPr>
        <w:jc w:val="both"/>
        <w:rPr>
          <w:color w:val="FF0000"/>
          <w:lang w:val="en-US"/>
        </w:rPr>
      </w:pPr>
    </w:p>
    <w:p w14:paraId="39A6FFCF" w14:textId="77777777" w:rsidR="009E2FCC" w:rsidRPr="009E2FCC" w:rsidRDefault="009E2FCC" w:rsidP="009E2FCC">
      <w:pPr>
        <w:jc w:val="both"/>
        <w:rPr>
          <w:b/>
          <w:bCs/>
          <w:color w:val="auto"/>
        </w:rPr>
      </w:pPr>
      <w:r w:rsidRPr="009E2FCC">
        <w:rPr>
          <w:b/>
          <w:bCs/>
          <w:color w:val="auto"/>
        </w:rPr>
        <w:t>Evaluation Criteria and Scoring Methodology</w:t>
      </w:r>
      <w:r w:rsidRPr="009E2FCC">
        <w:rPr>
          <w:b/>
          <w:bCs/>
          <w:color w:val="auto"/>
        </w:rPr>
        <w:tab/>
      </w:r>
      <w:r w:rsidRPr="009E2FCC">
        <w:rPr>
          <w:b/>
          <w:bCs/>
          <w:color w:val="auto"/>
        </w:rPr>
        <w:tab/>
      </w:r>
      <w:r w:rsidRPr="009E2FCC">
        <w:rPr>
          <w:b/>
          <w:bCs/>
          <w:color w:val="auto"/>
        </w:rPr>
        <w:tab/>
      </w:r>
      <w:r w:rsidRPr="009E2FCC">
        <w:rPr>
          <w:b/>
          <w:bCs/>
          <w:color w:val="auto"/>
        </w:rPr>
        <w:tab/>
      </w:r>
      <w:r w:rsidRPr="009E2FCC">
        <w:rPr>
          <w:b/>
          <w:bCs/>
          <w:color w:val="auto"/>
        </w:rPr>
        <w:tab/>
      </w:r>
      <w:r w:rsidRPr="009E2FCC">
        <w:rPr>
          <w:b/>
          <w:bCs/>
          <w:color w:val="auto"/>
        </w:rPr>
        <w:tab/>
      </w:r>
      <w:r w:rsidRPr="009E2FCC">
        <w:rPr>
          <w:b/>
          <w:bCs/>
          <w:color w:val="auto"/>
        </w:rPr>
        <w:tab/>
      </w:r>
      <w:r w:rsidRPr="009E2FCC">
        <w:rPr>
          <w:b/>
          <w:bCs/>
          <w:color w:val="auto"/>
        </w:rPr>
        <w:tab/>
      </w:r>
      <w:r w:rsidRPr="009E2FCC">
        <w:rPr>
          <w:b/>
          <w:bCs/>
          <w:color w:val="auto"/>
        </w:rPr>
        <w:tab/>
      </w:r>
    </w:p>
    <w:p w14:paraId="56B08A34" w14:textId="77777777" w:rsidR="009E2FCC" w:rsidRPr="009E2FCC" w:rsidRDefault="009E2FCC" w:rsidP="009E2FCC">
      <w:pPr>
        <w:jc w:val="both"/>
        <w:rPr>
          <w:b/>
          <w:bCs/>
          <w:color w:val="auto"/>
        </w:rPr>
      </w:pPr>
      <w:r w:rsidRPr="009E2FCC">
        <w:rPr>
          <w:bCs/>
          <w:color w:val="auto"/>
        </w:rPr>
        <w:t>Evaluation of Award Criteria and Commercial Requirements</w:t>
      </w:r>
    </w:p>
    <w:p w14:paraId="4DB2DD35" w14:textId="77777777" w:rsidR="009E2FCC" w:rsidRPr="009E2FCC" w:rsidRDefault="009E2FCC" w:rsidP="009E2FCC">
      <w:pPr>
        <w:jc w:val="both"/>
        <w:rPr>
          <w:bCs/>
          <w:color w:val="auto"/>
        </w:rPr>
      </w:pPr>
      <w:r w:rsidRPr="009E2FCC">
        <w:rPr>
          <w:bCs/>
          <w:color w:val="auto"/>
        </w:rPr>
        <w:t>Responses to t</w:t>
      </w:r>
      <w:r w:rsidR="00AE42FC">
        <w:rPr>
          <w:bCs/>
          <w:color w:val="auto"/>
        </w:rPr>
        <w:t>he questions contained above</w:t>
      </w:r>
      <w:r w:rsidRPr="009E2FCC">
        <w:rPr>
          <w:bCs/>
          <w:color w:val="auto"/>
        </w:rPr>
        <w:t xml:space="preserve"> will be evaluated against the following criteria;</w:t>
      </w:r>
    </w:p>
    <w:p w14:paraId="61DD1ECE" w14:textId="77777777" w:rsidR="009E2FCC" w:rsidRPr="009E2FCC" w:rsidRDefault="009E2FCC" w:rsidP="009E2FCC">
      <w:pPr>
        <w:jc w:val="both"/>
        <w:rPr>
          <w:bCs/>
          <w:color w:val="auto"/>
        </w:rPr>
      </w:pPr>
    </w:p>
    <w:tbl>
      <w:tblPr>
        <w:tblW w:w="450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5170"/>
      </w:tblGrid>
      <w:tr w:rsidR="009E2FCC" w:rsidRPr="009E2FCC" w14:paraId="737C3214" w14:textId="77777777" w:rsidTr="009E2FCC">
        <w:trPr>
          <w:trHeight w:val="536"/>
        </w:trPr>
        <w:tc>
          <w:tcPr>
            <w:tcW w:w="5000" w:type="pct"/>
            <w:gridSpan w:val="2"/>
            <w:tcBorders>
              <w:top w:val="single" w:sz="4" w:space="0" w:color="auto"/>
              <w:left w:val="single" w:sz="4" w:space="0" w:color="auto"/>
              <w:bottom w:val="single" w:sz="4" w:space="0" w:color="auto"/>
              <w:right w:val="single" w:sz="4" w:space="0" w:color="auto"/>
            </w:tcBorders>
            <w:hideMark/>
          </w:tcPr>
          <w:p w14:paraId="7AF3BBE5" w14:textId="77777777" w:rsidR="009E2FCC" w:rsidRPr="009E2FCC" w:rsidRDefault="009E2FCC" w:rsidP="009E2FCC">
            <w:pPr>
              <w:jc w:val="both"/>
              <w:rPr>
                <w:b/>
                <w:color w:val="auto"/>
                <w:lang w:val="en-US"/>
              </w:rPr>
            </w:pPr>
            <w:r w:rsidRPr="009E2FCC">
              <w:rPr>
                <w:b/>
                <w:color w:val="auto"/>
                <w:lang w:val="en-US"/>
              </w:rPr>
              <w:t>Evaluation Criteria</w:t>
            </w:r>
          </w:p>
        </w:tc>
      </w:tr>
      <w:tr w:rsidR="009E2FCC" w:rsidRPr="009E2FCC" w14:paraId="033B6ECB" w14:textId="77777777" w:rsidTr="009E2FCC">
        <w:trPr>
          <w:trHeight w:val="416"/>
        </w:trPr>
        <w:tc>
          <w:tcPr>
            <w:tcW w:w="1820" w:type="pct"/>
            <w:tcBorders>
              <w:top w:val="single" w:sz="4" w:space="0" w:color="auto"/>
              <w:left w:val="single" w:sz="4" w:space="0" w:color="auto"/>
              <w:bottom w:val="single" w:sz="4" w:space="0" w:color="auto"/>
              <w:right w:val="single" w:sz="4" w:space="0" w:color="auto"/>
            </w:tcBorders>
            <w:hideMark/>
          </w:tcPr>
          <w:p w14:paraId="7E9A2D10" w14:textId="77777777" w:rsidR="009E2FCC" w:rsidRPr="009E2FCC" w:rsidRDefault="009E2FCC" w:rsidP="009E2FCC">
            <w:pPr>
              <w:jc w:val="both"/>
              <w:rPr>
                <w:b/>
                <w:color w:val="auto"/>
                <w:lang w:val="en-US"/>
              </w:rPr>
            </w:pPr>
            <w:r w:rsidRPr="009E2FCC">
              <w:rPr>
                <w:b/>
                <w:color w:val="auto"/>
                <w:lang w:val="en-US"/>
              </w:rPr>
              <w:t>CRITERION</w:t>
            </w:r>
          </w:p>
        </w:tc>
        <w:tc>
          <w:tcPr>
            <w:tcW w:w="3180" w:type="pct"/>
            <w:tcBorders>
              <w:top w:val="single" w:sz="4" w:space="0" w:color="auto"/>
              <w:left w:val="single" w:sz="4" w:space="0" w:color="auto"/>
              <w:bottom w:val="single" w:sz="4" w:space="0" w:color="auto"/>
              <w:right w:val="single" w:sz="4" w:space="0" w:color="auto"/>
            </w:tcBorders>
            <w:hideMark/>
          </w:tcPr>
          <w:p w14:paraId="7BBFAC21" w14:textId="77777777" w:rsidR="009E2FCC" w:rsidRPr="009E2FCC" w:rsidRDefault="009E2FCC" w:rsidP="009E2FCC">
            <w:pPr>
              <w:jc w:val="both"/>
              <w:rPr>
                <w:b/>
                <w:color w:val="auto"/>
                <w:lang w:val="en-US"/>
              </w:rPr>
            </w:pPr>
            <w:r w:rsidRPr="009E2FCC">
              <w:rPr>
                <w:b/>
                <w:color w:val="auto"/>
                <w:lang w:val="en-US"/>
              </w:rPr>
              <w:t>PERCENTAGE WEIGHTINGS</w:t>
            </w:r>
          </w:p>
        </w:tc>
      </w:tr>
      <w:tr w:rsidR="009E2FCC" w:rsidRPr="009E2FCC" w14:paraId="7B78AD12" w14:textId="77777777" w:rsidTr="009E2FCC">
        <w:tc>
          <w:tcPr>
            <w:tcW w:w="1820" w:type="pct"/>
            <w:tcBorders>
              <w:top w:val="single" w:sz="4" w:space="0" w:color="auto"/>
              <w:left w:val="single" w:sz="4" w:space="0" w:color="auto"/>
              <w:bottom w:val="single" w:sz="4" w:space="0" w:color="auto"/>
              <w:right w:val="single" w:sz="4" w:space="0" w:color="auto"/>
            </w:tcBorders>
            <w:vAlign w:val="center"/>
            <w:hideMark/>
          </w:tcPr>
          <w:p w14:paraId="1A161E84" w14:textId="77777777" w:rsidR="009E2FCC" w:rsidRPr="009E2FCC" w:rsidRDefault="009E2FCC" w:rsidP="009E2FCC">
            <w:pPr>
              <w:jc w:val="both"/>
              <w:rPr>
                <w:color w:val="auto"/>
                <w:lang w:val="en-US"/>
              </w:rPr>
            </w:pPr>
            <w:r w:rsidRPr="009E2FCC">
              <w:rPr>
                <w:color w:val="auto"/>
                <w:lang w:val="en-US"/>
              </w:rPr>
              <w:t>Quality</w:t>
            </w:r>
          </w:p>
        </w:tc>
        <w:tc>
          <w:tcPr>
            <w:tcW w:w="3180" w:type="pct"/>
            <w:tcBorders>
              <w:top w:val="single" w:sz="4" w:space="0" w:color="auto"/>
              <w:left w:val="single" w:sz="4" w:space="0" w:color="auto"/>
              <w:bottom w:val="single" w:sz="4" w:space="0" w:color="auto"/>
              <w:right w:val="single" w:sz="4" w:space="0" w:color="auto"/>
            </w:tcBorders>
            <w:vAlign w:val="center"/>
            <w:hideMark/>
          </w:tcPr>
          <w:p w14:paraId="5D9D6D58" w14:textId="77777777" w:rsidR="009E2FCC" w:rsidRPr="009E2FCC" w:rsidRDefault="009E2FCC" w:rsidP="009E2FCC">
            <w:pPr>
              <w:jc w:val="both"/>
              <w:rPr>
                <w:color w:val="auto"/>
                <w:lang w:val="en-US"/>
              </w:rPr>
            </w:pPr>
            <w:r w:rsidRPr="009E2FCC">
              <w:rPr>
                <w:color w:val="auto"/>
                <w:lang w:val="en-US"/>
              </w:rPr>
              <w:t>100%</w:t>
            </w:r>
          </w:p>
        </w:tc>
      </w:tr>
      <w:tr w:rsidR="009E2FCC" w:rsidRPr="009E2FCC" w14:paraId="2730ED4B" w14:textId="77777777" w:rsidTr="009E2FCC">
        <w:tc>
          <w:tcPr>
            <w:tcW w:w="1820" w:type="pct"/>
            <w:tcBorders>
              <w:top w:val="single" w:sz="4" w:space="0" w:color="auto"/>
              <w:left w:val="single" w:sz="4" w:space="0" w:color="auto"/>
              <w:bottom w:val="single" w:sz="4" w:space="0" w:color="auto"/>
              <w:right w:val="single" w:sz="4" w:space="0" w:color="auto"/>
            </w:tcBorders>
            <w:vAlign w:val="center"/>
            <w:hideMark/>
          </w:tcPr>
          <w:p w14:paraId="5F947F27" w14:textId="77777777" w:rsidR="009E2FCC" w:rsidRPr="009E2FCC" w:rsidRDefault="009E2FCC" w:rsidP="009E2FCC">
            <w:pPr>
              <w:jc w:val="both"/>
              <w:rPr>
                <w:color w:val="auto"/>
                <w:lang w:val="en-US"/>
              </w:rPr>
            </w:pPr>
            <w:r w:rsidRPr="009E2FCC">
              <w:rPr>
                <w:color w:val="auto"/>
                <w:lang w:val="en-US"/>
              </w:rPr>
              <w:t>Price</w:t>
            </w:r>
          </w:p>
        </w:tc>
        <w:tc>
          <w:tcPr>
            <w:tcW w:w="3180" w:type="pct"/>
            <w:tcBorders>
              <w:top w:val="single" w:sz="4" w:space="0" w:color="auto"/>
              <w:left w:val="single" w:sz="4" w:space="0" w:color="auto"/>
              <w:bottom w:val="single" w:sz="4" w:space="0" w:color="auto"/>
              <w:right w:val="single" w:sz="4" w:space="0" w:color="auto"/>
            </w:tcBorders>
            <w:vAlign w:val="center"/>
            <w:hideMark/>
          </w:tcPr>
          <w:p w14:paraId="5EDEDF7F" w14:textId="77777777" w:rsidR="009E2FCC" w:rsidRPr="009E2FCC" w:rsidRDefault="009E2FCC" w:rsidP="009E2FCC">
            <w:pPr>
              <w:jc w:val="both"/>
              <w:rPr>
                <w:color w:val="auto"/>
                <w:lang w:val="en-US"/>
              </w:rPr>
            </w:pPr>
            <w:r w:rsidRPr="009E2FCC">
              <w:rPr>
                <w:color w:val="auto"/>
                <w:lang w:val="en-US"/>
              </w:rPr>
              <w:t>0% *</w:t>
            </w:r>
          </w:p>
        </w:tc>
      </w:tr>
    </w:tbl>
    <w:p w14:paraId="1B0C2E24" w14:textId="77777777" w:rsidR="00F837E0" w:rsidRDefault="00F837E0" w:rsidP="009E2FCC">
      <w:pPr>
        <w:jc w:val="both"/>
        <w:rPr>
          <w:color w:val="auto"/>
        </w:rPr>
      </w:pPr>
    </w:p>
    <w:p w14:paraId="3D52D107" w14:textId="77777777" w:rsidR="009E2FCC" w:rsidRPr="009E2FCC" w:rsidRDefault="009E2FCC" w:rsidP="009E2FCC">
      <w:pPr>
        <w:jc w:val="both"/>
        <w:rPr>
          <w:vanish/>
          <w:color w:val="auto"/>
        </w:rPr>
      </w:pPr>
      <w:r w:rsidRPr="009E2FCC">
        <w:rPr>
          <w:color w:val="auto"/>
        </w:rPr>
        <w:t>*Pricing is regulated by UK Legislation ‘The Taking Control of Goods (Fees) Regulation 2014.</w:t>
      </w:r>
    </w:p>
    <w:p w14:paraId="2D29CAFE" w14:textId="77777777" w:rsidR="009E2FCC" w:rsidRPr="009E2FCC" w:rsidRDefault="009E2FCC" w:rsidP="009E2FCC">
      <w:pPr>
        <w:jc w:val="both"/>
        <w:rPr>
          <w:color w:val="auto"/>
        </w:rPr>
      </w:pPr>
    </w:p>
    <w:p w14:paraId="375D36C2" w14:textId="77777777" w:rsidR="009E2FCC" w:rsidRPr="009E2FCC" w:rsidRDefault="009E2FCC" w:rsidP="009E2FCC">
      <w:pPr>
        <w:jc w:val="both"/>
        <w:rPr>
          <w:color w:val="auto"/>
        </w:rPr>
      </w:pPr>
      <w:r w:rsidRPr="009E2FCC">
        <w:rPr>
          <w:color w:val="auto"/>
        </w:rPr>
        <w:t>Please see weightings in the ‘Service Specification’ section.</w:t>
      </w:r>
    </w:p>
    <w:p w14:paraId="0E0A8B11" w14:textId="77777777" w:rsidR="009E2FCC" w:rsidRPr="009E2FCC" w:rsidRDefault="009E2FCC" w:rsidP="009E2FCC">
      <w:pPr>
        <w:jc w:val="both"/>
        <w:rPr>
          <w:color w:val="auto"/>
        </w:rPr>
      </w:pPr>
    </w:p>
    <w:p w14:paraId="4585D5CE" w14:textId="77777777" w:rsidR="009E2FCC" w:rsidRPr="009E2FCC" w:rsidRDefault="009E2FCC" w:rsidP="009E2FCC">
      <w:pPr>
        <w:jc w:val="both"/>
        <w:rPr>
          <w:bCs/>
          <w:color w:val="auto"/>
        </w:rPr>
      </w:pPr>
      <w:r w:rsidRPr="006A1EF4">
        <w:rPr>
          <w:b/>
          <w:bCs/>
          <w:color w:val="auto"/>
        </w:rPr>
        <w:t xml:space="preserve">Scoring Methodology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2"/>
        <w:gridCol w:w="1588"/>
      </w:tblGrid>
      <w:tr w:rsidR="009E2FCC" w:rsidRPr="009E2FCC" w14:paraId="217E3B85" w14:textId="77777777" w:rsidTr="009E2FCC">
        <w:trPr>
          <w:trHeight w:val="416"/>
        </w:trPr>
        <w:tc>
          <w:tcPr>
            <w:tcW w:w="4101" w:type="pct"/>
            <w:tcBorders>
              <w:top w:val="single" w:sz="4" w:space="0" w:color="auto"/>
              <w:left w:val="single" w:sz="4" w:space="0" w:color="auto"/>
              <w:bottom w:val="single" w:sz="4" w:space="0" w:color="auto"/>
              <w:right w:val="single" w:sz="4" w:space="0" w:color="auto"/>
            </w:tcBorders>
            <w:hideMark/>
          </w:tcPr>
          <w:p w14:paraId="3A681661" w14:textId="77777777" w:rsidR="009E2FCC" w:rsidRPr="006A1EF4" w:rsidRDefault="009E2FCC" w:rsidP="009E2FCC">
            <w:pPr>
              <w:jc w:val="both"/>
              <w:rPr>
                <w:b/>
                <w:color w:val="auto"/>
                <w:lang w:val="en-US"/>
              </w:rPr>
            </w:pPr>
            <w:r w:rsidRPr="006A1EF4">
              <w:rPr>
                <w:b/>
                <w:color w:val="auto"/>
                <w:lang w:val="en-US"/>
              </w:rPr>
              <w:t>QUESTION RESPONSES</w:t>
            </w:r>
          </w:p>
        </w:tc>
        <w:tc>
          <w:tcPr>
            <w:tcW w:w="899" w:type="pct"/>
            <w:tcBorders>
              <w:top w:val="single" w:sz="4" w:space="0" w:color="auto"/>
              <w:left w:val="single" w:sz="4" w:space="0" w:color="auto"/>
              <w:bottom w:val="single" w:sz="4" w:space="0" w:color="auto"/>
              <w:right w:val="single" w:sz="4" w:space="0" w:color="auto"/>
            </w:tcBorders>
            <w:hideMark/>
          </w:tcPr>
          <w:p w14:paraId="462F5936" w14:textId="77777777" w:rsidR="009E2FCC" w:rsidRPr="006A1EF4" w:rsidRDefault="009E2FCC" w:rsidP="009E2FCC">
            <w:pPr>
              <w:jc w:val="both"/>
              <w:rPr>
                <w:b/>
                <w:color w:val="auto"/>
                <w:lang w:val="en-US"/>
              </w:rPr>
            </w:pPr>
            <w:r w:rsidRPr="006A1EF4">
              <w:rPr>
                <w:b/>
                <w:color w:val="auto"/>
                <w:lang w:val="en-US"/>
              </w:rPr>
              <w:t>MARKS</w:t>
            </w:r>
          </w:p>
        </w:tc>
      </w:tr>
      <w:tr w:rsidR="009E2FCC" w:rsidRPr="009E2FCC" w14:paraId="51994648" w14:textId="77777777" w:rsidTr="009E2FCC">
        <w:trPr>
          <w:trHeight w:val="853"/>
        </w:trPr>
        <w:tc>
          <w:tcPr>
            <w:tcW w:w="4101" w:type="pct"/>
            <w:tcBorders>
              <w:top w:val="single" w:sz="4" w:space="0" w:color="auto"/>
              <w:left w:val="single" w:sz="4" w:space="0" w:color="auto"/>
              <w:bottom w:val="single" w:sz="4" w:space="0" w:color="auto"/>
              <w:right w:val="single" w:sz="4" w:space="0" w:color="auto"/>
            </w:tcBorders>
            <w:hideMark/>
          </w:tcPr>
          <w:p w14:paraId="02BE1B10" w14:textId="77777777" w:rsidR="009E2FCC" w:rsidRPr="009E2FCC" w:rsidRDefault="009E2FCC" w:rsidP="009E2FCC">
            <w:pPr>
              <w:jc w:val="both"/>
              <w:rPr>
                <w:color w:val="auto"/>
              </w:rPr>
            </w:pPr>
            <w:r w:rsidRPr="009E2FCC">
              <w:rPr>
                <w:color w:val="auto"/>
              </w:rPr>
              <w:t>Excellent response with requirements being met and exceeded in some areas. Showing a comprehensive understanding and the ability to deliver to a high standard. Evidence relating to the proposed services shows high quality. </w:t>
            </w:r>
          </w:p>
        </w:tc>
        <w:tc>
          <w:tcPr>
            <w:tcW w:w="899" w:type="pct"/>
            <w:tcBorders>
              <w:top w:val="single" w:sz="4" w:space="0" w:color="auto"/>
              <w:left w:val="single" w:sz="4" w:space="0" w:color="auto"/>
              <w:bottom w:val="single" w:sz="4" w:space="0" w:color="auto"/>
              <w:right w:val="single" w:sz="4" w:space="0" w:color="auto"/>
            </w:tcBorders>
            <w:vAlign w:val="center"/>
            <w:hideMark/>
          </w:tcPr>
          <w:p w14:paraId="5220DBB3" w14:textId="77777777" w:rsidR="009E2FCC" w:rsidRPr="009E2FCC" w:rsidRDefault="009E2FCC" w:rsidP="009E2FCC">
            <w:pPr>
              <w:jc w:val="both"/>
              <w:rPr>
                <w:color w:val="auto"/>
              </w:rPr>
            </w:pPr>
            <w:r w:rsidRPr="009E2FCC">
              <w:rPr>
                <w:color w:val="auto"/>
              </w:rPr>
              <w:t>5</w:t>
            </w:r>
          </w:p>
        </w:tc>
      </w:tr>
      <w:tr w:rsidR="009E2FCC" w:rsidRPr="009E2FCC" w14:paraId="6DCB5F8E" w14:textId="77777777" w:rsidTr="009E2FCC">
        <w:trPr>
          <w:trHeight w:val="892"/>
        </w:trPr>
        <w:tc>
          <w:tcPr>
            <w:tcW w:w="4101" w:type="pct"/>
            <w:tcBorders>
              <w:top w:val="single" w:sz="4" w:space="0" w:color="auto"/>
              <w:left w:val="single" w:sz="4" w:space="0" w:color="auto"/>
              <w:bottom w:val="single" w:sz="4" w:space="0" w:color="auto"/>
              <w:right w:val="single" w:sz="4" w:space="0" w:color="auto"/>
            </w:tcBorders>
            <w:hideMark/>
          </w:tcPr>
          <w:p w14:paraId="002A2A5A" w14:textId="77777777" w:rsidR="009E2FCC" w:rsidRPr="009E2FCC" w:rsidRDefault="009E2FCC" w:rsidP="009E2FCC">
            <w:pPr>
              <w:jc w:val="both"/>
              <w:rPr>
                <w:color w:val="auto"/>
              </w:rPr>
            </w:pPr>
            <w:r w:rsidRPr="009E2FCC">
              <w:rPr>
                <w:color w:val="auto"/>
              </w:rPr>
              <w:t>Good response with requirements being fully met. Understanding all requirements and the ability to deliver to a high standard. Evidence in relation to the proposed services shows good quality.</w:t>
            </w:r>
          </w:p>
        </w:tc>
        <w:tc>
          <w:tcPr>
            <w:tcW w:w="899" w:type="pct"/>
            <w:tcBorders>
              <w:top w:val="single" w:sz="4" w:space="0" w:color="auto"/>
              <w:left w:val="single" w:sz="4" w:space="0" w:color="auto"/>
              <w:bottom w:val="single" w:sz="4" w:space="0" w:color="auto"/>
              <w:right w:val="single" w:sz="4" w:space="0" w:color="auto"/>
            </w:tcBorders>
            <w:vAlign w:val="center"/>
            <w:hideMark/>
          </w:tcPr>
          <w:p w14:paraId="6CA76B46" w14:textId="77777777" w:rsidR="009E2FCC" w:rsidRPr="009E2FCC" w:rsidRDefault="009E2FCC" w:rsidP="009E2FCC">
            <w:pPr>
              <w:jc w:val="both"/>
              <w:rPr>
                <w:color w:val="auto"/>
              </w:rPr>
            </w:pPr>
            <w:r w:rsidRPr="009E2FCC">
              <w:rPr>
                <w:color w:val="auto"/>
              </w:rPr>
              <w:t>4</w:t>
            </w:r>
          </w:p>
        </w:tc>
      </w:tr>
      <w:tr w:rsidR="009E2FCC" w:rsidRPr="009E2FCC" w14:paraId="027D1D8E" w14:textId="77777777" w:rsidTr="009E2FCC">
        <w:trPr>
          <w:trHeight w:val="777"/>
        </w:trPr>
        <w:tc>
          <w:tcPr>
            <w:tcW w:w="4101" w:type="pct"/>
            <w:tcBorders>
              <w:top w:val="single" w:sz="4" w:space="0" w:color="auto"/>
              <w:left w:val="single" w:sz="4" w:space="0" w:color="auto"/>
              <w:bottom w:val="single" w:sz="4" w:space="0" w:color="auto"/>
              <w:right w:val="single" w:sz="4" w:space="0" w:color="auto"/>
            </w:tcBorders>
            <w:hideMark/>
          </w:tcPr>
          <w:p w14:paraId="2E1DADDE" w14:textId="77777777" w:rsidR="009E2FCC" w:rsidRPr="009E2FCC" w:rsidRDefault="009E2FCC" w:rsidP="009E2FCC">
            <w:pPr>
              <w:jc w:val="both"/>
              <w:rPr>
                <w:color w:val="auto"/>
              </w:rPr>
            </w:pPr>
            <w:r w:rsidRPr="009E2FCC">
              <w:rPr>
                <w:color w:val="auto"/>
              </w:rPr>
              <w:t>Acceptable answer with requirements being met in parts but not fully.  A reasonable understanding to have the ability to deliver the service. Evidence to show that the services is just suitable for the purpose but has not met the standard expected.</w:t>
            </w:r>
          </w:p>
        </w:tc>
        <w:tc>
          <w:tcPr>
            <w:tcW w:w="899" w:type="pct"/>
            <w:tcBorders>
              <w:top w:val="single" w:sz="4" w:space="0" w:color="auto"/>
              <w:left w:val="single" w:sz="4" w:space="0" w:color="auto"/>
              <w:bottom w:val="single" w:sz="4" w:space="0" w:color="auto"/>
              <w:right w:val="single" w:sz="4" w:space="0" w:color="auto"/>
            </w:tcBorders>
            <w:vAlign w:val="center"/>
            <w:hideMark/>
          </w:tcPr>
          <w:p w14:paraId="43A3EB0D" w14:textId="77777777" w:rsidR="009E2FCC" w:rsidRPr="009E2FCC" w:rsidRDefault="009E2FCC" w:rsidP="009E2FCC">
            <w:pPr>
              <w:jc w:val="both"/>
              <w:rPr>
                <w:color w:val="auto"/>
              </w:rPr>
            </w:pPr>
            <w:r w:rsidRPr="009E2FCC">
              <w:rPr>
                <w:color w:val="auto"/>
              </w:rPr>
              <w:t>3</w:t>
            </w:r>
          </w:p>
        </w:tc>
      </w:tr>
      <w:tr w:rsidR="009E2FCC" w:rsidRPr="009E2FCC" w14:paraId="6B99167F" w14:textId="77777777" w:rsidTr="009E2FCC">
        <w:trPr>
          <w:trHeight w:val="777"/>
        </w:trPr>
        <w:tc>
          <w:tcPr>
            <w:tcW w:w="4101" w:type="pct"/>
            <w:tcBorders>
              <w:top w:val="single" w:sz="4" w:space="0" w:color="auto"/>
              <w:left w:val="single" w:sz="4" w:space="0" w:color="auto"/>
              <w:bottom w:val="single" w:sz="4" w:space="0" w:color="auto"/>
              <w:right w:val="single" w:sz="4" w:space="0" w:color="auto"/>
            </w:tcBorders>
            <w:hideMark/>
          </w:tcPr>
          <w:p w14:paraId="14E37D2C" w14:textId="77777777" w:rsidR="009E2FCC" w:rsidRPr="009E2FCC" w:rsidRDefault="009E2FCC" w:rsidP="009E2FCC">
            <w:pPr>
              <w:jc w:val="both"/>
              <w:rPr>
                <w:color w:val="auto"/>
              </w:rPr>
            </w:pPr>
            <w:r w:rsidRPr="009E2FCC">
              <w:rPr>
                <w:color w:val="auto"/>
              </w:rPr>
              <w:t>Poor response where some requirements are being met but there are some large exceptions.  Concerns that the services proposed would not be suitable for use. </w:t>
            </w:r>
          </w:p>
        </w:tc>
        <w:tc>
          <w:tcPr>
            <w:tcW w:w="899" w:type="pct"/>
            <w:tcBorders>
              <w:top w:val="single" w:sz="4" w:space="0" w:color="auto"/>
              <w:left w:val="single" w:sz="4" w:space="0" w:color="auto"/>
              <w:bottom w:val="single" w:sz="4" w:space="0" w:color="auto"/>
              <w:right w:val="single" w:sz="4" w:space="0" w:color="auto"/>
            </w:tcBorders>
            <w:vAlign w:val="center"/>
            <w:hideMark/>
          </w:tcPr>
          <w:p w14:paraId="7645B762" w14:textId="77777777" w:rsidR="009E2FCC" w:rsidRPr="009E2FCC" w:rsidRDefault="009E2FCC" w:rsidP="009E2FCC">
            <w:pPr>
              <w:jc w:val="both"/>
              <w:rPr>
                <w:color w:val="auto"/>
              </w:rPr>
            </w:pPr>
            <w:r w:rsidRPr="009E2FCC">
              <w:rPr>
                <w:color w:val="auto"/>
              </w:rPr>
              <w:t>2</w:t>
            </w:r>
          </w:p>
        </w:tc>
      </w:tr>
      <w:tr w:rsidR="009E2FCC" w:rsidRPr="009E2FCC" w14:paraId="0B9FFA9F" w14:textId="77777777" w:rsidTr="009E2FCC">
        <w:trPr>
          <w:trHeight w:val="595"/>
        </w:trPr>
        <w:tc>
          <w:tcPr>
            <w:tcW w:w="4101" w:type="pct"/>
            <w:tcBorders>
              <w:top w:val="single" w:sz="4" w:space="0" w:color="auto"/>
              <w:left w:val="single" w:sz="4" w:space="0" w:color="auto"/>
              <w:bottom w:val="single" w:sz="4" w:space="0" w:color="auto"/>
              <w:right w:val="single" w:sz="4" w:space="0" w:color="auto"/>
            </w:tcBorders>
            <w:hideMark/>
          </w:tcPr>
          <w:p w14:paraId="6B00F58E" w14:textId="77777777" w:rsidR="009E2FCC" w:rsidRPr="009E2FCC" w:rsidRDefault="009E2FCC" w:rsidP="009E2FCC">
            <w:pPr>
              <w:jc w:val="both"/>
              <w:rPr>
                <w:color w:val="auto"/>
              </w:rPr>
            </w:pPr>
            <w:r w:rsidRPr="009E2FCC">
              <w:rPr>
                <w:color w:val="auto"/>
              </w:rPr>
              <w:t xml:space="preserve">Target requirements only met on a few occasions.  Low standard response.  Major concerns that the services proposed would be suitable for use.  </w:t>
            </w:r>
          </w:p>
        </w:tc>
        <w:tc>
          <w:tcPr>
            <w:tcW w:w="899" w:type="pct"/>
            <w:tcBorders>
              <w:top w:val="single" w:sz="4" w:space="0" w:color="auto"/>
              <w:left w:val="single" w:sz="4" w:space="0" w:color="auto"/>
              <w:bottom w:val="single" w:sz="4" w:space="0" w:color="auto"/>
              <w:right w:val="single" w:sz="4" w:space="0" w:color="auto"/>
            </w:tcBorders>
            <w:vAlign w:val="center"/>
            <w:hideMark/>
          </w:tcPr>
          <w:p w14:paraId="1ED92653" w14:textId="77777777" w:rsidR="009E2FCC" w:rsidRPr="009E2FCC" w:rsidRDefault="009E2FCC" w:rsidP="009E2FCC">
            <w:pPr>
              <w:jc w:val="both"/>
              <w:rPr>
                <w:color w:val="auto"/>
              </w:rPr>
            </w:pPr>
            <w:r w:rsidRPr="009E2FCC">
              <w:rPr>
                <w:color w:val="auto"/>
              </w:rPr>
              <w:t>1</w:t>
            </w:r>
          </w:p>
        </w:tc>
      </w:tr>
      <w:tr w:rsidR="009E2FCC" w:rsidRPr="009E2FCC" w14:paraId="448B5414" w14:textId="77777777" w:rsidTr="009E2FCC">
        <w:trPr>
          <w:trHeight w:val="549"/>
        </w:trPr>
        <w:tc>
          <w:tcPr>
            <w:tcW w:w="4101" w:type="pct"/>
            <w:tcBorders>
              <w:top w:val="single" w:sz="4" w:space="0" w:color="auto"/>
              <w:left w:val="single" w:sz="4" w:space="0" w:color="auto"/>
              <w:bottom w:val="single" w:sz="4" w:space="0" w:color="auto"/>
              <w:right w:val="single" w:sz="4" w:space="0" w:color="auto"/>
            </w:tcBorders>
            <w:hideMark/>
          </w:tcPr>
          <w:p w14:paraId="135E6FA5" w14:textId="77777777" w:rsidR="009E2FCC" w:rsidRPr="009E2FCC" w:rsidRDefault="009E2FCC" w:rsidP="009E2FCC">
            <w:pPr>
              <w:jc w:val="both"/>
              <w:rPr>
                <w:color w:val="auto"/>
              </w:rPr>
            </w:pPr>
            <w:r w:rsidRPr="009E2FCC">
              <w:rPr>
                <w:color w:val="auto"/>
              </w:rPr>
              <w:t xml:space="preserve">No Answer or answer not meeting the requirements. No evidence that the services would be suitable.  </w:t>
            </w:r>
          </w:p>
        </w:tc>
        <w:tc>
          <w:tcPr>
            <w:tcW w:w="899" w:type="pct"/>
            <w:tcBorders>
              <w:top w:val="single" w:sz="4" w:space="0" w:color="auto"/>
              <w:left w:val="single" w:sz="4" w:space="0" w:color="auto"/>
              <w:bottom w:val="single" w:sz="4" w:space="0" w:color="auto"/>
              <w:right w:val="single" w:sz="4" w:space="0" w:color="auto"/>
            </w:tcBorders>
            <w:vAlign w:val="center"/>
            <w:hideMark/>
          </w:tcPr>
          <w:p w14:paraId="28EDC42A" w14:textId="77777777" w:rsidR="009E2FCC" w:rsidRPr="009E2FCC" w:rsidRDefault="009E2FCC" w:rsidP="009E2FCC">
            <w:pPr>
              <w:jc w:val="both"/>
              <w:rPr>
                <w:color w:val="auto"/>
              </w:rPr>
            </w:pPr>
            <w:r w:rsidRPr="009E2FCC">
              <w:rPr>
                <w:color w:val="auto"/>
              </w:rPr>
              <w:t>0</w:t>
            </w:r>
          </w:p>
        </w:tc>
      </w:tr>
    </w:tbl>
    <w:p w14:paraId="30254E6C" w14:textId="77777777" w:rsidR="009E2FCC" w:rsidRPr="00643F40" w:rsidRDefault="009E2FCC" w:rsidP="00643F40">
      <w:pPr>
        <w:jc w:val="both"/>
        <w:rPr>
          <w:color w:val="FF0000"/>
          <w:lang w:val="en-US"/>
        </w:rPr>
      </w:pPr>
    </w:p>
    <w:p w14:paraId="223E3FD5" w14:textId="77777777" w:rsidR="00C00D19" w:rsidRPr="00AB124C" w:rsidRDefault="00C00D19" w:rsidP="00AB124C">
      <w:pPr>
        <w:pStyle w:val="Heading1"/>
        <w:numPr>
          <w:ilvl w:val="0"/>
          <w:numId w:val="1"/>
        </w:numPr>
        <w:ind w:left="426" w:hanging="426"/>
        <w:jc w:val="both"/>
        <w:rPr>
          <w:rFonts w:cs="Arial"/>
          <w:szCs w:val="24"/>
          <w:lang w:val="en-US"/>
        </w:rPr>
      </w:pPr>
      <w:bookmarkStart w:id="3" w:name="_Toc168998840"/>
      <w:r w:rsidRPr="00AB124C">
        <w:rPr>
          <w:rFonts w:cs="Arial"/>
          <w:szCs w:val="24"/>
          <w:lang w:val="en-US"/>
        </w:rPr>
        <w:t>Health and Safety</w:t>
      </w:r>
      <w:bookmarkEnd w:id="3"/>
    </w:p>
    <w:p w14:paraId="49238381" w14:textId="77777777" w:rsidR="00C00D19" w:rsidRDefault="00C00D19" w:rsidP="00AB124C">
      <w:pPr>
        <w:ind w:left="426" w:hanging="426"/>
        <w:jc w:val="both"/>
        <w:rPr>
          <w:lang w:val="en-US"/>
        </w:rPr>
      </w:pPr>
    </w:p>
    <w:p w14:paraId="7278BD62" w14:textId="020F6E99" w:rsidR="00822C81" w:rsidRPr="00AB124C" w:rsidRDefault="005C1B46" w:rsidP="008475DD">
      <w:pPr>
        <w:jc w:val="both"/>
        <w:rPr>
          <w:lang w:val="en-US"/>
        </w:rPr>
      </w:pPr>
      <w:r>
        <w:rPr>
          <w:lang w:val="en-US"/>
        </w:rPr>
        <w:t xml:space="preserve">It is the </w:t>
      </w:r>
      <w:r w:rsidR="00134171">
        <w:rPr>
          <w:lang w:val="en-US"/>
        </w:rPr>
        <w:t>contractor’s</w:t>
      </w:r>
      <w:r w:rsidR="00822C81">
        <w:rPr>
          <w:lang w:val="en-US"/>
        </w:rPr>
        <w:t xml:space="preserve"> responsibility to follow any releva</w:t>
      </w:r>
      <w:r w:rsidR="008475DD">
        <w:rPr>
          <w:lang w:val="en-US"/>
        </w:rPr>
        <w:t xml:space="preserve">nt health and safety procedures </w:t>
      </w:r>
      <w:r w:rsidR="00822C81">
        <w:rPr>
          <w:lang w:val="en-US"/>
        </w:rPr>
        <w:t>whilst undertaking debt collection work for Gosport Borough Council</w:t>
      </w:r>
      <w:r w:rsidR="00BE756B">
        <w:rPr>
          <w:lang w:val="en-US"/>
        </w:rPr>
        <w:t>.</w:t>
      </w:r>
    </w:p>
    <w:p w14:paraId="1D064A6C" w14:textId="77777777" w:rsidR="00C00D19" w:rsidRPr="00AB124C" w:rsidRDefault="00C00D19" w:rsidP="00AB124C">
      <w:pPr>
        <w:pStyle w:val="Heading1"/>
        <w:numPr>
          <w:ilvl w:val="0"/>
          <w:numId w:val="1"/>
        </w:numPr>
        <w:ind w:left="426" w:hanging="426"/>
        <w:jc w:val="both"/>
        <w:rPr>
          <w:rFonts w:cs="Arial"/>
          <w:szCs w:val="24"/>
          <w:lang w:val="en-US"/>
        </w:rPr>
      </w:pPr>
      <w:bookmarkStart w:id="4" w:name="_Toc168998841"/>
      <w:r w:rsidRPr="00AB124C">
        <w:rPr>
          <w:rFonts w:cs="Arial"/>
          <w:szCs w:val="24"/>
          <w:lang w:val="en-US"/>
        </w:rPr>
        <w:t>Insurance</w:t>
      </w:r>
      <w:bookmarkEnd w:id="4"/>
    </w:p>
    <w:p w14:paraId="1561C16B" w14:textId="77777777" w:rsidR="00C00D19" w:rsidRPr="00AB124C" w:rsidRDefault="00C00D19" w:rsidP="00AB124C">
      <w:pPr>
        <w:ind w:left="426" w:hanging="426"/>
        <w:jc w:val="both"/>
        <w:rPr>
          <w:lang w:val="en-US"/>
        </w:rPr>
      </w:pPr>
    </w:p>
    <w:p w14:paraId="2BFB9B5E" w14:textId="632EEC72" w:rsidR="007E170D" w:rsidRPr="00462EE0" w:rsidRDefault="00BE756B" w:rsidP="007E170D">
      <w:pPr>
        <w:autoSpaceDE w:val="0"/>
        <w:autoSpaceDN w:val="0"/>
        <w:adjustRightInd w:val="0"/>
        <w:spacing w:line="240" w:lineRule="auto"/>
        <w:jc w:val="both"/>
        <w:rPr>
          <w:color w:val="auto"/>
        </w:rPr>
      </w:pPr>
      <w:r>
        <w:rPr>
          <w:color w:val="auto"/>
        </w:rPr>
        <w:t>The contractor</w:t>
      </w:r>
      <w:r w:rsidR="007E170D" w:rsidRPr="00462EE0">
        <w:rPr>
          <w:color w:val="auto"/>
        </w:rPr>
        <w:t xml:space="preserve"> will maintain the following insurance cover fo</w:t>
      </w:r>
      <w:r w:rsidR="00462EE0" w:rsidRPr="00462EE0">
        <w:rPr>
          <w:color w:val="auto"/>
        </w:rPr>
        <w:t>r the duration of the Contract.</w:t>
      </w:r>
    </w:p>
    <w:p w14:paraId="6E841D6B" w14:textId="77777777" w:rsidR="007E170D" w:rsidRPr="00462EE0" w:rsidRDefault="007E170D" w:rsidP="007E170D">
      <w:pPr>
        <w:autoSpaceDE w:val="0"/>
        <w:autoSpaceDN w:val="0"/>
        <w:adjustRightInd w:val="0"/>
        <w:spacing w:line="240" w:lineRule="auto"/>
        <w:jc w:val="both"/>
        <w:rPr>
          <w:color w:val="auto"/>
        </w:rPr>
      </w:pPr>
    </w:p>
    <w:tbl>
      <w:tblPr>
        <w:tblStyle w:val="TableGrid"/>
        <w:tblW w:w="0" w:type="auto"/>
        <w:jc w:val="center"/>
        <w:tblLook w:val="04A0" w:firstRow="1" w:lastRow="0" w:firstColumn="1" w:lastColumn="0" w:noHBand="0" w:noVBand="1"/>
      </w:tblPr>
      <w:tblGrid>
        <w:gridCol w:w="2977"/>
        <w:gridCol w:w="3260"/>
      </w:tblGrid>
      <w:tr w:rsidR="00462EE0" w:rsidRPr="00462EE0" w14:paraId="50F88371" w14:textId="77777777" w:rsidTr="00462EE0">
        <w:trPr>
          <w:jc w:val="center"/>
        </w:trPr>
        <w:tc>
          <w:tcPr>
            <w:tcW w:w="2977" w:type="dxa"/>
            <w:shd w:val="clear" w:color="auto" w:fill="F2F2F2" w:themeFill="background1" w:themeFillShade="F2"/>
          </w:tcPr>
          <w:p w14:paraId="5D697B85" w14:textId="77777777" w:rsidR="007E170D" w:rsidRPr="00462EE0" w:rsidRDefault="007E170D" w:rsidP="00462EE0">
            <w:pPr>
              <w:autoSpaceDE w:val="0"/>
              <w:autoSpaceDN w:val="0"/>
              <w:adjustRightInd w:val="0"/>
              <w:ind w:left="142"/>
              <w:jc w:val="both"/>
              <w:rPr>
                <w:rFonts w:ascii="Arial" w:hAnsi="Arial" w:cs="Arial"/>
                <w:b/>
              </w:rPr>
            </w:pPr>
            <w:r w:rsidRPr="00462EE0">
              <w:rPr>
                <w:rFonts w:ascii="Arial" w:hAnsi="Arial" w:cs="Arial"/>
                <w:b/>
              </w:rPr>
              <w:lastRenderedPageBreak/>
              <w:t>Insurance:</w:t>
            </w:r>
          </w:p>
        </w:tc>
        <w:tc>
          <w:tcPr>
            <w:tcW w:w="3260" w:type="dxa"/>
            <w:shd w:val="clear" w:color="auto" w:fill="F2F2F2" w:themeFill="background1" w:themeFillShade="F2"/>
          </w:tcPr>
          <w:p w14:paraId="32B47BA7" w14:textId="77777777" w:rsidR="007E170D" w:rsidRPr="00462EE0" w:rsidRDefault="007E170D" w:rsidP="00462EE0">
            <w:pPr>
              <w:autoSpaceDE w:val="0"/>
              <w:autoSpaceDN w:val="0"/>
              <w:adjustRightInd w:val="0"/>
              <w:ind w:left="57" w:hanging="57"/>
              <w:jc w:val="both"/>
              <w:rPr>
                <w:rFonts w:ascii="Arial" w:hAnsi="Arial" w:cs="Arial"/>
                <w:b/>
              </w:rPr>
            </w:pPr>
            <w:r w:rsidRPr="00462EE0">
              <w:rPr>
                <w:rFonts w:ascii="Arial" w:hAnsi="Arial" w:cs="Arial"/>
                <w:b/>
              </w:rPr>
              <w:t>Minimum value required</w:t>
            </w:r>
          </w:p>
        </w:tc>
      </w:tr>
      <w:tr w:rsidR="00462EE0" w:rsidRPr="00462EE0" w14:paraId="684D287E" w14:textId="77777777" w:rsidTr="00462EE0">
        <w:trPr>
          <w:jc w:val="center"/>
        </w:trPr>
        <w:tc>
          <w:tcPr>
            <w:tcW w:w="2977" w:type="dxa"/>
          </w:tcPr>
          <w:p w14:paraId="68D774B8" w14:textId="77777777" w:rsidR="007E170D" w:rsidRPr="00462EE0" w:rsidRDefault="007E170D" w:rsidP="00462EE0">
            <w:pPr>
              <w:autoSpaceDE w:val="0"/>
              <w:autoSpaceDN w:val="0"/>
              <w:adjustRightInd w:val="0"/>
              <w:ind w:left="142"/>
              <w:jc w:val="both"/>
              <w:rPr>
                <w:rFonts w:ascii="Arial" w:hAnsi="Arial" w:cs="Arial"/>
              </w:rPr>
            </w:pPr>
            <w:r w:rsidRPr="00462EE0">
              <w:rPr>
                <w:rFonts w:ascii="Arial" w:hAnsi="Arial" w:cs="Arial"/>
              </w:rPr>
              <w:t xml:space="preserve">Public Liability </w:t>
            </w:r>
          </w:p>
        </w:tc>
        <w:tc>
          <w:tcPr>
            <w:tcW w:w="3260" w:type="dxa"/>
          </w:tcPr>
          <w:p w14:paraId="2CA59B8D" w14:textId="77777777" w:rsidR="007E170D" w:rsidRPr="00462EE0" w:rsidRDefault="007E170D" w:rsidP="00462EE0">
            <w:pPr>
              <w:autoSpaceDE w:val="0"/>
              <w:autoSpaceDN w:val="0"/>
              <w:adjustRightInd w:val="0"/>
              <w:ind w:left="57" w:hanging="57"/>
              <w:jc w:val="both"/>
              <w:rPr>
                <w:rFonts w:ascii="Arial" w:hAnsi="Arial" w:cs="Arial"/>
              </w:rPr>
            </w:pPr>
            <w:r w:rsidRPr="00462EE0">
              <w:rPr>
                <w:rFonts w:ascii="Arial" w:hAnsi="Arial" w:cs="Arial"/>
              </w:rPr>
              <w:t xml:space="preserve">£10 million </w:t>
            </w:r>
          </w:p>
        </w:tc>
      </w:tr>
      <w:tr w:rsidR="00462EE0" w:rsidRPr="00462EE0" w14:paraId="472FD326" w14:textId="77777777" w:rsidTr="00462EE0">
        <w:trPr>
          <w:jc w:val="center"/>
        </w:trPr>
        <w:tc>
          <w:tcPr>
            <w:tcW w:w="2977" w:type="dxa"/>
          </w:tcPr>
          <w:p w14:paraId="7317536B" w14:textId="77777777" w:rsidR="007E170D" w:rsidRPr="00462EE0" w:rsidRDefault="007E170D" w:rsidP="00462EE0">
            <w:pPr>
              <w:autoSpaceDE w:val="0"/>
              <w:autoSpaceDN w:val="0"/>
              <w:adjustRightInd w:val="0"/>
              <w:ind w:left="142"/>
              <w:jc w:val="both"/>
              <w:rPr>
                <w:rFonts w:ascii="Arial" w:hAnsi="Arial" w:cs="Arial"/>
              </w:rPr>
            </w:pPr>
            <w:r w:rsidRPr="00462EE0">
              <w:rPr>
                <w:rFonts w:ascii="Arial" w:hAnsi="Arial" w:cs="Arial"/>
              </w:rPr>
              <w:t>Employee Liability</w:t>
            </w:r>
          </w:p>
        </w:tc>
        <w:tc>
          <w:tcPr>
            <w:tcW w:w="3260" w:type="dxa"/>
          </w:tcPr>
          <w:p w14:paraId="60E8346B" w14:textId="77777777" w:rsidR="007E170D" w:rsidRPr="00462EE0" w:rsidRDefault="007E170D" w:rsidP="00462EE0">
            <w:pPr>
              <w:autoSpaceDE w:val="0"/>
              <w:autoSpaceDN w:val="0"/>
              <w:adjustRightInd w:val="0"/>
              <w:ind w:left="57" w:hanging="57"/>
              <w:jc w:val="both"/>
              <w:rPr>
                <w:rFonts w:ascii="Arial" w:hAnsi="Arial" w:cs="Arial"/>
              </w:rPr>
            </w:pPr>
            <w:r w:rsidRPr="00462EE0">
              <w:rPr>
                <w:rFonts w:ascii="Arial" w:hAnsi="Arial" w:cs="Arial"/>
              </w:rPr>
              <w:t>£5 million</w:t>
            </w:r>
          </w:p>
        </w:tc>
      </w:tr>
    </w:tbl>
    <w:p w14:paraId="6245D17A" w14:textId="0DCB4437" w:rsidR="00561108" w:rsidRDefault="00561108" w:rsidP="003C72DD">
      <w:pPr>
        <w:autoSpaceDE w:val="0"/>
        <w:autoSpaceDN w:val="0"/>
        <w:adjustRightInd w:val="0"/>
        <w:spacing w:line="240" w:lineRule="auto"/>
        <w:jc w:val="both"/>
        <w:rPr>
          <w:color w:val="auto"/>
        </w:rPr>
      </w:pPr>
    </w:p>
    <w:p w14:paraId="2B822A96" w14:textId="77777777" w:rsidR="00F837E0" w:rsidRPr="00F837E0" w:rsidRDefault="00F837E0" w:rsidP="003C72DD">
      <w:pPr>
        <w:autoSpaceDE w:val="0"/>
        <w:autoSpaceDN w:val="0"/>
        <w:adjustRightInd w:val="0"/>
        <w:spacing w:line="240" w:lineRule="auto"/>
        <w:jc w:val="both"/>
        <w:rPr>
          <w:color w:val="auto"/>
        </w:rPr>
      </w:pPr>
    </w:p>
    <w:p w14:paraId="3BA87A3C" w14:textId="77777777" w:rsidR="00C00D19" w:rsidRPr="00AB124C" w:rsidRDefault="00ED1BA4" w:rsidP="00AB124C">
      <w:pPr>
        <w:pStyle w:val="Heading1"/>
        <w:numPr>
          <w:ilvl w:val="0"/>
          <w:numId w:val="1"/>
        </w:numPr>
        <w:ind w:left="426" w:hanging="426"/>
        <w:jc w:val="both"/>
        <w:rPr>
          <w:rFonts w:cs="Arial"/>
          <w:szCs w:val="24"/>
          <w:lang w:val="en-US"/>
        </w:rPr>
      </w:pPr>
      <w:bookmarkStart w:id="5" w:name="_Toc168998842"/>
      <w:r>
        <w:rPr>
          <w:rFonts w:cs="Arial"/>
          <w:szCs w:val="24"/>
          <w:lang w:val="en-US"/>
        </w:rPr>
        <w:t xml:space="preserve">Procurement </w:t>
      </w:r>
      <w:r w:rsidR="00C00D19" w:rsidRPr="00AB124C">
        <w:rPr>
          <w:rFonts w:cs="Arial"/>
          <w:szCs w:val="24"/>
          <w:lang w:val="en-US"/>
        </w:rPr>
        <w:t>Timetable</w:t>
      </w:r>
      <w:bookmarkEnd w:id="5"/>
    </w:p>
    <w:p w14:paraId="49661D0C" w14:textId="77777777" w:rsidR="00C00D19" w:rsidRPr="00AB124C" w:rsidRDefault="00C00D19" w:rsidP="00AB124C">
      <w:pPr>
        <w:ind w:left="426" w:hanging="426"/>
        <w:jc w:val="both"/>
        <w:rPr>
          <w:color w:val="FF0000"/>
          <w:lang w:val="en-US"/>
        </w:rPr>
      </w:pPr>
    </w:p>
    <w:tbl>
      <w:tblPr>
        <w:tblStyle w:val="TableGrid"/>
        <w:tblW w:w="0" w:type="auto"/>
        <w:tblInd w:w="108" w:type="dxa"/>
        <w:tblLook w:val="04A0" w:firstRow="1" w:lastRow="0" w:firstColumn="1" w:lastColumn="0" w:noHBand="0" w:noVBand="1"/>
      </w:tblPr>
      <w:tblGrid>
        <w:gridCol w:w="5238"/>
        <w:gridCol w:w="3670"/>
      </w:tblGrid>
      <w:tr w:rsidR="00A76F29" w:rsidRPr="00134171" w14:paraId="60F7C1CB" w14:textId="77777777" w:rsidTr="00002F17">
        <w:trPr>
          <w:trHeight w:val="285"/>
        </w:trPr>
        <w:tc>
          <w:tcPr>
            <w:tcW w:w="5238" w:type="dxa"/>
          </w:tcPr>
          <w:p w14:paraId="6D75399C" w14:textId="77777777" w:rsidR="00A76F29" w:rsidRPr="00134171" w:rsidRDefault="00A76F29" w:rsidP="00AB124C">
            <w:pPr>
              <w:jc w:val="both"/>
              <w:rPr>
                <w:rFonts w:ascii="Arial" w:hAnsi="Arial" w:cs="Arial"/>
                <w:b/>
                <w:lang w:val="en-US"/>
              </w:rPr>
            </w:pPr>
            <w:r w:rsidRPr="00134171">
              <w:rPr>
                <w:rFonts w:ascii="Arial" w:hAnsi="Arial" w:cs="Arial"/>
                <w:b/>
                <w:lang w:val="en-US"/>
              </w:rPr>
              <w:t>Event</w:t>
            </w:r>
          </w:p>
        </w:tc>
        <w:tc>
          <w:tcPr>
            <w:tcW w:w="3670" w:type="dxa"/>
          </w:tcPr>
          <w:p w14:paraId="45301739" w14:textId="77777777" w:rsidR="00A76F29" w:rsidRPr="00134171" w:rsidRDefault="00A76F29" w:rsidP="00AB124C">
            <w:pPr>
              <w:jc w:val="both"/>
              <w:rPr>
                <w:rFonts w:ascii="Arial" w:hAnsi="Arial" w:cs="Arial"/>
                <w:b/>
                <w:lang w:val="en-US"/>
              </w:rPr>
            </w:pPr>
            <w:r w:rsidRPr="00134171">
              <w:rPr>
                <w:rFonts w:ascii="Arial" w:hAnsi="Arial" w:cs="Arial"/>
                <w:b/>
                <w:lang w:val="en-US"/>
              </w:rPr>
              <w:t>Indicative Date</w:t>
            </w:r>
          </w:p>
        </w:tc>
      </w:tr>
      <w:tr w:rsidR="00A76F29" w:rsidRPr="00134171" w14:paraId="1BFEBF6C" w14:textId="77777777" w:rsidTr="005C1B46">
        <w:tc>
          <w:tcPr>
            <w:tcW w:w="5238" w:type="dxa"/>
          </w:tcPr>
          <w:p w14:paraId="1BD26BA7" w14:textId="77777777" w:rsidR="00C00D19" w:rsidRPr="00134171" w:rsidRDefault="00A76F29" w:rsidP="00AB124C">
            <w:pPr>
              <w:jc w:val="both"/>
              <w:rPr>
                <w:rFonts w:ascii="Arial" w:hAnsi="Arial" w:cs="Arial"/>
                <w:lang w:val="en-US"/>
              </w:rPr>
            </w:pPr>
            <w:r w:rsidRPr="00134171">
              <w:rPr>
                <w:rFonts w:ascii="Arial" w:hAnsi="Arial" w:cs="Arial"/>
                <w:lang w:val="en-US"/>
              </w:rPr>
              <w:t>Invitation to Quote published</w:t>
            </w:r>
          </w:p>
        </w:tc>
        <w:tc>
          <w:tcPr>
            <w:tcW w:w="3670" w:type="dxa"/>
          </w:tcPr>
          <w:p w14:paraId="7278B683" w14:textId="68CADAF1" w:rsidR="00C00D19" w:rsidRPr="00134171" w:rsidRDefault="00074310" w:rsidP="00AB124C">
            <w:pPr>
              <w:jc w:val="both"/>
              <w:rPr>
                <w:rFonts w:ascii="Arial" w:hAnsi="Arial" w:cs="Arial"/>
                <w:lang w:val="en-US"/>
              </w:rPr>
            </w:pPr>
            <w:r>
              <w:rPr>
                <w:rFonts w:ascii="Arial" w:hAnsi="Arial" w:cs="Arial"/>
                <w:lang w:val="en-US"/>
              </w:rPr>
              <w:t>Thursday 20</w:t>
            </w:r>
            <w:r w:rsidRPr="00074310">
              <w:rPr>
                <w:rFonts w:ascii="Arial" w:hAnsi="Arial" w:cs="Arial"/>
                <w:vertAlign w:val="superscript"/>
                <w:lang w:val="en-US"/>
              </w:rPr>
              <w:t>th</w:t>
            </w:r>
            <w:r>
              <w:rPr>
                <w:rFonts w:ascii="Arial" w:hAnsi="Arial" w:cs="Arial"/>
                <w:lang w:val="en-US"/>
              </w:rPr>
              <w:t xml:space="preserve"> </w:t>
            </w:r>
            <w:r w:rsidR="00002F17">
              <w:rPr>
                <w:rFonts w:ascii="Arial" w:hAnsi="Arial" w:cs="Arial"/>
                <w:lang w:val="en-US"/>
              </w:rPr>
              <w:t>June 2024</w:t>
            </w:r>
          </w:p>
        </w:tc>
      </w:tr>
      <w:tr w:rsidR="00A76F29" w:rsidRPr="00134171" w14:paraId="4C5DD555" w14:textId="77777777" w:rsidTr="005C1B46">
        <w:tc>
          <w:tcPr>
            <w:tcW w:w="5238" w:type="dxa"/>
          </w:tcPr>
          <w:p w14:paraId="17024138" w14:textId="77777777" w:rsidR="00C00D19" w:rsidRPr="00134171" w:rsidRDefault="00A76F29" w:rsidP="00AB124C">
            <w:pPr>
              <w:jc w:val="both"/>
              <w:rPr>
                <w:rFonts w:ascii="Arial" w:hAnsi="Arial" w:cs="Arial"/>
                <w:lang w:val="en-US"/>
              </w:rPr>
            </w:pPr>
            <w:r w:rsidRPr="00134171">
              <w:rPr>
                <w:rFonts w:ascii="Arial" w:hAnsi="Arial" w:cs="Arial"/>
                <w:lang w:val="en-US"/>
              </w:rPr>
              <w:t>Deadline for clarifications</w:t>
            </w:r>
          </w:p>
        </w:tc>
        <w:tc>
          <w:tcPr>
            <w:tcW w:w="3670" w:type="dxa"/>
          </w:tcPr>
          <w:p w14:paraId="4C8CB08C" w14:textId="233170D7" w:rsidR="00C00D19" w:rsidRPr="00134171" w:rsidRDefault="00002F17" w:rsidP="00AB124C">
            <w:pPr>
              <w:jc w:val="both"/>
              <w:rPr>
                <w:rFonts w:ascii="Arial" w:hAnsi="Arial" w:cs="Arial"/>
                <w:lang w:val="en-US"/>
              </w:rPr>
            </w:pPr>
            <w:r>
              <w:rPr>
                <w:rFonts w:ascii="Arial" w:hAnsi="Arial" w:cs="Arial"/>
                <w:lang w:val="en-US"/>
              </w:rPr>
              <w:t>Friday 28</w:t>
            </w:r>
            <w:r w:rsidR="005C1B46" w:rsidRPr="00134171">
              <w:rPr>
                <w:rFonts w:ascii="Arial" w:hAnsi="Arial" w:cs="Arial"/>
                <w:vertAlign w:val="superscript"/>
                <w:lang w:val="en-US"/>
              </w:rPr>
              <w:t>th</w:t>
            </w:r>
            <w:r w:rsidR="005C1B46" w:rsidRPr="00134171">
              <w:rPr>
                <w:rFonts w:ascii="Arial" w:hAnsi="Arial" w:cs="Arial"/>
                <w:lang w:val="en-US"/>
              </w:rPr>
              <w:t xml:space="preserve"> June 2024</w:t>
            </w:r>
          </w:p>
        </w:tc>
      </w:tr>
      <w:tr w:rsidR="00A76F29" w:rsidRPr="00134171" w14:paraId="7564781C" w14:textId="77777777" w:rsidTr="005C1B46">
        <w:tc>
          <w:tcPr>
            <w:tcW w:w="5238" w:type="dxa"/>
          </w:tcPr>
          <w:p w14:paraId="46CDFBFD" w14:textId="77777777" w:rsidR="00C00D19" w:rsidRPr="00134171" w:rsidRDefault="00A76F29" w:rsidP="00AB124C">
            <w:pPr>
              <w:jc w:val="both"/>
              <w:rPr>
                <w:rFonts w:ascii="Arial" w:hAnsi="Arial" w:cs="Arial"/>
                <w:lang w:val="en-US"/>
              </w:rPr>
            </w:pPr>
            <w:r w:rsidRPr="00134171">
              <w:rPr>
                <w:rFonts w:ascii="Arial" w:hAnsi="Arial" w:cs="Arial"/>
                <w:lang w:val="en-US"/>
              </w:rPr>
              <w:t>Deadline for receipt of quotes</w:t>
            </w:r>
          </w:p>
        </w:tc>
        <w:tc>
          <w:tcPr>
            <w:tcW w:w="3670" w:type="dxa"/>
          </w:tcPr>
          <w:p w14:paraId="6748F824" w14:textId="55F897F1" w:rsidR="00C00D19" w:rsidRPr="00134171" w:rsidRDefault="005C1B46" w:rsidP="00372B83">
            <w:pPr>
              <w:jc w:val="both"/>
              <w:rPr>
                <w:rFonts w:ascii="Arial" w:hAnsi="Arial" w:cs="Arial"/>
                <w:lang w:val="en-US"/>
              </w:rPr>
            </w:pPr>
            <w:r w:rsidRPr="00134171">
              <w:rPr>
                <w:rFonts w:ascii="Arial" w:hAnsi="Arial" w:cs="Arial"/>
                <w:lang w:val="en-US"/>
              </w:rPr>
              <w:t xml:space="preserve">Friday </w:t>
            </w:r>
            <w:r w:rsidR="00002F17">
              <w:rPr>
                <w:rFonts w:ascii="Arial" w:hAnsi="Arial" w:cs="Arial"/>
                <w:lang w:val="en-US"/>
              </w:rPr>
              <w:t>5</w:t>
            </w:r>
            <w:r w:rsidRPr="00134171">
              <w:rPr>
                <w:rFonts w:ascii="Arial" w:hAnsi="Arial" w:cs="Arial"/>
                <w:vertAlign w:val="superscript"/>
                <w:lang w:val="en-US"/>
              </w:rPr>
              <w:t>th</w:t>
            </w:r>
            <w:r w:rsidRPr="00134171">
              <w:rPr>
                <w:rFonts w:ascii="Arial" w:hAnsi="Arial" w:cs="Arial"/>
                <w:lang w:val="en-US"/>
              </w:rPr>
              <w:t xml:space="preserve"> Ju</w:t>
            </w:r>
            <w:r w:rsidR="00372B83">
              <w:rPr>
                <w:rFonts w:ascii="Arial" w:hAnsi="Arial" w:cs="Arial"/>
                <w:lang w:val="en-US"/>
              </w:rPr>
              <w:t>ly</w:t>
            </w:r>
            <w:r w:rsidR="00720D9A">
              <w:rPr>
                <w:rFonts w:ascii="Arial" w:hAnsi="Arial" w:cs="Arial"/>
                <w:lang w:val="en-US"/>
              </w:rPr>
              <w:t xml:space="preserve"> 12:00</w:t>
            </w:r>
            <w:r w:rsidRPr="00134171">
              <w:rPr>
                <w:rFonts w:ascii="Arial" w:hAnsi="Arial" w:cs="Arial"/>
                <w:lang w:val="en-US"/>
              </w:rPr>
              <w:t>pm</w:t>
            </w:r>
          </w:p>
        </w:tc>
      </w:tr>
      <w:tr w:rsidR="00A76F29" w:rsidRPr="00134171" w14:paraId="61CD2FE2" w14:textId="77777777" w:rsidTr="005C1B46">
        <w:tc>
          <w:tcPr>
            <w:tcW w:w="5238" w:type="dxa"/>
          </w:tcPr>
          <w:p w14:paraId="2A60ADC1" w14:textId="77777777" w:rsidR="00A76F29" w:rsidRPr="00134171" w:rsidRDefault="00A76F29" w:rsidP="00AB124C">
            <w:pPr>
              <w:jc w:val="both"/>
              <w:rPr>
                <w:rFonts w:ascii="Arial" w:hAnsi="Arial" w:cs="Arial"/>
                <w:lang w:val="en-US"/>
              </w:rPr>
            </w:pPr>
            <w:r w:rsidRPr="00134171">
              <w:rPr>
                <w:rFonts w:ascii="Arial" w:hAnsi="Arial" w:cs="Arial"/>
                <w:lang w:val="en-US"/>
              </w:rPr>
              <w:t>Notification of award decision</w:t>
            </w:r>
          </w:p>
        </w:tc>
        <w:tc>
          <w:tcPr>
            <w:tcW w:w="3670" w:type="dxa"/>
          </w:tcPr>
          <w:p w14:paraId="59F68806" w14:textId="2CEA94D9" w:rsidR="00A76F29" w:rsidRPr="00134171" w:rsidRDefault="00002F17" w:rsidP="00372B83">
            <w:pPr>
              <w:jc w:val="both"/>
              <w:rPr>
                <w:rFonts w:ascii="Arial" w:hAnsi="Arial" w:cs="Arial"/>
                <w:lang w:val="en-US"/>
              </w:rPr>
            </w:pPr>
            <w:r>
              <w:rPr>
                <w:rFonts w:ascii="Arial" w:hAnsi="Arial" w:cs="Arial"/>
                <w:lang w:val="en-US"/>
              </w:rPr>
              <w:t>By 12</w:t>
            </w:r>
            <w:r w:rsidR="004F3245" w:rsidRPr="00134171">
              <w:rPr>
                <w:rFonts w:ascii="Arial" w:hAnsi="Arial" w:cs="Arial"/>
                <w:vertAlign w:val="superscript"/>
                <w:lang w:val="en-US"/>
              </w:rPr>
              <w:t>th</w:t>
            </w:r>
            <w:r w:rsidR="004F3245" w:rsidRPr="00134171">
              <w:rPr>
                <w:rFonts w:ascii="Arial" w:hAnsi="Arial" w:cs="Arial"/>
                <w:lang w:val="en-US"/>
              </w:rPr>
              <w:t xml:space="preserve"> July 2024</w:t>
            </w:r>
          </w:p>
        </w:tc>
      </w:tr>
      <w:tr w:rsidR="00134171" w:rsidRPr="00134171" w14:paraId="18DED0FE" w14:textId="77777777" w:rsidTr="005C1B46">
        <w:tc>
          <w:tcPr>
            <w:tcW w:w="5238" w:type="dxa"/>
          </w:tcPr>
          <w:p w14:paraId="17B2EBE9" w14:textId="77777777" w:rsidR="00A76F29" w:rsidRPr="00134171" w:rsidRDefault="00A76F29" w:rsidP="00AB124C">
            <w:pPr>
              <w:jc w:val="both"/>
              <w:rPr>
                <w:rFonts w:ascii="Arial" w:hAnsi="Arial" w:cs="Arial"/>
                <w:lang w:val="en-US"/>
              </w:rPr>
            </w:pPr>
            <w:r w:rsidRPr="00134171">
              <w:rPr>
                <w:rFonts w:ascii="Arial" w:hAnsi="Arial" w:cs="Arial"/>
                <w:lang w:val="en-US"/>
              </w:rPr>
              <w:t>Commencement date</w:t>
            </w:r>
          </w:p>
        </w:tc>
        <w:tc>
          <w:tcPr>
            <w:tcW w:w="3670" w:type="dxa"/>
          </w:tcPr>
          <w:p w14:paraId="46111852" w14:textId="10050CA4" w:rsidR="00A76F29" w:rsidRPr="00134171" w:rsidRDefault="008529C0" w:rsidP="004F3245">
            <w:pPr>
              <w:jc w:val="both"/>
              <w:rPr>
                <w:rFonts w:ascii="Arial" w:hAnsi="Arial" w:cs="Arial"/>
                <w:lang w:val="en-US"/>
              </w:rPr>
            </w:pPr>
            <w:r>
              <w:rPr>
                <w:rFonts w:ascii="Arial" w:hAnsi="Arial" w:cs="Arial"/>
                <w:lang w:val="en-US"/>
              </w:rPr>
              <w:t>1</w:t>
            </w:r>
            <w:r w:rsidRPr="008529C0">
              <w:rPr>
                <w:rFonts w:ascii="Arial" w:hAnsi="Arial" w:cs="Arial"/>
                <w:vertAlign w:val="superscript"/>
                <w:lang w:val="en-US"/>
              </w:rPr>
              <w:t>st</w:t>
            </w:r>
            <w:r>
              <w:rPr>
                <w:rFonts w:ascii="Arial" w:hAnsi="Arial" w:cs="Arial"/>
                <w:lang w:val="en-US"/>
              </w:rPr>
              <w:t xml:space="preserve"> August 2024</w:t>
            </w:r>
            <w:r w:rsidR="004F3245" w:rsidRPr="00134171">
              <w:rPr>
                <w:rFonts w:ascii="Arial" w:hAnsi="Arial" w:cs="Arial"/>
                <w:lang w:val="en-US"/>
              </w:rPr>
              <w:t xml:space="preserve"> </w:t>
            </w:r>
          </w:p>
        </w:tc>
      </w:tr>
      <w:tr w:rsidR="00A76F29" w:rsidRPr="00134171" w14:paraId="2B7BD0F4" w14:textId="77777777" w:rsidTr="005C1B46">
        <w:tc>
          <w:tcPr>
            <w:tcW w:w="5238" w:type="dxa"/>
          </w:tcPr>
          <w:p w14:paraId="37045386" w14:textId="77777777" w:rsidR="00A76F29" w:rsidRPr="00134171" w:rsidRDefault="00A76F29" w:rsidP="00AB124C">
            <w:pPr>
              <w:jc w:val="both"/>
              <w:rPr>
                <w:rFonts w:ascii="Arial" w:hAnsi="Arial" w:cs="Arial"/>
                <w:lang w:val="en-US"/>
              </w:rPr>
            </w:pPr>
            <w:r w:rsidRPr="00134171">
              <w:rPr>
                <w:rFonts w:ascii="Arial" w:hAnsi="Arial" w:cs="Arial"/>
                <w:lang w:val="en-US"/>
              </w:rPr>
              <w:t>Completion date</w:t>
            </w:r>
          </w:p>
        </w:tc>
        <w:tc>
          <w:tcPr>
            <w:tcW w:w="3670" w:type="dxa"/>
          </w:tcPr>
          <w:p w14:paraId="3C051ECF" w14:textId="5402E57A" w:rsidR="00A76F29" w:rsidRPr="00134171" w:rsidRDefault="00002F17" w:rsidP="00AB124C">
            <w:pPr>
              <w:jc w:val="both"/>
              <w:rPr>
                <w:rFonts w:ascii="Arial" w:hAnsi="Arial" w:cs="Arial"/>
                <w:lang w:val="en-US"/>
              </w:rPr>
            </w:pPr>
            <w:r>
              <w:rPr>
                <w:rFonts w:ascii="Arial" w:hAnsi="Arial" w:cs="Arial"/>
                <w:lang w:val="en-US"/>
              </w:rPr>
              <w:t>31</w:t>
            </w:r>
            <w:r w:rsidRPr="00002F17">
              <w:rPr>
                <w:rFonts w:ascii="Arial" w:hAnsi="Arial" w:cs="Arial"/>
                <w:vertAlign w:val="superscript"/>
                <w:lang w:val="en-US"/>
              </w:rPr>
              <w:t>st</w:t>
            </w:r>
            <w:r>
              <w:rPr>
                <w:rFonts w:ascii="Arial" w:hAnsi="Arial" w:cs="Arial"/>
                <w:lang w:val="en-US"/>
              </w:rPr>
              <w:t xml:space="preserve"> July 2026</w:t>
            </w:r>
            <w:r w:rsidR="001C4418" w:rsidRPr="00134171">
              <w:rPr>
                <w:rFonts w:ascii="Arial" w:hAnsi="Arial" w:cs="Arial"/>
                <w:lang w:val="en-US"/>
              </w:rPr>
              <w:t xml:space="preserve"> (with option to extend 2 years)</w:t>
            </w:r>
          </w:p>
        </w:tc>
      </w:tr>
    </w:tbl>
    <w:p w14:paraId="480BEDBE" w14:textId="77777777" w:rsidR="001830B3" w:rsidRDefault="001830B3">
      <w:pPr>
        <w:rPr>
          <w:rFonts w:eastAsiaTheme="majorEastAsia"/>
          <w:b/>
          <w:color w:val="auto"/>
          <w:u w:val="single"/>
          <w:lang w:val="en-US"/>
        </w:rPr>
      </w:pPr>
      <w:r>
        <w:rPr>
          <w:lang w:val="en-US"/>
        </w:rPr>
        <w:br w:type="page"/>
      </w:r>
    </w:p>
    <w:p w14:paraId="0CAC6858" w14:textId="77777777" w:rsidR="00C00D19" w:rsidRPr="00AB124C" w:rsidRDefault="00C00D19" w:rsidP="00AB124C">
      <w:pPr>
        <w:pStyle w:val="Heading1"/>
        <w:numPr>
          <w:ilvl w:val="0"/>
          <w:numId w:val="1"/>
        </w:numPr>
        <w:ind w:left="426" w:hanging="426"/>
        <w:jc w:val="both"/>
        <w:rPr>
          <w:rFonts w:cs="Arial"/>
          <w:szCs w:val="24"/>
          <w:lang w:val="en-US"/>
        </w:rPr>
      </w:pPr>
      <w:bookmarkStart w:id="6" w:name="_Toc168998843"/>
      <w:r w:rsidRPr="00AB124C">
        <w:rPr>
          <w:rFonts w:cs="Arial"/>
          <w:szCs w:val="24"/>
          <w:lang w:val="en-US"/>
        </w:rPr>
        <w:lastRenderedPageBreak/>
        <w:t>Instructions on submitting a response</w:t>
      </w:r>
      <w:bookmarkEnd w:id="6"/>
    </w:p>
    <w:p w14:paraId="4D2BB509" w14:textId="77777777" w:rsidR="00A76F29" w:rsidRPr="00AB124C" w:rsidRDefault="00A76F29" w:rsidP="00AB124C">
      <w:pPr>
        <w:ind w:left="426" w:hanging="426"/>
        <w:jc w:val="both"/>
        <w:rPr>
          <w:lang w:val="en-US"/>
        </w:rPr>
      </w:pPr>
    </w:p>
    <w:p w14:paraId="20CCF589" w14:textId="77777777" w:rsidR="00643F40" w:rsidRPr="00F837E0" w:rsidRDefault="00643F40" w:rsidP="00643F40">
      <w:pPr>
        <w:rPr>
          <w:color w:val="auto"/>
          <w:lang w:val="en-US"/>
        </w:rPr>
      </w:pPr>
      <w:r w:rsidRPr="00F837E0">
        <w:rPr>
          <w:color w:val="auto"/>
          <w:lang w:val="en-US"/>
        </w:rPr>
        <w:t xml:space="preserve">Responses must be uploaded via the Proactis portal, also known as the South East Business Portal: </w:t>
      </w:r>
      <w:hyperlink r:id="rId11" w:history="1">
        <w:r w:rsidRPr="00F837E0">
          <w:rPr>
            <w:rStyle w:val="Hyperlink"/>
            <w:color w:val="auto"/>
          </w:rPr>
          <w:t>https://sebp.due-north.com/</w:t>
        </w:r>
      </w:hyperlink>
      <w:r w:rsidR="003C72DD" w:rsidRPr="00F837E0">
        <w:rPr>
          <w:rStyle w:val="Hyperlink"/>
          <w:color w:val="auto"/>
          <w:u w:val="none"/>
        </w:rPr>
        <w:t xml:space="preserve">, </w:t>
      </w:r>
      <w:r w:rsidR="00FD0BAA" w:rsidRPr="00F837E0">
        <w:rPr>
          <w:rStyle w:val="Hyperlink"/>
          <w:color w:val="auto"/>
          <w:u w:val="none"/>
        </w:rPr>
        <w:t xml:space="preserve">and submitted </w:t>
      </w:r>
      <w:r w:rsidR="005E3F40" w:rsidRPr="00F837E0">
        <w:rPr>
          <w:color w:val="auto"/>
          <w:lang w:val="en-US"/>
        </w:rPr>
        <w:t xml:space="preserve">no later than the time and date specified in the </w:t>
      </w:r>
      <w:r w:rsidR="003C72DD" w:rsidRPr="00F837E0">
        <w:rPr>
          <w:color w:val="auto"/>
          <w:lang w:val="en-US"/>
        </w:rPr>
        <w:t>procurement</w:t>
      </w:r>
      <w:r w:rsidR="005E3F40" w:rsidRPr="00F837E0">
        <w:rPr>
          <w:color w:val="auto"/>
          <w:lang w:val="en-US"/>
        </w:rPr>
        <w:t xml:space="preserve"> timetable.</w:t>
      </w:r>
      <w:r w:rsidRPr="00F837E0">
        <w:rPr>
          <w:color w:val="auto"/>
          <w:lang w:val="en-US"/>
        </w:rPr>
        <w:t xml:space="preserve"> </w:t>
      </w:r>
    </w:p>
    <w:p w14:paraId="71F44562" w14:textId="77777777" w:rsidR="005E3F40" w:rsidRPr="00F837E0" w:rsidRDefault="005E3F40" w:rsidP="00AB124C">
      <w:pPr>
        <w:jc w:val="both"/>
        <w:rPr>
          <w:color w:val="auto"/>
          <w:lang w:val="en-US"/>
        </w:rPr>
      </w:pPr>
    </w:p>
    <w:p w14:paraId="662A49F7" w14:textId="3A840797" w:rsidR="00551C12" w:rsidRDefault="00551C12" w:rsidP="00551C12">
      <w:pPr>
        <w:jc w:val="both"/>
        <w:rPr>
          <w:color w:val="auto"/>
          <w:lang w:val="en-US"/>
        </w:rPr>
      </w:pPr>
      <w:r>
        <w:rPr>
          <w:color w:val="auto"/>
          <w:lang w:val="en-US"/>
        </w:rPr>
        <w:t>You must fully complete the attached response document</w:t>
      </w:r>
      <w:r w:rsidR="00BE756B">
        <w:rPr>
          <w:color w:val="auto"/>
          <w:lang w:val="en-US"/>
        </w:rPr>
        <w:t xml:space="preserve"> (Schedule 1)</w:t>
      </w:r>
      <w:r>
        <w:rPr>
          <w:color w:val="auto"/>
          <w:lang w:val="en-US"/>
        </w:rPr>
        <w:t>.</w:t>
      </w:r>
      <w:bookmarkStart w:id="7" w:name="_Toc125559717"/>
    </w:p>
    <w:p w14:paraId="2071DA40" w14:textId="77777777" w:rsidR="00551C12" w:rsidRDefault="00551C12" w:rsidP="00551C12">
      <w:pPr>
        <w:jc w:val="both"/>
        <w:rPr>
          <w:lang w:val="en-US"/>
        </w:rPr>
      </w:pPr>
    </w:p>
    <w:p w14:paraId="5AA1D400" w14:textId="022C3392" w:rsidR="003E043C" w:rsidRPr="008C7258" w:rsidRDefault="003E043C" w:rsidP="008C7258">
      <w:pPr>
        <w:pStyle w:val="Heading1"/>
        <w:numPr>
          <w:ilvl w:val="0"/>
          <w:numId w:val="1"/>
        </w:numPr>
        <w:ind w:left="426" w:hanging="426"/>
        <w:jc w:val="both"/>
        <w:rPr>
          <w:rFonts w:cs="Arial"/>
          <w:szCs w:val="24"/>
          <w:lang w:val="en-US"/>
        </w:rPr>
      </w:pPr>
      <w:bookmarkStart w:id="8" w:name="_Toc168998844"/>
      <w:r w:rsidRPr="008C7258">
        <w:rPr>
          <w:rFonts w:cs="Arial"/>
          <w:szCs w:val="24"/>
          <w:lang w:val="en-US"/>
        </w:rPr>
        <w:t>Clarifications</w:t>
      </w:r>
      <w:bookmarkEnd w:id="7"/>
      <w:bookmarkEnd w:id="8"/>
    </w:p>
    <w:p w14:paraId="0D4ED992" w14:textId="77777777" w:rsidR="003E043C" w:rsidRPr="00AB124C" w:rsidRDefault="003E043C" w:rsidP="00AB124C">
      <w:pPr>
        <w:jc w:val="both"/>
        <w:rPr>
          <w:lang w:val="en-US"/>
        </w:rPr>
      </w:pPr>
    </w:p>
    <w:p w14:paraId="24FD7A27" w14:textId="77777777" w:rsidR="003E043C" w:rsidRPr="003F77B1" w:rsidRDefault="003E043C" w:rsidP="00AB124C">
      <w:pPr>
        <w:jc w:val="both"/>
        <w:rPr>
          <w:color w:val="auto"/>
          <w:lang w:val="en-US"/>
        </w:rPr>
      </w:pPr>
      <w:r w:rsidRPr="003F77B1">
        <w:rPr>
          <w:color w:val="auto"/>
          <w:lang w:val="en-US"/>
        </w:rPr>
        <w:t>All requests for clarification should be submitted no later than the date specified in the Procurement timetable, using the messaging facility on the Proactis procurement portal.</w:t>
      </w:r>
    </w:p>
    <w:p w14:paraId="2B43E1EB" w14:textId="77777777" w:rsidR="003E043C" w:rsidRPr="003F77B1" w:rsidRDefault="003E043C" w:rsidP="00AB124C">
      <w:pPr>
        <w:jc w:val="both"/>
        <w:rPr>
          <w:color w:val="auto"/>
          <w:lang w:val="en-US"/>
        </w:rPr>
      </w:pPr>
    </w:p>
    <w:p w14:paraId="663EAD3D" w14:textId="77777777" w:rsidR="003E043C" w:rsidRPr="003F77B1" w:rsidRDefault="00F837E0" w:rsidP="00AB124C">
      <w:pPr>
        <w:jc w:val="both"/>
        <w:rPr>
          <w:color w:val="auto"/>
          <w:lang w:val="en-US"/>
        </w:rPr>
      </w:pPr>
      <w:r>
        <w:rPr>
          <w:color w:val="auto"/>
          <w:lang w:val="en-US"/>
        </w:rPr>
        <w:t>Responses</w:t>
      </w:r>
      <w:r w:rsidR="003E043C" w:rsidRPr="003F77B1">
        <w:rPr>
          <w:color w:val="auto"/>
          <w:lang w:val="en-US"/>
        </w:rPr>
        <w:t xml:space="preserve"> received after the deadline date may not be answered. If the potential provider expresses that the question is confidential and </w:t>
      </w:r>
      <w:r w:rsidR="003E043C" w:rsidRPr="00FB3BDC">
        <w:rPr>
          <w:color w:val="auto"/>
          <w:lang w:val="en-US"/>
        </w:rPr>
        <w:t>GBC</w:t>
      </w:r>
      <w:r w:rsidR="003E043C" w:rsidRPr="003F77B1">
        <w:rPr>
          <w:color w:val="auto"/>
          <w:lang w:val="en-US"/>
        </w:rPr>
        <w:t xml:space="preserve"> agrees that it is, then the response will be sent only to the potential provider raising the question. If GBC disagrees, they will inform the potential provider and allow them to withdraw their question.</w:t>
      </w:r>
    </w:p>
    <w:p w14:paraId="0D88F832" w14:textId="77777777" w:rsidR="00D85C57" w:rsidRPr="003F77B1" w:rsidRDefault="00D85C57" w:rsidP="00AB124C">
      <w:pPr>
        <w:jc w:val="both"/>
        <w:rPr>
          <w:color w:val="auto"/>
          <w:lang w:val="en-US"/>
        </w:rPr>
      </w:pPr>
    </w:p>
    <w:p w14:paraId="5AA65361" w14:textId="77777777" w:rsidR="00D85C57" w:rsidRPr="003F77B1" w:rsidRDefault="00D85C57" w:rsidP="00AB124C">
      <w:pPr>
        <w:jc w:val="both"/>
        <w:rPr>
          <w:color w:val="auto"/>
          <w:lang w:val="en-US"/>
        </w:rPr>
      </w:pPr>
      <w:r w:rsidRPr="003F77B1">
        <w:rPr>
          <w:color w:val="auto"/>
          <w:lang w:val="en-US"/>
        </w:rPr>
        <w:t>Suppliers may be required to clarify their submission. Requests for clarification will be issued via the messaging function on the Proactis portal. Suppliers are required to respond to requests for clarification as requested and, no later than within 3 working days.</w:t>
      </w:r>
    </w:p>
    <w:p w14:paraId="39D99970" w14:textId="77777777" w:rsidR="00D85C57" w:rsidRPr="00AB124C" w:rsidRDefault="00D85C57" w:rsidP="00AB124C">
      <w:pPr>
        <w:jc w:val="both"/>
        <w:rPr>
          <w:color w:val="1F497D" w:themeColor="text2"/>
          <w:lang w:val="en-US"/>
        </w:rPr>
      </w:pPr>
    </w:p>
    <w:p w14:paraId="6BE0386C" w14:textId="77777777" w:rsidR="003E043C" w:rsidRPr="00AB124C" w:rsidRDefault="003E043C" w:rsidP="00AB124C">
      <w:pPr>
        <w:jc w:val="both"/>
        <w:rPr>
          <w:color w:val="4F81BD" w:themeColor="accent1"/>
          <w:lang w:val="en-US"/>
        </w:rPr>
      </w:pPr>
    </w:p>
    <w:p w14:paraId="13E1862A" w14:textId="77777777" w:rsidR="00C00D19" w:rsidRPr="00AB124C" w:rsidRDefault="00C00D19" w:rsidP="00AB124C">
      <w:pPr>
        <w:pStyle w:val="Heading1"/>
        <w:numPr>
          <w:ilvl w:val="0"/>
          <w:numId w:val="1"/>
        </w:numPr>
        <w:ind w:left="426" w:hanging="426"/>
        <w:jc w:val="both"/>
        <w:rPr>
          <w:rFonts w:cs="Arial"/>
          <w:szCs w:val="24"/>
          <w:lang w:val="en-US"/>
        </w:rPr>
      </w:pPr>
      <w:bookmarkStart w:id="9" w:name="_Toc168998845"/>
      <w:r w:rsidRPr="00AB124C">
        <w:rPr>
          <w:rFonts w:cs="Arial"/>
          <w:szCs w:val="24"/>
          <w:lang w:val="en-US"/>
        </w:rPr>
        <w:t>Evaluation</w:t>
      </w:r>
      <w:bookmarkEnd w:id="9"/>
    </w:p>
    <w:p w14:paraId="4DE4C7B5" w14:textId="77777777" w:rsidR="00A76F29" w:rsidRPr="00AB124C" w:rsidRDefault="00A76F29" w:rsidP="00AB124C">
      <w:pPr>
        <w:jc w:val="both"/>
        <w:rPr>
          <w:color w:val="FF0000"/>
          <w:lang w:val="en-US"/>
        </w:rPr>
      </w:pPr>
    </w:p>
    <w:p w14:paraId="5CCE4B69" w14:textId="77777777" w:rsidR="003E043C" w:rsidRPr="00FB3BDC" w:rsidRDefault="00FB3BDC" w:rsidP="00AB124C">
      <w:pPr>
        <w:jc w:val="both"/>
        <w:rPr>
          <w:color w:val="auto"/>
          <w:lang w:val="en-US"/>
        </w:rPr>
      </w:pPr>
      <w:r w:rsidRPr="00FB3BDC">
        <w:rPr>
          <w:color w:val="auto"/>
          <w:lang w:val="en-US"/>
        </w:rPr>
        <w:t>Responses</w:t>
      </w:r>
      <w:r w:rsidR="003E043C" w:rsidRPr="00FB3BDC">
        <w:rPr>
          <w:color w:val="auto"/>
          <w:lang w:val="en-US"/>
        </w:rPr>
        <w:t xml:space="preserve"> received on time</w:t>
      </w:r>
      <w:r w:rsidRPr="00FB3BDC">
        <w:rPr>
          <w:color w:val="auto"/>
          <w:lang w:val="en-US"/>
        </w:rPr>
        <w:t xml:space="preserve"> will be evaluated as per scoring methodology, providing the response</w:t>
      </w:r>
      <w:r w:rsidR="003E043C" w:rsidRPr="00FB3BDC">
        <w:rPr>
          <w:color w:val="auto"/>
          <w:lang w:val="en-US"/>
        </w:rPr>
        <w:t xml:space="preserve"> meets the requirements stated in this ITQ.</w:t>
      </w:r>
    </w:p>
    <w:p w14:paraId="712FE11F" w14:textId="77777777" w:rsidR="003E043C" w:rsidRPr="00AB124C" w:rsidRDefault="003E043C" w:rsidP="00AB124C">
      <w:pPr>
        <w:jc w:val="both"/>
        <w:rPr>
          <w:color w:val="FF0000"/>
          <w:lang w:val="en-US"/>
        </w:rPr>
      </w:pPr>
    </w:p>
    <w:p w14:paraId="54DC4444" w14:textId="77777777" w:rsidR="00C00D19" w:rsidRPr="00AB124C" w:rsidRDefault="00C00D19" w:rsidP="00AB124C">
      <w:pPr>
        <w:pStyle w:val="Heading1"/>
        <w:numPr>
          <w:ilvl w:val="0"/>
          <w:numId w:val="1"/>
        </w:numPr>
        <w:ind w:left="426" w:hanging="426"/>
        <w:jc w:val="both"/>
        <w:rPr>
          <w:rFonts w:cs="Arial"/>
          <w:szCs w:val="24"/>
          <w:lang w:val="en-US"/>
        </w:rPr>
      </w:pPr>
      <w:bookmarkStart w:id="10" w:name="_Toc168998846"/>
      <w:r w:rsidRPr="00AB124C">
        <w:rPr>
          <w:rFonts w:cs="Arial"/>
          <w:szCs w:val="24"/>
          <w:lang w:val="en-US"/>
        </w:rPr>
        <w:lastRenderedPageBreak/>
        <w:t>Award</w:t>
      </w:r>
      <w:bookmarkEnd w:id="10"/>
    </w:p>
    <w:p w14:paraId="2133D506" w14:textId="77777777" w:rsidR="00A76F29" w:rsidRPr="00AB124C" w:rsidRDefault="00A76F29" w:rsidP="00AB124C">
      <w:pPr>
        <w:jc w:val="both"/>
        <w:rPr>
          <w:lang w:val="en-US"/>
        </w:rPr>
      </w:pPr>
    </w:p>
    <w:p w14:paraId="5C80055E" w14:textId="77777777" w:rsidR="003E043C" w:rsidRDefault="003E043C" w:rsidP="00AB124C">
      <w:pPr>
        <w:jc w:val="both"/>
        <w:rPr>
          <w:color w:val="auto"/>
          <w:lang w:val="en-US"/>
        </w:rPr>
      </w:pPr>
      <w:r w:rsidRPr="003F77B1">
        <w:rPr>
          <w:color w:val="auto"/>
          <w:lang w:val="en-US"/>
        </w:rPr>
        <w:t>The award decision will be notified via the Proactis portal after the deadline for res</w:t>
      </w:r>
      <w:r w:rsidR="00FB3BDC">
        <w:rPr>
          <w:color w:val="auto"/>
          <w:lang w:val="en-US"/>
        </w:rPr>
        <w:t>ponses has passed and the response</w:t>
      </w:r>
      <w:r w:rsidRPr="003F77B1">
        <w:rPr>
          <w:color w:val="auto"/>
          <w:lang w:val="en-US"/>
        </w:rPr>
        <w:t xml:space="preserve"> have been evaluated. </w:t>
      </w:r>
    </w:p>
    <w:p w14:paraId="365ADE36" w14:textId="77777777" w:rsidR="003E043C" w:rsidRPr="003F77B1" w:rsidRDefault="003E043C" w:rsidP="00AB124C">
      <w:pPr>
        <w:jc w:val="both"/>
        <w:rPr>
          <w:color w:val="auto"/>
          <w:lang w:val="en-US"/>
        </w:rPr>
      </w:pPr>
    </w:p>
    <w:p w14:paraId="570B8925" w14:textId="77777777" w:rsidR="003E043C" w:rsidRPr="003F77B1" w:rsidRDefault="003E043C" w:rsidP="00AB124C">
      <w:pPr>
        <w:jc w:val="both"/>
        <w:rPr>
          <w:color w:val="auto"/>
          <w:lang w:val="en-US"/>
        </w:rPr>
      </w:pPr>
      <w:r w:rsidRPr="003F77B1">
        <w:rPr>
          <w:color w:val="auto"/>
          <w:lang w:val="en-US"/>
        </w:rPr>
        <w:t>GBC reserve the right to decline to make an award, or to abandon or cancel the procurement process. GBC will not be responsible for any costs or expenses incurred as a result of following this course of action.</w:t>
      </w:r>
    </w:p>
    <w:p w14:paraId="70992DE0" w14:textId="77777777" w:rsidR="003E043C" w:rsidRPr="003F77B1" w:rsidRDefault="003E043C" w:rsidP="00AB124C">
      <w:pPr>
        <w:jc w:val="both"/>
        <w:rPr>
          <w:color w:val="auto"/>
          <w:lang w:val="en-US"/>
        </w:rPr>
      </w:pPr>
    </w:p>
    <w:p w14:paraId="3F81D79F" w14:textId="77777777" w:rsidR="003E043C" w:rsidRPr="003F77B1" w:rsidRDefault="003E043C" w:rsidP="00AB124C">
      <w:pPr>
        <w:jc w:val="both"/>
        <w:rPr>
          <w:color w:val="auto"/>
          <w:lang w:val="en-US"/>
        </w:rPr>
      </w:pPr>
      <w:r w:rsidRPr="003F77B1">
        <w:rPr>
          <w:color w:val="auto"/>
          <w:lang w:val="en-US"/>
        </w:rPr>
        <w:t xml:space="preserve">Any costs incurred by the </w:t>
      </w:r>
      <w:r w:rsidR="00654FEE">
        <w:rPr>
          <w:color w:val="auto"/>
          <w:lang w:val="en-US"/>
        </w:rPr>
        <w:t>contractor</w:t>
      </w:r>
      <w:r w:rsidRPr="003F77B1">
        <w:rPr>
          <w:color w:val="auto"/>
          <w:lang w:val="en-US"/>
        </w:rPr>
        <w:t xml:space="preserve"> in responding to this ITQ or in support of activities associated with the response to this ITQ are to be borne by the service provider and are not reimbursable by GBC.</w:t>
      </w:r>
    </w:p>
    <w:p w14:paraId="7339C24E" w14:textId="77777777" w:rsidR="00A76F29" w:rsidRPr="00AB124C" w:rsidRDefault="00A76F29" w:rsidP="00AB124C">
      <w:pPr>
        <w:pStyle w:val="Heading1"/>
        <w:numPr>
          <w:ilvl w:val="0"/>
          <w:numId w:val="1"/>
        </w:numPr>
        <w:ind w:left="426" w:hanging="426"/>
        <w:jc w:val="both"/>
        <w:rPr>
          <w:rFonts w:cs="Arial"/>
          <w:lang w:val="en-US"/>
        </w:rPr>
      </w:pPr>
      <w:bookmarkStart w:id="11" w:name="_Toc168998847"/>
      <w:r w:rsidRPr="00AB124C">
        <w:rPr>
          <w:rFonts w:cs="Arial"/>
          <w:lang w:val="en-US"/>
        </w:rPr>
        <w:t>Terms and Conditions</w:t>
      </w:r>
      <w:bookmarkEnd w:id="11"/>
    </w:p>
    <w:p w14:paraId="09E0187C" w14:textId="77777777" w:rsidR="00A76F29" w:rsidRPr="00AB124C" w:rsidRDefault="00A76F29" w:rsidP="00AB124C">
      <w:pPr>
        <w:jc w:val="both"/>
        <w:rPr>
          <w:lang w:val="en-US"/>
        </w:rPr>
      </w:pPr>
    </w:p>
    <w:p w14:paraId="7518011E" w14:textId="77777777" w:rsidR="00387E47" w:rsidRPr="00FB3BDC" w:rsidRDefault="00387E47" w:rsidP="00387E47">
      <w:pPr>
        <w:spacing w:before="120" w:after="120" w:line="249" w:lineRule="auto"/>
        <w:ind w:left="-5" w:right="5" w:hanging="10"/>
        <w:jc w:val="both"/>
        <w:rPr>
          <w:rFonts w:eastAsia="Verdana"/>
          <w:color w:val="auto"/>
        </w:rPr>
      </w:pPr>
      <w:r w:rsidRPr="00FB3BDC">
        <w:rPr>
          <w:rFonts w:eastAsia="Verdana"/>
          <w:color w:val="auto"/>
        </w:rPr>
        <w:t xml:space="preserve">In submitting a response to this Invitation to Quote, </w:t>
      </w:r>
      <w:r w:rsidR="00BE0858" w:rsidRPr="00FB3BDC">
        <w:rPr>
          <w:rFonts w:eastAsia="Verdana"/>
          <w:color w:val="auto"/>
        </w:rPr>
        <w:t>potential Contractors</w:t>
      </w:r>
      <w:r w:rsidRPr="00FB3BDC">
        <w:rPr>
          <w:rFonts w:eastAsia="Verdana"/>
          <w:color w:val="auto"/>
        </w:rPr>
        <w:t xml:space="preserve"> do so on the conditions set out in the Council’s Services Contract, which is attached to this invitation.  In the event of any breach of the conditions, the Council shall be entitled to terminate any arrangement made as a result of such procurement. </w:t>
      </w:r>
    </w:p>
    <w:p w14:paraId="34EFE551" w14:textId="77777777" w:rsidR="00387E47" w:rsidRDefault="00387E47" w:rsidP="00387E47">
      <w:pPr>
        <w:spacing w:before="120" w:after="120" w:line="249" w:lineRule="auto"/>
        <w:ind w:left="-5" w:right="5" w:hanging="10"/>
        <w:jc w:val="both"/>
        <w:rPr>
          <w:rFonts w:eastAsia="Verdana"/>
          <w:color w:val="4F81BD" w:themeColor="accent1"/>
        </w:rPr>
      </w:pPr>
    </w:p>
    <w:p w14:paraId="723D335B" w14:textId="77777777" w:rsidR="005D1421" w:rsidRPr="005D1421" w:rsidRDefault="005D1421" w:rsidP="005D1421">
      <w:pPr>
        <w:pStyle w:val="Heading1"/>
        <w:numPr>
          <w:ilvl w:val="0"/>
          <w:numId w:val="1"/>
        </w:numPr>
        <w:ind w:left="426" w:hanging="426"/>
        <w:jc w:val="both"/>
        <w:rPr>
          <w:rFonts w:cs="Arial"/>
          <w:lang w:val="en-US"/>
        </w:rPr>
      </w:pPr>
      <w:bookmarkStart w:id="12" w:name="_Toc168998848"/>
      <w:r>
        <w:rPr>
          <w:rFonts w:cs="Arial"/>
          <w:lang w:val="en-US"/>
        </w:rPr>
        <w:t xml:space="preserve">Conduct and </w:t>
      </w:r>
      <w:r w:rsidRPr="005D1421">
        <w:rPr>
          <w:rFonts w:cs="Arial"/>
          <w:lang w:val="en-US"/>
        </w:rPr>
        <w:t>Conflicts of interest</w:t>
      </w:r>
      <w:bookmarkEnd w:id="12"/>
    </w:p>
    <w:p w14:paraId="30E82F95" w14:textId="77777777" w:rsidR="005D1421" w:rsidRDefault="005D1421" w:rsidP="005D1421">
      <w:pPr>
        <w:jc w:val="both"/>
        <w:rPr>
          <w:color w:val="auto"/>
          <w:lang w:val="en-US"/>
        </w:rPr>
      </w:pPr>
    </w:p>
    <w:p w14:paraId="567634FA" w14:textId="77777777" w:rsidR="005D1421" w:rsidRDefault="005D1421" w:rsidP="005D1421">
      <w:pPr>
        <w:jc w:val="both"/>
        <w:rPr>
          <w:color w:val="auto"/>
          <w:lang w:val="en-US"/>
        </w:rPr>
      </w:pPr>
      <w:r>
        <w:rPr>
          <w:color w:val="auto"/>
          <w:lang w:val="en-US"/>
        </w:rPr>
        <w:t xml:space="preserve">The </w:t>
      </w:r>
      <w:r w:rsidR="00A9069A">
        <w:rPr>
          <w:color w:val="auto"/>
          <w:lang w:val="en-US"/>
        </w:rPr>
        <w:t>contractor</w:t>
      </w:r>
      <w:r w:rsidRPr="005D1421">
        <w:rPr>
          <w:color w:val="auto"/>
          <w:lang w:val="en-US"/>
        </w:rPr>
        <w:t xml:space="preserve"> shall not, before the date and time specified for return of the </w:t>
      </w:r>
      <w:r w:rsidR="001C43B0">
        <w:rPr>
          <w:color w:val="auto"/>
          <w:lang w:val="en-US"/>
        </w:rPr>
        <w:t>quote</w:t>
      </w:r>
      <w:r w:rsidRPr="005D1421">
        <w:rPr>
          <w:color w:val="auto"/>
          <w:lang w:val="en-US"/>
        </w:rPr>
        <w:t xml:space="preserve">, communicate to any person the amount or approximate amount of the </w:t>
      </w:r>
      <w:r w:rsidR="00BE0858">
        <w:rPr>
          <w:color w:val="auto"/>
          <w:lang w:val="en-US"/>
        </w:rPr>
        <w:t>quote</w:t>
      </w:r>
      <w:r w:rsidRPr="005D1421">
        <w:rPr>
          <w:color w:val="auto"/>
          <w:lang w:val="en-US"/>
        </w:rPr>
        <w:t xml:space="preserve"> or proposed </w:t>
      </w:r>
      <w:r w:rsidR="00BE0858">
        <w:rPr>
          <w:color w:val="auto"/>
          <w:lang w:val="en-US"/>
        </w:rPr>
        <w:t>quote</w:t>
      </w:r>
      <w:r w:rsidRPr="005D1421">
        <w:rPr>
          <w:color w:val="auto"/>
          <w:lang w:val="en-US"/>
        </w:rPr>
        <w:t xml:space="preserve">, except where the disclosure in confidence of the approximate amount of </w:t>
      </w:r>
      <w:r w:rsidR="00BE0858">
        <w:rPr>
          <w:color w:val="auto"/>
          <w:lang w:val="en-US"/>
        </w:rPr>
        <w:t>quote</w:t>
      </w:r>
      <w:r w:rsidRPr="005D1421">
        <w:rPr>
          <w:color w:val="auto"/>
          <w:lang w:val="en-US"/>
        </w:rPr>
        <w:t xml:space="preserve"> is necessary to obtain insurance cover. </w:t>
      </w:r>
    </w:p>
    <w:p w14:paraId="0FDB5076" w14:textId="77777777" w:rsidR="005D1421" w:rsidRPr="005D1421" w:rsidRDefault="005D1421" w:rsidP="005D1421">
      <w:pPr>
        <w:jc w:val="both"/>
        <w:rPr>
          <w:color w:val="auto"/>
          <w:lang w:val="en-US"/>
        </w:rPr>
      </w:pPr>
    </w:p>
    <w:p w14:paraId="6BAA7916" w14:textId="77777777" w:rsidR="005D1421" w:rsidRDefault="005D1421" w:rsidP="005D1421">
      <w:pPr>
        <w:jc w:val="both"/>
        <w:rPr>
          <w:color w:val="auto"/>
          <w:lang w:val="en-US"/>
        </w:rPr>
      </w:pPr>
      <w:r w:rsidRPr="005D1421">
        <w:rPr>
          <w:color w:val="auto"/>
          <w:lang w:val="en-US"/>
        </w:rPr>
        <w:t xml:space="preserve">The </w:t>
      </w:r>
      <w:r w:rsidR="00BE0858">
        <w:rPr>
          <w:color w:val="auto"/>
          <w:lang w:val="en-US"/>
        </w:rPr>
        <w:t>quote</w:t>
      </w:r>
      <w:r w:rsidRPr="005D1421">
        <w:rPr>
          <w:color w:val="auto"/>
          <w:lang w:val="en-US"/>
        </w:rPr>
        <w:t xml:space="preserve"> shall be a bona-fide </w:t>
      </w:r>
      <w:r w:rsidR="00BE0858">
        <w:rPr>
          <w:color w:val="auto"/>
          <w:lang w:val="en-US"/>
        </w:rPr>
        <w:t>quote</w:t>
      </w:r>
      <w:r w:rsidRPr="005D1421">
        <w:rPr>
          <w:color w:val="auto"/>
          <w:lang w:val="en-US"/>
        </w:rPr>
        <w:t xml:space="preserve"> and shall not be fixed or adjusted by</w:t>
      </w:r>
      <w:r w:rsidR="00BE0858">
        <w:rPr>
          <w:color w:val="auto"/>
          <w:lang w:val="en-US"/>
        </w:rPr>
        <w:t>,</w:t>
      </w:r>
      <w:r w:rsidRPr="005D1421">
        <w:rPr>
          <w:color w:val="auto"/>
          <w:lang w:val="en-US"/>
        </w:rPr>
        <w:t xml:space="preserve"> under</w:t>
      </w:r>
      <w:r w:rsidR="00BE0858">
        <w:rPr>
          <w:color w:val="auto"/>
          <w:lang w:val="en-US"/>
        </w:rPr>
        <w:t>,</w:t>
      </w:r>
      <w:r w:rsidRPr="005D1421">
        <w:rPr>
          <w:color w:val="auto"/>
          <w:lang w:val="en-US"/>
        </w:rPr>
        <w:t xml:space="preserve"> or in accordance with any agreement or arrangement with any other person. </w:t>
      </w:r>
    </w:p>
    <w:p w14:paraId="05F42001" w14:textId="77777777" w:rsidR="00BE0858" w:rsidRPr="005D1421" w:rsidRDefault="00BE0858" w:rsidP="005D1421">
      <w:pPr>
        <w:jc w:val="both"/>
        <w:rPr>
          <w:color w:val="auto"/>
          <w:lang w:val="en-US"/>
        </w:rPr>
      </w:pPr>
    </w:p>
    <w:p w14:paraId="017C8622" w14:textId="77777777" w:rsidR="005D1421" w:rsidRDefault="00A9069A" w:rsidP="005D1421">
      <w:pPr>
        <w:jc w:val="both"/>
        <w:rPr>
          <w:color w:val="auto"/>
          <w:lang w:val="en-US"/>
        </w:rPr>
      </w:pPr>
      <w:r>
        <w:rPr>
          <w:color w:val="auto"/>
          <w:lang w:val="en-US"/>
        </w:rPr>
        <w:t>Contractors</w:t>
      </w:r>
      <w:r w:rsidR="005D1421" w:rsidRPr="005D1421">
        <w:rPr>
          <w:color w:val="auto"/>
          <w:lang w:val="en-US"/>
        </w:rPr>
        <w:t xml:space="preserve"> shall not enter into any agreement or arrangement with any other person with the intent that the other person shall refrain from </w:t>
      </w:r>
      <w:r w:rsidR="00BE0858">
        <w:rPr>
          <w:color w:val="auto"/>
          <w:lang w:val="en-US"/>
        </w:rPr>
        <w:t>submitting a quote.</w:t>
      </w:r>
    </w:p>
    <w:p w14:paraId="21326992" w14:textId="77777777" w:rsidR="005D1421" w:rsidRPr="005D1421" w:rsidRDefault="005D1421" w:rsidP="005D1421">
      <w:pPr>
        <w:jc w:val="both"/>
        <w:rPr>
          <w:color w:val="auto"/>
          <w:lang w:val="en-US"/>
        </w:rPr>
      </w:pPr>
    </w:p>
    <w:p w14:paraId="2608C7C1" w14:textId="77777777" w:rsidR="005D1421" w:rsidRPr="005D1421" w:rsidRDefault="00A9069A" w:rsidP="005D1421">
      <w:pPr>
        <w:jc w:val="both"/>
        <w:rPr>
          <w:color w:val="auto"/>
          <w:lang w:val="en-US"/>
        </w:rPr>
      </w:pPr>
      <w:r>
        <w:rPr>
          <w:color w:val="auto"/>
          <w:lang w:val="en-US"/>
        </w:rPr>
        <w:lastRenderedPageBreak/>
        <w:t>Contractors</w:t>
      </w:r>
      <w:r w:rsidR="005D1421" w:rsidRPr="005D1421">
        <w:rPr>
          <w:color w:val="auto"/>
          <w:lang w:val="en-US"/>
        </w:rPr>
        <w:t xml:space="preserve"> must not, in connection with the proposed </w:t>
      </w:r>
      <w:r w:rsidR="00BE0858">
        <w:rPr>
          <w:color w:val="auto"/>
          <w:lang w:val="en-US"/>
        </w:rPr>
        <w:t>quote</w:t>
      </w:r>
      <w:r w:rsidR="005D1421" w:rsidRPr="005D1421">
        <w:rPr>
          <w:color w:val="auto"/>
          <w:lang w:val="en-US"/>
        </w:rPr>
        <w:t xml:space="preserve">: </w:t>
      </w:r>
    </w:p>
    <w:p w14:paraId="39E4018E" w14:textId="77777777" w:rsidR="005D1421" w:rsidRPr="00D36BB4" w:rsidRDefault="005D1421" w:rsidP="005D1421">
      <w:pPr>
        <w:pStyle w:val="ListParagraph"/>
        <w:numPr>
          <w:ilvl w:val="0"/>
          <w:numId w:val="10"/>
        </w:numPr>
        <w:spacing w:before="120" w:after="120" w:line="249" w:lineRule="auto"/>
        <w:ind w:right="5"/>
        <w:jc w:val="both"/>
      </w:pPr>
      <w:r w:rsidRPr="00D36BB4">
        <w:rPr>
          <w:rFonts w:eastAsia="Verdana"/>
        </w:rPr>
        <w:t>offer any inducement, fee or reward to any mem</w:t>
      </w:r>
      <w:r w:rsidR="00BE0858">
        <w:rPr>
          <w:rFonts w:eastAsia="Verdana"/>
        </w:rPr>
        <w:t>ber or officer of the Authority/Council</w:t>
      </w:r>
    </w:p>
    <w:p w14:paraId="7B1C7CE3" w14:textId="77777777" w:rsidR="005D1421" w:rsidRPr="00D36BB4" w:rsidRDefault="005D1421" w:rsidP="005D1421">
      <w:pPr>
        <w:pStyle w:val="ListParagraph"/>
        <w:numPr>
          <w:ilvl w:val="0"/>
          <w:numId w:val="10"/>
        </w:numPr>
        <w:spacing w:before="120" w:after="120" w:line="249" w:lineRule="auto"/>
        <w:ind w:right="5"/>
        <w:jc w:val="both"/>
      </w:pPr>
      <w:r w:rsidRPr="00D36BB4">
        <w:rPr>
          <w:rFonts w:eastAsia="Verdana"/>
        </w:rPr>
        <w:t xml:space="preserve">do anything which would constitute a breach of the Bribery Act 2010 or the Section 117 (2) Local Government Act 1972, or </w:t>
      </w:r>
    </w:p>
    <w:p w14:paraId="0EEFFFF6" w14:textId="77777777" w:rsidR="00BE0858" w:rsidRPr="00BE0858" w:rsidRDefault="005D1421" w:rsidP="005D1421">
      <w:pPr>
        <w:pStyle w:val="ListParagraph"/>
        <w:numPr>
          <w:ilvl w:val="0"/>
          <w:numId w:val="10"/>
        </w:numPr>
        <w:spacing w:before="120" w:after="120" w:line="249" w:lineRule="auto"/>
        <w:ind w:right="5"/>
        <w:jc w:val="both"/>
      </w:pPr>
      <w:r w:rsidRPr="00D36BB4">
        <w:rPr>
          <w:rFonts w:eastAsia="Verdana"/>
        </w:rPr>
        <w:t>canvass any of the persons referred to above in connectio</w:t>
      </w:r>
      <w:r w:rsidR="00BE0858">
        <w:rPr>
          <w:rFonts w:eastAsia="Verdana"/>
        </w:rPr>
        <w:t>n with the provision;</w:t>
      </w:r>
    </w:p>
    <w:p w14:paraId="283B3EA2" w14:textId="77777777" w:rsidR="005D1421" w:rsidRPr="00D36BB4" w:rsidRDefault="00BE0858" w:rsidP="00BE0858">
      <w:pPr>
        <w:pStyle w:val="ListParagraph"/>
        <w:numPr>
          <w:ilvl w:val="1"/>
          <w:numId w:val="10"/>
        </w:numPr>
        <w:spacing w:before="120" w:after="120" w:line="249" w:lineRule="auto"/>
        <w:ind w:right="5"/>
        <w:jc w:val="both"/>
      </w:pPr>
      <w:r>
        <w:rPr>
          <w:rFonts w:eastAsia="Verdana"/>
        </w:rPr>
        <w:t xml:space="preserve">or contact, </w:t>
      </w:r>
      <w:r w:rsidR="005D1421" w:rsidRPr="00D36BB4">
        <w:rPr>
          <w:rFonts w:eastAsia="Verdana"/>
        </w:rPr>
        <w:t>any member or officer of the Authority</w:t>
      </w:r>
      <w:r>
        <w:rPr>
          <w:rFonts w:eastAsia="Verdana"/>
        </w:rPr>
        <w:t>/Council</w:t>
      </w:r>
      <w:r w:rsidR="005D1421" w:rsidRPr="00D36BB4">
        <w:rPr>
          <w:rFonts w:eastAsia="Verdana"/>
        </w:rPr>
        <w:t xml:space="preserve"> or any person acting as an advisor to the Authority</w:t>
      </w:r>
      <w:r>
        <w:rPr>
          <w:rFonts w:eastAsia="Verdana"/>
        </w:rPr>
        <w:t>/Council</w:t>
      </w:r>
      <w:r w:rsidR="005D1421" w:rsidRPr="00D36BB4">
        <w:rPr>
          <w:rFonts w:eastAsia="Verdana"/>
        </w:rPr>
        <w:t xml:space="preserve"> (except as authorised by this Invitation to </w:t>
      </w:r>
      <w:r>
        <w:rPr>
          <w:rFonts w:eastAsia="Verdana"/>
        </w:rPr>
        <w:t>Quote</w:t>
      </w:r>
      <w:r w:rsidR="005D1421" w:rsidRPr="00D36BB4">
        <w:rPr>
          <w:rFonts w:eastAsia="Verdana"/>
        </w:rPr>
        <w:t xml:space="preserve"> for the purpose of asking genuine questions about the process or the </w:t>
      </w:r>
      <w:r>
        <w:rPr>
          <w:rFonts w:eastAsia="Verdana"/>
        </w:rPr>
        <w:t>provision</w:t>
      </w:r>
      <w:r w:rsidR="005D1421" w:rsidRPr="00D36BB4">
        <w:rPr>
          <w:rFonts w:eastAsia="Verdana"/>
        </w:rPr>
        <w:t xml:space="preserve">) about any aspect of the proposed </w:t>
      </w:r>
      <w:r>
        <w:rPr>
          <w:rFonts w:eastAsia="Verdana"/>
        </w:rPr>
        <w:t>provision</w:t>
      </w:r>
      <w:r w:rsidR="005D1421" w:rsidRPr="00D36BB4">
        <w:rPr>
          <w:rFonts w:eastAsia="Verdana"/>
        </w:rPr>
        <w:t xml:space="preserve"> or for soliciting information in connection therewith. </w:t>
      </w:r>
    </w:p>
    <w:p w14:paraId="03DEA486" w14:textId="77777777" w:rsidR="005D1421" w:rsidRDefault="008156A9" w:rsidP="005D1421">
      <w:pPr>
        <w:spacing w:before="120" w:after="120" w:line="249" w:lineRule="auto"/>
        <w:ind w:right="5"/>
        <w:rPr>
          <w:rFonts w:ascii="Verdana" w:eastAsia="Verdana" w:hAnsi="Verdana" w:cs="Verdana"/>
        </w:rPr>
      </w:pPr>
      <w:r>
        <w:rPr>
          <w:rFonts w:eastAsia="Verdana"/>
        </w:rPr>
        <w:t>Suppliers</w:t>
      </w:r>
      <w:r w:rsidR="005D1421" w:rsidRPr="00D36BB4">
        <w:rPr>
          <w:rFonts w:eastAsia="Verdana"/>
        </w:rPr>
        <w:t xml:space="preserve"> are responsible for ensuring that no conflicts of interest exist between the </w:t>
      </w:r>
      <w:r>
        <w:rPr>
          <w:rFonts w:eastAsia="Verdana"/>
        </w:rPr>
        <w:t>Supplier</w:t>
      </w:r>
      <w:r w:rsidR="005D1421" w:rsidRPr="00D36BB4">
        <w:rPr>
          <w:rFonts w:eastAsia="Verdana"/>
        </w:rPr>
        <w:t xml:space="preserve"> and its advisors and the C</w:t>
      </w:r>
      <w:r>
        <w:rPr>
          <w:rFonts w:eastAsia="Verdana"/>
        </w:rPr>
        <w:t>ouncil</w:t>
      </w:r>
      <w:r w:rsidR="005D1421" w:rsidRPr="00D36BB4">
        <w:rPr>
          <w:rFonts w:eastAsia="Verdana"/>
        </w:rPr>
        <w:t xml:space="preserve"> and its advisors.  Any </w:t>
      </w:r>
      <w:r>
        <w:rPr>
          <w:rFonts w:eastAsia="Verdana"/>
        </w:rPr>
        <w:t xml:space="preserve">Supplier </w:t>
      </w:r>
      <w:r w:rsidR="005D1421" w:rsidRPr="00D36BB4">
        <w:rPr>
          <w:rFonts w:eastAsia="Verdana"/>
        </w:rPr>
        <w:t xml:space="preserve">who fails to comply with this requirement may be disqualified from the procurement process at the discretion of the </w:t>
      </w:r>
      <w:r w:rsidR="00E571C6">
        <w:rPr>
          <w:rFonts w:eastAsia="Verdana"/>
        </w:rPr>
        <w:t>Council</w:t>
      </w:r>
      <w:r w:rsidR="005D1421" w:rsidRPr="00D36BB4">
        <w:rPr>
          <w:rFonts w:eastAsia="Verdana"/>
        </w:rPr>
        <w:t>. Any conflicts</w:t>
      </w:r>
      <w:r w:rsidR="00D36BB4" w:rsidRPr="00D36BB4">
        <w:rPr>
          <w:rFonts w:eastAsia="Verdana"/>
        </w:rPr>
        <w:t xml:space="preserve"> of interests</w:t>
      </w:r>
      <w:r w:rsidR="005D1421" w:rsidRPr="00D36BB4">
        <w:rPr>
          <w:rFonts w:eastAsia="Verdana"/>
        </w:rPr>
        <w:t xml:space="preserve"> must be declared to the Council at the earliest </w:t>
      </w:r>
      <w:r w:rsidR="00D36BB4" w:rsidRPr="00D36BB4">
        <w:rPr>
          <w:rFonts w:eastAsia="Verdana"/>
        </w:rPr>
        <w:t>opportunity.</w:t>
      </w:r>
    </w:p>
    <w:p w14:paraId="0F5A49BA" w14:textId="77777777" w:rsidR="005D1421" w:rsidRPr="005D1421" w:rsidRDefault="005D1421" w:rsidP="005D1421">
      <w:pPr>
        <w:spacing w:before="120" w:after="120" w:line="249" w:lineRule="auto"/>
        <w:ind w:right="5"/>
        <w:jc w:val="both"/>
      </w:pPr>
    </w:p>
    <w:p w14:paraId="15CB1C05" w14:textId="77777777" w:rsidR="00387E47" w:rsidRPr="00AB124C" w:rsidRDefault="00387E47" w:rsidP="00387E47">
      <w:pPr>
        <w:spacing w:before="120" w:after="120" w:line="249" w:lineRule="auto"/>
        <w:ind w:left="-5" w:right="5" w:hanging="10"/>
        <w:jc w:val="both"/>
        <w:rPr>
          <w:color w:val="4F81BD" w:themeColor="accent1"/>
        </w:rPr>
      </w:pPr>
    </w:p>
    <w:p w14:paraId="2BFEAF2E" w14:textId="77777777" w:rsidR="00387E47" w:rsidRPr="00AB124C" w:rsidRDefault="00387E47" w:rsidP="00AB124C">
      <w:pPr>
        <w:jc w:val="both"/>
        <w:rPr>
          <w:color w:val="FF0000"/>
          <w:lang w:val="en-US"/>
        </w:rPr>
      </w:pPr>
    </w:p>
    <w:sectPr w:rsidR="00387E47" w:rsidRPr="00AB124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83316" w14:textId="77777777" w:rsidR="00BE756B" w:rsidRDefault="00BE756B" w:rsidP="00A76F29">
      <w:pPr>
        <w:spacing w:line="240" w:lineRule="auto"/>
      </w:pPr>
      <w:r>
        <w:separator/>
      </w:r>
    </w:p>
  </w:endnote>
  <w:endnote w:type="continuationSeparator" w:id="0">
    <w:p w14:paraId="5ADEEE55" w14:textId="77777777" w:rsidR="00BE756B" w:rsidRDefault="00BE756B" w:rsidP="00A76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B8961" w14:textId="77777777" w:rsidR="00BE756B" w:rsidRDefault="00BE7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601867"/>
      <w:docPartObj>
        <w:docPartGallery w:val="Page Numbers (Bottom of Page)"/>
        <w:docPartUnique/>
      </w:docPartObj>
    </w:sdtPr>
    <w:sdtEndPr>
      <w:rPr>
        <w:noProof/>
      </w:rPr>
    </w:sdtEndPr>
    <w:sdtContent>
      <w:p w14:paraId="3026271C" w14:textId="5211F172" w:rsidR="00BE756B" w:rsidRDefault="00BE756B">
        <w:pPr>
          <w:pStyle w:val="Footer"/>
          <w:jc w:val="right"/>
        </w:pPr>
        <w:r>
          <w:fldChar w:fldCharType="begin"/>
        </w:r>
        <w:r>
          <w:instrText xml:space="preserve"> PAGE   \* MERGEFORMAT </w:instrText>
        </w:r>
        <w:r>
          <w:fldChar w:fldCharType="separate"/>
        </w:r>
        <w:r w:rsidR="00EC0CBC">
          <w:rPr>
            <w:noProof/>
          </w:rPr>
          <w:t>7</w:t>
        </w:r>
        <w:r>
          <w:rPr>
            <w:noProof/>
          </w:rPr>
          <w:fldChar w:fldCharType="end"/>
        </w:r>
      </w:p>
    </w:sdtContent>
  </w:sdt>
  <w:p w14:paraId="42B71D9C" w14:textId="77777777" w:rsidR="00BE756B" w:rsidRDefault="00BE75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D3B0F" w14:textId="77777777" w:rsidR="00BE756B" w:rsidRDefault="00BE7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81173" w14:textId="77777777" w:rsidR="00BE756B" w:rsidRDefault="00BE756B" w:rsidP="00A76F29">
      <w:pPr>
        <w:spacing w:line="240" w:lineRule="auto"/>
      </w:pPr>
      <w:r>
        <w:separator/>
      </w:r>
    </w:p>
  </w:footnote>
  <w:footnote w:type="continuationSeparator" w:id="0">
    <w:p w14:paraId="620E53D3" w14:textId="77777777" w:rsidR="00BE756B" w:rsidRDefault="00BE756B" w:rsidP="00A76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0F039" w14:textId="77777777" w:rsidR="00BE756B" w:rsidRDefault="00BE7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6B4BD" w14:textId="77777777" w:rsidR="00BE756B" w:rsidRDefault="00BE756B">
    <w:pPr>
      <w:pStyle w:val="Header"/>
    </w:pPr>
    <w:r>
      <w:tab/>
    </w:r>
    <w:r>
      <w:tab/>
    </w:r>
    <w:r>
      <w:rPr>
        <w:noProof/>
        <w:lang w:eastAsia="en-GB"/>
      </w:rPr>
      <w:drawing>
        <wp:inline distT="0" distB="0" distL="0" distR="0" wp14:anchorId="73AFA0DE" wp14:editId="33BB5797">
          <wp:extent cx="847725" cy="724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5687" cy="7395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BC4C" w14:textId="77777777" w:rsidR="00BE756B" w:rsidRDefault="00BE7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89E"/>
    <w:multiLevelType w:val="hybridMultilevel"/>
    <w:tmpl w:val="CD222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0B7F3B"/>
    <w:multiLevelType w:val="hybridMultilevel"/>
    <w:tmpl w:val="AE022C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9492F"/>
    <w:multiLevelType w:val="hybridMultilevel"/>
    <w:tmpl w:val="A502BB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44268"/>
    <w:multiLevelType w:val="multilevel"/>
    <w:tmpl w:val="788039F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3A974E9"/>
    <w:multiLevelType w:val="hybridMultilevel"/>
    <w:tmpl w:val="1298D982"/>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25D4606E"/>
    <w:multiLevelType w:val="hybridMultilevel"/>
    <w:tmpl w:val="39A4BDC0"/>
    <w:lvl w:ilvl="0" w:tplc="FDDC95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8C0F26">
      <w:start w:val="1"/>
      <w:numFmt w:val="bullet"/>
      <w:lvlText w:val="o"/>
      <w:lvlJc w:val="left"/>
      <w:pPr>
        <w:ind w:left="1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6A5F60">
      <w:start w:val="1"/>
      <w:numFmt w:val="bullet"/>
      <w:lvlText w:val="▪"/>
      <w:lvlJc w:val="left"/>
      <w:pPr>
        <w:ind w:left="1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22C328">
      <w:start w:val="1"/>
      <w:numFmt w:val="bullet"/>
      <w:lvlText w:val="•"/>
      <w:lvlJc w:val="left"/>
      <w:pPr>
        <w:ind w:left="2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8BEE4">
      <w:start w:val="1"/>
      <w:numFmt w:val="bullet"/>
      <w:lvlText w:val="o"/>
      <w:lvlJc w:val="left"/>
      <w:pPr>
        <w:ind w:left="3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6AD5A6">
      <w:start w:val="1"/>
      <w:numFmt w:val="bullet"/>
      <w:lvlText w:val="▪"/>
      <w:lvlJc w:val="left"/>
      <w:pPr>
        <w:ind w:left="4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926F08">
      <w:start w:val="1"/>
      <w:numFmt w:val="bullet"/>
      <w:lvlText w:val="•"/>
      <w:lvlJc w:val="left"/>
      <w:pPr>
        <w:ind w:left="4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A4995E">
      <w:start w:val="1"/>
      <w:numFmt w:val="bullet"/>
      <w:lvlText w:val="o"/>
      <w:lvlJc w:val="left"/>
      <w:pPr>
        <w:ind w:left="5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DA922C">
      <w:start w:val="1"/>
      <w:numFmt w:val="bullet"/>
      <w:lvlText w:val="▪"/>
      <w:lvlJc w:val="left"/>
      <w:pPr>
        <w:ind w:left="6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88D614E"/>
    <w:multiLevelType w:val="hybridMultilevel"/>
    <w:tmpl w:val="6B28415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DB3327"/>
    <w:multiLevelType w:val="multilevel"/>
    <w:tmpl w:val="48FC3A84"/>
    <w:lvl w:ilvl="0">
      <w:start w:val="1"/>
      <w:numFmt w:val="decimal"/>
      <w:lvlText w:val="%1.0"/>
      <w:lvlJc w:val="left"/>
      <w:pPr>
        <w:tabs>
          <w:tab w:val="num" w:pos="390"/>
        </w:tabs>
        <w:ind w:left="390" w:hanging="390"/>
      </w:pPr>
      <w:rPr>
        <w:rFonts w:cs="Times New Roman"/>
      </w:rPr>
    </w:lvl>
    <w:lvl w:ilvl="1">
      <w:start w:val="1"/>
      <w:numFmt w:val="bullet"/>
      <w:lvlText w:val=""/>
      <w:lvlJc w:val="left"/>
      <w:pPr>
        <w:tabs>
          <w:tab w:val="num" w:pos="390"/>
        </w:tabs>
        <w:ind w:left="390" w:hanging="390"/>
      </w:pPr>
      <w:rPr>
        <w:rFonts w:ascii="Symbol" w:hAnsi="Symbol" w:hint="default"/>
        <w:color w:val="auto"/>
        <w:sz w:val="22"/>
        <w:szCs w:val="22"/>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15:restartNumberingAfterBreak="0">
    <w:nsid w:val="72A869A9"/>
    <w:multiLevelType w:val="hybridMultilevel"/>
    <w:tmpl w:val="8624B3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35C00"/>
    <w:multiLevelType w:val="hybridMultilevel"/>
    <w:tmpl w:val="47D8BC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831A70"/>
    <w:multiLevelType w:val="hybridMultilevel"/>
    <w:tmpl w:val="F1BA082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91B4249"/>
    <w:multiLevelType w:val="hybridMultilevel"/>
    <w:tmpl w:val="1C1E1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3"/>
  </w:num>
  <w:num w:numId="5">
    <w:abstractNumId w:val="4"/>
  </w:num>
  <w:num w:numId="6">
    <w:abstractNumId w:val="9"/>
  </w:num>
  <w:num w:numId="7">
    <w:abstractNumId w:val="2"/>
  </w:num>
  <w:num w:numId="8">
    <w:abstractNumId w:val="5"/>
  </w:num>
  <w:num w:numId="9">
    <w:abstractNumId w:val="10"/>
  </w:num>
  <w:num w:numId="10">
    <w:abstractNumId w:val="6"/>
  </w:num>
  <w:num w:numId="11">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19"/>
    <w:rsid w:val="00002F17"/>
    <w:rsid w:val="00074310"/>
    <w:rsid w:val="000771AE"/>
    <w:rsid w:val="00097418"/>
    <w:rsid w:val="000D4EFE"/>
    <w:rsid w:val="00134171"/>
    <w:rsid w:val="001830B3"/>
    <w:rsid w:val="0019574D"/>
    <w:rsid w:val="001C43B0"/>
    <w:rsid w:val="001C4418"/>
    <w:rsid w:val="001C48EB"/>
    <w:rsid w:val="001E0C15"/>
    <w:rsid w:val="00216C1E"/>
    <w:rsid w:val="00226B9B"/>
    <w:rsid w:val="00302A14"/>
    <w:rsid w:val="003573BF"/>
    <w:rsid w:val="00372B83"/>
    <w:rsid w:val="00385C57"/>
    <w:rsid w:val="00387E47"/>
    <w:rsid w:val="003A18BD"/>
    <w:rsid w:val="003C72DD"/>
    <w:rsid w:val="003E043C"/>
    <w:rsid w:val="003F77B1"/>
    <w:rsid w:val="00415D04"/>
    <w:rsid w:val="00462EE0"/>
    <w:rsid w:val="00465BA8"/>
    <w:rsid w:val="00475587"/>
    <w:rsid w:val="004C22A4"/>
    <w:rsid w:val="004F2973"/>
    <w:rsid w:val="004F3245"/>
    <w:rsid w:val="00520489"/>
    <w:rsid w:val="00524862"/>
    <w:rsid w:val="00551C12"/>
    <w:rsid w:val="00561108"/>
    <w:rsid w:val="005C0FB7"/>
    <w:rsid w:val="005C1B46"/>
    <w:rsid w:val="005D1421"/>
    <w:rsid w:val="005E3F40"/>
    <w:rsid w:val="00643F40"/>
    <w:rsid w:val="00654FEE"/>
    <w:rsid w:val="00663D78"/>
    <w:rsid w:val="006835E8"/>
    <w:rsid w:val="006A1EF4"/>
    <w:rsid w:val="006B6042"/>
    <w:rsid w:val="006C27A3"/>
    <w:rsid w:val="006D426F"/>
    <w:rsid w:val="006F338B"/>
    <w:rsid w:val="00720D9A"/>
    <w:rsid w:val="007B78DA"/>
    <w:rsid w:val="007E170D"/>
    <w:rsid w:val="007F23D5"/>
    <w:rsid w:val="00803094"/>
    <w:rsid w:val="008156A9"/>
    <w:rsid w:val="00822C81"/>
    <w:rsid w:val="008320E9"/>
    <w:rsid w:val="00836A7E"/>
    <w:rsid w:val="008475DD"/>
    <w:rsid w:val="008529C0"/>
    <w:rsid w:val="008540DE"/>
    <w:rsid w:val="0087076A"/>
    <w:rsid w:val="00880A68"/>
    <w:rsid w:val="00892949"/>
    <w:rsid w:val="008C7258"/>
    <w:rsid w:val="008D3E32"/>
    <w:rsid w:val="00962071"/>
    <w:rsid w:val="009716EA"/>
    <w:rsid w:val="009E2FCC"/>
    <w:rsid w:val="009E602A"/>
    <w:rsid w:val="00A10FC6"/>
    <w:rsid w:val="00A62788"/>
    <w:rsid w:val="00A6728A"/>
    <w:rsid w:val="00A76F29"/>
    <w:rsid w:val="00A83224"/>
    <w:rsid w:val="00A9069A"/>
    <w:rsid w:val="00A9223D"/>
    <w:rsid w:val="00AB124C"/>
    <w:rsid w:val="00AE42FC"/>
    <w:rsid w:val="00B30965"/>
    <w:rsid w:val="00B3643F"/>
    <w:rsid w:val="00BE0858"/>
    <w:rsid w:val="00BE756B"/>
    <w:rsid w:val="00C00D19"/>
    <w:rsid w:val="00C447AC"/>
    <w:rsid w:val="00C6735D"/>
    <w:rsid w:val="00CB34F0"/>
    <w:rsid w:val="00CB7E4B"/>
    <w:rsid w:val="00D36BB4"/>
    <w:rsid w:val="00D6550A"/>
    <w:rsid w:val="00D85C57"/>
    <w:rsid w:val="00D87DF2"/>
    <w:rsid w:val="00D91CD6"/>
    <w:rsid w:val="00DB279E"/>
    <w:rsid w:val="00DC302E"/>
    <w:rsid w:val="00E47203"/>
    <w:rsid w:val="00E571C6"/>
    <w:rsid w:val="00E71430"/>
    <w:rsid w:val="00EC0CBC"/>
    <w:rsid w:val="00ED1BA4"/>
    <w:rsid w:val="00F31192"/>
    <w:rsid w:val="00F837E0"/>
    <w:rsid w:val="00FA1D97"/>
    <w:rsid w:val="00FB3BDC"/>
    <w:rsid w:val="00FD0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3723"/>
  <w15:chartTrackingRefBased/>
  <w15:docId w15:val="{613F8FE0-4C76-4744-B4CE-A52CE362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0D19"/>
    <w:pPr>
      <w:keepNext/>
      <w:keepLines/>
      <w:spacing w:before="240"/>
      <w:outlineLvl w:val="0"/>
    </w:pPr>
    <w:rPr>
      <w:rFonts w:eastAsiaTheme="majorEastAsia" w:cstheme="majorBidi"/>
      <w:b/>
      <w:color w:val="auto"/>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D19"/>
    <w:rPr>
      <w:rFonts w:eastAsiaTheme="majorEastAsia" w:cstheme="majorBidi"/>
      <w:b/>
      <w:color w:val="auto"/>
      <w:szCs w:val="32"/>
      <w:u w:val="single"/>
    </w:rPr>
  </w:style>
  <w:style w:type="paragraph" w:styleId="TOCHeading">
    <w:name w:val="TOC Heading"/>
    <w:basedOn w:val="Heading1"/>
    <w:next w:val="Normal"/>
    <w:uiPriority w:val="39"/>
    <w:unhideWhenUsed/>
    <w:qFormat/>
    <w:rsid w:val="00C00D19"/>
    <w:pPr>
      <w:spacing w:line="259" w:lineRule="auto"/>
      <w:outlineLvl w:val="9"/>
    </w:pPr>
    <w:rPr>
      <w:lang w:val="en-US"/>
    </w:rPr>
  </w:style>
  <w:style w:type="table" w:styleId="TableGrid">
    <w:name w:val="Table Grid"/>
    <w:basedOn w:val="TableNormal"/>
    <w:uiPriority w:val="59"/>
    <w:rsid w:val="00C00D19"/>
    <w:pPr>
      <w:spacing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F29"/>
    <w:pPr>
      <w:tabs>
        <w:tab w:val="center" w:pos="4513"/>
        <w:tab w:val="right" w:pos="9026"/>
      </w:tabs>
      <w:spacing w:line="240" w:lineRule="auto"/>
    </w:pPr>
  </w:style>
  <w:style w:type="character" w:customStyle="1" w:styleId="HeaderChar">
    <w:name w:val="Header Char"/>
    <w:basedOn w:val="DefaultParagraphFont"/>
    <w:link w:val="Header"/>
    <w:uiPriority w:val="99"/>
    <w:rsid w:val="00A76F29"/>
  </w:style>
  <w:style w:type="paragraph" w:styleId="Footer">
    <w:name w:val="footer"/>
    <w:basedOn w:val="Normal"/>
    <w:link w:val="FooterChar"/>
    <w:uiPriority w:val="99"/>
    <w:unhideWhenUsed/>
    <w:rsid w:val="00A76F29"/>
    <w:pPr>
      <w:tabs>
        <w:tab w:val="center" w:pos="4513"/>
        <w:tab w:val="right" w:pos="9026"/>
      </w:tabs>
      <w:spacing w:line="240" w:lineRule="auto"/>
    </w:pPr>
  </w:style>
  <w:style w:type="character" w:customStyle="1" w:styleId="FooterChar">
    <w:name w:val="Footer Char"/>
    <w:basedOn w:val="DefaultParagraphFont"/>
    <w:link w:val="Footer"/>
    <w:uiPriority w:val="99"/>
    <w:rsid w:val="00A76F29"/>
  </w:style>
  <w:style w:type="paragraph" w:styleId="TOC1">
    <w:name w:val="toc 1"/>
    <w:basedOn w:val="Normal"/>
    <w:next w:val="Normal"/>
    <w:autoRedefine/>
    <w:uiPriority w:val="39"/>
    <w:unhideWhenUsed/>
    <w:rsid w:val="00A76F29"/>
    <w:pPr>
      <w:spacing w:after="100"/>
    </w:pPr>
  </w:style>
  <w:style w:type="character" w:styleId="Hyperlink">
    <w:name w:val="Hyperlink"/>
    <w:basedOn w:val="DefaultParagraphFont"/>
    <w:uiPriority w:val="99"/>
    <w:unhideWhenUsed/>
    <w:rsid w:val="00A76F29"/>
    <w:rPr>
      <w:color w:val="0000FF" w:themeColor="hyperlink"/>
      <w:u w:val="single"/>
    </w:rPr>
  </w:style>
  <w:style w:type="paragraph" w:styleId="ListParagraph">
    <w:name w:val="List Paragraph"/>
    <w:basedOn w:val="Normal"/>
    <w:uiPriority w:val="34"/>
    <w:qFormat/>
    <w:rsid w:val="008320E9"/>
    <w:pPr>
      <w:ind w:left="720"/>
      <w:contextualSpacing/>
    </w:pPr>
  </w:style>
  <w:style w:type="paragraph" w:customStyle="1" w:styleId="Default">
    <w:name w:val="Default"/>
    <w:rsid w:val="00415D04"/>
    <w:pPr>
      <w:autoSpaceDE w:val="0"/>
      <w:autoSpaceDN w:val="0"/>
      <w:adjustRightInd w:val="0"/>
      <w:spacing w:line="240" w:lineRule="auto"/>
    </w:pPr>
    <w:rPr>
      <w:color w:val="000000"/>
    </w:rPr>
  </w:style>
  <w:style w:type="character" w:styleId="CommentReference">
    <w:name w:val="annotation reference"/>
    <w:basedOn w:val="DefaultParagraphFont"/>
    <w:uiPriority w:val="99"/>
    <w:semiHidden/>
    <w:unhideWhenUsed/>
    <w:rsid w:val="00D87DF2"/>
    <w:rPr>
      <w:sz w:val="16"/>
      <w:szCs w:val="16"/>
    </w:rPr>
  </w:style>
  <w:style w:type="paragraph" w:styleId="CommentText">
    <w:name w:val="annotation text"/>
    <w:basedOn w:val="Normal"/>
    <w:link w:val="CommentTextChar"/>
    <w:uiPriority w:val="99"/>
    <w:semiHidden/>
    <w:unhideWhenUsed/>
    <w:rsid w:val="00D87DF2"/>
    <w:pPr>
      <w:spacing w:line="240" w:lineRule="auto"/>
    </w:pPr>
    <w:rPr>
      <w:sz w:val="20"/>
      <w:szCs w:val="20"/>
    </w:rPr>
  </w:style>
  <w:style w:type="character" w:customStyle="1" w:styleId="CommentTextChar">
    <w:name w:val="Comment Text Char"/>
    <w:basedOn w:val="DefaultParagraphFont"/>
    <w:link w:val="CommentText"/>
    <w:uiPriority w:val="99"/>
    <w:semiHidden/>
    <w:rsid w:val="00D87DF2"/>
    <w:rPr>
      <w:sz w:val="20"/>
      <w:szCs w:val="20"/>
    </w:rPr>
  </w:style>
  <w:style w:type="paragraph" w:styleId="CommentSubject">
    <w:name w:val="annotation subject"/>
    <w:basedOn w:val="CommentText"/>
    <w:next w:val="CommentText"/>
    <w:link w:val="CommentSubjectChar"/>
    <w:uiPriority w:val="99"/>
    <w:semiHidden/>
    <w:unhideWhenUsed/>
    <w:rsid w:val="00D87DF2"/>
    <w:rPr>
      <w:b/>
      <w:bCs/>
    </w:rPr>
  </w:style>
  <w:style w:type="character" w:customStyle="1" w:styleId="CommentSubjectChar">
    <w:name w:val="Comment Subject Char"/>
    <w:basedOn w:val="CommentTextChar"/>
    <w:link w:val="CommentSubject"/>
    <w:uiPriority w:val="99"/>
    <w:semiHidden/>
    <w:rsid w:val="00D87DF2"/>
    <w:rPr>
      <w:b/>
      <w:bCs/>
      <w:sz w:val="20"/>
      <w:szCs w:val="20"/>
    </w:rPr>
  </w:style>
  <w:style w:type="paragraph" w:styleId="BalloonText">
    <w:name w:val="Balloon Text"/>
    <w:basedOn w:val="Normal"/>
    <w:link w:val="BalloonTextChar"/>
    <w:uiPriority w:val="99"/>
    <w:semiHidden/>
    <w:unhideWhenUsed/>
    <w:rsid w:val="00D87D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78453">
      <w:bodyDiv w:val="1"/>
      <w:marLeft w:val="0"/>
      <w:marRight w:val="0"/>
      <w:marTop w:val="0"/>
      <w:marBottom w:val="0"/>
      <w:divBdr>
        <w:top w:val="none" w:sz="0" w:space="0" w:color="auto"/>
        <w:left w:val="none" w:sz="0" w:space="0" w:color="auto"/>
        <w:bottom w:val="none" w:sz="0" w:space="0" w:color="auto"/>
        <w:right w:val="none" w:sz="0" w:space="0" w:color="auto"/>
      </w:divBdr>
    </w:div>
    <w:div w:id="601688758">
      <w:bodyDiv w:val="1"/>
      <w:marLeft w:val="0"/>
      <w:marRight w:val="0"/>
      <w:marTop w:val="0"/>
      <w:marBottom w:val="0"/>
      <w:divBdr>
        <w:top w:val="none" w:sz="0" w:space="0" w:color="auto"/>
        <w:left w:val="none" w:sz="0" w:space="0" w:color="auto"/>
        <w:bottom w:val="none" w:sz="0" w:space="0" w:color="auto"/>
        <w:right w:val="none" w:sz="0" w:space="0" w:color="auto"/>
      </w:divBdr>
    </w:div>
    <w:div w:id="635649278">
      <w:bodyDiv w:val="1"/>
      <w:marLeft w:val="0"/>
      <w:marRight w:val="0"/>
      <w:marTop w:val="0"/>
      <w:marBottom w:val="0"/>
      <w:divBdr>
        <w:top w:val="none" w:sz="0" w:space="0" w:color="auto"/>
        <w:left w:val="none" w:sz="0" w:space="0" w:color="auto"/>
        <w:bottom w:val="none" w:sz="0" w:space="0" w:color="auto"/>
        <w:right w:val="none" w:sz="0" w:space="0" w:color="auto"/>
      </w:divBdr>
    </w:div>
    <w:div w:id="1127745054">
      <w:bodyDiv w:val="1"/>
      <w:marLeft w:val="0"/>
      <w:marRight w:val="0"/>
      <w:marTop w:val="0"/>
      <w:marBottom w:val="0"/>
      <w:divBdr>
        <w:top w:val="none" w:sz="0" w:space="0" w:color="auto"/>
        <w:left w:val="none" w:sz="0" w:space="0" w:color="auto"/>
        <w:bottom w:val="none" w:sz="0" w:space="0" w:color="auto"/>
        <w:right w:val="none" w:sz="0" w:space="0" w:color="auto"/>
      </w:divBdr>
    </w:div>
    <w:div w:id="1597522737">
      <w:bodyDiv w:val="1"/>
      <w:marLeft w:val="0"/>
      <w:marRight w:val="0"/>
      <w:marTop w:val="0"/>
      <w:marBottom w:val="0"/>
      <w:divBdr>
        <w:top w:val="none" w:sz="0" w:space="0" w:color="auto"/>
        <w:left w:val="none" w:sz="0" w:space="0" w:color="auto"/>
        <w:bottom w:val="none" w:sz="0" w:space="0" w:color="auto"/>
        <w:right w:val="none" w:sz="0" w:space="0" w:color="auto"/>
      </w:divBdr>
    </w:div>
    <w:div w:id="197035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bp.due-north.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D17ABE2CCFB24B803480A66CC44F72" ma:contentTypeVersion="0" ma:contentTypeDescription="Create a new document." ma:contentTypeScope="" ma:versionID="9db9da7f8b8d48f202ca6fd5ee34b2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36FAA38-4E41-465F-BF4E-F6BAFBB7E02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7F72317-A2D9-4670-ADA7-E10E34508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DCFC59-FC43-4267-B1CF-6CF041688F3B}">
  <ds:schemaRefs>
    <ds:schemaRef ds:uri="http://schemas.microsoft.com/sharepoint/v3/contenttype/forms"/>
  </ds:schemaRefs>
</ds:datastoreItem>
</file>

<file path=customXml/itemProps4.xml><?xml version="1.0" encoding="utf-8"?>
<ds:datastoreItem xmlns:ds="http://schemas.openxmlformats.org/officeDocument/2006/customXml" ds:itemID="{02206CFE-C281-442E-8BFB-48F176F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Nicola</dc:creator>
  <cp:keywords/>
  <dc:description/>
  <cp:lastModifiedBy>Bell, Emily</cp:lastModifiedBy>
  <cp:revision>12</cp:revision>
  <dcterms:created xsi:type="dcterms:W3CDTF">2024-06-11T10:53:00Z</dcterms:created>
  <dcterms:modified xsi:type="dcterms:W3CDTF">2024-06-20T11:42:00Z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0x01010020D17ABE2CCFB24B803480A66CC44F72</vt:lpwstr>
  </property>
</Properties>
</file>