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20" w:rsidRDefault="00AE6E20" w:rsidP="00AE6E20">
      <w:pPr>
        <w:jc w:val="center"/>
        <w:rPr>
          <w:rFonts w:cs="Arial"/>
          <w:b/>
          <w:sz w:val="32"/>
          <w:szCs w:val="32"/>
          <w:u w:val="single"/>
        </w:rPr>
      </w:pPr>
    </w:p>
    <w:p w:rsidR="00AE6E20" w:rsidRDefault="00AE6E20" w:rsidP="00AE6E20">
      <w:pPr>
        <w:jc w:val="center"/>
        <w:rPr>
          <w:rFonts w:cs="Arial"/>
          <w:b/>
          <w:sz w:val="32"/>
          <w:szCs w:val="32"/>
          <w:u w:val="single"/>
        </w:rPr>
      </w:pPr>
    </w:p>
    <w:p w:rsidR="00AE6E20" w:rsidRDefault="00AE6E20" w:rsidP="00AE6E20">
      <w:pPr>
        <w:jc w:val="center"/>
        <w:rPr>
          <w:rFonts w:cs="Arial"/>
          <w:b/>
          <w:sz w:val="32"/>
          <w:szCs w:val="32"/>
          <w:u w:val="single"/>
        </w:rPr>
      </w:pPr>
      <w:r>
        <w:rPr>
          <w:rFonts w:cs="Arial"/>
          <w:b/>
          <w:sz w:val="32"/>
          <w:szCs w:val="32"/>
          <w:u w:val="single"/>
        </w:rPr>
        <w:t xml:space="preserve">SHEPWAY DISTRICT COUNCIL </w:t>
      </w:r>
    </w:p>
    <w:p w:rsidR="00AE6E20" w:rsidRDefault="00AE6E20" w:rsidP="00AE6E20">
      <w:pPr>
        <w:jc w:val="center"/>
        <w:rPr>
          <w:rFonts w:cs="Arial"/>
          <w:b/>
          <w:sz w:val="32"/>
          <w:szCs w:val="32"/>
          <w:u w:val="single"/>
        </w:rPr>
      </w:pPr>
    </w:p>
    <w:p w:rsidR="00AE6E20" w:rsidRDefault="00AE6E20" w:rsidP="00AE6E20">
      <w:pPr>
        <w:jc w:val="center"/>
        <w:rPr>
          <w:rFonts w:cs="Arial"/>
          <w:b/>
          <w:sz w:val="32"/>
          <w:szCs w:val="32"/>
          <w:u w:val="single"/>
        </w:rPr>
      </w:pPr>
      <w:r>
        <w:rPr>
          <w:rFonts w:cs="Arial"/>
          <w:b/>
          <w:sz w:val="32"/>
          <w:szCs w:val="32"/>
          <w:u w:val="single"/>
        </w:rPr>
        <w:t xml:space="preserve">Carrying out a </w:t>
      </w:r>
      <w:r w:rsidR="003A4CDB">
        <w:rPr>
          <w:rFonts w:cs="Arial"/>
          <w:b/>
          <w:sz w:val="32"/>
          <w:szCs w:val="32"/>
          <w:u w:val="single"/>
        </w:rPr>
        <w:t>high level viability assessment of the Shepway District Places and Policies Local Plan</w:t>
      </w:r>
    </w:p>
    <w:p w:rsidR="00336EC3" w:rsidRPr="0004090C" w:rsidRDefault="00336EC3" w:rsidP="00AE6E20">
      <w:pPr>
        <w:jc w:val="center"/>
        <w:rPr>
          <w:rFonts w:cs="Arial"/>
          <w:b/>
          <w:sz w:val="32"/>
          <w:szCs w:val="32"/>
          <w:u w:val="single"/>
        </w:rPr>
      </w:pPr>
    </w:p>
    <w:p w:rsidR="00AE6E20" w:rsidRDefault="00AE6E20" w:rsidP="00AE6E20">
      <w:pPr>
        <w:jc w:val="both"/>
        <w:rPr>
          <w:rFonts w:cs="Arial"/>
          <w:b/>
          <w:szCs w:val="24"/>
          <w:u w:val="single"/>
        </w:rPr>
      </w:pPr>
    </w:p>
    <w:p w:rsidR="00336EC3" w:rsidRPr="00336EC3" w:rsidRDefault="00336EC3" w:rsidP="00336EC3">
      <w:pPr>
        <w:jc w:val="center"/>
        <w:rPr>
          <w:rFonts w:cs="Arial"/>
          <w:szCs w:val="24"/>
        </w:rPr>
      </w:pPr>
      <w:r w:rsidRPr="00336EC3">
        <w:rPr>
          <w:rFonts w:cs="Arial"/>
          <w:szCs w:val="24"/>
        </w:rPr>
        <w:drawing>
          <wp:inline distT="0" distB="0" distL="0" distR="0">
            <wp:extent cx="2605286" cy="1206222"/>
            <wp:effectExtent l="19050" t="0" r="4564"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06757" cy="1206903"/>
                    </a:xfrm>
                    <a:prstGeom prst="rect">
                      <a:avLst/>
                    </a:prstGeom>
                    <a:noFill/>
                    <a:ln w="9525">
                      <a:noFill/>
                      <a:miter lim="800000"/>
                      <a:headEnd/>
                      <a:tailEnd/>
                    </a:ln>
                  </pic:spPr>
                </pic:pic>
              </a:graphicData>
            </a:graphic>
          </wp:inline>
        </w:drawing>
      </w:r>
    </w:p>
    <w:p w:rsidR="00336EC3" w:rsidRDefault="00336EC3" w:rsidP="00AE6E20">
      <w:pPr>
        <w:jc w:val="both"/>
        <w:rPr>
          <w:rFonts w:cs="Arial"/>
          <w:b/>
          <w:szCs w:val="24"/>
          <w:u w:val="single"/>
        </w:rPr>
      </w:pPr>
    </w:p>
    <w:p w:rsidR="00AE6E20" w:rsidRDefault="00AE6E20" w:rsidP="00AE6E20">
      <w:pPr>
        <w:jc w:val="both"/>
        <w:rPr>
          <w:rFonts w:cs="Arial"/>
          <w:b/>
          <w:szCs w:val="24"/>
          <w:u w:val="single"/>
        </w:rPr>
      </w:pPr>
    </w:p>
    <w:p w:rsidR="003A4CDB" w:rsidRDefault="00144F50" w:rsidP="003A4CDB">
      <w:pPr>
        <w:jc w:val="center"/>
        <w:rPr>
          <w:rFonts w:cs="Arial"/>
          <w:b/>
          <w:sz w:val="32"/>
          <w:szCs w:val="32"/>
          <w:u w:val="single"/>
        </w:rPr>
      </w:pPr>
      <w:r>
        <w:rPr>
          <w:rFonts w:cs="Arial"/>
          <w:b/>
          <w:sz w:val="32"/>
          <w:szCs w:val="32"/>
          <w:u w:val="single"/>
        </w:rPr>
        <w:t xml:space="preserve">APPENDIX A: </w:t>
      </w:r>
      <w:r w:rsidR="00A51C94">
        <w:rPr>
          <w:rFonts w:cs="Arial"/>
          <w:b/>
          <w:sz w:val="32"/>
          <w:szCs w:val="32"/>
          <w:u w:val="single"/>
        </w:rPr>
        <w:t>SPECIFICATION</w:t>
      </w:r>
    </w:p>
    <w:p w:rsidR="003A4CDB" w:rsidRDefault="003A4CDB" w:rsidP="003A4CDB">
      <w:pPr>
        <w:jc w:val="center"/>
        <w:rPr>
          <w:rFonts w:cs="Arial"/>
          <w:b/>
          <w:sz w:val="32"/>
          <w:szCs w:val="32"/>
          <w:u w:val="single"/>
        </w:rPr>
      </w:pPr>
    </w:p>
    <w:p w:rsidR="00336EC3" w:rsidRDefault="00336EC3" w:rsidP="003A4CDB">
      <w:pPr>
        <w:jc w:val="center"/>
        <w:rPr>
          <w:rFonts w:cs="Arial"/>
          <w:b/>
          <w:sz w:val="32"/>
          <w:szCs w:val="32"/>
          <w:u w:val="single"/>
        </w:rPr>
      </w:pPr>
    </w:p>
    <w:p w:rsidR="00336EC3" w:rsidRDefault="00336EC3" w:rsidP="003A4CDB">
      <w:pPr>
        <w:jc w:val="center"/>
        <w:rPr>
          <w:rFonts w:cs="Arial"/>
          <w:b/>
          <w:sz w:val="32"/>
          <w:szCs w:val="32"/>
          <w:u w:val="single"/>
        </w:rPr>
      </w:pPr>
    </w:p>
    <w:p w:rsidR="00AE6E20" w:rsidRPr="003A4CDB" w:rsidRDefault="00AE6E20" w:rsidP="00B4737F">
      <w:pPr>
        <w:ind w:left="0" w:firstLine="0"/>
        <w:contextualSpacing/>
        <w:rPr>
          <w:rFonts w:cs="Arial"/>
          <w:b/>
          <w:sz w:val="32"/>
          <w:szCs w:val="32"/>
          <w:u w:val="single"/>
        </w:rPr>
      </w:pPr>
      <w:r>
        <w:rPr>
          <w:rFonts w:cs="Arial"/>
          <w:b/>
          <w:szCs w:val="24"/>
        </w:rPr>
        <w:t>Prepared by:</w:t>
      </w:r>
    </w:p>
    <w:p w:rsidR="00AE6E20" w:rsidRDefault="00AE6E20" w:rsidP="00B4737F">
      <w:pPr>
        <w:ind w:left="0" w:firstLine="0"/>
        <w:contextualSpacing/>
        <w:rPr>
          <w:rFonts w:cs="Arial"/>
          <w:b/>
          <w:szCs w:val="24"/>
        </w:rPr>
      </w:pPr>
      <w:r>
        <w:rPr>
          <w:rFonts w:cs="Arial"/>
          <w:b/>
          <w:szCs w:val="24"/>
        </w:rPr>
        <w:t>Shepway District Council</w:t>
      </w:r>
    </w:p>
    <w:p w:rsidR="00AE6E20" w:rsidRDefault="00AE6E20" w:rsidP="00B4737F">
      <w:pPr>
        <w:ind w:left="0" w:firstLine="0"/>
        <w:contextualSpacing/>
        <w:rPr>
          <w:rFonts w:cs="Arial"/>
          <w:b/>
          <w:szCs w:val="24"/>
        </w:rPr>
      </w:pPr>
      <w:r>
        <w:rPr>
          <w:rFonts w:cs="Arial"/>
          <w:b/>
          <w:szCs w:val="24"/>
        </w:rPr>
        <w:t>Civic Centre</w:t>
      </w:r>
    </w:p>
    <w:p w:rsidR="00AE6E20" w:rsidRDefault="00AE6E20" w:rsidP="00B4737F">
      <w:pPr>
        <w:ind w:left="0" w:firstLine="0"/>
        <w:contextualSpacing/>
        <w:rPr>
          <w:rFonts w:cs="Arial"/>
          <w:b/>
          <w:szCs w:val="24"/>
        </w:rPr>
      </w:pPr>
      <w:smartTag w:uri="urn:schemas-microsoft-com:office:smarttags" w:element="address">
        <w:smartTag w:uri="urn:schemas-microsoft-com:office:smarttags" w:element="Street">
          <w:r>
            <w:rPr>
              <w:rFonts w:cs="Arial"/>
              <w:b/>
              <w:szCs w:val="24"/>
            </w:rPr>
            <w:t>Castle Hill Avenue</w:t>
          </w:r>
        </w:smartTag>
      </w:smartTag>
    </w:p>
    <w:p w:rsidR="00AE6E20" w:rsidRDefault="00AE6E20" w:rsidP="00B4737F">
      <w:pPr>
        <w:ind w:left="0" w:firstLine="0"/>
        <w:contextualSpacing/>
        <w:rPr>
          <w:rFonts w:cs="Arial"/>
          <w:b/>
          <w:szCs w:val="24"/>
        </w:rPr>
      </w:pPr>
      <w:r>
        <w:rPr>
          <w:rFonts w:cs="Arial"/>
          <w:b/>
          <w:szCs w:val="24"/>
        </w:rPr>
        <w:t>Folkestone</w:t>
      </w:r>
    </w:p>
    <w:p w:rsidR="00AE6E20" w:rsidRPr="0004090C" w:rsidRDefault="003A4CDB" w:rsidP="00B4737F">
      <w:pPr>
        <w:ind w:left="0" w:firstLine="0"/>
        <w:contextualSpacing/>
        <w:rPr>
          <w:rFonts w:cs="Arial"/>
          <w:b/>
          <w:szCs w:val="24"/>
        </w:rPr>
      </w:pPr>
      <w:r>
        <w:rPr>
          <w:rFonts w:cs="Arial"/>
          <w:b/>
          <w:szCs w:val="24"/>
        </w:rPr>
        <w:t>Kent CT20 2QY</w: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00A51C94">
        <w:rPr>
          <w:rFonts w:cs="Arial"/>
          <w:b/>
          <w:szCs w:val="24"/>
        </w:rPr>
        <w:t xml:space="preserve">              </w:t>
      </w:r>
      <w:r w:rsidR="00A51C94" w:rsidRPr="00A51C94">
        <w:rPr>
          <w:rFonts w:cs="Arial"/>
          <w:b/>
          <w:szCs w:val="24"/>
        </w:rPr>
        <w:t>23 February</w:t>
      </w:r>
      <w:r w:rsidRPr="00A51C94">
        <w:rPr>
          <w:rFonts w:cs="Arial"/>
          <w:b/>
          <w:szCs w:val="24"/>
        </w:rPr>
        <w:t xml:space="preserve"> 2017</w:t>
      </w:r>
    </w:p>
    <w:p w:rsidR="00336EC3" w:rsidRDefault="00336EC3" w:rsidP="00B4737F">
      <w:pPr>
        <w:tabs>
          <w:tab w:val="left" w:pos="284"/>
        </w:tabs>
        <w:ind w:left="0" w:firstLine="0"/>
        <w:jc w:val="both"/>
        <w:rPr>
          <w:rFonts w:cs="Arial"/>
          <w:b/>
          <w:szCs w:val="24"/>
          <w:u w:val="single"/>
        </w:rPr>
      </w:pPr>
    </w:p>
    <w:p w:rsidR="003A4CDB" w:rsidRPr="009B7CC9" w:rsidRDefault="0046742F" w:rsidP="00B4737F">
      <w:pPr>
        <w:tabs>
          <w:tab w:val="left" w:pos="284"/>
        </w:tabs>
        <w:ind w:left="0" w:firstLine="0"/>
        <w:jc w:val="both"/>
        <w:rPr>
          <w:rFonts w:cs="Arial"/>
          <w:b/>
          <w:szCs w:val="24"/>
          <w:u w:val="single"/>
        </w:rPr>
      </w:pPr>
      <w:r>
        <w:rPr>
          <w:rFonts w:cs="Arial"/>
          <w:b/>
          <w:szCs w:val="24"/>
          <w:u w:val="single"/>
        </w:rPr>
        <w:lastRenderedPageBreak/>
        <w:t>Specification</w:t>
      </w:r>
      <w:r w:rsidR="00AE6E20" w:rsidRPr="009B7CC9">
        <w:rPr>
          <w:rFonts w:cs="Arial"/>
          <w:b/>
          <w:szCs w:val="24"/>
          <w:u w:val="single"/>
        </w:rPr>
        <w:t xml:space="preserve"> for the appointment of a consultancy to carry out a </w:t>
      </w:r>
      <w:r w:rsidR="003A4CDB" w:rsidRPr="009B7CC9">
        <w:rPr>
          <w:rFonts w:cs="Arial"/>
          <w:b/>
          <w:szCs w:val="24"/>
          <w:u w:val="single"/>
        </w:rPr>
        <w:t xml:space="preserve">high level viability assessment of Shepway District Council’s </w:t>
      </w:r>
      <w:r w:rsidR="003A4CDB" w:rsidRPr="009B7CC9">
        <w:rPr>
          <w:rFonts w:cs="Arial"/>
          <w:b/>
          <w:i/>
          <w:szCs w:val="24"/>
          <w:u w:val="single"/>
        </w:rPr>
        <w:t>Places and Policies Local Plan</w:t>
      </w:r>
      <w:r w:rsidR="003A4CDB" w:rsidRPr="009B7CC9">
        <w:rPr>
          <w:rFonts w:cs="Arial"/>
          <w:b/>
          <w:szCs w:val="24"/>
          <w:u w:val="single"/>
        </w:rPr>
        <w:t>.</w:t>
      </w:r>
      <w:r w:rsidR="00AE6E20" w:rsidRPr="009B7CC9">
        <w:rPr>
          <w:rFonts w:cs="Arial"/>
          <w:b/>
          <w:szCs w:val="24"/>
          <w:u w:val="single"/>
        </w:rPr>
        <w:t xml:space="preserve"> </w:t>
      </w:r>
    </w:p>
    <w:p w:rsidR="00CD6B28" w:rsidRPr="009B7CC9" w:rsidRDefault="00AE6E20" w:rsidP="00B4737F">
      <w:pPr>
        <w:tabs>
          <w:tab w:val="left" w:pos="284"/>
        </w:tabs>
        <w:ind w:left="0" w:firstLine="0"/>
        <w:jc w:val="both"/>
        <w:rPr>
          <w:rFonts w:cs="Arial"/>
          <w:b/>
          <w:szCs w:val="24"/>
          <w:u w:val="single"/>
        </w:rPr>
      </w:pPr>
      <w:r w:rsidRPr="009B7CC9">
        <w:rPr>
          <w:rFonts w:cs="Arial"/>
          <w:b/>
          <w:szCs w:val="24"/>
          <w:u w:val="single"/>
        </w:rPr>
        <w:t>Th</w:t>
      </w:r>
      <w:r w:rsidR="003178BF" w:rsidRPr="009B7CC9">
        <w:rPr>
          <w:rFonts w:cs="Arial"/>
          <w:b/>
          <w:szCs w:val="24"/>
          <w:u w:val="single"/>
        </w:rPr>
        <w:t>e</w:t>
      </w:r>
      <w:r w:rsidRPr="009B7CC9">
        <w:rPr>
          <w:rFonts w:cs="Arial"/>
          <w:b/>
          <w:szCs w:val="24"/>
          <w:u w:val="single"/>
        </w:rPr>
        <w:t xml:space="preserve"> </w:t>
      </w:r>
      <w:r w:rsidR="003A4CDB" w:rsidRPr="009B7CC9">
        <w:rPr>
          <w:rFonts w:cs="Arial"/>
          <w:b/>
          <w:szCs w:val="24"/>
          <w:u w:val="single"/>
        </w:rPr>
        <w:t xml:space="preserve">assessment will </w:t>
      </w:r>
      <w:r w:rsidR="003178BF" w:rsidRPr="009B7CC9">
        <w:rPr>
          <w:rFonts w:cs="Arial"/>
          <w:b/>
          <w:szCs w:val="24"/>
          <w:u w:val="single"/>
        </w:rPr>
        <w:t>contain</w:t>
      </w:r>
      <w:r w:rsidR="003A4CDB" w:rsidRPr="009B7CC9">
        <w:rPr>
          <w:rFonts w:cs="Arial"/>
          <w:b/>
          <w:szCs w:val="24"/>
          <w:u w:val="single"/>
        </w:rPr>
        <w:t xml:space="preserve"> recommendations for any modifications </w:t>
      </w:r>
      <w:r w:rsidR="003178BF" w:rsidRPr="009B7CC9">
        <w:rPr>
          <w:rFonts w:cs="Arial"/>
          <w:b/>
          <w:szCs w:val="24"/>
          <w:u w:val="single"/>
        </w:rPr>
        <w:t xml:space="preserve">that may be </w:t>
      </w:r>
      <w:r w:rsidR="003A4CDB" w:rsidRPr="009B7CC9">
        <w:rPr>
          <w:rFonts w:cs="Arial"/>
          <w:b/>
          <w:szCs w:val="24"/>
          <w:u w:val="single"/>
        </w:rPr>
        <w:t>n</w:t>
      </w:r>
      <w:r w:rsidR="003178BF" w:rsidRPr="009B7CC9">
        <w:rPr>
          <w:rFonts w:cs="Arial"/>
          <w:b/>
          <w:szCs w:val="24"/>
          <w:u w:val="single"/>
        </w:rPr>
        <w:t xml:space="preserve">ecessary to </w:t>
      </w:r>
      <w:r w:rsidR="003A4CDB" w:rsidRPr="009B7CC9">
        <w:rPr>
          <w:rFonts w:cs="Arial"/>
          <w:b/>
          <w:szCs w:val="24"/>
          <w:u w:val="single"/>
        </w:rPr>
        <w:t xml:space="preserve">the Places and Policies Local Plan to ensure the development allocations </w:t>
      </w:r>
      <w:r w:rsidR="00B4737F" w:rsidRPr="009B7CC9">
        <w:rPr>
          <w:rFonts w:cs="Arial"/>
          <w:b/>
          <w:szCs w:val="24"/>
          <w:u w:val="single"/>
        </w:rPr>
        <w:t xml:space="preserve">and development management policies </w:t>
      </w:r>
      <w:r w:rsidR="003A4CDB" w:rsidRPr="009B7CC9">
        <w:rPr>
          <w:rFonts w:cs="Arial"/>
          <w:b/>
          <w:szCs w:val="24"/>
          <w:u w:val="single"/>
        </w:rPr>
        <w:t>it contains</w:t>
      </w:r>
      <w:r w:rsidR="00CD6B28" w:rsidRPr="009B7CC9">
        <w:rPr>
          <w:rFonts w:cs="Arial"/>
          <w:b/>
          <w:szCs w:val="24"/>
          <w:u w:val="single"/>
        </w:rPr>
        <w:t xml:space="preserve"> are viable. The consultant</w:t>
      </w:r>
      <w:r w:rsidR="003178BF" w:rsidRPr="009B7CC9">
        <w:rPr>
          <w:rFonts w:cs="Arial"/>
          <w:b/>
          <w:szCs w:val="24"/>
          <w:u w:val="single"/>
        </w:rPr>
        <w:t>’</w:t>
      </w:r>
      <w:r w:rsidR="00CD6B28" w:rsidRPr="009B7CC9">
        <w:rPr>
          <w:rFonts w:cs="Arial"/>
          <w:b/>
          <w:szCs w:val="24"/>
          <w:u w:val="single"/>
        </w:rPr>
        <w:t xml:space="preserve">s final report will form part of the evidence base for the submission of the plan to the Secretary of State, and so help to ensure that the plan is found ‘sound’ at </w:t>
      </w:r>
      <w:r w:rsidR="00B4737F" w:rsidRPr="009B7CC9">
        <w:rPr>
          <w:rFonts w:cs="Arial"/>
          <w:b/>
          <w:szCs w:val="24"/>
          <w:u w:val="single"/>
        </w:rPr>
        <w:t xml:space="preserve">public </w:t>
      </w:r>
      <w:r w:rsidR="00CD6B28" w:rsidRPr="009B7CC9">
        <w:rPr>
          <w:rFonts w:cs="Arial"/>
          <w:b/>
          <w:szCs w:val="24"/>
          <w:u w:val="single"/>
        </w:rPr>
        <w:t>examination.</w:t>
      </w:r>
      <w:r w:rsidR="003178BF" w:rsidRPr="009B7CC9">
        <w:rPr>
          <w:rFonts w:cs="Arial"/>
          <w:b/>
          <w:szCs w:val="24"/>
          <w:u w:val="single"/>
        </w:rPr>
        <w:t xml:space="preserve">  The consultant may be called on to attend the examination to defend the findings of the assessment, if judged necessary by the District Council.</w:t>
      </w:r>
    </w:p>
    <w:p w:rsidR="00AE6E20" w:rsidRPr="009B7CC9" w:rsidRDefault="00AE6E20" w:rsidP="00AE6E20">
      <w:pPr>
        <w:jc w:val="both"/>
        <w:rPr>
          <w:rFonts w:cs="Arial"/>
          <w:b/>
          <w:szCs w:val="24"/>
          <w:u w:val="single"/>
        </w:rPr>
      </w:pPr>
    </w:p>
    <w:p w:rsidR="00AE6E20" w:rsidRDefault="00AE6E20" w:rsidP="00AE6E20">
      <w:pPr>
        <w:jc w:val="both"/>
        <w:rPr>
          <w:rFonts w:cs="Arial"/>
          <w:b/>
          <w:szCs w:val="24"/>
        </w:rPr>
      </w:pPr>
    </w:p>
    <w:p w:rsidR="00AE6E20" w:rsidRDefault="00AE6E20" w:rsidP="00AE6E20">
      <w:pPr>
        <w:jc w:val="both"/>
        <w:rPr>
          <w:rFonts w:cs="Arial"/>
          <w:b/>
          <w:szCs w:val="24"/>
        </w:rPr>
      </w:pPr>
    </w:p>
    <w:p w:rsidR="00AE6E20" w:rsidRDefault="00AE6E20" w:rsidP="00AE6E20">
      <w:pPr>
        <w:jc w:val="both"/>
        <w:rPr>
          <w:rFonts w:cs="Arial"/>
          <w:b/>
          <w:szCs w:val="24"/>
        </w:rPr>
      </w:pPr>
    </w:p>
    <w:p w:rsidR="003178BF" w:rsidRDefault="003178BF" w:rsidP="00AE6E20">
      <w:pPr>
        <w:jc w:val="both"/>
        <w:rPr>
          <w:rFonts w:cs="Arial"/>
          <w:b/>
          <w:szCs w:val="24"/>
        </w:rPr>
      </w:pPr>
    </w:p>
    <w:p w:rsidR="003178BF" w:rsidRDefault="003178BF" w:rsidP="00AE6E20">
      <w:pPr>
        <w:jc w:val="both"/>
        <w:rPr>
          <w:rFonts w:cs="Arial"/>
          <w:b/>
          <w:szCs w:val="24"/>
        </w:rPr>
      </w:pPr>
    </w:p>
    <w:p w:rsidR="003178BF" w:rsidRDefault="003178BF" w:rsidP="00AE6E20">
      <w:pPr>
        <w:jc w:val="both"/>
        <w:rPr>
          <w:rFonts w:cs="Arial"/>
          <w:b/>
          <w:szCs w:val="24"/>
        </w:rPr>
      </w:pPr>
    </w:p>
    <w:p w:rsidR="003178BF" w:rsidRDefault="003178BF" w:rsidP="00AE6E20">
      <w:pPr>
        <w:jc w:val="both"/>
        <w:rPr>
          <w:rFonts w:cs="Arial"/>
          <w:b/>
          <w:szCs w:val="24"/>
        </w:rPr>
      </w:pPr>
    </w:p>
    <w:p w:rsidR="003178BF" w:rsidRDefault="003178BF" w:rsidP="00AE6E20">
      <w:pPr>
        <w:jc w:val="both"/>
        <w:rPr>
          <w:rFonts w:cs="Arial"/>
          <w:b/>
          <w:szCs w:val="24"/>
        </w:rPr>
      </w:pPr>
    </w:p>
    <w:p w:rsidR="003178BF" w:rsidRDefault="003178BF" w:rsidP="00AE6E20">
      <w:pPr>
        <w:jc w:val="both"/>
        <w:rPr>
          <w:rFonts w:cs="Arial"/>
          <w:b/>
          <w:szCs w:val="24"/>
        </w:rPr>
      </w:pPr>
    </w:p>
    <w:p w:rsidR="003178BF" w:rsidRDefault="003178BF" w:rsidP="00AE6E20">
      <w:pPr>
        <w:jc w:val="both"/>
        <w:rPr>
          <w:rFonts w:cs="Arial"/>
          <w:b/>
          <w:szCs w:val="24"/>
        </w:rPr>
      </w:pPr>
    </w:p>
    <w:p w:rsidR="003178BF" w:rsidRDefault="003178BF" w:rsidP="00AE6E20">
      <w:pPr>
        <w:jc w:val="both"/>
        <w:rPr>
          <w:rFonts w:cs="Arial"/>
          <w:b/>
          <w:szCs w:val="24"/>
        </w:rPr>
      </w:pPr>
    </w:p>
    <w:p w:rsidR="003178BF" w:rsidRDefault="003178BF" w:rsidP="00AE6E20">
      <w:pPr>
        <w:jc w:val="both"/>
        <w:rPr>
          <w:rFonts w:cs="Arial"/>
          <w:b/>
          <w:szCs w:val="24"/>
        </w:rPr>
      </w:pPr>
    </w:p>
    <w:p w:rsidR="003178BF" w:rsidRDefault="003178BF" w:rsidP="00AE6E20">
      <w:pPr>
        <w:jc w:val="both"/>
        <w:rPr>
          <w:rFonts w:cs="Arial"/>
          <w:b/>
          <w:szCs w:val="24"/>
        </w:rPr>
      </w:pPr>
    </w:p>
    <w:p w:rsidR="00CD7C0F" w:rsidRDefault="00CD7C0F" w:rsidP="00AE6E20">
      <w:pPr>
        <w:jc w:val="both"/>
        <w:rPr>
          <w:rFonts w:cs="Arial"/>
          <w:b/>
          <w:szCs w:val="24"/>
        </w:rPr>
        <w:sectPr w:rsidR="00CD7C0F" w:rsidSect="009C31E6">
          <w:headerReference w:type="default" r:id="rId9"/>
          <w:footerReference w:type="default" r:id="rId10"/>
          <w:pgSz w:w="11906" w:h="16838"/>
          <w:pgMar w:top="1440" w:right="1440" w:bottom="1440" w:left="1440" w:header="708" w:footer="708" w:gutter="0"/>
          <w:pgNumType w:start="1"/>
          <w:cols w:space="708"/>
          <w:docGrid w:linePitch="360"/>
        </w:sectPr>
      </w:pPr>
    </w:p>
    <w:p w:rsidR="007A0966" w:rsidRPr="009B7CC9" w:rsidRDefault="00EF46DE" w:rsidP="00B4737F">
      <w:pPr>
        <w:spacing w:line="240" w:lineRule="auto"/>
        <w:ind w:left="0" w:firstLine="0"/>
        <w:rPr>
          <w:b/>
          <w:szCs w:val="24"/>
        </w:rPr>
      </w:pPr>
      <w:r w:rsidRPr="009B7CC9">
        <w:rPr>
          <w:b/>
          <w:szCs w:val="24"/>
        </w:rPr>
        <w:lastRenderedPageBreak/>
        <w:t>Shepway District Council</w:t>
      </w:r>
    </w:p>
    <w:p w:rsidR="00EF46DE" w:rsidRPr="009B7CC9" w:rsidRDefault="00EF46DE" w:rsidP="00B4737F">
      <w:pPr>
        <w:spacing w:after="360" w:line="240" w:lineRule="auto"/>
        <w:ind w:hanging="851"/>
        <w:rPr>
          <w:b/>
          <w:szCs w:val="24"/>
        </w:rPr>
      </w:pPr>
      <w:r w:rsidRPr="009B7CC9">
        <w:rPr>
          <w:b/>
          <w:szCs w:val="24"/>
        </w:rPr>
        <w:t>Places and Policies Local Plan – High Level Viability Assessment</w:t>
      </w:r>
    </w:p>
    <w:p w:rsidR="0077774A" w:rsidRPr="009B7CC9" w:rsidRDefault="00E90B38" w:rsidP="00B4737F">
      <w:pPr>
        <w:pStyle w:val="ListParagraph"/>
        <w:numPr>
          <w:ilvl w:val="0"/>
          <w:numId w:val="1"/>
        </w:numPr>
        <w:spacing w:line="240" w:lineRule="auto"/>
        <w:ind w:left="567" w:hanging="567"/>
        <w:contextualSpacing w:val="0"/>
        <w:rPr>
          <w:b/>
          <w:szCs w:val="24"/>
        </w:rPr>
      </w:pPr>
      <w:r w:rsidRPr="009B7CC9">
        <w:rPr>
          <w:b/>
          <w:szCs w:val="24"/>
        </w:rPr>
        <w:t>Purpose</w:t>
      </w:r>
    </w:p>
    <w:p w:rsidR="00C5045A" w:rsidRPr="009B7CC9" w:rsidRDefault="00C5045A" w:rsidP="00B4737F">
      <w:pPr>
        <w:pStyle w:val="ListParagraph"/>
        <w:numPr>
          <w:ilvl w:val="1"/>
          <w:numId w:val="3"/>
        </w:numPr>
        <w:spacing w:line="240" w:lineRule="auto"/>
        <w:ind w:left="567" w:hanging="567"/>
        <w:contextualSpacing w:val="0"/>
        <w:rPr>
          <w:rFonts w:cs="Arial"/>
          <w:szCs w:val="24"/>
        </w:rPr>
      </w:pPr>
      <w:r w:rsidRPr="009B7CC9">
        <w:rPr>
          <w:rFonts w:cs="Arial"/>
          <w:szCs w:val="24"/>
        </w:rPr>
        <w:t xml:space="preserve">Shepway District </w:t>
      </w:r>
      <w:r w:rsidRPr="009B7CC9">
        <w:rPr>
          <w:szCs w:val="24"/>
        </w:rPr>
        <w:t>Council</w:t>
      </w:r>
      <w:r w:rsidRPr="009B7CC9">
        <w:rPr>
          <w:rFonts w:cs="Arial"/>
          <w:szCs w:val="24"/>
        </w:rPr>
        <w:t xml:space="preserve"> (SDC) is seeking to appoint an experienced viability consultant to carry out a high level viability assessment of the Shepway District</w:t>
      </w:r>
      <w:r w:rsidRPr="009B7CC9">
        <w:rPr>
          <w:rFonts w:cs="Arial"/>
          <w:i/>
          <w:szCs w:val="24"/>
        </w:rPr>
        <w:t xml:space="preserve"> Places and Policies Local Plan</w:t>
      </w:r>
      <w:r w:rsidRPr="009B7CC9">
        <w:rPr>
          <w:rFonts w:cs="Arial"/>
          <w:szCs w:val="24"/>
        </w:rPr>
        <w:t xml:space="preserve">.  </w:t>
      </w:r>
      <w:r w:rsidR="005E7100" w:rsidRPr="009B7CC9">
        <w:rPr>
          <w:rFonts w:cs="Arial"/>
          <w:szCs w:val="24"/>
        </w:rPr>
        <w:t xml:space="preserve">The assessment will support </w:t>
      </w:r>
      <w:r w:rsidRPr="009B7CC9">
        <w:rPr>
          <w:rFonts w:cs="Arial"/>
          <w:szCs w:val="24"/>
        </w:rPr>
        <w:t xml:space="preserve">the plan through further consultation, submission to the Secretary of State and public examination. </w:t>
      </w:r>
      <w:r w:rsidR="0011378E" w:rsidRPr="009B7CC9">
        <w:rPr>
          <w:rFonts w:cs="Arial"/>
          <w:szCs w:val="24"/>
        </w:rPr>
        <w:t xml:space="preserve">If necessary, the consultant may be required to attend the examination to </w:t>
      </w:r>
      <w:r w:rsidR="00832C3C" w:rsidRPr="009B7CC9">
        <w:rPr>
          <w:rFonts w:cs="Arial"/>
          <w:szCs w:val="24"/>
        </w:rPr>
        <w:t xml:space="preserve">support SDC in </w:t>
      </w:r>
      <w:r w:rsidR="0011378E" w:rsidRPr="009B7CC9">
        <w:rPr>
          <w:rFonts w:cs="Arial"/>
          <w:szCs w:val="24"/>
        </w:rPr>
        <w:t>defend</w:t>
      </w:r>
      <w:r w:rsidR="00B4737F" w:rsidRPr="009B7CC9">
        <w:rPr>
          <w:rFonts w:cs="Arial"/>
          <w:szCs w:val="24"/>
        </w:rPr>
        <w:t xml:space="preserve">ing </w:t>
      </w:r>
      <w:r w:rsidR="00C2681E">
        <w:rPr>
          <w:rFonts w:cs="Arial"/>
          <w:szCs w:val="24"/>
        </w:rPr>
        <w:t xml:space="preserve">the findings of </w:t>
      </w:r>
      <w:r w:rsidR="00B4737F" w:rsidRPr="009B7CC9">
        <w:rPr>
          <w:rFonts w:cs="Arial"/>
          <w:szCs w:val="24"/>
        </w:rPr>
        <w:t xml:space="preserve">the </w:t>
      </w:r>
      <w:r w:rsidR="0011378E" w:rsidRPr="009B7CC9">
        <w:rPr>
          <w:rFonts w:cs="Arial"/>
          <w:szCs w:val="24"/>
        </w:rPr>
        <w:t xml:space="preserve">assessment. </w:t>
      </w:r>
      <w:r w:rsidRPr="009B7CC9">
        <w:rPr>
          <w:rFonts w:cs="Arial"/>
          <w:szCs w:val="24"/>
        </w:rPr>
        <w:t xml:space="preserve"> </w:t>
      </w:r>
    </w:p>
    <w:p w:rsidR="00832C3C" w:rsidRPr="009B7CC9" w:rsidRDefault="00832C3C" w:rsidP="00B4737F">
      <w:pPr>
        <w:pStyle w:val="ListParagraph"/>
        <w:numPr>
          <w:ilvl w:val="1"/>
          <w:numId w:val="3"/>
        </w:numPr>
        <w:spacing w:after="360" w:line="240" w:lineRule="auto"/>
        <w:ind w:left="567" w:hanging="567"/>
        <w:contextualSpacing w:val="0"/>
        <w:rPr>
          <w:szCs w:val="24"/>
        </w:rPr>
      </w:pPr>
      <w:r w:rsidRPr="009B7CC9">
        <w:rPr>
          <w:szCs w:val="24"/>
        </w:rPr>
        <w:t xml:space="preserve">It is envisaged that the assessment will be undertaken in three phases as outlined in Section </w:t>
      </w:r>
      <w:r w:rsidR="005F1E0C" w:rsidRPr="009B7CC9">
        <w:rPr>
          <w:szCs w:val="24"/>
        </w:rPr>
        <w:t>6</w:t>
      </w:r>
      <w:r w:rsidRPr="009B7CC9">
        <w:rPr>
          <w:szCs w:val="24"/>
        </w:rPr>
        <w:t xml:space="preserve"> of this </w:t>
      </w:r>
      <w:r w:rsidR="0046742F">
        <w:rPr>
          <w:szCs w:val="24"/>
        </w:rPr>
        <w:t>specification</w:t>
      </w:r>
      <w:r w:rsidRPr="009B7CC9">
        <w:rPr>
          <w:szCs w:val="24"/>
        </w:rPr>
        <w:t xml:space="preserve">. </w:t>
      </w:r>
    </w:p>
    <w:p w:rsidR="00E90B38" w:rsidRPr="009B7CC9" w:rsidRDefault="00832C3C" w:rsidP="00B4737F">
      <w:pPr>
        <w:pStyle w:val="ListParagraph"/>
        <w:numPr>
          <w:ilvl w:val="0"/>
          <w:numId w:val="1"/>
        </w:numPr>
        <w:spacing w:line="240" w:lineRule="auto"/>
        <w:ind w:left="567" w:hanging="567"/>
        <w:contextualSpacing w:val="0"/>
        <w:rPr>
          <w:b/>
          <w:szCs w:val="24"/>
        </w:rPr>
      </w:pPr>
      <w:r w:rsidRPr="009B7CC9">
        <w:rPr>
          <w:b/>
          <w:szCs w:val="24"/>
        </w:rPr>
        <w:t>Background</w:t>
      </w:r>
    </w:p>
    <w:p w:rsidR="00832C3C" w:rsidRPr="009B7CC9" w:rsidRDefault="00832C3C" w:rsidP="00B4737F">
      <w:pPr>
        <w:pStyle w:val="ListParagraph"/>
        <w:numPr>
          <w:ilvl w:val="1"/>
          <w:numId w:val="7"/>
        </w:numPr>
        <w:spacing w:after="360" w:line="240" w:lineRule="auto"/>
        <w:ind w:left="567" w:hanging="567"/>
        <w:contextualSpacing w:val="0"/>
        <w:rPr>
          <w:szCs w:val="24"/>
        </w:rPr>
      </w:pPr>
      <w:r w:rsidRPr="009B7CC9">
        <w:rPr>
          <w:szCs w:val="24"/>
        </w:rPr>
        <w:t>Shepway is a large and diverse coastal district in East Kent.  As shown in Figure 1 below, it benefits from significant transport investment that includes the M20/A20 corridor, high speed rail, the channel tunnel terminus and easy access to the Port of Dover.  Folkestone, the district’s primary town, is less than an hour from London on regular High Speed 1 rail services.</w:t>
      </w:r>
    </w:p>
    <w:p w:rsidR="00832C3C" w:rsidRDefault="00832C3C" w:rsidP="00832C3C">
      <w:pPr>
        <w:jc w:val="both"/>
        <w:rPr>
          <w:rFonts w:cs="Arial"/>
          <w:b/>
          <w:szCs w:val="24"/>
        </w:rPr>
      </w:pPr>
      <w:r w:rsidRPr="00B94AB4">
        <w:rPr>
          <w:rFonts w:cs="Arial"/>
          <w:b/>
          <w:noProof/>
          <w:szCs w:val="24"/>
          <w:lang w:eastAsia="en-GB"/>
        </w:rPr>
        <w:drawing>
          <wp:inline distT="0" distB="0" distL="0" distR="0">
            <wp:extent cx="5400675" cy="3971925"/>
            <wp:effectExtent l="19050" t="0" r="9525" b="0"/>
            <wp:docPr id="2" name="Picture 2" descr="fig 2.1 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2.1 nts"/>
                    <pic:cNvPicPr>
                      <a:picLocks noChangeAspect="1" noChangeArrowheads="1"/>
                    </pic:cNvPicPr>
                  </pic:nvPicPr>
                  <pic:blipFill>
                    <a:blip r:embed="rId11" cstate="print"/>
                    <a:srcRect/>
                    <a:stretch>
                      <a:fillRect/>
                    </a:stretch>
                  </pic:blipFill>
                  <pic:spPr bwMode="auto">
                    <a:xfrm>
                      <a:off x="0" y="0"/>
                      <a:ext cx="5400675" cy="3971925"/>
                    </a:xfrm>
                    <a:prstGeom prst="rect">
                      <a:avLst/>
                    </a:prstGeom>
                    <a:noFill/>
                    <a:ln w="9525">
                      <a:noFill/>
                      <a:miter lim="800000"/>
                      <a:headEnd/>
                      <a:tailEnd/>
                    </a:ln>
                  </pic:spPr>
                </pic:pic>
              </a:graphicData>
            </a:graphic>
          </wp:inline>
        </w:drawing>
      </w:r>
    </w:p>
    <w:p w:rsidR="00832C3C" w:rsidRPr="009B7CC9" w:rsidRDefault="00832C3C" w:rsidP="00B4737F">
      <w:pPr>
        <w:ind w:left="142" w:firstLine="567"/>
        <w:jc w:val="both"/>
        <w:rPr>
          <w:rFonts w:cs="Arial"/>
          <w:i/>
          <w:szCs w:val="24"/>
        </w:rPr>
      </w:pPr>
      <w:r w:rsidRPr="009B7CC9">
        <w:rPr>
          <w:rFonts w:cs="Arial"/>
          <w:i/>
          <w:szCs w:val="24"/>
        </w:rPr>
        <w:t>Figure 1</w:t>
      </w:r>
      <w:r w:rsidR="00B4737F" w:rsidRPr="009B7CC9">
        <w:rPr>
          <w:rFonts w:cs="Arial"/>
          <w:i/>
          <w:szCs w:val="24"/>
        </w:rPr>
        <w:t xml:space="preserve"> </w:t>
      </w:r>
      <w:r w:rsidRPr="009B7CC9">
        <w:rPr>
          <w:rFonts w:cs="Arial"/>
          <w:i/>
          <w:szCs w:val="24"/>
        </w:rPr>
        <w:t xml:space="preserve">- </w:t>
      </w:r>
      <w:proofErr w:type="spellStart"/>
      <w:r w:rsidRPr="009B7CC9">
        <w:rPr>
          <w:rFonts w:cs="Arial"/>
          <w:i/>
          <w:szCs w:val="24"/>
        </w:rPr>
        <w:t>Shepway’s</w:t>
      </w:r>
      <w:proofErr w:type="spellEnd"/>
      <w:r w:rsidRPr="009B7CC9">
        <w:rPr>
          <w:rFonts w:cs="Arial"/>
          <w:i/>
          <w:szCs w:val="24"/>
        </w:rPr>
        <w:t xml:space="preserve"> strategic location</w:t>
      </w:r>
    </w:p>
    <w:p w:rsidR="00832C3C" w:rsidRPr="009B7CC9" w:rsidRDefault="00832C3C" w:rsidP="00B4737F">
      <w:pPr>
        <w:pStyle w:val="ListParagraph"/>
        <w:numPr>
          <w:ilvl w:val="1"/>
          <w:numId w:val="7"/>
        </w:numPr>
        <w:spacing w:line="240" w:lineRule="auto"/>
        <w:ind w:left="567" w:hanging="567"/>
        <w:contextualSpacing w:val="0"/>
        <w:rPr>
          <w:rFonts w:cs="Arial"/>
          <w:szCs w:val="24"/>
        </w:rPr>
      </w:pPr>
      <w:r w:rsidRPr="009B7CC9">
        <w:rPr>
          <w:rFonts w:cs="Arial"/>
          <w:szCs w:val="24"/>
        </w:rPr>
        <w:lastRenderedPageBreak/>
        <w:t xml:space="preserve">The </w:t>
      </w:r>
      <w:r w:rsidR="00155822" w:rsidRPr="009B7CC9">
        <w:rPr>
          <w:i/>
          <w:szCs w:val="24"/>
        </w:rPr>
        <w:t>Shepway Core Strategy Local Plan</w:t>
      </w:r>
      <w:r w:rsidRPr="009B7CC9">
        <w:rPr>
          <w:rStyle w:val="FootnoteReference"/>
          <w:rFonts w:cs="Arial"/>
          <w:szCs w:val="24"/>
        </w:rPr>
        <w:footnoteReference w:id="1"/>
      </w:r>
      <w:r w:rsidRPr="009B7CC9">
        <w:rPr>
          <w:rFonts w:cs="Arial"/>
          <w:szCs w:val="24"/>
        </w:rPr>
        <w:t xml:space="preserve"> identifies three broad character areas in the district, namely:</w:t>
      </w:r>
    </w:p>
    <w:p w:rsidR="00832C3C" w:rsidRPr="009B7CC9" w:rsidRDefault="00832C3C" w:rsidP="00B4737F">
      <w:pPr>
        <w:pStyle w:val="ListParagraph"/>
        <w:numPr>
          <w:ilvl w:val="0"/>
          <w:numId w:val="5"/>
        </w:numPr>
        <w:spacing w:after="0" w:line="240" w:lineRule="auto"/>
        <w:jc w:val="both"/>
        <w:rPr>
          <w:rFonts w:cs="Arial"/>
          <w:szCs w:val="24"/>
        </w:rPr>
      </w:pPr>
      <w:r w:rsidRPr="009B7CC9">
        <w:rPr>
          <w:rFonts w:cs="Arial"/>
          <w:szCs w:val="24"/>
        </w:rPr>
        <w:t>The Urb</w:t>
      </w:r>
      <w:r w:rsidR="00A36F39" w:rsidRPr="009B7CC9">
        <w:rPr>
          <w:rFonts w:cs="Arial"/>
          <w:szCs w:val="24"/>
        </w:rPr>
        <w:t>an Area of Folkestone and Hythe</w:t>
      </w:r>
    </w:p>
    <w:p w:rsidR="00832C3C" w:rsidRPr="009B7CC9" w:rsidRDefault="00832C3C" w:rsidP="00B4737F">
      <w:pPr>
        <w:pStyle w:val="ListParagraph"/>
        <w:numPr>
          <w:ilvl w:val="0"/>
          <w:numId w:val="5"/>
        </w:numPr>
        <w:spacing w:after="0" w:line="240" w:lineRule="auto"/>
        <w:jc w:val="both"/>
        <w:rPr>
          <w:rFonts w:cs="Arial"/>
          <w:szCs w:val="24"/>
        </w:rPr>
      </w:pPr>
      <w:r w:rsidRPr="009B7CC9">
        <w:rPr>
          <w:rFonts w:cs="Arial"/>
          <w:szCs w:val="24"/>
        </w:rPr>
        <w:t>The Romney Marsh Area most of which is clas</w:t>
      </w:r>
      <w:r w:rsidR="00A36F39" w:rsidRPr="009B7CC9">
        <w:rPr>
          <w:rFonts w:cs="Arial"/>
          <w:szCs w:val="24"/>
        </w:rPr>
        <w:t>sified as lying in flood zone 3</w:t>
      </w:r>
    </w:p>
    <w:p w:rsidR="00832C3C" w:rsidRPr="009B7CC9" w:rsidRDefault="00832C3C" w:rsidP="00B4737F">
      <w:pPr>
        <w:pStyle w:val="ListParagraph"/>
        <w:numPr>
          <w:ilvl w:val="0"/>
          <w:numId w:val="5"/>
        </w:numPr>
        <w:tabs>
          <w:tab w:val="num" w:pos="567"/>
        </w:tabs>
        <w:spacing w:line="240" w:lineRule="auto"/>
        <w:ind w:left="1077" w:hanging="357"/>
        <w:contextualSpacing w:val="0"/>
        <w:jc w:val="both"/>
        <w:rPr>
          <w:rFonts w:cs="Arial"/>
          <w:szCs w:val="24"/>
        </w:rPr>
      </w:pPr>
      <w:r w:rsidRPr="009B7CC9">
        <w:rPr>
          <w:rFonts w:cs="Arial"/>
          <w:szCs w:val="24"/>
        </w:rPr>
        <w:t>The North Downs Area, most of which falls within t</w:t>
      </w:r>
      <w:r w:rsidR="00A36F39" w:rsidRPr="009B7CC9">
        <w:rPr>
          <w:rFonts w:cs="Arial"/>
          <w:szCs w:val="24"/>
        </w:rPr>
        <w:t>he Kent Downs Area of Outstanding Natural Beauty (AONB)</w:t>
      </w:r>
    </w:p>
    <w:p w:rsidR="00A36F39" w:rsidRPr="009B7CC9" w:rsidRDefault="00832C3C" w:rsidP="00B4737F">
      <w:pPr>
        <w:pStyle w:val="ListParagraph"/>
        <w:numPr>
          <w:ilvl w:val="1"/>
          <w:numId w:val="7"/>
        </w:numPr>
        <w:spacing w:line="240" w:lineRule="auto"/>
        <w:ind w:left="567" w:hanging="567"/>
        <w:contextualSpacing w:val="0"/>
        <w:rPr>
          <w:rFonts w:cs="Arial"/>
          <w:szCs w:val="24"/>
        </w:rPr>
      </w:pPr>
      <w:r w:rsidRPr="009B7CC9">
        <w:rPr>
          <w:rFonts w:cs="Arial"/>
          <w:szCs w:val="24"/>
        </w:rPr>
        <w:t xml:space="preserve">The plan includes a settlement hierarchy as shown in Figure 2 which is the planning policy basis for apportioning growth in the district. </w:t>
      </w:r>
    </w:p>
    <w:p w:rsidR="00832C3C" w:rsidRDefault="00832C3C" w:rsidP="00832C3C">
      <w:pPr>
        <w:tabs>
          <w:tab w:val="num" w:pos="567"/>
        </w:tabs>
        <w:jc w:val="both"/>
        <w:rPr>
          <w:rFonts w:cs="Arial"/>
          <w:szCs w:val="24"/>
        </w:rPr>
      </w:pPr>
      <w:r>
        <w:rPr>
          <w:rFonts w:cs="Arial"/>
          <w:noProof/>
          <w:szCs w:val="24"/>
          <w:lang w:eastAsia="en-GB"/>
        </w:rPr>
        <w:drawing>
          <wp:inline distT="0" distB="0" distL="0" distR="0">
            <wp:extent cx="4695825" cy="451084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696067" cy="4511080"/>
                    </a:xfrm>
                    <a:prstGeom prst="rect">
                      <a:avLst/>
                    </a:prstGeom>
                    <a:noFill/>
                    <a:ln w="9525">
                      <a:noFill/>
                      <a:miter lim="800000"/>
                      <a:headEnd/>
                      <a:tailEnd/>
                    </a:ln>
                  </pic:spPr>
                </pic:pic>
              </a:graphicData>
            </a:graphic>
          </wp:inline>
        </w:drawing>
      </w:r>
    </w:p>
    <w:p w:rsidR="00832C3C" w:rsidRPr="009B7CC9" w:rsidRDefault="00832C3C" w:rsidP="00157FFC">
      <w:pPr>
        <w:tabs>
          <w:tab w:val="num" w:pos="567"/>
        </w:tabs>
        <w:spacing w:after="360"/>
        <w:jc w:val="both"/>
        <w:rPr>
          <w:rFonts w:cs="Arial"/>
          <w:i/>
          <w:szCs w:val="24"/>
        </w:rPr>
      </w:pPr>
      <w:r w:rsidRPr="009B7CC9">
        <w:rPr>
          <w:rFonts w:cs="Arial"/>
          <w:i/>
          <w:szCs w:val="24"/>
        </w:rPr>
        <w:t>Figure 2 – Cor</w:t>
      </w:r>
      <w:r w:rsidR="00157FFC" w:rsidRPr="009B7CC9">
        <w:rPr>
          <w:rFonts w:cs="Arial"/>
          <w:i/>
          <w:szCs w:val="24"/>
        </w:rPr>
        <w:t>e Strategy settlement hierarchy</w:t>
      </w:r>
    </w:p>
    <w:p w:rsidR="00EF33F8" w:rsidRPr="009B7CC9" w:rsidRDefault="00EF33F8" w:rsidP="000F7639">
      <w:pPr>
        <w:pStyle w:val="ListParagraph"/>
        <w:numPr>
          <w:ilvl w:val="1"/>
          <w:numId w:val="7"/>
        </w:numPr>
        <w:spacing w:line="240" w:lineRule="auto"/>
        <w:ind w:left="567" w:hanging="567"/>
        <w:contextualSpacing w:val="0"/>
        <w:rPr>
          <w:rFonts w:cs="Arial"/>
          <w:spacing w:val="8"/>
          <w:szCs w:val="24"/>
        </w:rPr>
      </w:pPr>
      <w:r w:rsidRPr="009B7CC9">
        <w:rPr>
          <w:rFonts w:cs="Arial"/>
          <w:szCs w:val="24"/>
        </w:rPr>
        <w:t xml:space="preserve">The </w:t>
      </w:r>
      <w:r w:rsidRPr="009B7CC9">
        <w:rPr>
          <w:rFonts w:cs="Arial"/>
          <w:i/>
          <w:szCs w:val="24"/>
        </w:rPr>
        <w:t>Core Strategy Local Plan</w:t>
      </w:r>
      <w:r w:rsidRPr="009B7CC9">
        <w:rPr>
          <w:rFonts w:cs="Arial"/>
          <w:szCs w:val="24"/>
        </w:rPr>
        <w:t xml:space="preserve"> was adopted in 2013 as National Planning Policy Framework (NPPF) compliant and </w:t>
      </w:r>
      <w:r w:rsidRPr="009B7CC9">
        <w:rPr>
          <w:rFonts w:cs="Arial"/>
          <w:spacing w:val="8"/>
          <w:szCs w:val="24"/>
        </w:rPr>
        <w:t>plans for a growth target of 400 new homes a year, with a minimum requirement of 350 homes a year to 2026.</w:t>
      </w:r>
    </w:p>
    <w:p w:rsidR="00EF33F8" w:rsidRPr="009B7CC9" w:rsidRDefault="00157FFC" w:rsidP="000F7639">
      <w:pPr>
        <w:pStyle w:val="ListParagraph"/>
        <w:numPr>
          <w:ilvl w:val="1"/>
          <w:numId w:val="7"/>
        </w:numPr>
        <w:spacing w:line="240" w:lineRule="auto"/>
        <w:ind w:left="567" w:hanging="567"/>
        <w:contextualSpacing w:val="0"/>
        <w:rPr>
          <w:rFonts w:cs="Arial"/>
          <w:szCs w:val="24"/>
        </w:rPr>
      </w:pPr>
      <w:r w:rsidRPr="009B7CC9">
        <w:rPr>
          <w:rFonts w:cs="Arial"/>
          <w:szCs w:val="24"/>
        </w:rPr>
        <w:t xml:space="preserve">The </w:t>
      </w:r>
      <w:r w:rsidR="00EF33F8" w:rsidRPr="009B7CC9">
        <w:rPr>
          <w:rFonts w:cs="Arial"/>
          <w:szCs w:val="24"/>
        </w:rPr>
        <w:t>Core Strategy s</w:t>
      </w:r>
      <w:r w:rsidRPr="009B7CC9">
        <w:rPr>
          <w:rFonts w:cs="Arial"/>
          <w:szCs w:val="24"/>
        </w:rPr>
        <w:t xml:space="preserve">eeks </w:t>
      </w:r>
      <w:r w:rsidR="00EF33F8" w:rsidRPr="009B7CC9">
        <w:rPr>
          <w:rFonts w:cs="Arial"/>
          <w:szCs w:val="24"/>
        </w:rPr>
        <w:t xml:space="preserve">to strike an overall balance between regeneration aspirations and protecting the district’s sensitive landscapes and habitats. </w:t>
      </w:r>
    </w:p>
    <w:p w:rsidR="00157FFC" w:rsidRPr="009B7CC9" w:rsidRDefault="00157FFC" w:rsidP="00F86210">
      <w:pPr>
        <w:pStyle w:val="ListParagraph"/>
        <w:numPr>
          <w:ilvl w:val="1"/>
          <w:numId w:val="7"/>
        </w:numPr>
        <w:spacing w:after="360" w:line="240" w:lineRule="auto"/>
        <w:ind w:left="567" w:hanging="567"/>
        <w:contextualSpacing w:val="0"/>
        <w:rPr>
          <w:rFonts w:cs="Arial"/>
          <w:szCs w:val="24"/>
        </w:rPr>
      </w:pPr>
      <w:r w:rsidRPr="009B7CC9">
        <w:rPr>
          <w:rFonts w:cs="Arial"/>
          <w:szCs w:val="24"/>
        </w:rPr>
        <w:lastRenderedPageBreak/>
        <w:t>The Core Strategy includes strategic policies for the whole district as well as two strategic site allocations and two strategic broad locations for development, all of which now have planning permission.</w:t>
      </w:r>
    </w:p>
    <w:p w:rsidR="00157FFC" w:rsidRPr="009B7CC9" w:rsidRDefault="00157FFC" w:rsidP="00F86210">
      <w:pPr>
        <w:pStyle w:val="ListParagraph"/>
        <w:numPr>
          <w:ilvl w:val="0"/>
          <w:numId w:val="12"/>
        </w:numPr>
        <w:spacing w:line="240" w:lineRule="auto"/>
        <w:ind w:left="567" w:hanging="567"/>
        <w:contextualSpacing w:val="0"/>
        <w:rPr>
          <w:b/>
          <w:szCs w:val="24"/>
        </w:rPr>
      </w:pPr>
      <w:r w:rsidRPr="009B7CC9">
        <w:rPr>
          <w:b/>
          <w:szCs w:val="24"/>
        </w:rPr>
        <w:t>Policies and Places Local Plan</w:t>
      </w:r>
      <w:r w:rsidR="00613D8C" w:rsidRPr="009B7CC9">
        <w:rPr>
          <w:b/>
          <w:szCs w:val="24"/>
        </w:rPr>
        <w:t xml:space="preserve"> Preparation</w:t>
      </w:r>
    </w:p>
    <w:p w:rsidR="00AB2420" w:rsidRPr="009B7CC9" w:rsidRDefault="00AB2420" w:rsidP="00F86210">
      <w:pPr>
        <w:pStyle w:val="ListParagraph"/>
        <w:numPr>
          <w:ilvl w:val="0"/>
          <w:numId w:val="7"/>
        </w:numPr>
        <w:spacing w:line="240" w:lineRule="auto"/>
        <w:contextualSpacing w:val="0"/>
        <w:rPr>
          <w:rFonts w:cs="Arial"/>
          <w:vanish/>
          <w:szCs w:val="24"/>
        </w:rPr>
      </w:pPr>
    </w:p>
    <w:p w:rsidR="00AB2420" w:rsidRPr="009B7CC9" w:rsidRDefault="00AB2420" w:rsidP="00F86210">
      <w:pPr>
        <w:pStyle w:val="ListParagraph"/>
        <w:numPr>
          <w:ilvl w:val="0"/>
          <w:numId w:val="7"/>
        </w:numPr>
        <w:spacing w:line="240" w:lineRule="auto"/>
        <w:contextualSpacing w:val="0"/>
        <w:rPr>
          <w:rFonts w:cs="Arial"/>
          <w:vanish/>
          <w:szCs w:val="24"/>
        </w:rPr>
      </w:pPr>
    </w:p>
    <w:p w:rsidR="00AB2420" w:rsidRPr="009B7CC9" w:rsidRDefault="00157FFC" w:rsidP="00F86210">
      <w:pPr>
        <w:pStyle w:val="ListParagraph"/>
        <w:numPr>
          <w:ilvl w:val="1"/>
          <w:numId w:val="15"/>
        </w:numPr>
        <w:spacing w:line="240" w:lineRule="auto"/>
        <w:ind w:left="567" w:hanging="567"/>
        <w:contextualSpacing w:val="0"/>
        <w:rPr>
          <w:rFonts w:cs="Arial"/>
          <w:szCs w:val="24"/>
        </w:rPr>
      </w:pPr>
      <w:r w:rsidRPr="009B7CC9">
        <w:rPr>
          <w:rFonts w:cs="Arial"/>
          <w:szCs w:val="24"/>
        </w:rPr>
        <w:t>SDC</w:t>
      </w:r>
      <w:r w:rsidR="00381A38" w:rsidRPr="009B7CC9">
        <w:rPr>
          <w:rFonts w:cs="Arial"/>
          <w:szCs w:val="24"/>
        </w:rPr>
        <w:t xml:space="preserve"> </w:t>
      </w:r>
      <w:r w:rsidR="0077774A" w:rsidRPr="009B7CC9">
        <w:rPr>
          <w:rFonts w:cs="Arial"/>
          <w:szCs w:val="24"/>
        </w:rPr>
        <w:t xml:space="preserve">is </w:t>
      </w:r>
      <w:r w:rsidR="00F86210" w:rsidRPr="009B7CC9">
        <w:rPr>
          <w:rFonts w:cs="Arial"/>
          <w:szCs w:val="24"/>
        </w:rPr>
        <w:t xml:space="preserve">currently </w:t>
      </w:r>
      <w:r w:rsidR="00067F9F" w:rsidRPr="009B7CC9">
        <w:rPr>
          <w:rFonts w:cs="Arial"/>
          <w:szCs w:val="24"/>
        </w:rPr>
        <w:t xml:space="preserve">preparing </w:t>
      </w:r>
      <w:r w:rsidRPr="009B7CC9">
        <w:rPr>
          <w:rFonts w:cs="Arial"/>
          <w:szCs w:val="24"/>
        </w:rPr>
        <w:t>the</w:t>
      </w:r>
      <w:r w:rsidR="0077774A" w:rsidRPr="009B7CC9">
        <w:rPr>
          <w:rFonts w:cs="Arial"/>
          <w:szCs w:val="24"/>
        </w:rPr>
        <w:t xml:space="preserve"> </w:t>
      </w:r>
      <w:r w:rsidR="0077774A" w:rsidRPr="009B7CC9">
        <w:rPr>
          <w:rFonts w:cs="Arial"/>
          <w:i/>
          <w:szCs w:val="24"/>
        </w:rPr>
        <w:t>Places and Policies Local Plan</w:t>
      </w:r>
      <w:r w:rsidR="0077774A" w:rsidRPr="009B7CC9">
        <w:rPr>
          <w:rFonts w:cs="Arial"/>
          <w:szCs w:val="24"/>
        </w:rPr>
        <w:t xml:space="preserve"> </w:t>
      </w:r>
      <w:r w:rsidR="00AB2420" w:rsidRPr="009B7CC9">
        <w:rPr>
          <w:rFonts w:cs="Arial"/>
          <w:szCs w:val="24"/>
        </w:rPr>
        <w:t>which will</w:t>
      </w:r>
      <w:r w:rsidR="00AB2420" w:rsidRPr="009B7CC9">
        <w:rPr>
          <w:szCs w:val="24"/>
        </w:rPr>
        <w:t xml:space="preserve"> allocate sites to meet the remaining development needs identified in the Core Strategy. The </w:t>
      </w:r>
      <w:r w:rsidR="00AB2420" w:rsidRPr="009B7CC9">
        <w:rPr>
          <w:i/>
          <w:szCs w:val="24"/>
        </w:rPr>
        <w:t xml:space="preserve">Places and Policies Local Plan </w:t>
      </w:r>
      <w:r w:rsidR="00AB2420" w:rsidRPr="009B7CC9">
        <w:rPr>
          <w:szCs w:val="24"/>
        </w:rPr>
        <w:t xml:space="preserve">will also set out a number of development management policies, including policies which require development contributions or set standards that new development </w:t>
      </w:r>
      <w:r w:rsidR="00F86210" w:rsidRPr="009B7CC9">
        <w:rPr>
          <w:szCs w:val="24"/>
        </w:rPr>
        <w:t>should</w:t>
      </w:r>
      <w:r w:rsidR="00AB2420" w:rsidRPr="009B7CC9">
        <w:rPr>
          <w:szCs w:val="24"/>
        </w:rPr>
        <w:t xml:space="preserve"> meet.</w:t>
      </w:r>
      <w:r w:rsidR="00D813F9" w:rsidRPr="009B7CC9">
        <w:rPr>
          <w:szCs w:val="24"/>
        </w:rPr>
        <w:t xml:space="preserve"> The plan period is 2006-26.</w:t>
      </w:r>
    </w:p>
    <w:p w:rsidR="00F1217B" w:rsidRPr="009B7CC9" w:rsidRDefault="00F1217B" w:rsidP="00F86210">
      <w:pPr>
        <w:pStyle w:val="ListParagraph"/>
        <w:numPr>
          <w:ilvl w:val="1"/>
          <w:numId w:val="15"/>
        </w:numPr>
        <w:spacing w:after="120" w:line="240" w:lineRule="auto"/>
        <w:ind w:left="567" w:hanging="567"/>
        <w:contextualSpacing w:val="0"/>
        <w:rPr>
          <w:szCs w:val="24"/>
        </w:rPr>
      </w:pPr>
      <w:r w:rsidRPr="009B7CC9">
        <w:rPr>
          <w:szCs w:val="24"/>
        </w:rPr>
        <w:t xml:space="preserve">In </w:t>
      </w:r>
      <w:r w:rsidRPr="009B7CC9">
        <w:rPr>
          <w:rFonts w:cs="Arial"/>
          <w:szCs w:val="24"/>
        </w:rPr>
        <w:t>preparing</w:t>
      </w:r>
      <w:r w:rsidRPr="009B7CC9">
        <w:rPr>
          <w:szCs w:val="24"/>
        </w:rPr>
        <w:t xml:space="preserve"> the </w:t>
      </w:r>
      <w:r w:rsidR="004A06D6" w:rsidRPr="009B7CC9">
        <w:rPr>
          <w:i/>
          <w:szCs w:val="24"/>
        </w:rPr>
        <w:t>Places and Policies Local Plan</w:t>
      </w:r>
      <w:r w:rsidR="004A06D6" w:rsidRPr="009B7CC9">
        <w:rPr>
          <w:szCs w:val="24"/>
        </w:rPr>
        <w:t xml:space="preserve"> </w:t>
      </w:r>
      <w:r w:rsidRPr="009B7CC9">
        <w:rPr>
          <w:szCs w:val="24"/>
        </w:rPr>
        <w:t>consultat</w:t>
      </w:r>
      <w:r w:rsidR="0006061B" w:rsidRPr="009B7CC9">
        <w:rPr>
          <w:szCs w:val="24"/>
        </w:rPr>
        <w:t>ions have been un</w:t>
      </w:r>
      <w:r w:rsidR="00C5045A" w:rsidRPr="009B7CC9">
        <w:rPr>
          <w:szCs w:val="24"/>
        </w:rPr>
        <w:t>dertaken on the following draft documents</w:t>
      </w:r>
      <w:r w:rsidRPr="009B7CC9">
        <w:rPr>
          <w:szCs w:val="24"/>
        </w:rPr>
        <w:t>:</w:t>
      </w:r>
    </w:p>
    <w:p w:rsidR="00A71331" w:rsidRPr="009B7CC9" w:rsidRDefault="0006061B" w:rsidP="00F86210">
      <w:pPr>
        <w:pStyle w:val="ListParagraph"/>
        <w:numPr>
          <w:ilvl w:val="0"/>
          <w:numId w:val="4"/>
        </w:numPr>
        <w:spacing w:line="240" w:lineRule="auto"/>
        <w:ind w:left="851" w:hanging="284"/>
        <w:rPr>
          <w:szCs w:val="24"/>
        </w:rPr>
      </w:pPr>
      <w:r w:rsidRPr="009B7CC9">
        <w:rPr>
          <w:szCs w:val="24"/>
        </w:rPr>
        <w:t>Issues and Options (</w:t>
      </w:r>
      <w:r w:rsidR="00C2681E">
        <w:rPr>
          <w:szCs w:val="24"/>
        </w:rPr>
        <w:t xml:space="preserve">29 January - </w:t>
      </w:r>
      <w:r w:rsidR="00F1217B" w:rsidRPr="009B7CC9">
        <w:rPr>
          <w:szCs w:val="24"/>
        </w:rPr>
        <w:t>11 March 2015</w:t>
      </w:r>
      <w:r w:rsidRPr="009B7CC9">
        <w:rPr>
          <w:szCs w:val="24"/>
        </w:rPr>
        <w:t>)</w:t>
      </w:r>
    </w:p>
    <w:p w:rsidR="0006061B" w:rsidRPr="009B7CC9" w:rsidRDefault="0006061B" w:rsidP="00F86210">
      <w:pPr>
        <w:pStyle w:val="ListParagraph"/>
        <w:numPr>
          <w:ilvl w:val="0"/>
          <w:numId w:val="4"/>
        </w:numPr>
        <w:spacing w:line="240" w:lineRule="auto"/>
        <w:ind w:left="851" w:hanging="284"/>
        <w:contextualSpacing w:val="0"/>
        <w:rPr>
          <w:szCs w:val="24"/>
        </w:rPr>
      </w:pPr>
      <w:r w:rsidRPr="009B7CC9">
        <w:rPr>
          <w:szCs w:val="24"/>
        </w:rPr>
        <w:t>Pr</w:t>
      </w:r>
      <w:r w:rsidR="00C2681E">
        <w:rPr>
          <w:szCs w:val="24"/>
        </w:rPr>
        <w:t xml:space="preserve">eferred Options (7 October - </w:t>
      </w:r>
      <w:r w:rsidR="004C6ED9" w:rsidRPr="009B7CC9">
        <w:rPr>
          <w:szCs w:val="24"/>
        </w:rPr>
        <w:t>18 November 2016)</w:t>
      </w:r>
      <w:r w:rsidR="00AB2420" w:rsidRPr="009B7CC9">
        <w:rPr>
          <w:rStyle w:val="FootnoteReference"/>
          <w:szCs w:val="24"/>
        </w:rPr>
        <w:footnoteReference w:id="2"/>
      </w:r>
    </w:p>
    <w:p w:rsidR="00381A38" w:rsidRPr="009B7CC9" w:rsidRDefault="005F1E0C" w:rsidP="00C2681E">
      <w:pPr>
        <w:pStyle w:val="ListParagraph"/>
        <w:numPr>
          <w:ilvl w:val="1"/>
          <w:numId w:val="15"/>
        </w:numPr>
        <w:spacing w:after="360" w:line="240" w:lineRule="auto"/>
        <w:ind w:left="567" w:hanging="567"/>
        <w:contextualSpacing w:val="0"/>
        <w:rPr>
          <w:szCs w:val="24"/>
        </w:rPr>
      </w:pPr>
      <w:r w:rsidRPr="009B7CC9">
        <w:rPr>
          <w:szCs w:val="24"/>
        </w:rPr>
        <w:t xml:space="preserve">Officers from </w:t>
      </w:r>
      <w:r w:rsidR="00381A38" w:rsidRPr="009B7CC9">
        <w:rPr>
          <w:szCs w:val="24"/>
        </w:rPr>
        <w:t xml:space="preserve">SDC </w:t>
      </w:r>
      <w:r w:rsidRPr="009B7CC9">
        <w:rPr>
          <w:szCs w:val="24"/>
        </w:rPr>
        <w:t>are</w:t>
      </w:r>
      <w:r w:rsidR="00381A38" w:rsidRPr="009B7CC9">
        <w:rPr>
          <w:szCs w:val="24"/>
        </w:rPr>
        <w:t xml:space="preserve"> currently assessing the consultation comments gathered through the Preferred Options consultation</w:t>
      </w:r>
      <w:r w:rsidR="00783907" w:rsidRPr="009B7CC9">
        <w:rPr>
          <w:szCs w:val="24"/>
        </w:rPr>
        <w:t>, including alternative site submissions,</w:t>
      </w:r>
      <w:r w:rsidR="00381A38" w:rsidRPr="009B7CC9">
        <w:rPr>
          <w:szCs w:val="24"/>
        </w:rPr>
        <w:t xml:space="preserve"> and </w:t>
      </w:r>
      <w:r w:rsidR="00F86210" w:rsidRPr="009B7CC9">
        <w:rPr>
          <w:szCs w:val="24"/>
        </w:rPr>
        <w:t>are</w:t>
      </w:r>
      <w:r w:rsidR="00381A38" w:rsidRPr="009B7CC9">
        <w:rPr>
          <w:szCs w:val="24"/>
        </w:rPr>
        <w:t xml:space="preserve"> seeking to finalise the Local Plan prior to consultation and submission to the Secretary of State.</w:t>
      </w:r>
    </w:p>
    <w:p w:rsidR="00365157" w:rsidRPr="009B7CC9" w:rsidRDefault="00365157" w:rsidP="00F86210">
      <w:pPr>
        <w:pStyle w:val="ListParagraph"/>
        <w:numPr>
          <w:ilvl w:val="0"/>
          <w:numId w:val="12"/>
        </w:numPr>
        <w:spacing w:line="240" w:lineRule="auto"/>
        <w:ind w:left="567" w:hanging="567"/>
        <w:contextualSpacing w:val="0"/>
        <w:rPr>
          <w:b/>
          <w:szCs w:val="24"/>
        </w:rPr>
      </w:pPr>
      <w:r w:rsidRPr="009B7CC9">
        <w:rPr>
          <w:b/>
          <w:szCs w:val="24"/>
        </w:rPr>
        <w:t>Places and Policies - Site Allocations</w:t>
      </w:r>
      <w:r w:rsidR="00613D8C" w:rsidRPr="009B7CC9">
        <w:rPr>
          <w:b/>
          <w:szCs w:val="24"/>
        </w:rPr>
        <w:t xml:space="preserve"> and Development Management Policies</w:t>
      </w:r>
    </w:p>
    <w:p w:rsidR="00CA58EA" w:rsidRPr="009B7CC9" w:rsidRDefault="00CA58EA" w:rsidP="00F86210">
      <w:pPr>
        <w:spacing w:line="240" w:lineRule="auto"/>
        <w:ind w:left="567" w:hanging="567"/>
        <w:rPr>
          <w:szCs w:val="24"/>
        </w:rPr>
      </w:pPr>
      <w:r w:rsidRPr="009B7CC9">
        <w:rPr>
          <w:szCs w:val="24"/>
        </w:rPr>
        <w:t>4.1</w:t>
      </w:r>
      <w:r w:rsidRPr="009B7CC9">
        <w:rPr>
          <w:szCs w:val="24"/>
        </w:rPr>
        <w:tab/>
        <w:t xml:space="preserve">The </w:t>
      </w:r>
      <w:r w:rsidRPr="009B7CC9">
        <w:rPr>
          <w:i/>
          <w:szCs w:val="24"/>
        </w:rPr>
        <w:t xml:space="preserve">Places and Policies Local Plan </w:t>
      </w:r>
      <w:r w:rsidRPr="009B7CC9">
        <w:rPr>
          <w:szCs w:val="24"/>
        </w:rPr>
        <w:t xml:space="preserve">sets out a number of proposed site allocations in </w:t>
      </w:r>
      <w:r w:rsidR="00645C3E" w:rsidRPr="009B7CC9">
        <w:rPr>
          <w:szCs w:val="24"/>
        </w:rPr>
        <w:t>‘</w:t>
      </w:r>
      <w:r w:rsidRPr="009B7CC9">
        <w:rPr>
          <w:szCs w:val="24"/>
        </w:rPr>
        <w:t xml:space="preserve">Part One </w:t>
      </w:r>
      <w:r w:rsidR="00645C3E" w:rsidRPr="009B7CC9">
        <w:rPr>
          <w:szCs w:val="24"/>
        </w:rPr>
        <w:t>–</w:t>
      </w:r>
      <w:r w:rsidRPr="009B7CC9">
        <w:rPr>
          <w:szCs w:val="24"/>
        </w:rPr>
        <w:t xml:space="preserve"> Places</w:t>
      </w:r>
      <w:r w:rsidR="00645C3E" w:rsidRPr="009B7CC9">
        <w:rPr>
          <w:szCs w:val="24"/>
        </w:rPr>
        <w:t>’</w:t>
      </w:r>
      <w:r w:rsidRPr="009B7CC9">
        <w:rPr>
          <w:szCs w:val="24"/>
        </w:rPr>
        <w:t xml:space="preserve">. </w:t>
      </w:r>
    </w:p>
    <w:p w:rsidR="00C2681E" w:rsidRDefault="00CA58EA" w:rsidP="00F86210">
      <w:pPr>
        <w:spacing w:line="240" w:lineRule="auto"/>
        <w:ind w:left="567" w:hanging="567"/>
        <w:rPr>
          <w:szCs w:val="24"/>
        </w:rPr>
      </w:pPr>
      <w:r w:rsidRPr="009B7CC9">
        <w:rPr>
          <w:szCs w:val="24"/>
        </w:rPr>
        <w:t>4.2</w:t>
      </w:r>
      <w:r w:rsidR="00944F64" w:rsidRPr="009B7CC9">
        <w:rPr>
          <w:szCs w:val="24"/>
        </w:rPr>
        <w:tab/>
        <w:t xml:space="preserve">Draft policies in Part One allocate </w:t>
      </w:r>
      <w:r w:rsidR="00613D8C" w:rsidRPr="009B7CC9">
        <w:rPr>
          <w:szCs w:val="24"/>
        </w:rPr>
        <w:t>5</w:t>
      </w:r>
      <w:r w:rsidR="00C2681E">
        <w:rPr>
          <w:szCs w:val="24"/>
        </w:rPr>
        <w:t>5</w:t>
      </w:r>
      <w:r w:rsidR="00944F64" w:rsidRPr="009B7CC9">
        <w:rPr>
          <w:szCs w:val="24"/>
        </w:rPr>
        <w:t xml:space="preserve"> sites for residential development </w:t>
      </w:r>
      <w:r w:rsidR="00C2681E">
        <w:rPr>
          <w:szCs w:val="24"/>
        </w:rPr>
        <w:t xml:space="preserve">(C3) </w:t>
      </w:r>
      <w:r w:rsidR="00944F64" w:rsidRPr="009B7CC9">
        <w:rPr>
          <w:szCs w:val="24"/>
        </w:rPr>
        <w:t>and mixed use de</w:t>
      </w:r>
      <w:r w:rsidR="005E7100" w:rsidRPr="009B7CC9">
        <w:rPr>
          <w:szCs w:val="24"/>
        </w:rPr>
        <w:t>velopment</w:t>
      </w:r>
      <w:r w:rsidR="00944F64" w:rsidRPr="009B7CC9">
        <w:rPr>
          <w:szCs w:val="24"/>
        </w:rPr>
        <w:t xml:space="preserve"> including residential</w:t>
      </w:r>
      <w:r w:rsidR="005E7100" w:rsidRPr="009B7CC9">
        <w:rPr>
          <w:szCs w:val="24"/>
        </w:rPr>
        <w:t xml:space="preserve"> use</w:t>
      </w:r>
      <w:r w:rsidR="00944F64" w:rsidRPr="009B7CC9">
        <w:rPr>
          <w:szCs w:val="24"/>
        </w:rPr>
        <w:t xml:space="preserve">. </w:t>
      </w:r>
      <w:r w:rsidR="00C2681E">
        <w:rPr>
          <w:szCs w:val="24"/>
        </w:rPr>
        <w:t>The great majority of the sites are allocated for residential development.</w:t>
      </w:r>
    </w:p>
    <w:p w:rsidR="008A7481" w:rsidRPr="009B7CC9" w:rsidRDefault="00C2681E" w:rsidP="00F86210">
      <w:pPr>
        <w:spacing w:line="240" w:lineRule="auto"/>
        <w:ind w:left="567" w:hanging="567"/>
        <w:rPr>
          <w:szCs w:val="24"/>
        </w:rPr>
      </w:pPr>
      <w:r>
        <w:rPr>
          <w:szCs w:val="24"/>
        </w:rPr>
        <w:t>4.3</w:t>
      </w:r>
      <w:r>
        <w:rPr>
          <w:szCs w:val="24"/>
        </w:rPr>
        <w:tab/>
        <w:t>A number of</w:t>
      </w:r>
      <w:r w:rsidR="00944F64" w:rsidRPr="009B7CC9">
        <w:rPr>
          <w:szCs w:val="24"/>
        </w:rPr>
        <w:t xml:space="preserve"> sites already have planning permission or have planning applications for development which are currently being determined by the Council. </w:t>
      </w:r>
      <w:r w:rsidR="00613D8C" w:rsidRPr="009B7CC9">
        <w:rPr>
          <w:szCs w:val="24"/>
        </w:rPr>
        <w:t xml:space="preserve">Sites range in size from 0.15ha to 40 ha and in capacity from 5 dwellings to 400 dwellings. A range of sites are allocated from previously-developed town centre sites to </w:t>
      </w:r>
      <w:proofErr w:type="spellStart"/>
      <w:proofErr w:type="gramStart"/>
      <w:r w:rsidR="00613D8C" w:rsidRPr="009B7CC9">
        <w:rPr>
          <w:szCs w:val="24"/>
        </w:rPr>
        <w:t>greenfield</w:t>
      </w:r>
      <w:proofErr w:type="spellEnd"/>
      <w:proofErr w:type="gramEnd"/>
      <w:r w:rsidR="00613D8C" w:rsidRPr="009B7CC9">
        <w:rPr>
          <w:szCs w:val="24"/>
        </w:rPr>
        <w:t xml:space="preserve"> rural sites. </w:t>
      </w:r>
      <w:r w:rsidR="000F2136" w:rsidRPr="009B7CC9">
        <w:rPr>
          <w:szCs w:val="24"/>
        </w:rPr>
        <w:t>Taking minimum figures for the sites</w:t>
      </w:r>
      <w:r>
        <w:rPr>
          <w:szCs w:val="24"/>
        </w:rPr>
        <w:t>, where a range of is</w:t>
      </w:r>
      <w:r w:rsidR="000F2136" w:rsidRPr="009B7CC9">
        <w:rPr>
          <w:szCs w:val="24"/>
        </w:rPr>
        <w:t xml:space="preserve"> specified in the policies, the plan allocates 2,499 dwellings for the district</w:t>
      </w:r>
      <w:r w:rsidR="006B2DA5" w:rsidRPr="009B7CC9">
        <w:rPr>
          <w:szCs w:val="24"/>
        </w:rPr>
        <w:t xml:space="preserve"> for the plan period</w:t>
      </w:r>
      <w:r w:rsidR="000F2136" w:rsidRPr="009B7CC9">
        <w:rPr>
          <w:szCs w:val="24"/>
        </w:rPr>
        <w:t xml:space="preserve">. </w:t>
      </w:r>
      <w:r w:rsidR="008A7481" w:rsidRPr="009B7CC9">
        <w:rPr>
          <w:szCs w:val="24"/>
        </w:rPr>
        <w:t xml:space="preserve">These </w:t>
      </w:r>
      <w:r w:rsidR="00F86210" w:rsidRPr="009B7CC9">
        <w:rPr>
          <w:szCs w:val="24"/>
        </w:rPr>
        <w:t xml:space="preserve">sites </w:t>
      </w:r>
      <w:r w:rsidR="008A7481" w:rsidRPr="009B7CC9">
        <w:rPr>
          <w:szCs w:val="24"/>
        </w:rPr>
        <w:t xml:space="preserve">are </w:t>
      </w:r>
      <w:r w:rsidR="000F2136" w:rsidRPr="009B7CC9">
        <w:rPr>
          <w:szCs w:val="24"/>
        </w:rPr>
        <w:t>given in full in the plan</w:t>
      </w:r>
      <w:r w:rsidR="006B2DA5" w:rsidRPr="009B7CC9">
        <w:rPr>
          <w:rStyle w:val="FootnoteReference"/>
          <w:szCs w:val="24"/>
        </w:rPr>
        <w:footnoteReference w:id="3"/>
      </w:r>
      <w:r w:rsidR="000F2136" w:rsidRPr="009B7CC9">
        <w:rPr>
          <w:szCs w:val="24"/>
        </w:rPr>
        <w:t xml:space="preserve"> and </w:t>
      </w:r>
      <w:r w:rsidR="008A7481" w:rsidRPr="009B7CC9">
        <w:rPr>
          <w:szCs w:val="24"/>
        </w:rPr>
        <w:t xml:space="preserve">highlighted in Appendix </w:t>
      </w:r>
      <w:r>
        <w:rPr>
          <w:szCs w:val="24"/>
        </w:rPr>
        <w:t>A</w:t>
      </w:r>
      <w:r w:rsidR="008758D2">
        <w:rPr>
          <w:szCs w:val="24"/>
        </w:rPr>
        <w:t>1</w:t>
      </w:r>
      <w:r w:rsidR="008A7481" w:rsidRPr="009B7CC9">
        <w:rPr>
          <w:szCs w:val="24"/>
        </w:rPr>
        <w:t xml:space="preserve"> to this </w:t>
      </w:r>
      <w:r w:rsidR="0046742F">
        <w:rPr>
          <w:szCs w:val="24"/>
        </w:rPr>
        <w:t>specification</w:t>
      </w:r>
      <w:r w:rsidR="008A7481" w:rsidRPr="009B7CC9">
        <w:rPr>
          <w:szCs w:val="24"/>
        </w:rPr>
        <w:t xml:space="preserve">. </w:t>
      </w:r>
    </w:p>
    <w:p w:rsidR="00CA58EA" w:rsidRPr="009B7CC9" w:rsidRDefault="005E7100" w:rsidP="00F86210">
      <w:pPr>
        <w:spacing w:after="360" w:line="240" w:lineRule="auto"/>
        <w:ind w:left="567" w:hanging="567"/>
        <w:rPr>
          <w:szCs w:val="24"/>
        </w:rPr>
      </w:pPr>
      <w:r w:rsidRPr="009B7CC9">
        <w:rPr>
          <w:szCs w:val="24"/>
        </w:rPr>
        <w:t>4.3</w:t>
      </w:r>
      <w:r w:rsidR="00CA58EA" w:rsidRPr="009B7CC9">
        <w:rPr>
          <w:szCs w:val="24"/>
        </w:rPr>
        <w:t xml:space="preserve"> </w:t>
      </w:r>
      <w:r w:rsidRPr="009B7CC9">
        <w:rPr>
          <w:szCs w:val="24"/>
        </w:rPr>
        <w:tab/>
        <w:t xml:space="preserve">Draft policies in Part Two set out general </w:t>
      </w:r>
      <w:r w:rsidR="00F86210" w:rsidRPr="009B7CC9">
        <w:rPr>
          <w:szCs w:val="24"/>
        </w:rPr>
        <w:t>d</w:t>
      </w:r>
      <w:r w:rsidR="005F1E0C" w:rsidRPr="009B7CC9">
        <w:rPr>
          <w:szCs w:val="24"/>
        </w:rPr>
        <w:t xml:space="preserve">evelopment </w:t>
      </w:r>
      <w:r w:rsidR="00F86210" w:rsidRPr="009B7CC9">
        <w:rPr>
          <w:szCs w:val="24"/>
        </w:rPr>
        <w:t>m</w:t>
      </w:r>
      <w:r w:rsidR="005F1E0C" w:rsidRPr="009B7CC9">
        <w:rPr>
          <w:szCs w:val="24"/>
        </w:rPr>
        <w:t xml:space="preserve">anagement policy </w:t>
      </w:r>
      <w:r w:rsidRPr="009B7CC9">
        <w:rPr>
          <w:szCs w:val="24"/>
        </w:rPr>
        <w:t>r</w:t>
      </w:r>
      <w:r w:rsidR="005F1E0C" w:rsidRPr="009B7CC9">
        <w:rPr>
          <w:szCs w:val="24"/>
        </w:rPr>
        <w:t>equirements</w:t>
      </w:r>
      <w:r w:rsidRPr="009B7CC9">
        <w:rPr>
          <w:szCs w:val="24"/>
        </w:rPr>
        <w:t xml:space="preserve"> in chapters covering: housing and the built environment; economy; community; transport; natural environment; climate change; health </w:t>
      </w:r>
      <w:r w:rsidRPr="009B7CC9">
        <w:rPr>
          <w:szCs w:val="24"/>
        </w:rPr>
        <w:lastRenderedPageBreak/>
        <w:t xml:space="preserve">and well-being; and the historic environment. The full text of the </w:t>
      </w:r>
      <w:r w:rsidR="00F86210" w:rsidRPr="009B7CC9">
        <w:rPr>
          <w:szCs w:val="24"/>
        </w:rPr>
        <w:t>d</w:t>
      </w:r>
      <w:r w:rsidRPr="009B7CC9">
        <w:rPr>
          <w:szCs w:val="24"/>
        </w:rPr>
        <w:t xml:space="preserve">evelopment </w:t>
      </w:r>
      <w:r w:rsidR="00F86210" w:rsidRPr="009B7CC9">
        <w:rPr>
          <w:szCs w:val="24"/>
        </w:rPr>
        <w:t>m</w:t>
      </w:r>
      <w:r w:rsidRPr="009B7CC9">
        <w:rPr>
          <w:szCs w:val="24"/>
        </w:rPr>
        <w:t xml:space="preserve">anagement policies can be viewed in the </w:t>
      </w:r>
      <w:r w:rsidRPr="009B7CC9">
        <w:rPr>
          <w:i/>
          <w:szCs w:val="24"/>
        </w:rPr>
        <w:t xml:space="preserve">Places and Policies Local Plan </w:t>
      </w:r>
      <w:r w:rsidRPr="009B7CC9">
        <w:rPr>
          <w:szCs w:val="24"/>
        </w:rPr>
        <w:t xml:space="preserve">on the </w:t>
      </w:r>
      <w:r w:rsidR="00F86210" w:rsidRPr="009B7CC9">
        <w:rPr>
          <w:szCs w:val="24"/>
        </w:rPr>
        <w:t xml:space="preserve">Council’s </w:t>
      </w:r>
      <w:r w:rsidRPr="009B7CC9">
        <w:rPr>
          <w:szCs w:val="24"/>
        </w:rPr>
        <w:t xml:space="preserve">website; Appendix </w:t>
      </w:r>
      <w:r w:rsidR="008758D2">
        <w:rPr>
          <w:szCs w:val="24"/>
        </w:rPr>
        <w:t>A2</w:t>
      </w:r>
      <w:r w:rsidRPr="009B7CC9">
        <w:rPr>
          <w:szCs w:val="24"/>
        </w:rPr>
        <w:t xml:space="preserve"> to this </w:t>
      </w:r>
      <w:r w:rsidR="0046742F">
        <w:rPr>
          <w:szCs w:val="24"/>
        </w:rPr>
        <w:t>specification</w:t>
      </w:r>
      <w:r w:rsidRPr="009B7CC9">
        <w:rPr>
          <w:szCs w:val="24"/>
        </w:rPr>
        <w:t xml:space="preserve"> provides a summary of the policies for ease of reference. </w:t>
      </w:r>
    </w:p>
    <w:p w:rsidR="00EB1F1E" w:rsidRPr="009B7CC9" w:rsidRDefault="00EB1F1E" w:rsidP="00F86210">
      <w:pPr>
        <w:pStyle w:val="ListParagraph"/>
        <w:numPr>
          <w:ilvl w:val="0"/>
          <w:numId w:val="12"/>
        </w:numPr>
        <w:spacing w:line="240" w:lineRule="auto"/>
        <w:ind w:left="567" w:hanging="567"/>
        <w:contextualSpacing w:val="0"/>
        <w:rPr>
          <w:b/>
          <w:szCs w:val="24"/>
        </w:rPr>
      </w:pPr>
      <w:r w:rsidRPr="009B7CC9">
        <w:rPr>
          <w:b/>
          <w:szCs w:val="24"/>
        </w:rPr>
        <w:t>Scope and methodology</w:t>
      </w:r>
    </w:p>
    <w:p w:rsidR="004E26B6" w:rsidRPr="009B7CC9" w:rsidRDefault="004E26B6" w:rsidP="004E26B6">
      <w:pPr>
        <w:spacing w:line="240" w:lineRule="auto"/>
        <w:ind w:left="567" w:firstLine="0"/>
        <w:rPr>
          <w:szCs w:val="24"/>
          <w:u w:val="single"/>
        </w:rPr>
      </w:pPr>
      <w:r w:rsidRPr="009B7CC9">
        <w:rPr>
          <w:szCs w:val="24"/>
          <w:u w:val="single"/>
        </w:rPr>
        <w:t>Background</w:t>
      </w:r>
    </w:p>
    <w:p w:rsidR="00F86210" w:rsidRPr="009B7CC9" w:rsidRDefault="00830743" w:rsidP="00F86210">
      <w:pPr>
        <w:spacing w:line="240" w:lineRule="auto"/>
        <w:ind w:left="567" w:hanging="567"/>
        <w:rPr>
          <w:szCs w:val="24"/>
        </w:rPr>
      </w:pPr>
      <w:r w:rsidRPr="009B7CC9">
        <w:rPr>
          <w:szCs w:val="24"/>
        </w:rPr>
        <w:t>5.1</w:t>
      </w:r>
      <w:r w:rsidRPr="009B7CC9">
        <w:rPr>
          <w:szCs w:val="24"/>
        </w:rPr>
        <w:tab/>
      </w:r>
      <w:r w:rsidR="005E7100" w:rsidRPr="009B7CC9">
        <w:rPr>
          <w:szCs w:val="24"/>
        </w:rPr>
        <w:t xml:space="preserve">SDC is seeking to appoint an experienced viability consultant to undertake a high level viability assessment of the </w:t>
      </w:r>
      <w:r w:rsidR="005E7100" w:rsidRPr="009B7CC9">
        <w:rPr>
          <w:i/>
          <w:szCs w:val="24"/>
        </w:rPr>
        <w:t>Places and Policies Local Plan</w:t>
      </w:r>
      <w:r w:rsidR="005E7100" w:rsidRPr="009B7CC9">
        <w:rPr>
          <w:szCs w:val="24"/>
        </w:rPr>
        <w:t xml:space="preserve">. </w:t>
      </w:r>
    </w:p>
    <w:p w:rsidR="005857B4" w:rsidRPr="009B7CC9" w:rsidRDefault="00F86210" w:rsidP="00F86210">
      <w:pPr>
        <w:spacing w:line="240" w:lineRule="auto"/>
        <w:ind w:left="567" w:hanging="567"/>
        <w:rPr>
          <w:szCs w:val="24"/>
        </w:rPr>
      </w:pPr>
      <w:r w:rsidRPr="009B7CC9">
        <w:rPr>
          <w:szCs w:val="24"/>
        </w:rPr>
        <w:t>5.2</w:t>
      </w:r>
      <w:r w:rsidRPr="009B7CC9">
        <w:rPr>
          <w:szCs w:val="24"/>
        </w:rPr>
        <w:tab/>
      </w:r>
      <w:r w:rsidR="00756C5F" w:rsidRPr="009B7CC9">
        <w:rPr>
          <w:szCs w:val="24"/>
        </w:rPr>
        <w:t>The assessment should</w:t>
      </w:r>
      <w:r w:rsidRPr="009B7CC9">
        <w:rPr>
          <w:szCs w:val="24"/>
        </w:rPr>
        <w:t>, in line with national guidance,</w:t>
      </w:r>
      <w:r w:rsidR="00756C5F" w:rsidRPr="009B7CC9">
        <w:rPr>
          <w:szCs w:val="24"/>
        </w:rPr>
        <w:t xml:space="preserve"> </w:t>
      </w:r>
      <w:r w:rsidR="00756C5F" w:rsidRPr="009B7CC9">
        <w:rPr>
          <w:i/>
          <w:szCs w:val="24"/>
        </w:rPr>
        <w:t>“ensure that the Local Plan vision and policies are realistic and provide high level assurance that plan policies are viable.”</w:t>
      </w:r>
      <w:r w:rsidR="00756C5F" w:rsidRPr="009B7CC9">
        <w:rPr>
          <w:rStyle w:val="FootnoteReference"/>
          <w:i/>
          <w:szCs w:val="24"/>
        </w:rPr>
        <w:footnoteReference w:id="4"/>
      </w:r>
      <w:r w:rsidR="00756C5F" w:rsidRPr="009B7CC9">
        <w:rPr>
          <w:szCs w:val="24"/>
        </w:rPr>
        <w:t xml:space="preserve"> </w:t>
      </w:r>
    </w:p>
    <w:p w:rsidR="00D8229D" w:rsidRPr="009B7CC9" w:rsidRDefault="005857B4" w:rsidP="00F86210">
      <w:pPr>
        <w:spacing w:line="240" w:lineRule="auto"/>
        <w:ind w:left="567" w:hanging="567"/>
        <w:rPr>
          <w:szCs w:val="24"/>
        </w:rPr>
      </w:pPr>
      <w:r w:rsidRPr="009B7CC9">
        <w:rPr>
          <w:szCs w:val="24"/>
        </w:rPr>
        <w:t>5.</w:t>
      </w:r>
      <w:r w:rsidR="00645C3E" w:rsidRPr="009B7CC9">
        <w:rPr>
          <w:szCs w:val="24"/>
        </w:rPr>
        <w:t>3</w:t>
      </w:r>
      <w:r w:rsidRPr="009B7CC9">
        <w:rPr>
          <w:szCs w:val="24"/>
        </w:rPr>
        <w:tab/>
      </w:r>
      <w:r w:rsidR="00D8229D" w:rsidRPr="009B7CC9">
        <w:rPr>
          <w:szCs w:val="24"/>
        </w:rPr>
        <w:t xml:space="preserve">The assessment should ensure that the </w:t>
      </w:r>
      <w:r w:rsidR="00F86210" w:rsidRPr="009B7CC9">
        <w:rPr>
          <w:szCs w:val="24"/>
        </w:rPr>
        <w:t xml:space="preserve">plan </w:t>
      </w:r>
      <w:r w:rsidR="00D8229D" w:rsidRPr="009B7CC9">
        <w:rPr>
          <w:szCs w:val="24"/>
        </w:rPr>
        <w:t xml:space="preserve">meets the requirements of </w:t>
      </w:r>
      <w:r w:rsidR="00F86210" w:rsidRPr="009B7CC9">
        <w:rPr>
          <w:szCs w:val="24"/>
        </w:rPr>
        <w:t>the NPPF and national Planning Practice Guidance (PPG)</w:t>
      </w:r>
      <w:r w:rsidR="00D8229D" w:rsidRPr="009B7CC9">
        <w:rPr>
          <w:szCs w:val="24"/>
        </w:rPr>
        <w:t>, including</w:t>
      </w:r>
      <w:r w:rsidR="00756C5F" w:rsidRPr="009B7CC9">
        <w:rPr>
          <w:szCs w:val="24"/>
        </w:rPr>
        <w:t xml:space="preserve"> particularly</w:t>
      </w:r>
      <w:r w:rsidR="00D8229D" w:rsidRPr="009B7CC9">
        <w:rPr>
          <w:szCs w:val="24"/>
        </w:rPr>
        <w:t>:</w:t>
      </w:r>
    </w:p>
    <w:p w:rsidR="00D8229D" w:rsidRPr="009B7CC9" w:rsidRDefault="00EB1F1E" w:rsidP="00F86210">
      <w:pPr>
        <w:pStyle w:val="ListParagraph"/>
        <w:numPr>
          <w:ilvl w:val="0"/>
          <w:numId w:val="4"/>
        </w:numPr>
        <w:spacing w:after="0" w:line="240" w:lineRule="auto"/>
        <w:ind w:left="851" w:hanging="284"/>
        <w:contextualSpacing w:val="0"/>
        <w:rPr>
          <w:szCs w:val="24"/>
        </w:rPr>
      </w:pPr>
      <w:r w:rsidRPr="009B7CC9">
        <w:rPr>
          <w:szCs w:val="24"/>
        </w:rPr>
        <w:t xml:space="preserve">‘Ensuring viability and deliverability’, </w:t>
      </w:r>
      <w:r w:rsidR="00F86210" w:rsidRPr="009B7CC9">
        <w:rPr>
          <w:szCs w:val="24"/>
        </w:rPr>
        <w:t xml:space="preserve">NPPF </w:t>
      </w:r>
      <w:r w:rsidR="00D8229D" w:rsidRPr="009B7CC9">
        <w:rPr>
          <w:szCs w:val="24"/>
        </w:rPr>
        <w:t>paragraph</w:t>
      </w:r>
      <w:r w:rsidR="00EC7554" w:rsidRPr="009B7CC9">
        <w:rPr>
          <w:szCs w:val="24"/>
        </w:rPr>
        <w:t>s</w:t>
      </w:r>
      <w:r w:rsidR="00D8229D" w:rsidRPr="009B7CC9">
        <w:rPr>
          <w:szCs w:val="24"/>
        </w:rPr>
        <w:t xml:space="preserve"> 173</w:t>
      </w:r>
      <w:r w:rsidR="00EC7554" w:rsidRPr="009B7CC9">
        <w:rPr>
          <w:szCs w:val="24"/>
        </w:rPr>
        <w:t>-74</w:t>
      </w:r>
      <w:r w:rsidRPr="009B7CC9">
        <w:rPr>
          <w:rStyle w:val="FootnoteReference"/>
          <w:szCs w:val="24"/>
        </w:rPr>
        <w:footnoteReference w:id="5"/>
      </w:r>
    </w:p>
    <w:p w:rsidR="00CA58EA" w:rsidRPr="009B7CC9" w:rsidRDefault="00EB1F1E" w:rsidP="00645C3E">
      <w:pPr>
        <w:pStyle w:val="ListParagraph"/>
        <w:numPr>
          <w:ilvl w:val="0"/>
          <w:numId w:val="4"/>
        </w:numPr>
        <w:spacing w:after="0" w:line="240" w:lineRule="auto"/>
        <w:ind w:left="851" w:hanging="284"/>
        <w:contextualSpacing w:val="0"/>
        <w:rPr>
          <w:szCs w:val="24"/>
        </w:rPr>
      </w:pPr>
      <w:r w:rsidRPr="009B7CC9">
        <w:rPr>
          <w:szCs w:val="24"/>
        </w:rPr>
        <w:t>‘</w:t>
      </w:r>
      <w:r w:rsidR="0014366B" w:rsidRPr="009B7CC9">
        <w:rPr>
          <w:szCs w:val="24"/>
        </w:rPr>
        <w:t>Viability – a general overview</w:t>
      </w:r>
      <w:r w:rsidRPr="009B7CC9">
        <w:rPr>
          <w:szCs w:val="24"/>
        </w:rPr>
        <w:t>’</w:t>
      </w:r>
      <w:r w:rsidR="004131F5">
        <w:rPr>
          <w:szCs w:val="24"/>
        </w:rPr>
        <w:t xml:space="preserve">, </w:t>
      </w:r>
      <w:r w:rsidR="00756C5F" w:rsidRPr="009B7CC9">
        <w:rPr>
          <w:szCs w:val="24"/>
        </w:rPr>
        <w:t xml:space="preserve">PPG </w:t>
      </w:r>
      <w:r w:rsidR="0014366B" w:rsidRPr="009B7CC9">
        <w:rPr>
          <w:szCs w:val="24"/>
        </w:rPr>
        <w:t>Reference ID: 10-001-20140306 –</w:t>
      </w:r>
      <w:r w:rsidR="00F86210" w:rsidRPr="009B7CC9">
        <w:rPr>
          <w:szCs w:val="24"/>
        </w:rPr>
        <w:t xml:space="preserve"> </w:t>
      </w:r>
      <w:r w:rsidR="0014366B" w:rsidRPr="009B7CC9">
        <w:rPr>
          <w:szCs w:val="24"/>
        </w:rPr>
        <w:t>10-004-20140306</w:t>
      </w:r>
      <w:r w:rsidR="001E1CF6" w:rsidRPr="009B7CC9">
        <w:rPr>
          <w:rStyle w:val="FootnoteReference"/>
          <w:szCs w:val="24"/>
        </w:rPr>
        <w:footnoteReference w:id="6"/>
      </w:r>
    </w:p>
    <w:p w:rsidR="0014366B" w:rsidRPr="009B7CC9" w:rsidRDefault="00EB1F1E" w:rsidP="00645C3E">
      <w:pPr>
        <w:pStyle w:val="ListParagraph"/>
        <w:numPr>
          <w:ilvl w:val="0"/>
          <w:numId w:val="4"/>
        </w:numPr>
        <w:spacing w:line="240" w:lineRule="auto"/>
        <w:ind w:left="851" w:hanging="284"/>
        <w:contextualSpacing w:val="0"/>
        <w:rPr>
          <w:szCs w:val="24"/>
        </w:rPr>
      </w:pPr>
      <w:r w:rsidRPr="009B7CC9">
        <w:rPr>
          <w:szCs w:val="24"/>
        </w:rPr>
        <w:t>‘</w:t>
      </w:r>
      <w:r w:rsidR="0014366B" w:rsidRPr="009B7CC9">
        <w:rPr>
          <w:szCs w:val="24"/>
        </w:rPr>
        <w:t>Viability and plan making</w:t>
      </w:r>
      <w:r w:rsidRPr="009B7CC9">
        <w:rPr>
          <w:szCs w:val="24"/>
        </w:rPr>
        <w:t>’</w:t>
      </w:r>
      <w:r w:rsidR="004131F5">
        <w:rPr>
          <w:szCs w:val="24"/>
        </w:rPr>
        <w:t xml:space="preserve">, </w:t>
      </w:r>
      <w:r w:rsidR="0014366B" w:rsidRPr="009B7CC9">
        <w:rPr>
          <w:szCs w:val="24"/>
        </w:rPr>
        <w:t>P</w:t>
      </w:r>
      <w:r w:rsidR="00756C5F" w:rsidRPr="009B7CC9">
        <w:rPr>
          <w:szCs w:val="24"/>
        </w:rPr>
        <w:t>PG P</w:t>
      </w:r>
      <w:r w:rsidR="0014366B" w:rsidRPr="009B7CC9">
        <w:rPr>
          <w:szCs w:val="24"/>
        </w:rPr>
        <w:t>aragraphs 005 Reference: ID: 10-005-20140306 - 10-015-20140306</w:t>
      </w:r>
      <w:r w:rsidR="001E1CF6" w:rsidRPr="009B7CC9">
        <w:rPr>
          <w:rStyle w:val="FootnoteReference"/>
          <w:szCs w:val="24"/>
        </w:rPr>
        <w:footnoteReference w:id="7"/>
      </w:r>
    </w:p>
    <w:p w:rsidR="00365157" w:rsidRPr="009B7CC9" w:rsidRDefault="00365157" w:rsidP="00F86210">
      <w:pPr>
        <w:pStyle w:val="ListParagraph"/>
        <w:numPr>
          <w:ilvl w:val="0"/>
          <w:numId w:val="15"/>
        </w:numPr>
        <w:spacing w:line="240" w:lineRule="auto"/>
        <w:contextualSpacing w:val="0"/>
        <w:rPr>
          <w:vanish/>
          <w:szCs w:val="24"/>
        </w:rPr>
      </w:pPr>
    </w:p>
    <w:p w:rsidR="00365157" w:rsidRPr="009B7CC9" w:rsidRDefault="00365157" w:rsidP="00F86210">
      <w:pPr>
        <w:pStyle w:val="ListParagraph"/>
        <w:numPr>
          <w:ilvl w:val="0"/>
          <w:numId w:val="15"/>
        </w:numPr>
        <w:spacing w:line="240" w:lineRule="auto"/>
        <w:contextualSpacing w:val="0"/>
        <w:rPr>
          <w:vanish/>
          <w:szCs w:val="24"/>
        </w:rPr>
      </w:pPr>
    </w:p>
    <w:p w:rsidR="00365157" w:rsidRPr="009B7CC9" w:rsidRDefault="00365157" w:rsidP="00F86210">
      <w:pPr>
        <w:pStyle w:val="ListParagraph"/>
        <w:numPr>
          <w:ilvl w:val="0"/>
          <w:numId w:val="15"/>
        </w:numPr>
        <w:spacing w:line="240" w:lineRule="auto"/>
        <w:contextualSpacing w:val="0"/>
        <w:rPr>
          <w:vanish/>
          <w:szCs w:val="24"/>
        </w:rPr>
      </w:pPr>
    </w:p>
    <w:p w:rsidR="00EF46DE" w:rsidRPr="009B7CC9" w:rsidRDefault="00EB1F1E" w:rsidP="00F86210">
      <w:pPr>
        <w:spacing w:line="240" w:lineRule="auto"/>
        <w:ind w:left="567" w:hanging="567"/>
        <w:rPr>
          <w:szCs w:val="24"/>
        </w:rPr>
      </w:pPr>
      <w:r w:rsidRPr="009B7CC9">
        <w:rPr>
          <w:szCs w:val="24"/>
        </w:rPr>
        <w:t>5.</w:t>
      </w:r>
      <w:r w:rsidR="00645C3E" w:rsidRPr="009B7CC9">
        <w:rPr>
          <w:szCs w:val="24"/>
        </w:rPr>
        <w:t>4</w:t>
      </w:r>
      <w:r w:rsidRPr="009B7CC9">
        <w:rPr>
          <w:szCs w:val="24"/>
        </w:rPr>
        <w:tab/>
      </w:r>
      <w:r w:rsidR="00645C3E" w:rsidRPr="009B7CC9">
        <w:rPr>
          <w:szCs w:val="24"/>
        </w:rPr>
        <w:t>In line with national guidance, t</w:t>
      </w:r>
      <w:r w:rsidR="001E1CF6" w:rsidRPr="009B7CC9">
        <w:rPr>
          <w:szCs w:val="24"/>
        </w:rPr>
        <w:t xml:space="preserve">he approach </w:t>
      </w:r>
      <w:r w:rsidRPr="009B7CC9">
        <w:rPr>
          <w:szCs w:val="24"/>
        </w:rPr>
        <w:t>should</w:t>
      </w:r>
      <w:r w:rsidR="00FB7038" w:rsidRPr="009B7CC9">
        <w:rPr>
          <w:szCs w:val="24"/>
        </w:rPr>
        <w:t xml:space="preserve"> take account of:</w:t>
      </w:r>
    </w:p>
    <w:p w:rsidR="00FB7038" w:rsidRPr="009B7CC9" w:rsidRDefault="00FB7038" w:rsidP="00F86210">
      <w:pPr>
        <w:pStyle w:val="ListParagraph"/>
        <w:numPr>
          <w:ilvl w:val="0"/>
          <w:numId w:val="4"/>
        </w:numPr>
        <w:spacing w:after="0" w:line="240" w:lineRule="auto"/>
        <w:ind w:left="851" w:hanging="284"/>
        <w:contextualSpacing w:val="0"/>
        <w:rPr>
          <w:szCs w:val="24"/>
        </w:rPr>
      </w:pPr>
      <w:r w:rsidRPr="009B7CC9">
        <w:rPr>
          <w:szCs w:val="24"/>
        </w:rPr>
        <w:t>Gross Development Value</w:t>
      </w:r>
      <w:r w:rsidR="005857B4" w:rsidRPr="009B7CC9">
        <w:rPr>
          <w:szCs w:val="24"/>
        </w:rPr>
        <w:t xml:space="preserve"> of sites</w:t>
      </w:r>
    </w:p>
    <w:p w:rsidR="00FB7038" w:rsidRPr="009B7CC9" w:rsidRDefault="005857B4" w:rsidP="00F86210">
      <w:pPr>
        <w:pStyle w:val="ListParagraph"/>
        <w:numPr>
          <w:ilvl w:val="0"/>
          <w:numId w:val="4"/>
        </w:numPr>
        <w:spacing w:after="0" w:line="240" w:lineRule="auto"/>
        <w:ind w:left="851" w:hanging="284"/>
        <w:contextualSpacing w:val="0"/>
        <w:rPr>
          <w:szCs w:val="24"/>
        </w:rPr>
      </w:pPr>
      <w:r w:rsidRPr="009B7CC9">
        <w:rPr>
          <w:szCs w:val="24"/>
        </w:rPr>
        <w:t xml:space="preserve">Broad development </w:t>
      </w:r>
      <w:r w:rsidR="004131F5">
        <w:rPr>
          <w:szCs w:val="24"/>
        </w:rPr>
        <w:t>c</w:t>
      </w:r>
      <w:r w:rsidR="00FB7038" w:rsidRPr="009B7CC9">
        <w:rPr>
          <w:szCs w:val="24"/>
        </w:rPr>
        <w:t>osts</w:t>
      </w:r>
    </w:p>
    <w:p w:rsidR="00FB7038" w:rsidRPr="009B7CC9" w:rsidRDefault="00FB7038" w:rsidP="00F86210">
      <w:pPr>
        <w:pStyle w:val="ListParagraph"/>
        <w:numPr>
          <w:ilvl w:val="0"/>
          <w:numId w:val="4"/>
        </w:numPr>
        <w:spacing w:after="0" w:line="240" w:lineRule="auto"/>
        <w:ind w:left="851" w:hanging="284"/>
        <w:contextualSpacing w:val="0"/>
        <w:rPr>
          <w:szCs w:val="24"/>
        </w:rPr>
      </w:pPr>
      <w:r w:rsidRPr="009B7CC9">
        <w:rPr>
          <w:szCs w:val="24"/>
        </w:rPr>
        <w:t>Land value</w:t>
      </w:r>
      <w:r w:rsidR="00152269" w:rsidRPr="009B7CC9">
        <w:rPr>
          <w:szCs w:val="24"/>
        </w:rPr>
        <w:t>s</w:t>
      </w:r>
    </w:p>
    <w:p w:rsidR="00080323" w:rsidRPr="009B7CC9" w:rsidRDefault="005857B4" w:rsidP="00645C3E">
      <w:pPr>
        <w:pStyle w:val="ListParagraph"/>
        <w:numPr>
          <w:ilvl w:val="0"/>
          <w:numId w:val="4"/>
        </w:numPr>
        <w:spacing w:line="240" w:lineRule="auto"/>
        <w:ind w:left="851" w:hanging="284"/>
        <w:contextualSpacing w:val="0"/>
        <w:rPr>
          <w:szCs w:val="24"/>
        </w:rPr>
      </w:pPr>
      <w:r w:rsidRPr="009B7CC9">
        <w:rPr>
          <w:szCs w:val="24"/>
        </w:rPr>
        <w:t>The expected c</w:t>
      </w:r>
      <w:r w:rsidR="00080323" w:rsidRPr="009B7CC9">
        <w:rPr>
          <w:szCs w:val="24"/>
        </w:rPr>
        <w:t>ompetitive return to developers and land owners</w:t>
      </w:r>
      <w:r w:rsidR="00DF3F6E" w:rsidRPr="009B7CC9">
        <w:rPr>
          <w:rStyle w:val="FootnoteReference"/>
          <w:szCs w:val="24"/>
        </w:rPr>
        <w:footnoteReference w:id="8"/>
      </w:r>
    </w:p>
    <w:p w:rsidR="005857B4" w:rsidRPr="009B7CC9" w:rsidRDefault="00152269" w:rsidP="00F86210">
      <w:pPr>
        <w:spacing w:line="240" w:lineRule="auto"/>
        <w:ind w:left="567" w:hanging="567"/>
        <w:rPr>
          <w:szCs w:val="24"/>
        </w:rPr>
      </w:pPr>
      <w:r w:rsidRPr="009B7CC9">
        <w:rPr>
          <w:szCs w:val="24"/>
        </w:rPr>
        <w:t>5.</w:t>
      </w:r>
      <w:r w:rsidR="00645C3E" w:rsidRPr="009B7CC9">
        <w:rPr>
          <w:szCs w:val="24"/>
        </w:rPr>
        <w:t>5</w:t>
      </w:r>
      <w:r w:rsidRPr="009B7CC9">
        <w:rPr>
          <w:szCs w:val="24"/>
        </w:rPr>
        <w:tab/>
        <w:t xml:space="preserve">The </w:t>
      </w:r>
      <w:r w:rsidR="00645C3E" w:rsidRPr="009B7CC9">
        <w:rPr>
          <w:szCs w:val="24"/>
        </w:rPr>
        <w:t>scope of the work should be informed by the PPG which states:</w:t>
      </w:r>
    </w:p>
    <w:p w:rsidR="005857B4" w:rsidRPr="009B7CC9" w:rsidRDefault="005857B4" w:rsidP="00645C3E">
      <w:pPr>
        <w:spacing w:line="240" w:lineRule="auto"/>
        <w:ind w:left="567" w:firstLine="0"/>
        <w:rPr>
          <w:szCs w:val="24"/>
        </w:rPr>
      </w:pPr>
      <w:r w:rsidRPr="009B7CC9">
        <w:rPr>
          <w:i/>
          <w:szCs w:val="24"/>
        </w:rPr>
        <w:t>“Assessing the viability of plans does not require individual testing of every site or assurance that individual sites are viable; site typologies may be used to determine viability at policy level. Assessment of samples of sites may be helpful to support evidence and more detailed assessment may be necessary for particular areas or key sites on which the delivery of the plan relies.”</w:t>
      </w:r>
      <w:r w:rsidRPr="009B7CC9">
        <w:rPr>
          <w:rStyle w:val="FootnoteReference"/>
          <w:i/>
          <w:szCs w:val="24"/>
        </w:rPr>
        <w:footnoteReference w:id="9"/>
      </w:r>
    </w:p>
    <w:p w:rsidR="00D5613A" w:rsidRPr="009B7CC9" w:rsidRDefault="00152269" w:rsidP="00645C3E">
      <w:pPr>
        <w:spacing w:line="240" w:lineRule="auto"/>
        <w:ind w:left="567" w:firstLine="0"/>
        <w:rPr>
          <w:szCs w:val="24"/>
        </w:rPr>
      </w:pPr>
      <w:r w:rsidRPr="009B7CC9">
        <w:rPr>
          <w:szCs w:val="24"/>
        </w:rPr>
        <w:t xml:space="preserve">In accordance with the PPG, attention should be given to </w:t>
      </w:r>
      <w:r w:rsidR="00645C3E" w:rsidRPr="009B7CC9">
        <w:rPr>
          <w:szCs w:val="24"/>
        </w:rPr>
        <w:t>‘</w:t>
      </w:r>
      <w:r w:rsidRPr="009B7CC9">
        <w:rPr>
          <w:szCs w:val="24"/>
        </w:rPr>
        <w:t>key sites</w:t>
      </w:r>
      <w:r w:rsidR="00645C3E" w:rsidRPr="009B7CC9">
        <w:rPr>
          <w:szCs w:val="24"/>
        </w:rPr>
        <w:t>’</w:t>
      </w:r>
      <w:r w:rsidRPr="009B7CC9">
        <w:rPr>
          <w:szCs w:val="24"/>
        </w:rPr>
        <w:t xml:space="preserve">, </w:t>
      </w:r>
      <w:r w:rsidR="00A677C0" w:rsidRPr="009B7CC9">
        <w:rPr>
          <w:szCs w:val="24"/>
        </w:rPr>
        <w:t>specifically</w:t>
      </w:r>
      <w:r w:rsidRPr="009B7CC9">
        <w:rPr>
          <w:szCs w:val="24"/>
        </w:rPr>
        <w:t xml:space="preserve"> th</w:t>
      </w:r>
      <w:r w:rsidR="004F280B" w:rsidRPr="009B7CC9">
        <w:rPr>
          <w:szCs w:val="24"/>
        </w:rPr>
        <w:t>e</w:t>
      </w:r>
      <w:r w:rsidRPr="009B7CC9">
        <w:rPr>
          <w:szCs w:val="24"/>
        </w:rPr>
        <w:t xml:space="preserve"> larger allocations on which the </w:t>
      </w:r>
      <w:r w:rsidR="00D813F9" w:rsidRPr="009B7CC9">
        <w:rPr>
          <w:szCs w:val="24"/>
        </w:rPr>
        <w:t xml:space="preserve">plan’s </w:t>
      </w:r>
      <w:r w:rsidR="00D5613A" w:rsidRPr="009B7CC9">
        <w:rPr>
          <w:szCs w:val="24"/>
        </w:rPr>
        <w:t>d</w:t>
      </w:r>
      <w:r w:rsidR="00D813F9" w:rsidRPr="009B7CC9">
        <w:rPr>
          <w:szCs w:val="24"/>
        </w:rPr>
        <w:t xml:space="preserve">evelopment strategy </w:t>
      </w:r>
      <w:r w:rsidR="00D5613A" w:rsidRPr="009B7CC9">
        <w:rPr>
          <w:szCs w:val="24"/>
        </w:rPr>
        <w:t>depends.</w:t>
      </w:r>
    </w:p>
    <w:p w:rsidR="004253E3" w:rsidRPr="009B7CC9" w:rsidRDefault="004253E3" w:rsidP="00645C3E">
      <w:pPr>
        <w:spacing w:line="240" w:lineRule="auto"/>
        <w:ind w:left="567" w:hanging="567"/>
        <w:rPr>
          <w:szCs w:val="24"/>
        </w:rPr>
      </w:pPr>
      <w:r w:rsidRPr="009B7CC9">
        <w:rPr>
          <w:szCs w:val="24"/>
        </w:rPr>
        <w:t>5.</w:t>
      </w:r>
      <w:r w:rsidR="00645C3E" w:rsidRPr="009B7CC9">
        <w:rPr>
          <w:szCs w:val="24"/>
        </w:rPr>
        <w:t>6</w:t>
      </w:r>
      <w:r w:rsidRPr="009B7CC9">
        <w:rPr>
          <w:szCs w:val="24"/>
        </w:rPr>
        <w:tab/>
        <w:t xml:space="preserve">In </w:t>
      </w:r>
      <w:r w:rsidR="00A677C0" w:rsidRPr="009B7CC9">
        <w:rPr>
          <w:szCs w:val="24"/>
        </w:rPr>
        <w:t xml:space="preserve">analysing </w:t>
      </w:r>
      <w:r w:rsidRPr="009B7CC9">
        <w:rPr>
          <w:szCs w:val="24"/>
        </w:rPr>
        <w:t>costs, the assessment should take account of:</w:t>
      </w:r>
    </w:p>
    <w:p w:rsidR="004F280B" w:rsidRPr="009B7CC9" w:rsidRDefault="004253E3" w:rsidP="00645C3E">
      <w:pPr>
        <w:pStyle w:val="ListParagraph"/>
        <w:numPr>
          <w:ilvl w:val="0"/>
          <w:numId w:val="4"/>
        </w:numPr>
        <w:spacing w:after="0" w:line="240" w:lineRule="auto"/>
        <w:ind w:left="851" w:hanging="284"/>
        <w:contextualSpacing w:val="0"/>
        <w:rPr>
          <w:szCs w:val="24"/>
        </w:rPr>
      </w:pPr>
      <w:r w:rsidRPr="009B7CC9">
        <w:rPr>
          <w:szCs w:val="24"/>
        </w:rPr>
        <w:lastRenderedPageBreak/>
        <w:t>Nationally required standards</w:t>
      </w:r>
      <w:r w:rsidRPr="009B7CC9">
        <w:rPr>
          <w:rStyle w:val="FootnoteReference"/>
          <w:szCs w:val="24"/>
        </w:rPr>
        <w:footnoteReference w:id="10"/>
      </w:r>
      <w:r w:rsidRPr="009B7CC9">
        <w:rPr>
          <w:szCs w:val="24"/>
        </w:rPr>
        <w:t xml:space="preserve"> </w:t>
      </w:r>
    </w:p>
    <w:p w:rsidR="004253E3" w:rsidRPr="009B7CC9" w:rsidRDefault="004253E3" w:rsidP="00645C3E">
      <w:pPr>
        <w:pStyle w:val="ListParagraph"/>
        <w:numPr>
          <w:ilvl w:val="0"/>
          <w:numId w:val="4"/>
        </w:numPr>
        <w:spacing w:after="0" w:line="240" w:lineRule="auto"/>
        <w:ind w:left="851" w:hanging="284"/>
        <w:contextualSpacing w:val="0"/>
        <w:rPr>
          <w:szCs w:val="24"/>
        </w:rPr>
      </w:pPr>
      <w:r w:rsidRPr="009B7CC9">
        <w:rPr>
          <w:szCs w:val="24"/>
        </w:rPr>
        <w:t xml:space="preserve">Requirements set out in the </w:t>
      </w:r>
      <w:r w:rsidRPr="009B7CC9">
        <w:rPr>
          <w:i/>
          <w:szCs w:val="24"/>
        </w:rPr>
        <w:t>Shepway Core Strategy Local Plan</w:t>
      </w:r>
    </w:p>
    <w:p w:rsidR="00A677C0" w:rsidRPr="009B7CC9" w:rsidRDefault="00A677C0" w:rsidP="00645C3E">
      <w:pPr>
        <w:pStyle w:val="ListParagraph"/>
        <w:numPr>
          <w:ilvl w:val="0"/>
          <w:numId w:val="4"/>
        </w:numPr>
        <w:spacing w:after="0" w:line="240" w:lineRule="auto"/>
        <w:ind w:left="851" w:hanging="284"/>
        <w:contextualSpacing w:val="0"/>
        <w:rPr>
          <w:szCs w:val="24"/>
        </w:rPr>
      </w:pPr>
      <w:r w:rsidRPr="009B7CC9">
        <w:rPr>
          <w:szCs w:val="24"/>
        </w:rPr>
        <w:t xml:space="preserve">Requirements set out in the </w:t>
      </w:r>
      <w:r w:rsidRPr="009B7CC9">
        <w:rPr>
          <w:i/>
          <w:szCs w:val="24"/>
        </w:rPr>
        <w:t>Places and Policies Local Plan,</w:t>
      </w:r>
      <w:r w:rsidRPr="009B7CC9">
        <w:rPr>
          <w:szCs w:val="24"/>
        </w:rPr>
        <w:t xml:space="preserve"> </w:t>
      </w:r>
      <w:r w:rsidR="00645C3E" w:rsidRPr="009B7CC9">
        <w:rPr>
          <w:szCs w:val="24"/>
        </w:rPr>
        <w:t>‘</w:t>
      </w:r>
      <w:r w:rsidRPr="009B7CC9">
        <w:rPr>
          <w:szCs w:val="24"/>
        </w:rPr>
        <w:t>Part Two – Development Management Policies</w:t>
      </w:r>
      <w:r w:rsidR="00645C3E" w:rsidRPr="009B7CC9">
        <w:rPr>
          <w:szCs w:val="24"/>
        </w:rPr>
        <w:t>’</w:t>
      </w:r>
    </w:p>
    <w:p w:rsidR="00A677C0" w:rsidRPr="009B7CC9" w:rsidRDefault="00A677C0" w:rsidP="00D813F9">
      <w:pPr>
        <w:pStyle w:val="ListParagraph"/>
        <w:numPr>
          <w:ilvl w:val="0"/>
          <w:numId w:val="4"/>
        </w:numPr>
        <w:spacing w:line="240" w:lineRule="auto"/>
        <w:ind w:left="851" w:hanging="284"/>
        <w:contextualSpacing w:val="0"/>
        <w:rPr>
          <w:szCs w:val="24"/>
        </w:rPr>
      </w:pPr>
      <w:r w:rsidRPr="009B7CC9">
        <w:rPr>
          <w:szCs w:val="24"/>
        </w:rPr>
        <w:t xml:space="preserve">Shepway District Council’s </w:t>
      </w:r>
      <w:r w:rsidRPr="009B7CC9">
        <w:rPr>
          <w:i/>
          <w:szCs w:val="24"/>
        </w:rPr>
        <w:t>Community Infrastructure Levy (CIL): Charging Schedule</w:t>
      </w:r>
      <w:r w:rsidRPr="009B7CC9">
        <w:rPr>
          <w:szCs w:val="24"/>
        </w:rPr>
        <w:t xml:space="preserve"> (June 2016)</w:t>
      </w:r>
      <w:r w:rsidRPr="009B7CC9">
        <w:rPr>
          <w:rStyle w:val="FootnoteReference"/>
          <w:szCs w:val="24"/>
        </w:rPr>
        <w:footnoteReference w:id="11"/>
      </w:r>
    </w:p>
    <w:p w:rsidR="00B64C25" w:rsidRDefault="00B64C25" w:rsidP="00B64C25">
      <w:pPr>
        <w:spacing w:line="240" w:lineRule="auto"/>
        <w:ind w:left="567" w:hanging="567"/>
        <w:rPr>
          <w:szCs w:val="24"/>
        </w:rPr>
      </w:pPr>
      <w:r w:rsidRPr="00B64C25">
        <w:rPr>
          <w:szCs w:val="24"/>
        </w:rPr>
        <w:t>5.7</w:t>
      </w:r>
      <w:r>
        <w:rPr>
          <w:szCs w:val="24"/>
        </w:rPr>
        <w:tab/>
      </w:r>
      <w:r w:rsidR="00D91387">
        <w:rPr>
          <w:szCs w:val="24"/>
        </w:rPr>
        <w:t>In line with the latest Government guidance in the PPG, f</w:t>
      </w:r>
      <w:r w:rsidR="00DF3F6E">
        <w:rPr>
          <w:szCs w:val="24"/>
        </w:rPr>
        <w:t>or the operation of Core Strategy Policy CSD1: Balanced Neighbour</w:t>
      </w:r>
      <w:r w:rsidR="00CA5376">
        <w:rPr>
          <w:szCs w:val="24"/>
        </w:rPr>
        <w:t>hoods for Shepway, SDC requires:</w:t>
      </w:r>
    </w:p>
    <w:p w:rsidR="00CA5376" w:rsidRDefault="00CA5376" w:rsidP="00CA5376">
      <w:pPr>
        <w:pStyle w:val="ListParagraph"/>
        <w:numPr>
          <w:ilvl w:val="0"/>
          <w:numId w:val="4"/>
        </w:numPr>
        <w:spacing w:after="0" w:line="240" w:lineRule="auto"/>
        <w:ind w:left="851" w:hanging="284"/>
        <w:contextualSpacing w:val="0"/>
        <w:rPr>
          <w:szCs w:val="24"/>
        </w:rPr>
      </w:pPr>
      <w:r>
        <w:rPr>
          <w:szCs w:val="24"/>
        </w:rPr>
        <w:t>Development proposing 11 to 14 dwellings (net gain) should provide at least two affordable dwellings on-site, subject to viability</w:t>
      </w:r>
    </w:p>
    <w:p w:rsidR="00B64C25" w:rsidRDefault="00CA5376" w:rsidP="00CA5376">
      <w:pPr>
        <w:pStyle w:val="ListParagraph"/>
        <w:numPr>
          <w:ilvl w:val="0"/>
          <w:numId w:val="4"/>
        </w:numPr>
        <w:spacing w:line="240" w:lineRule="auto"/>
        <w:ind w:left="851" w:hanging="284"/>
        <w:contextualSpacing w:val="0"/>
        <w:rPr>
          <w:szCs w:val="24"/>
        </w:rPr>
      </w:pPr>
      <w:r>
        <w:rPr>
          <w:szCs w:val="24"/>
        </w:rPr>
        <w:t>Development proposing 15 or more dwellings (net gain) should provide 30% affordable dwelling on-site, subject to viability</w:t>
      </w:r>
    </w:p>
    <w:p w:rsidR="00D91387" w:rsidRPr="00D91387" w:rsidRDefault="00D91387" w:rsidP="00D91387">
      <w:pPr>
        <w:spacing w:line="240" w:lineRule="auto"/>
        <w:ind w:left="567" w:firstLine="0"/>
        <w:rPr>
          <w:szCs w:val="24"/>
        </w:rPr>
      </w:pPr>
      <w:r w:rsidRPr="00D91387">
        <w:rPr>
          <w:szCs w:val="24"/>
        </w:rPr>
        <w:t>Lower requirements operate within the Kent Downs Area of Outstanding Natural Beauty, in line with the PPG.</w:t>
      </w:r>
    </w:p>
    <w:p w:rsidR="004E26B6" w:rsidRPr="009B7CC9" w:rsidRDefault="004E26B6" w:rsidP="004E26B6">
      <w:pPr>
        <w:spacing w:line="240" w:lineRule="auto"/>
        <w:ind w:left="567" w:firstLine="0"/>
        <w:rPr>
          <w:szCs w:val="24"/>
          <w:u w:val="single"/>
        </w:rPr>
      </w:pPr>
      <w:r w:rsidRPr="009B7CC9">
        <w:rPr>
          <w:szCs w:val="24"/>
          <w:u w:val="single"/>
        </w:rPr>
        <w:t>Individual site viability assessments</w:t>
      </w:r>
    </w:p>
    <w:p w:rsidR="000D062E" w:rsidRDefault="00970B61" w:rsidP="009A427F">
      <w:pPr>
        <w:spacing w:line="240" w:lineRule="auto"/>
        <w:ind w:left="567" w:hanging="567"/>
        <w:rPr>
          <w:szCs w:val="24"/>
        </w:rPr>
      </w:pPr>
      <w:r w:rsidRPr="009B7CC9">
        <w:rPr>
          <w:szCs w:val="24"/>
        </w:rPr>
        <w:t>5</w:t>
      </w:r>
      <w:r w:rsidR="00B64C25">
        <w:rPr>
          <w:szCs w:val="24"/>
        </w:rPr>
        <w:t>.8</w:t>
      </w:r>
      <w:r w:rsidRPr="009B7CC9">
        <w:rPr>
          <w:szCs w:val="24"/>
        </w:rPr>
        <w:tab/>
      </w:r>
      <w:r w:rsidR="00890525" w:rsidRPr="009B7CC9">
        <w:rPr>
          <w:szCs w:val="24"/>
        </w:rPr>
        <w:t>The Local Plan allocates a total of 5</w:t>
      </w:r>
      <w:r w:rsidR="004131F5">
        <w:rPr>
          <w:szCs w:val="24"/>
        </w:rPr>
        <w:t>5</w:t>
      </w:r>
      <w:r w:rsidR="00890525" w:rsidRPr="009B7CC9">
        <w:rPr>
          <w:szCs w:val="24"/>
        </w:rPr>
        <w:t xml:space="preserve"> sites for housing </w:t>
      </w:r>
      <w:r w:rsidR="00947BE1" w:rsidRPr="009B7CC9">
        <w:rPr>
          <w:szCs w:val="24"/>
        </w:rPr>
        <w:t xml:space="preserve">(C3 use). Sites with a capacity of 50 dwellings or above should be individually assessed for viability. </w:t>
      </w:r>
      <w:r w:rsidR="00890525" w:rsidRPr="009B7CC9">
        <w:rPr>
          <w:b/>
          <w:szCs w:val="24"/>
        </w:rPr>
        <w:t xml:space="preserve">Table 1 below sets out </w:t>
      </w:r>
      <w:r w:rsidR="00AD6C7E" w:rsidRPr="009B7CC9">
        <w:rPr>
          <w:b/>
          <w:szCs w:val="24"/>
        </w:rPr>
        <w:t>1</w:t>
      </w:r>
      <w:r w:rsidR="000F0927">
        <w:rPr>
          <w:b/>
          <w:szCs w:val="24"/>
        </w:rPr>
        <w:t>1</w:t>
      </w:r>
      <w:r w:rsidR="00AD6C7E" w:rsidRPr="009B7CC9">
        <w:rPr>
          <w:b/>
          <w:szCs w:val="24"/>
        </w:rPr>
        <w:t xml:space="preserve"> </w:t>
      </w:r>
      <w:r w:rsidR="00890525" w:rsidRPr="009B7CC9">
        <w:rPr>
          <w:b/>
          <w:szCs w:val="24"/>
        </w:rPr>
        <w:t xml:space="preserve">key sites </w:t>
      </w:r>
      <w:r w:rsidR="004E26B6" w:rsidRPr="009B7CC9">
        <w:rPr>
          <w:b/>
          <w:szCs w:val="24"/>
        </w:rPr>
        <w:t xml:space="preserve">of 50 dwellings or above </w:t>
      </w:r>
      <w:r w:rsidR="00890525" w:rsidRPr="009B7CC9">
        <w:rPr>
          <w:b/>
          <w:szCs w:val="24"/>
        </w:rPr>
        <w:t xml:space="preserve">that </w:t>
      </w:r>
      <w:r w:rsidR="009A427F" w:rsidRPr="009B7CC9">
        <w:rPr>
          <w:b/>
          <w:szCs w:val="24"/>
        </w:rPr>
        <w:t xml:space="preserve">the consultant should </w:t>
      </w:r>
      <w:r w:rsidR="00890525" w:rsidRPr="009B7CC9">
        <w:rPr>
          <w:b/>
          <w:szCs w:val="24"/>
        </w:rPr>
        <w:t>indiv</w:t>
      </w:r>
      <w:r w:rsidR="009A427F" w:rsidRPr="009B7CC9">
        <w:rPr>
          <w:b/>
          <w:szCs w:val="24"/>
        </w:rPr>
        <w:t>idually assess</w:t>
      </w:r>
      <w:r w:rsidR="00947BE1" w:rsidRPr="009B7CC9">
        <w:rPr>
          <w:b/>
          <w:szCs w:val="24"/>
        </w:rPr>
        <w:t xml:space="preserve"> for viabilit</w:t>
      </w:r>
      <w:r w:rsidR="00AD6C7E" w:rsidRPr="009B7CC9">
        <w:rPr>
          <w:b/>
          <w:szCs w:val="24"/>
        </w:rPr>
        <w:t>y</w:t>
      </w:r>
      <w:r w:rsidR="00947BE1" w:rsidRPr="009B7CC9">
        <w:rPr>
          <w:szCs w:val="24"/>
        </w:rPr>
        <w:t xml:space="preserve">. </w:t>
      </w:r>
    </w:p>
    <w:p w:rsidR="00327FCA" w:rsidRDefault="00327FCA" w:rsidP="009A427F">
      <w:pPr>
        <w:spacing w:line="240" w:lineRule="auto"/>
        <w:ind w:left="567" w:hanging="567"/>
        <w:rPr>
          <w:szCs w:val="24"/>
        </w:rPr>
      </w:pPr>
    </w:p>
    <w:p w:rsidR="00327FCA" w:rsidRDefault="00327FCA" w:rsidP="009A427F">
      <w:pPr>
        <w:spacing w:line="240" w:lineRule="auto"/>
        <w:ind w:left="567" w:hanging="567"/>
        <w:rPr>
          <w:szCs w:val="24"/>
        </w:rPr>
      </w:pPr>
    </w:p>
    <w:p w:rsidR="00327FCA" w:rsidRDefault="00327FCA" w:rsidP="009A427F">
      <w:pPr>
        <w:spacing w:line="240" w:lineRule="auto"/>
        <w:ind w:left="567" w:hanging="567"/>
        <w:rPr>
          <w:szCs w:val="24"/>
        </w:rPr>
      </w:pPr>
    </w:p>
    <w:p w:rsidR="00327FCA" w:rsidRDefault="00327FCA" w:rsidP="009A427F">
      <w:pPr>
        <w:spacing w:line="240" w:lineRule="auto"/>
        <w:ind w:left="567" w:hanging="567"/>
        <w:rPr>
          <w:szCs w:val="24"/>
        </w:rPr>
      </w:pPr>
    </w:p>
    <w:p w:rsidR="00327FCA" w:rsidRDefault="00327FCA" w:rsidP="009A427F">
      <w:pPr>
        <w:spacing w:line="240" w:lineRule="auto"/>
        <w:ind w:left="567" w:hanging="567"/>
        <w:rPr>
          <w:szCs w:val="24"/>
        </w:rPr>
      </w:pPr>
    </w:p>
    <w:p w:rsidR="00327FCA" w:rsidRDefault="00327FCA" w:rsidP="009A427F">
      <w:pPr>
        <w:spacing w:line="240" w:lineRule="auto"/>
        <w:ind w:left="567" w:hanging="567"/>
        <w:rPr>
          <w:szCs w:val="24"/>
        </w:rPr>
      </w:pPr>
    </w:p>
    <w:p w:rsidR="00327FCA" w:rsidRDefault="00327FCA" w:rsidP="009A427F">
      <w:pPr>
        <w:spacing w:line="240" w:lineRule="auto"/>
        <w:ind w:left="567" w:hanging="567"/>
        <w:rPr>
          <w:szCs w:val="24"/>
        </w:rPr>
      </w:pPr>
    </w:p>
    <w:p w:rsidR="00327FCA" w:rsidRDefault="00327FCA" w:rsidP="009A427F">
      <w:pPr>
        <w:spacing w:line="240" w:lineRule="auto"/>
        <w:ind w:left="567" w:hanging="567"/>
        <w:rPr>
          <w:szCs w:val="24"/>
        </w:rPr>
      </w:pPr>
    </w:p>
    <w:p w:rsidR="00327FCA" w:rsidRDefault="00327FCA" w:rsidP="009A427F">
      <w:pPr>
        <w:spacing w:line="240" w:lineRule="auto"/>
        <w:ind w:left="567" w:hanging="567"/>
        <w:rPr>
          <w:szCs w:val="24"/>
        </w:rPr>
      </w:pPr>
    </w:p>
    <w:p w:rsidR="00327FCA" w:rsidRDefault="00327FCA" w:rsidP="009A427F">
      <w:pPr>
        <w:spacing w:line="240" w:lineRule="auto"/>
        <w:ind w:left="567" w:hanging="567"/>
        <w:rPr>
          <w:szCs w:val="24"/>
        </w:rPr>
      </w:pPr>
    </w:p>
    <w:p w:rsidR="006466DD" w:rsidRDefault="006466DD" w:rsidP="00B64C25">
      <w:pPr>
        <w:spacing w:line="240" w:lineRule="auto"/>
        <w:ind w:left="0" w:firstLine="0"/>
        <w:rPr>
          <w:szCs w:val="24"/>
        </w:rPr>
      </w:pPr>
    </w:p>
    <w:p w:rsidR="006466DD" w:rsidRPr="009B7CC9" w:rsidRDefault="006466DD" w:rsidP="00B64C25">
      <w:pPr>
        <w:spacing w:line="240" w:lineRule="auto"/>
        <w:ind w:left="0" w:firstLine="0"/>
        <w:rPr>
          <w:szCs w:val="24"/>
        </w:rPr>
      </w:pPr>
    </w:p>
    <w:tbl>
      <w:tblPr>
        <w:tblW w:w="963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851"/>
        <w:gridCol w:w="2409"/>
        <w:gridCol w:w="850"/>
        <w:gridCol w:w="1843"/>
        <w:gridCol w:w="2268"/>
        <w:gridCol w:w="1418"/>
      </w:tblGrid>
      <w:tr w:rsidR="008C4703" w:rsidRPr="000D7FD8" w:rsidTr="000D7FD8">
        <w:trPr>
          <w:trHeight w:val="398"/>
          <w:tblHeader/>
        </w:trPr>
        <w:tc>
          <w:tcPr>
            <w:tcW w:w="9639" w:type="dxa"/>
            <w:gridSpan w:val="6"/>
            <w:shd w:val="clear" w:color="auto" w:fill="E5DFEC" w:themeFill="accent4" w:themeFillTint="33"/>
            <w:noWrap/>
            <w:vAlign w:val="center"/>
            <w:hideMark/>
          </w:tcPr>
          <w:p w:rsidR="008C4703" w:rsidRPr="000D7FD8" w:rsidRDefault="008C4703" w:rsidP="000D062E">
            <w:pPr>
              <w:spacing w:after="0" w:line="240" w:lineRule="auto"/>
              <w:ind w:left="0" w:firstLine="0"/>
              <w:rPr>
                <w:rFonts w:eastAsia="Times New Roman" w:cs="Arial"/>
                <w:b/>
                <w:color w:val="000000"/>
                <w:sz w:val="22"/>
                <w:lang w:eastAsia="en-GB"/>
              </w:rPr>
            </w:pPr>
            <w:r w:rsidRPr="000D7FD8">
              <w:rPr>
                <w:rFonts w:eastAsia="Times New Roman" w:cs="Arial"/>
                <w:b/>
                <w:color w:val="000000"/>
                <w:sz w:val="22"/>
                <w:lang w:eastAsia="en-GB"/>
              </w:rPr>
              <w:lastRenderedPageBreak/>
              <w:t xml:space="preserve">Table 1: Places and Policies Local Plan – </w:t>
            </w:r>
            <w:r w:rsidR="00890525" w:rsidRPr="000D7FD8">
              <w:rPr>
                <w:rFonts w:eastAsia="Times New Roman" w:cs="Arial"/>
                <w:b/>
                <w:color w:val="000000"/>
                <w:sz w:val="22"/>
                <w:lang w:eastAsia="en-GB"/>
              </w:rPr>
              <w:t xml:space="preserve">Key </w:t>
            </w:r>
            <w:r w:rsidR="00A0612B" w:rsidRPr="000D7FD8">
              <w:rPr>
                <w:rFonts w:eastAsia="Times New Roman" w:cs="Arial"/>
                <w:b/>
                <w:color w:val="000000"/>
                <w:sz w:val="22"/>
                <w:lang w:eastAsia="en-GB"/>
              </w:rPr>
              <w:t xml:space="preserve">Residential </w:t>
            </w:r>
            <w:r w:rsidRPr="000D7FD8">
              <w:rPr>
                <w:rFonts w:eastAsia="Times New Roman" w:cs="Arial"/>
                <w:b/>
                <w:color w:val="000000"/>
                <w:sz w:val="22"/>
                <w:lang w:eastAsia="en-GB"/>
              </w:rPr>
              <w:t>Sites for Individual Assessment</w:t>
            </w:r>
          </w:p>
        </w:tc>
      </w:tr>
      <w:tr w:rsidR="00812953" w:rsidRPr="000D7FD8" w:rsidTr="000D7FD8">
        <w:trPr>
          <w:trHeight w:val="475"/>
          <w:tblHeader/>
        </w:trPr>
        <w:tc>
          <w:tcPr>
            <w:tcW w:w="851" w:type="dxa"/>
            <w:shd w:val="clear" w:color="auto" w:fill="E5DFEC" w:themeFill="accent4" w:themeFillTint="33"/>
            <w:noWrap/>
            <w:vAlign w:val="center"/>
            <w:hideMark/>
          </w:tcPr>
          <w:p w:rsidR="00812953" w:rsidRPr="000D7FD8" w:rsidRDefault="00812953" w:rsidP="00327FCA">
            <w:pPr>
              <w:spacing w:after="0" w:line="240" w:lineRule="auto"/>
              <w:ind w:left="0" w:firstLine="0"/>
              <w:rPr>
                <w:rFonts w:eastAsia="Times New Roman" w:cs="Arial"/>
                <w:b/>
                <w:color w:val="000000"/>
                <w:sz w:val="22"/>
                <w:lang w:eastAsia="en-GB"/>
              </w:rPr>
            </w:pPr>
            <w:r w:rsidRPr="000D7FD8">
              <w:rPr>
                <w:rFonts w:eastAsia="Times New Roman" w:cs="Arial"/>
                <w:b/>
                <w:color w:val="000000"/>
                <w:sz w:val="22"/>
                <w:lang w:eastAsia="en-GB"/>
              </w:rPr>
              <w:t xml:space="preserve">Policy </w:t>
            </w:r>
          </w:p>
        </w:tc>
        <w:tc>
          <w:tcPr>
            <w:tcW w:w="2409" w:type="dxa"/>
            <w:shd w:val="clear" w:color="auto" w:fill="E5DFEC" w:themeFill="accent4" w:themeFillTint="33"/>
            <w:noWrap/>
            <w:vAlign w:val="center"/>
            <w:hideMark/>
          </w:tcPr>
          <w:p w:rsidR="00812953" w:rsidRPr="000D7FD8" w:rsidRDefault="00812953" w:rsidP="00327FCA">
            <w:pPr>
              <w:spacing w:after="0" w:line="240" w:lineRule="auto"/>
              <w:ind w:left="0" w:firstLine="0"/>
              <w:rPr>
                <w:rFonts w:eastAsia="Times New Roman" w:cs="Arial"/>
                <w:b/>
                <w:color w:val="000000"/>
                <w:sz w:val="22"/>
                <w:lang w:eastAsia="en-GB"/>
              </w:rPr>
            </w:pPr>
            <w:r w:rsidRPr="000D7FD8">
              <w:rPr>
                <w:rFonts w:eastAsia="Times New Roman" w:cs="Arial"/>
                <w:b/>
                <w:color w:val="000000"/>
                <w:sz w:val="22"/>
                <w:lang w:eastAsia="en-GB"/>
              </w:rPr>
              <w:t>Site address</w:t>
            </w:r>
          </w:p>
        </w:tc>
        <w:tc>
          <w:tcPr>
            <w:tcW w:w="850" w:type="dxa"/>
            <w:shd w:val="clear" w:color="auto" w:fill="E5DFEC" w:themeFill="accent4" w:themeFillTint="33"/>
            <w:noWrap/>
            <w:vAlign w:val="center"/>
            <w:hideMark/>
          </w:tcPr>
          <w:p w:rsidR="00812953" w:rsidRPr="000D7FD8" w:rsidRDefault="00812953" w:rsidP="00327FCA">
            <w:pPr>
              <w:spacing w:after="0" w:line="240" w:lineRule="auto"/>
              <w:ind w:left="0" w:firstLine="0"/>
              <w:rPr>
                <w:rFonts w:eastAsia="Times New Roman" w:cs="Arial"/>
                <w:b/>
                <w:color w:val="000000"/>
                <w:sz w:val="22"/>
                <w:lang w:eastAsia="en-GB"/>
              </w:rPr>
            </w:pPr>
            <w:r w:rsidRPr="000D7FD8">
              <w:rPr>
                <w:rFonts w:eastAsia="Times New Roman" w:cs="Arial"/>
                <w:b/>
                <w:color w:val="000000"/>
                <w:sz w:val="22"/>
                <w:lang w:eastAsia="en-GB"/>
              </w:rPr>
              <w:t xml:space="preserve">Size </w:t>
            </w:r>
          </w:p>
        </w:tc>
        <w:tc>
          <w:tcPr>
            <w:tcW w:w="1843" w:type="dxa"/>
            <w:shd w:val="clear" w:color="auto" w:fill="E5DFEC" w:themeFill="accent4" w:themeFillTint="33"/>
            <w:vAlign w:val="center"/>
            <w:hideMark/>
          </w:tcPr>
          <w:p w:rsidR="00812953" w:rsidRPr="000D7FD8" w:rsidRDefault="00ED7286" w:rsidP="00327FCA">
            <w:pPr>
              <w:spacing w:after="0" w:line="240" w:lineRule="auto"/>
              <w:ind w:left="0" w:firstLine="0"/>
              <w:rPr>
                <w:rFonts w:eastAsia="Times New Roman" w:cs="Arial"/>
                <w:b/>
                <w:color w:val="000000"/>
                <w:sz w:val="22"/>
                <w:lang w:eastAsia="en-GB"/>
              </w:rPr>
            </w:pPr>
            <w:r>
              <w:rPr>
                <w:rFonts w:eastAsia="Times New Roman" w:cs="Arial"/>
                <w:b/>
                <w:color w:val="000000"/>
                <w:sz w:val="22"/>
                <w:lang w:eastAsia="en-GB"/>
              </w:rPr>
              <w:t>A</w:t>
            </w:r>
            <w:r w:rsidR="00812953" w:rsidRPr="000D7FD8">
              <w:rPr>
                <w:rFonts w:eastAsia="Times New Roman" w:cs="Arial"/>
                <w:b/>
                <w:color w:val="000000"/>
                <w:sz w:val="22"/>
                <w:lang w:eastAsia="en-GB"/>
              </w:rPr>
              <w:t xml:space="preserve">llocation </w:t>
            </w:r>
          </w:p>
        </w:tc>
        <w:tc>
          <w:tcPr>
            <w:tcW w:w="2268" w:type="dxa"/>
            <w:shd w:val="clear" w:color="auto" w:fill="E5DFEC" w:themeFill="accent4" w:themeFillTint="33"/>
            <w:vAlign w:val="center"/>
          </w:tcPr>
          <w:p w:rsidR="00812953" w:rsidRPr="000D7FD8" w:rsidRDefault="00812953" w:rsidP="00327FCA">
            <w:pPr>
              <w:spacing w:after="0" w:line="240" w:lineRule="auto"/>
              <w:ind w:left="0" w:firstLine="0"/>
              <w:rPr>
                <w:rFonts w:eastAsia="Times New Roman" w:cs="Arial"/>
                <w:b/>
                <w:color w:val="000000"/>
                <w:sz w:val="22"/>
                <w:lang w:eastAsia="en-GB"/>
              </w:rPr>
            </w:pPr>
            <w:r w:rsidRPr="000D7FD8">
              <w:rPr>
                <w:rFonts w:eastAsia="Times New Roman" w:cs="Arial"/>
                <w:b/>
                <w:color w:val="000000"/>
                <w:sz w:val="22"/>
                <w:lang w:eastAsia="en-GB"/>
              </w:rPr>
              <w:t>Comments</w:t>
            </w:r>
          </w:p>
        </w:tc>
        <w:tc>
          <w:tcPr>
            <w:tcW w:w="1418" w:type="dxa"/>
            <w:shd w:val="clear" w:color="auto" w:fill="E5DFEC" w:themeFill="accent4" w:themeFillTint="33"/>
            <w:vAlign w:val="center"/>
          </w:tcPr>
          <w:p w:rsidR="00812953" w:rsidRPr="000D7FD8" w:rsidRDefault="00812953" w:rsidP="00327FCA">
            <w:pPr>
              <w:spacing w:after="0" w:line="240" w:lineRule="auto"/>
              <w:ind w:left="0" w:firstLine="0"/>
              <w:rPr>
                <w:rFonts w:eastAsia="Times New Roman" w:cs="Arial"/>
                <w:b/>
                <w:color w:val="000000"/>
                <w:sz w:val="22"/>
                <w:lang w:eastAsia="en-GB"/>
              </w:rPr>
            </w:pPr>
            <w:r w:rsidRPr="000D7FD8">
              <w:rPr>
                <w:rFonts w:eastAsia="Times New Roman" w:cs="Arial"/>
                <w:b/>
                <w:color w:val="000000"/>
                <w:sz w:val="22"/>
                <w:lang w:eastAsia="en-GB"/>
              </w:rPr>
              <w:t>CIL Zone</w:t>
            </w:r>
          </w:p>
        </w:tc>
      </w:tr>
      <w:tr w:rsidR="000D062E" w:rsidRPr="000D7FD8" w:rsidTr="000D7FD8">
        <w:trPr>
          <w:trHeight w:val="421"/>
        </w:trPr>
        <w:tc>
          <w:tcPr>
            <w:tcW w:w="9639" w:type="dxa"/>
            <w:gridSpan w:val="6"/>
            <w:shd w:val="clear" w:color="auto" w:fill="E5DFEC" w:themeFill="accent4" w:themeFillTint="33"/>
            <w:noWrap/>
            <w:vAlign w:val="center"/>
            <w:hideMark/>
          </w:tcPr>
          <w:p w:rsidR="000D062E" w:rsidRPr="000D7FD8" w:rsidRDefault="000D062E" w:rsidP="000D062E">
            <w:pPr>
              <w:spacing w:after="0" w:line="240" w:lineRule="auto"/>
              <w:ind w:left="0" w:firstLine="0"/>
              <w:rPr>
                <w:rFonts w:eastAsia="Times New Roman" w:cs="Arial"/>
                <w:b/>
                <w:color w:val="000000"/>
                <w:sz w:val="22"/>
                <w:lang w:eastAsia="en-GB"/>
              </w:rPr>
            </w:pPr>
            <w:r w:rsidRPr="000D7FD8">
              <w:rPr>
                <w:rFonts w:eastAsia="Times New Roman" w:cs="Arial"/>
                <w:b/>
                <w:color w:val="000000"/>
                <w:sz w:val="22"/>
                <w:lang w:eastAsia="en-GB"/>
              </w:rPr>
              <w:t xml:space="preserve">Folkestone (including </w:t>
            </w:r>
            <w:proofErr w:type="spellStart"/>
            <w:r w:rsidRPr="000D7FD8">
              <w:rPr>
                <w:rFonts w:eastAsia="Times New Roman" w:cs="Arial"/>
                <w:b/>
                <w:color w:val="000000"/>
                <w:sz w:val="22"/>
                <w:lang w:eastAsia="en-GB"/>
              </w:rPr>
              <w:t>Cheriton</w:t>
            </w:r>
            <w:proofErr w:type="spellEnd"/>
            <w:r w:rsidRPr="000D7FD8">
              <w:rPr>
                <w:rFonts w:eastAsia="Times New Roman" w:cs="Arial"/>
                <w:b/>
                <w:color w:val="000000"/>
                <w:sz w:val="22"/>
                <w:lang w:eastAsia="en-GB"/>
              </w:rPr>
              <w:t xml:space="preserve"> and Sandgate)</w:t>
            </w:r>
          </w:p>
        </w:tc>
      </w:tr>
      <w:tr w:rsidR="00812953" w:rsidRPr="000D7FD8" w:rsidTr="000D7FD8">
        <w:trPr>
          <w:trHeight w:val="600"/>
        </w:trPr>
        <w:tc>
          <w:tcPr>
            <w:tcW w:w="851" w:type="dxa"/>
            <w:shd w:val="clear" w:color="auto" w:fill="auto"/>
            <w:noWrap/>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UA7, p.53</w:t>
            </w:r>
          </w:p>
        </w:tc>
        <w:tc>
          <w:tcPr>
            <w:tcW w:w="2409" w:type="dxa"/>
            <w:shd w:val="clear" w:color="auto" w:fill="auto"/>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Rotunda and Marine Parade Car Parks, Marine Parade, Folkestone</w:t>
            </w:r>
          </w:p>
        </w:tc>
        <w:tc>
          <w:tcPr>
            <w:tcW w:w="850" w:type="dxa"/>
            <w:shd w:val="clear" w:color="auto" w:fill="auto"/>
            <w:noWrap/>
            <w:hideMark/>
          </w:tcPr>
          <w:p w:rsidR="00812953" w:rsidRPr="000D7FD8" w:rsidRDefault="00812953" w:rsidP="00D346D5">
            <w:pPr>
              <w:spacing w:after="0" w:line="240" w:lineRule="auto"/>
              <w:ind w:left="90" w:firstLine="0"/>
              <w:rPr>
                <w:rFonts w:eastAsia="Times New Roman" w:cs="Arial"/>
                <w:color w:val="000000"/>
                <w:sz w:val="22"/>
                <w:lang w:eastAsia="en-GB"/>
              </w:rPr>
            </w:pPr>
          </w:p>
        </w:tc>
        <w:tc>
          <w:tcPr>
            <w:tcW w:w="1843" w:type="dxa"/>
            <w:shd w:val="clear" w:color="auto" w:fill="auto"/>
            <w:noWrap/>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165 dwellings total</w:t>
            </w:r>
          </w:p>
        </w:tc>
        <w:tc>
          <w:tcPr>
            <w:tcW w:w="2268" w:type="dxa"/>
            <w:shd w:val="clear" w:color="auto" w:fill="auto"/>
          </w:tcPr>
          <w:p w:rsidR="00812953" w:rsidRPr="000D7FD8" w:rsidRDefault="00812953" w:rsidP="00D006FF">
            <w:pPr>
              <w:pStyle w:val="ListParagraph"/>
              <w:numPr>
                <w:ilvl w:val="0"/>
                <w:numId w:val="21"/>
              </w:numPr>
              <w:spacing w:after="0" w:line="240" w:lineRule="auto"/>
              <w:ind w:left="220" w:hanging="220"/>
              <w:rPr>
                <w:rFonts w:eastAsia="Times New Roman" w:cs="Arial"/>
                <w:color w:val="000000"/>
                <w:sz w:val="22"/>
                <w:lang w:eastAsia="en-GB"/>
              </w:rPr>
            </w:pPr>
            <w:r w:rsidRPr="000D7FD8">
              <w:rPr>
                <w:rFonts w:eastAsia="Times New Roman" w:cs="Arial"/>
                <w:color w:val="000000"/>
                <w:sz w:val="22"/>
                <w:lang w:eastAsia="en-GB"/>
              </w:rPr>
              <w:t>Rotunda Car Park – 100 dwellings (1.02ha)</w:t>
            </w:r>
          </w:p>
          <w:p w:rsidR="00812953" w:rsidRPr="000D7FD8" w:rsidRDefault="00812953" w:rsidP="00D006FF">
            <w:pPr>
              <w:pStyle w:val="ListParagraph"/>
              <w:numPr>
                <w:ilvl w:val="0"/>
                <w:numId w:val="21"/>
              </w:numPr>
              <w:spacing w:after="0" w:line="240" w:lineRule="auto"/>
              <w:ind w:left="220" w:hanging="220"/>
              <w:rPr>
                <w:rFonts w:eastAsia="Times New Roman" w:cs="Arial"/>
                <w:color w:val="000000"/>
                <w:sz w:val="22"/>
                <w:lang w:eastAsia="en-GB"/>
              </w:rPr>
            </w:pPr>
            <w:r w:rsidRPr="000D7FD8">
              <w:rPr>
                <w:rFonts w:eastAsia="Times New Roman" w:cs="Arial"/>
                <w:color w:val="000000"/>
                <w:sz w:val="22"/>
                <w:lang w:eastAsia="en-GB"/>
              </w:rPr>
              <w:t>Marine Car Park – 65 dwellings (0.7ha)</w:t>
            </w:r>
          </w:p>
        </w:tc>
        <w:tc>
          <w:tcPr>
            <w:tcW w:w="1418" w:type="dxa"/>
          </w:tcPr>
          <w:p w:rsidR="00812953" w:rsidRPr="000D7FD8" w:rsidRDefault="00812953" w:rsidP="00C16A72">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Zone A: Folkestone</w:t>
            </w:r>
            <w:r w:rsidR="004E26B6" w:rsidRPr="000D7FD8">
              <w:rPr>
                <w:rFonts w:eastAsia="Times New Roman" w:cs="Arial"/>
                <w:color w:val="000000"/>
                <w:sz w:val="22"/>
                <w:lang w:eastAsia="en-GB"/>
              </w:rPr>
              <w:t xml:space="preserve"> (£0/m</w:t>
            </w:r>
            <w:r w:rsidR="004E26B6" w:rsidRPr="000D7FD8">
              <w:rPr>
                <w:rFonts w:eastAsia="Times New Roman" w:cs="Arial"/>
                <w:color w:val="000000"/>
                <w:sz w:val="22"/>
                <w:vertAlign w:val="superscript"/>
                <w:lang w:eastAsia="en-GB"/>
              </w:rPr>
              <w:t>2</w:t>
            </w:r>
            <w:r w:rsidR="004E26B6" w:rsidRPr="000D7FD8">
              <w:rPr>
                <w:rFonts w:eastAsia="Times New Roman" w:cs="Arial"/>
                <w:color w:val="000000"/>
                <w:sz w:val="22"/>
                <w:lang w:eastAsia="en-GB"/>
              </w:rPr>
              <w:t>)</w:t>
            </w:r>
          </w:p>
        </w:tc>
      </w:tr>
      <w:tr w:rsidR="00812953" w:rsidRPr="000D7FD8" w:rsidTr="000D7FD8">
        <w:trPr>
          <w:trHeight w:val="600"/>
        </w:trPr>
        <w:tc>
          <w:tcPr>
            <w:tcW w:w="851" w:type="dxa"/>
            <w:shd w:val="clear" w:color="auto" w:fill="auto"/>
            <w:noWrap/>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UA12, p.65</w:t>
            </w:r>
          </w:p>
        </w:tc>
        <w:tc>
          <w:tcPr>
            <w:tcW w:w="2409" w:type="dxa"/>
            <w:shd w:val="clear" w:color="auto" w:fill="auto"/>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Former Gas Works, Ship Street</w:t>
            </w:r>
          </w:p>
        </w:tc>
        <w:tc>
          <w:tcPr>
            <w:tcW w:w="850" w:type="dxa"/>
            <w:shd w:val="clear" w:color="auto" w:fill="auto"/>
            <w:noWrap/>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1.5</w:t>
            </w:r>
            <w:r w:rsidR="000D7FD8">
              <w:rPr>
                <w:rFonts w:eastAsia="Times New Roman" w:cs="Arial"/>
                <w:color w:val="000000"/>
                <w:sz w:val="22"/>
                <w:lang w:eastAsia="en-GB"/>
              </w:rPr>
              <w:t xml:space="preserve"> </w:t>
            </w:r>
            <w:r w:rsidRPr="000D7FD8">
              <w:rPr>
                <w:rFonts w:eastAsia="Times New Roman" w:cs="Arial"/>
                <w:color w:val="000000"/>
                <w:sz w:val="22"/>
                <w:lang w:eastAsia="en-GB"/>
              </w:rPr>
              <w:t>ha</w:t>
            </w:r>
          </w:p>
        </w:tc>
        <w:tc>
          <w:tcPr>
            <w:tcW w:w="1843" w:type="dxa"/>
            <w:shd w:val="clear" w:color="auto" w:fill="auto"/>
            <w:noWrap/>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100 dwellings</w:t>
            </w:r>
          </w:p>
        </w:tc>
        <w:tc>
          <w:tcPr>
            <w:tcW w:w="2268" w:type="dxa"/>
          </w:tcPr>
          <w:p w:rsidR="00812953" w:rsidRPr="000D7FD8" w:rsidRDefault="00812953" w:rsidP="00D006FF">
            <w:pPr>
              <w:spacing w:after="0" w:line="240" w:lineRule="auto"/>
              <w:ind w:left="0" w:firstLine="0"/>
              <w:rPr>
                <w:rFonts w:eastAsia="Times New Roman" w:cs="Arial"/>
                <w:color w:val="000000"/>
                <w:sz w:val="22"/>
                <w:lang w:eastAsia="en-GB"/>
              </w:rPr>
            </w:pPr>
          </w:p>
        </w:tc>
        <w:tc>
          <w:tcPr>
            <w:tcW w:w="1418" w:type="dxa"/>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Zone B: Folkestone</w:t>
            </w:r>
            <w:r w:rsidR="004E26B6" w:rsidRPr="000D7FD8">
              <w:rPr>
                <w:rFonts w:eastAsia="Times New Roman" w:cs="Arial"/>
                <w:color w:val="000000"/>
                <w:sz w:val="22"/>
                <w:lang w:eastAsia="en-GB"/>
              </w:rPr>
              <w:t xml:space="preserve"> (£50/m</w:t>
            </w:r>
            <w:r w:rsidR="004E26B6" w:rsidRPr="000D7FD8">
              <w:rPr>
                <w:rFonts w:eastAsia="Times New Roman" w:cs="Arial"/>
                <w:color w:val="000000"/>
                <w:sz w:val="22"/>
                <w:vertAlign w:val="superscript"/>
                <w:lang w:eastAsia="en-GB"/>
              </w:rPr>
              <w:t>2</w:t>
            </w:r>
            <w:r w:rsidR="004E26B6" w:rsidRPr="000D7FD8">
              <w:rPr>
                <w:rFonts w:eastAsia="Times New Roman" w:cs="Arial"/>
                <w:color w:val="000000"/>
                <w:sz w:val="22"/>
                <w:lang w:eastAsia="en-GB"/>
              </w:rPr>
              <w:t>)</w:t>
            </w:r>
          </w:p>
        </w:tc>
      </w:tr>
      <w:tr w:rsidR="00812953" w:rsidRPr="000D7FD8" w:rsidTr="000D7FD8">
        <w:trPr>
          <w:trHeight w:val="600"/>
        </w:trPr>
        <w:tc>
          <w:tcPr>
            <w:tcW w:w="851" w:type="dxa"/>
            <w:shd w:val="clear" w:color="auto" w:fill="auto"/>
            <w:noWrap/>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UA16, p.75</w:t>
            </w:r>
          </w:p>
        </w:tc>
        <w:tc>
          <w:tcPr>
            <w:tcW w:w="2409" w:type="dxa"/>
            <w:shd w:val="clear" w:color="auto" w:fill="auto"/>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Affinity Water, Land at Cherry Garden Lane, Folkestone</w:t>
            </w:r>
          </w:p>
        </w:tc>
        <w:tc>
          <w:tcPr>
            <w:tcW w:w="850" w:type="dxa"/>
            <w:shd w:val="clear" w:color="auto" w:fill="auto"/>
            <w:noWrap/>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2.875</w:t>
            </w:r>
            <w:r w:rsidR="000D7FD8">
              <w:rPr>
                <w:rFonts w:eastAsia="Times New Roman" w:cs="Arial"/>
                <w:color w:val="000000"/>
                <w:sz w:val="22"/>
                <w:lang w:eastAsia="en-GB"/>
              </w:rPr>
              <w:t xml:space="preserve"> </w:t>
            </w:r>
            <w:r w:rsidRPr="000D7FD8">
              <w:rPr>
                <w:rFonts w:eastAsia="Times New Roman" w:cs="Arial"/>
                <w:color w:val="000000"/>
                <w:sz w:val="22"/>
                <w:lang w:eastAsia="en-GB"/>
              </w:rPr>
              <w:t>ha</w:t>
            </w:r>
          </w:p>
        </w:tc>
        <w:tc>
          <w:tcPr>
            <w:tcW w:w="1843" w:type="dxa"/>
            <w:shd w:val="clear" w:color="auto" w:fill="auto"/>
            <w:noWrap/>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70 dwellings, 1ha public open space</w:t>
            </w:r>
          </w:p>
        </w:tc>
        <w:tc>
          <w:tcPr>
            <w:tcW w:w="2268" w:type="dxa"/>
          </w:tcPr>
          <w:p w:rsidR="00812953" w:rsidRPr="000D7FD8" w:rsidRDefault="00812953" w:rsidP="00D006FF">
            <w:pPr>
              <w:spacing w:after="0" w:line="240" w:lineRule="auto"/>
              <w:ind w:left="0" w:firstLine="0"/>
              <w:rPr>
                <w:rFonts w:eastAsia="Times New Roman" w:cs="Arial"/>
                <w:color w:val="000000"/>
                <w:sz w:val="22"/>
                <w:lang w:eastAsia="en-GB"/>
              </w:rPr>
            </w:pPr>
          </w:p>
        </w:tc>
        <w:tc>
          <w:tcPr>
            <w:tcW w:w="1418" w:type="dxa"/>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Zone A: Folkestone</w:t>
            </w:r>
            <w:r w:rsidR="004E26B6" w:rsidRPr="000D7FD8">
              <w:rPr>
                <w:rFonts w:eastAsia="Times New Roman" w:cs="Arial"/>
                <w:color w:val="000000"/>
                <w:sz w:val="22"/>
                <w:lang w:eastAsia="en-GB"/>
              </w:rPr>
              <w:t xml:space="preserve"> (£0/m</w:t>
            </w:r>
            <w:r w:rsidR="004E26B6" w:rsidRPr="000D7FD8">
              <w:rPr>
                <w:rFonts w:eastAsia="Times New Roman" w:cs="Arial"/>
                <w:color w:val="000000"/>
                <w:sz w:val="22"/>
                <w:vertAlign w:val="superscript"/>
                <w:lang w:eastAsia="en-GB"/>
              </w:rPr>
              <w:t>2</w:t>
            </w:r>
            <w:r w:rsidR="004E26B6" w:rsidRPr="000D7FD8">
              <w:rPr>
                <w:rFonts w:eastAsia="Times New Roman" w:cs="Arial"/>
                <w:color w:val="000000"/>
                <w:sz w:val="22"/>
                <w:lang w:eastAsia="en-GB"/>
              </w:rPr>
              <w:t>)</w:t>
            </w:r>
          </w:p>
        </w:tc>
      </w:tr>
      <w:tr w:rsidR="00812953" w:rsidRPr="000D7FD8" w:rsidTr="000D7FD8">
        <w:trPr>
          <w:trHeight w:val="785"/>
        </w:trPr>
        <w:tc>
          <w:tcPr>
            <w:tcW w:w="851" w:type="dxa"/>
            <w:shd w:val="clear" w:color="auto" w:fill="auto"/>
            <w:noWrap/>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UA18, p.80</w:t>
            </w:r>
          </w:p>
        </w:tc>
        <w:tc>
          <w:tcPr>
            <w:tcW w:w="2409" w:type="dxa"/>
            <w:shd w:val="clear" w:color="auto" w:fill="auto"/>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 xml:space="preserve">Land East of </w:t>
            </w:r>
            <w:proofErr w:type="spellStart"/>
            <w:r w:rsidRPr="000D7FD8">
              <w:rPr>
                <w:rFonts w:eastAsia="Times New Roman" w:cs="Arial"/>
                <w:color w:val="000000"/>
                <w:sz w:val="22"/>
                <w:lang w:eastAsia="en-GB"/>
              </w:rPr>
              <w:t>Coolinge</w:t>
            </w:r>
            <w:proofErr w:type="spellEnd"/>
            <w:r w:rsidRPr="000D7FD8">
              <w:rPr>
                <w:rFonts w:eastAsia="Times New Roman" w:cs="Arial"/>
                <w:color w:val="000000"/>
                <w:sz w:val="22"/>
                <w:lang w:eastAsia="en-GB"/>
              </w:rPr>
              <w:t xml:space="preserve"> Lane, Sandgate </w:t>
            </w:r>
          </w:p>
        </w:tc>
        <w:tc>
          <w:tcPr>
            <w:tcW w:w="850" w:type="dxa"/>
            <w:shd w:val="clear" w:color="auto" w:fill="auto"/>
            <w:noWrap/>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4.54</w:t>
            </w:r>
            <w:r w:rsidR="000D7FD8">
              <w:rPr>
                <w:rFonts w:eastAsia="Times New Roman" w:cs="Arial"/>
                <w:color w:val="000000"/>
                <w:sz w:val="22"/>
                <w:lang w:eastAsia="en-GB"/>
              </w:rPr>
              <w:t xml:space="preserve"> </w:t>
            </w:r>
            <w:r w:rsidRPr="000D7FD8">
              <w:rPr>
                <w:rFonts w:eastAsia="Times New Roman" w:cs="Arial"/>
                <w:color w:val="000000"/>
                <w:sz w:val="22"/>
                <w:lang w:eastAsia="en-GB"/>
              </w:rPr>
              <w:t>ha</w:t>
            </w:r>
          </w:p>
        </w:tc>
        <w:tc>
          <w:tcPr>
            <w:tcW w:w="1843" w:type="dxa"/>
            <w:shd w:val="clear" w:color="auto" w:fill="auto"/>
            <w:noWrap/>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60 dwellings, 1.2ha public open space</w:t>
            </w:r>
          </w:p>
        </w:tc>
        <w:tc>
          <w:tcPr>
            <w:tcW w:w="2268" w:type="dxa"/>
            <w:shd w:val="clear" w:color="auto" w:fill="auto"/>
          </w:tcPr>
          <w:p w:rsidR="00812953" w:rsidRPr="000D7FD8" w:rsidRDefault="00812953" w:rsidP="00D006FF">
            <w:pPr>
              <w:spacing w:after="0" w:line="240" w:lineRule="auto"/>
              <w:ind w:left="0" w:firstLine="0"/>
              <w:rPr>
                <w:rFonts w:eastAsia="Times New Roman" w:cs="Arial"/>
                <w:color w:val="000000"/>
                <w:sz w:val="22"/>
                <w:lang w:eastAsia="en-GB"/>
              </w:rPr>
            </w:pPr>
          </w:p>
        </w:tc>
        <w:tc>
          <w:tcPr>
            <w:tcW w:w="1418" w:type="dxa"/>
          </w:tcPr>
          <w:p w:rsidR="00812953" w:rsidRPr="000D7FD8" w:rsidRDefault="00812953" w:rsidP="004E26B6">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Zone C: Folkestone</w:t>
            </w:r>
            <w:r w:rsidR="004E26B6" w:rsidRPr="000D7FD8">
              <w:rPr>
                <w:rFonts w:eastAsia="Times New Roman" w:cs="Arial"/>
                <w:color w:val="000000"/>
                <w:sz w:val="22"/>
                <w:lang w:eastAsia="en-GB"/>
              </w:rPr>
              <w:t xml:space="preserve"> (£100/m</w:t>
            </w:r>
            <w:r w:rsidR="004E26B6" w:rsidRPr="000D7FD8">
              <w:rPr>
                <w:rFonts w:eastAsia="Times New Roman" w:cs="Arial"/>
                <w:color w:val="000000"/>
                <w:sz w:val="22"/>
                <w:vertAlign w:val="superscript"/>
                <w:lang w:eastAsia="en-GB"/>
              </w:rPr>
              <w:t>2</w:t>
            </w:r>
            <w:r w:rsidR="004E26B6" w:rsidRPr="000D7FD8">
              <w:rPr>
                <w:rFonts w:eastAsia="Times New Roman" w:cs="Arial"/>
                <w:color w:val="000000"/>
                <w:sz w:val="22"/>
                <w:lang w:eastAsia="en-GB"/>
              </w:rPr>
              <w:t>)</w:t>
            </w:r>
          </w:p>
        </w:tc>
      </w:tr>
      <w:tr w:rsidR="000D062E" w:rsidRPr="000D7FD8" w:rsidTr="000D7FD8">
        <w:trPr>
          <w:trHeight w:val="306"/>
        </w:trPr>
        <w:tc>
          <w:tcPr>
            <w:tcW w:w="9639" w:type="dxa"/>
            <w:gridSpan w:val="6"/>
            <w:shd w:val="clear" w:color="auto" w:fill="E5DFEC" w:themeFill="accent4" w:themeFillTint="33"/>
            <w:noWrap/>
            <w:vAlign w:val="center"/>
            <w:hideMark/>
          </w:tcPr>
          <w:p w:rsidR="000D062E" w:rsidRPr="000D7FD8" w:rsidRDefault="000D062E" w:rsidP="008C4703">
            <w:pPr>
              <w:spacing w:after="0" w:line="240" w:lineRule="auto"/>
              <w:ind w:left="0" w:firstLine="0"/>
              <w:rPr>
                <w:rFonts w:eastAsia="Times New Roman" w:cs="Arial"/>
                <w:b/>
                <w:color w:val="000000"/>
                <w:sz w:val="22"/>
                <w:lang w:eastAsia="en-GB"/>
              </w:rPr>
            </w:pPr>
            <w:r w:rsidRPr="000D7FD8">
              <w:rPr>
                <w:rFonts w:eastAsia="Times New Roman" w:cs="Arial"/>
                <w:b/>
                <w:color w:val="000000"/>
                <w:sz w:val="22"/>
                <w:lang w:eastAsia="en-GB"/>
              </w:rPr>
              <w:t>Hythe</w:t>
            </w:r>
          </w:p>
        </w:tc>
      </w:tr>
      <w:tr w:rsidR="00812953" w:rsidRPr="000D7FD8" w:rsidTr="000D7FD8">
        <w:trPr>
          <w:trHeight w:val="627"/>
        </w:trPr>
        <w:tc>
          <w:tcPr>
            <w:tcW w:w="851" w:type="dxa"/>
            <w:shd w:val="clear" w:color="auto" w:fill="auto"/>
            <w:noWrap/>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UA21, p.89</w:t>
            </w:r>
          </w:p>
        </w:tc>
        <w:tc>
          <w:tcPr>
            <w:tcW w:w="2409" w:type="dxa"/>
            <w:shd w:val="clear" w:color="auto" w:fill="auto"/>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 xml:space="preserve">Smiths Medical Campus, Boundary Road, Hythe </w:t>
            </w:r>
          </w:p>
        </w:tc>
        <w:tc>
          <w:tcPr>
            <w:tcW w:w="850" w:type="dxa"/>
            <w:shd w:val="clear" w:color="auto" w:fill="auto"/>
            <w:noWrap/>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3.2</w:t>
            </w:r>
            <w:r w:rsidR="000D7FD8">
              <w:rPr>
                <w:rFonts w:eastAsia="Times New Roman" w:cs="Arial"/>
                <w:color w:val="000000"/>
                <w:sz w:val="22"/>
                <w:lang w:eastAsia="en-GB"/>
              </w:rPr>
              <w:t xml:space="preserve"> </w:t>
            </w:r>
            <w:r w:rsidRPr="000D7FD8">
              <w:rPr>
                <w:rFonts w:eastAsia="Times New Roman" w:cs="Arial"/>
                <w:color w:val="000000"/>
                <w:sz w:val="22"/>
                <w:lang w:eastAsia="en-GB"/>
              </w:rPr>
              <w:t>ha</w:t>
            </w:r>
          </w:p>
        </w:tc>
        <w:tc>
          <w:tcPr>
            <w:tcW w:w="1843" w:type="dxa"/>
            <w:shd w:val="clear" w:color="auto" w:fill="auto"/>
            <w:noWrap/>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80 dwellings, B1/B8 commercial</w:t>
            </w:r>
          </w:p>
        </w:tc>
        <w:tc>
          <w:tcPr>
            <w:tcW w:w="2268" w:type="dxa"/>
          </w:tcPr>
          <w:p w:rsidR="00812953" w:rsidRPr="000D7FD8" w:rsidRDefault="00812953" w:rsidP="00D006FF">
            <w:pPr>
              <w:spacing w:after="0" w:line="240" w:lineRule="auto"/>
              <w:ind w:left="0" w:firstLine="0"/>
              <w:rPr>
                <w:rFonts w:eastAsia="Times New Roman" w:cs="Arial"/>
                <w:color w:val="000000"/>
                <w:sz w:val="22"/>
                <w:lang w:eastAsia="en-GB"/>
              </w:rPr>
            </w:pPr>
          </w:p>
        </w:tc>
        <w:tc>
          <w:tcPr>
            <w:tcW w:w="1418" w:type="dxa"/>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Zone C: Hythe</w:t>
            </w:r>
            <w:r w:rsidR="004E26B6" w:rsidRPr="000D7FD8">
              <w:rPr>
                <w:rFonts w:eastAsia="Times New Roman" w:cs="Arial"/>
                <w:color w:val="000000"/>
                <w:sz w:val="22"/>
                <w:lang w:eastAsia="en-GB"/>
              </w:rPr>
              <w:t xml:space="preserve"> (£100/m</w:t>
            </w:r>
            <w:r w:rsidR="004E26B6" w:rsidRPr="000D7FD8">
              <w:rPr>
                <w:rFonts w:eastAsia="Times New Roman" w:cs="Arial"/>
                <w:color w:val="000000"/>
                <w:sz w:val="22"/>
                <w:vertAlign w:val="superscript"/>
                <w:lang w:eastAsia="en-GB"/>
              </w:rPr>
              <w:t>2</w:t>
            </w:r>
            <w:r w:rsidR="004E26B6" w:rsidRPr="000D7FD8">
              <w:rPr>
                <w:rFonts w:eastAsia="Times New Roman" w:cs="Arial"/>
                <w:color w:val="000000"/>
                <w:sz w:val="22"/>
                <w:lang w:eastAsia="en-GB"/>
              </w:rPr>
              <w:t>)</w:t>
            </w:r>
          </w:p>
        </w:tc>
      </w:tr>
      <w:tr w:rsidR="00812953" w:rsidRPr="000D7FD8" w:rsidTr="000D7FD8">
        <w:trPr>
          <w:trHeight w:val="342"/>
        </w:trPr>
        <w:tc>
          <w:tcPr>
            <w:tcW w:w="851" w:type="dxa"/>
            <w:shd w:val="clear" w:color="auto" w:fill="auto"/>
            <w:noWrap/>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UA24, p.97</w:t>
            </w:r>
          </w:p>
        </w:tc>
        <w:tc>
          <w:tcPr>
            <w:tcW w:w="2409" w:type="dxa"/>
            <w:shd w:val="clear" w:color="auto" w:fill="auto"/>
            <w:hideMark/>
          </w:tcPr>
          <w:p w:rsidR="00812953" w:rsidRPr="000D7FD8" w:rsidRDefault="00812953" w:rsidP="00D006FF">
            <w:pPr>
              <w:spacing w:after="0" w:line="240" w:lineRule="auto"/>
              <w:ind w:left="0" w:firstLine="0"/>
              <w:rPr>
                <w:rFonts w:eastAsia="Times New Roman" w:cs="Arial"/>
                <w:color w:val="000000"/>
                <w:sz w:val="22"/>
                <w:lang w:eastAsia="en-GB"/>
              </w:rPr>
            </w:pPr>
            <w:proofErr w:type="spellStart"/>
            <w:r w:rsidRPr="000D7FD8">
              <w:rPr>
                <w:rFonts w:eastAsia="Times New Roman" w:cs="Arial"/>
                <w:color w:val="000000"/>
                <w:sz w:val="22"/>
                <w:lang w:eastAsia="en-GB"/>
              </w:rPr>
              <w:t>Foxwood</w:t>
            </w:r>
            <w:proofErr w:type="spellEnd"/>
            <w:r w:rsidRPr="000D7FD8">
              <w:rPr>
                <w:rFonts w:eastAsia="Times New Roman" w:cs="Arial"/>
                <w:color w:val="000000"/>
                <w:sz w:val="22"/>
                <w:lang w:eastAsia="en-GB"/>
              </w:rPr>
              <w:t xml:space="preserve"> School and St Saviours Hospital, Seabrook Road, Hythe </w:t>
            </w:r>
          </w:p>
        </w:tc>
        <w:tc>
          <w:tcPr>
            <w:tcW w:w="850" w:type="dxa"/>
            <w:shd w:val="clear" w:color="auto" w:fill="auto"/>
            <w:noWrap/>
            <w:hideMark/>
          </w:tcPr>
          <w:p w:rsidR="00812953" w:rsidRPr="000D7FD8" w:rsidRDefault="00812953" w:rsidP="00D006FF">
            <w:pPr>
              <w:spacing w:after="0" w:line="240" w:lineRule="auto"/>
              <w:ind w:left="0" w:firstLine="0"/>
              <w:rPr>
                <w:rFonts w:eastAsia="Times New Roman" w:cs="Arial"/>
                <w:color w:val="000000"/>
                <w:sz w:val="22"/>
                <w:lang w:eastAsia="en-GB"/>
              </w:rPr>
            </w:pPr>
          </w:p>
        </w:tc>
        <w:tc>
          <w:tcPr>
            <w:tcW w:w="1843" w:type="dxa"/>
            <w:shd w:val="clear" w:color="auto" w:fill="auto"/>
            <w:noWrap/>
            <w:hideMark/>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185 dwellings total</w:t>
            </w:r>
          </w:p>
        </w:tc>
        <w:tc>
          <w:tcPr>
            <w:tcW w:w="2268" w:type="dxa"/>
          </w:tcPr>
          <w:p w:rsidR="00812953" w:rsidRPr="000D7FD8" w:rsidRDefault="00812953" w:rsidP="008C4F9C">
            <w:pPr>
              <w:spacing w:after="0" w:line="240" w:lineRule="auto"/>
              <w:ind w:left="0" w:firstLine="0"/>
              <w:rPr>
                <w:rFonts w:eastAsia="Times New Roman" w:cs="Arial"/>
                <w:color w:val="000000"/>
                <w:sz w:val="22"/>
                <w:lang w:eastAsia="en-GB"/>
              </w:rPr>
            </w:pPr>
            <w:proofErr w:type="spellStart"/>
            <w:r w:rsidRPr="000D7FD8">
              <w:rPr>
                <w:rFonts w:eastAsia="Times New Roman" w:cs="Arial"/>
                <w:color w:val="000000"/>
                <w:sz w:val="22"/>
                <w:lang w:eastAsia="en-GB"/>
              </w:rPr>
              <w:t>Foxwood</w:t>
            </w:r>
            <w:proofErr w:type="spellEnd"/>
            <w:r w:rsidRPr="000D7FD8">
              <w:rPr>
                <w:rFonts w:eastAsia="Times New Roman" w:cs="Arial"/>
                <w:color w:val="000000"/>
                <w:sz w:val="22"/>
                <w:lang w:eastAsia="en-GB"/>
              </w:rPr>
              <w:t xml:space="preserve"> School – 150 dwellings (6.3ha)</w:t>
            </w:r>
          </w:p>
          <w:p w:rsidR="00812953" w:rsidRPr="000D7FD8" w:rsidRDefault="00812953" w:rsidP="00A26FAB">
            <w:pPr>
              <w:pStyle w:val="ListParagraph"/>
              <w:spacing w:after="0" w:line="240" w:lineRule="auto"/>
              <w:ind w:left="220" w:firstLine="0"/>
              <w:rPr>
                <w:rFonts w:eastAsia="Times New Roman" w:cs="Arial"/>
                <w:color w:val="000000"/>
                <w:sz w:val="22"/>
                <w:lang w:eastAsia="en-GB"/>
              </w:rPr>
            </w:pPr>
          </w:p>
        </w:tc>
        <w:tc>
          <w:tcPr>
            <w:tcW w:w="1418" w:type="dxa"/>
          </w:tcPr>
          <w:p w:rsidR="00812953" w:rsidRPr="000D7FD8" w:rsidRDefault="00812953" w:rsidP="00D006FF">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Zone C: Hythe</w:t>
            </w:r>
            <w:r w:rsidR="004E26B6" w:rsidRPr="000D7FD8">
              <w:rPr>
                <w:rFonts w:eastAsia="Times New Roman" w:cs="Arial"/>
                <w:color w:val="000000"/>
                <w:sz w:val="22"/>
                <w:lang w:eastAsia="en-GB"/>
              </w:rPr>
              <w:t xml:space="preserve"> (£100/m</w:t>
            </w:r>
            <w:r w:rsidR="004E26B6" w:rsidRPr="000D7FD8">
              <w:rPr>
                <w:rFonts w:eastAsia="Times New Roman" w:cs="Arial"/>
                <w:color w:val="000000"/>
                <w:sz w:val="22"/>
                <w:vertAlign w:val="superscript"/>
                <w:lang w:eastAsia="en-GB"/>
              </w:rPr>
              <w:t>2</w:t>
            </w:r>
            <w:r w:rsidR="004E26B6" w:rsidRPr="000D7FD8">
              <w:rPr>
                <w:rFonts w:eastAsia="Times New Roman" w:cs="Arial"/>
                <w:color w:val="000000"/>
                <w:sz w:val="22"/>
                <w:lang w:eastAsia="en-GB"/>
              </w:rPr>
              <w:t>)</w:t>
            </w:r>
          </w:p>
        </w:tc>
      </w:tr>
      <w:tr w:rsidR="000D062E" w:rsidRPr="000D7FD8" w:rsidTr="000D7FD8">
        <w:trPr>
          <w:trHeight w:val="442"/>
        </w:trPr>
        <w:tc>
          <w:tcPr>
            <w:tcW w:w="9639" w:type="dxa"/>
            <w:gridSpan w:val="6"/>
            <w:shd w:val="clear" w:color="auto" w:fill="E5DFEC" w:themeFill="accent4" w:themeFillTint="33"/>
            <w:noWrap/>
            <w:vAlign w:val="center"/>
            <w:hideMark/>
          </w:tcPr>
          <w:p w:rsidR="000D062E" w:rsidRPr="000D7FD8" w:rsidRDefault="000D062E" w:rsidP="008C4703">
            <w:pPr>
              <w:spacing w:after="0" w:line="240" w:lineRule="auto"/>
              <w:ind w:left="0" w:firstLine="0"/>
              <w:rPr>
                <w:rFonts w:eastAsia="Times New Roman" w:cs="Arial"/>
                <w:b/>
                <w:color w:val="000000"/>
                <w:sz w:val="22"/>
                <w:lang w:eastAsia="en-GB"/>
              </w:rPr>
            </w:pPr>
            <w:r w:rsidRPr="000D7FD8">
              <w:rPr>
                <w:rFonts w:eastAsia="Times New Roman" w:cs="Arial"/>
                <w:b/>
                <w:color w:val="000000"/>
                <w:sz w:val="22"/>
                <w:lang w:eastAsia="en-GB"/>
              </w:rPr>
              <w:t xml:space="preserve">New Romney (including </w:t>
            </w:r>
            <w:proofErr w:type="spellStart"/>
            <w:r w:rsidRPr="000D7FD8">
              <w:rPr>
                <w:rFonts w:eastAsia="Times New Roman" w:cs="Arial"/>
                <w:b/>
                <w:color w:val="000000"/>
                <w:sz w:val="22"/>
                <w:lang w:eastAsia="en-GB"/>
              </w:rPr>
              <w:t>Littlestone</w:t>
            </w:r>
            <w:proofErr w:type="spellEnd"/>
            <w:r w:rsidRPr="000D7FD8">
              <w:rPr>
                <w:rFonts w:eastAsia="Times New Roman" w:cs="Arial"/>
                <w:b/>
                <w:color w:val="000000"/>
                <w:sz w:val="22"/>
                <w:lang w:eastAsia="en-GB"/>
              </w:rPr>
              <w:t>)</w:t>
            </w:r>
          </w:p>
        </w:tc>
      </w:tr>
      <w:tr w:rsidR="00812953" w:rsidRPr="000D7FD8" w:rsidTr="000D7FD8">
        <w:trPr>
          <w:trHeight w:val="654"/>
        </w:trPr>
        <w:tc>
          <w:tcPr>
            <w:tcW w:w="851" w:type="dxa"/>
            <w:shd w:val="clear" w:color="auto" w:fill="auto"/>
            <w:noWrap/>
            <w:hideMark/>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RM4, p.121</w:t>
            </w:r>
          </w:p>
        </w:tc>
        <w:tc>
          <w:tcPr>
            <w:tcW w:w="2409" w:type="dxa"/>
            <w:shd w:val="clear" w:color="auto" w:fill="auto"/>
            <w:hideMark/>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 xml:space="preserve">Land west of Ashford Road, New Romney </w:t>
            </w:r>
          </w:p>
        </w:tc>
        <w:tc>
          <w:tcPr>
            <w:tcW w:w="850" w:type="dxa"/>
            <w:shd w:val="clear" w:color="auto" w:fill="auto"/>
            <w:hideMark/>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3.22</w:t>
            </w:r>
            <w:r w:rsidR="000D7FD8">
              <w:rPr>
                <w:rFonts w:eastAsia="Times New Roman" w:cs="Arial"/>
                <w:color w:val="000000"/>
                <w:sz w:val="22"/>
                <w:lang w:eastAsia="en-GB"/>
              </w:rPr>
              <w:t xml:space="preserve"> </w:t>
            </w:r>
            <w:r w:rsidRPr="000D7FD8">
              <w:rPr>
                <w:rFonts w:eastAsia="Times New Roman" w:cs="Arial"/>
                <w:color w:val="000000"/>
                <w:sz w:val="22"/>
                <w:lang w:eastAsia="en-GB"/>
              </w:rPr>
              <w:t>ha</w:t>
            </w:r>
          </w:p>
        </w:tc>
        <w:tc>
          <w:tcPr>
            <w:tcW w:w="1843" w:type="dxa"/>
            <w:shd w:val="clear" w:color="auto" w:fill="auto"/>
            <w:noWrap/>
            <w:hideMark/>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60 dwellings</w:t>
            </w:r>
          </w:p>
        </w:tc>
        <w:tc>
          <w:tcPr>
            <w:tcW w:w="2268" w:type="dxa"/>
          </w:tcPr>
          <w:p w:rsidR="00812953" w:rsidRPr="000D7FD8" w:rsidRDefault="00812953" w:rsidP="00E761FA">
            <w:pPr>
              <w:spacing w:after="0" w:line="240" w:lineRule="auto"/>
              <w:ind w:left="0" w:firstLine="0"/>
              <w:rPr>
                <w:rFonts w:eastAsia="Times New Roman" w:cs="Arial"/>
                <w:color w:val="000000"/>
                <w:sz w:val="22"/>
                <w:lang w:eastAsia="en-GB"/>
              </w:rPr>
            </w:pPr>
          </w:p>
        </w:tc>
        <w:tc>
          <w:tcPr>
            <w:tcW w:w="1418" w:type="dxa"/>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Zone B: Romney Marsh</w:t>
            </w:r>
            <w:r w:rsidR="004E26B6" w:rsidRPr="000D7FD8">
              <w:rPr>
                <w:rFonts w:eastAsia="Times New Roman" w:cs="Arial"/>
                <w:color w:val="000000"/>
                <w:sz w:val="22"/>
                <w:lang w:eastAsia="en-GB"/>
              </w:rPr>
              <w:t xml:space="preserve"> (£50/m</w:t>
            </w:r>
            <w:r w:rsidR="004E26B6" w:rsidRPr="000D7FD8">
              <w:rPr>
                <w:rFonts w:eastAsia="Times New Roman" w:cs="Arial"/>
                <w:color w:val="000000"/>
                <w:sz w:val="22"/>
                <w:vertAlign w:val="superscript"/>
                <w:lang w:eastAsia="en-GB"/>
              </w:rPr>
              <w:t>2</w:t>
            </w:r>
            <w:r w:rsidR="004E26B6" w:rsidRPr="000D7FD8">
              <w:rPr>
                <w:rFonts w:eastAsia="Times New Roman" w:cs="Arial"/>
                <w:color w:val="000000"/>
                <w:sz w:val="22"/>
                <w:lang w:eastAsia="en-GB"/>
              </w:rPr>
              <w:t>)</w:t>
            </w:r>
          </w:p>
        </w:tc>
      </w:tr>
      <w:tr w:rsidR="00812953" w:rsidRPr="000D7FD8" w:rsidTr="000D7FD8">
        <w:trPr>
          <w:trHeight w:val="654"/>
        </w:trPr>
        <w:tc>
          <w:tcPr>
            <w:tcW w:w="851" w:type="dxa"/>
            <w:shd w:val="clear" w:color="auto" w:fill="auto"/>
            <w:noWrap/>
            <w:hideMark/>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RM5, p.123</w:t>
            </w:r>
          </w:p>
        </w:tc>
        <w:tc>
          <w:tcPr>
            <w:tcW w:w="2409" w:type="dxa"/>
            <w:shd w:val="clear" w:color="auto" w:fill="auto"/>
            <w:hideMark/>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 xml:space="preserve">Land to the South of New Romney </w:t>
            </w:r>
          </w:p>
        </w:tc>
        <w:tc>
          <w:tcPr>
            <w:tcW w:w="850" w:type="dxa"/>
            <w:shd w:val="clear" w:color="auto" w:fill="auto"/>
            <w:hideMark/>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22</w:t>
            </w:r>
            <w:r w:rsidR="000D7FD8">
              <w:rPr>
                <w:rFonts w:eastAsia="Times New Roman" w:cs="Arial"/>
                <w:color w:val="000000"/>
                <w:sz w:val="22"/>
                <w:lang w:eastAsia="en-GB"/>
              </w:rPr>
              <w:t xml:space="preserve"> </w:t>
            </w:r>
            <w:r w:rsidRPr="000D7FD8">
              <w:rPr>
                <w:rFonts w:eastAsia="Times New Roman" w:cs="Arial"/>
                <w:color w:val="000000"/>
                <w:sz w:val="22"/>
                <w:lang w:eastAsia="en-GB"/>
              </w:rPr>
              <w:t>ha</w:t>
            </w:r>
          </w:p>
        </w:tc>
        <w:tc>
          <w:tcPr>
            <w:tcW w:w="1843" w:type="dxa"/>
            <w:shd w:val="clear" w:color="auto" w:fill="auto"/>
            <w:noWrap/>
            <w:hideMark/>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400 dwellings, improved access, health care and community facilities, open space, transport infrastructure</w:t>
            </w:r>
          </w:p>
        </w:tc>
        <w:tc>
          <w:tcPr>
            <w:tcW w:w="2268" w:type="dxa"/>
          </w:tcPr>
          <w:p w:rsidR="00812953" w:rsidRPr="000D7FD8" w:rsidRDefault="00812953" w:rsidP="00E761FA">
            <w:pPr>
              <w:spacing w:after="0" w:line="240" w:lineRule="auto"/>
              <w:ind w:left="0" w:firstLine="0"/>
              <w:rPr>
                <w:rFonts w:eastAsia="Times New Roman" w:cs="Arial"/>
                <w:color w:val="000000"/>
                <w:sz w:val="22"/>
                <w:lang w:eastAsia="en-GB"/>
              </w:rPr>
            </w:pPr>
          </w:p>
        </w:tc>
        <w:tc>
          <w:tcPr>
            <w:tcW w:w="1418" w:type="dxa"/>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Zone B: Romney Marsh</w:t>
            </w:r>
            <w:r w:rsidR="004E26B6" w:rsidRPr="000D7FD8">
              <w:rPr>
                <w:rFonts w:eastAsia="Times New Roman" w:cs="Arial"/>
                <w:color w:val="000000"/>
                <w:sz w:val="22"/>
                <w:lang w:eastAsia="en-GB"/>
              </w:rPr>
              <w:t xml:space="preserve"> (£50/m</w:t>
            </w:r>
            <w:r w:rsidR="004E26B6" w:rsidRPr="000D7FD8">
              <w:rPr>
                <w:rFonts w:eastAsia="Times New Roman" w:cs="Arial"/>
                <w:color w:val="000000"/>
                <w:sz w:val="22"/>
                <w:vertAlign w:val="superscript"/>
                <w:lang w:eastAsia="en-GB"/>
              </w:rPr>
              <w:t>2</w:t>
            </w:r>
            <w:r w:rsidR="004E26B6" w:rsidRPr="000D7FD8">
              <w:rPr>
                <w:rFonts w:eastAsia="Times New Roman" w:cs="Arial"/>
                <w:color w:val="000000"/>
                <w:sz w:val="22"/>
                <w:lang w:eastAsia="en-GB"/>
              </w:rPr>
              <w:t>)</w:t>
            </w:r>
          </w:p>
        </w:tc>
      </w:tr>
      <w:tr w:rsidR="000D062E" w:rsidRPr="000D7FD8" w:rsidTr="000D7FD8">
        <w:trPr>
          <w:trHeight w:val="349"/>
        </w:trPr>
        <w:tc>
          <w:tcPr>
            <w:tcW w:w="9639" w:type="dxa"/>
            <w:gridSpan w:val="6"/>
            <w:shd w:val="clear" w:color="auto" w:fill="E5DFEC" w:themeFill="accent4" w:themeFillTint="33"/>
            <w:noWrap/>
            <w:vAlign w:val="center"/>
            <w:hideMark/>
          </w:tcPr>
          <w:p w:rsidR="000D062E" w:rsidRPr="000D7FD8" w:rsidRDefault="000D062E" w:rsidP="008C4703">
            <w:pPr>
              <w:spacing w:after="0" w:line="240" w:lineRule="auto"/>
              <w:ind w:left="0" w:firstLine="0"/>
              <w:rPr>
                <w:rFonts w:eastAsia="Times New Roman" w:cs="Arial"/>
                <w:b/>
                <w:color w:val="000000"/>
                <w:sz w:val="22"/>
                <w:lang w:eastAsia="en-GB"/>
              </w:rPr>
            </w:pPr>
            <w:proofErr w:type="spellStart"/>
            <w:r w:rsidRPr="000D7FD8">
              <w:rPr>
                <w:rFonts w:eastAsia="Times New Roman" w:cs="Arial"/>
                <w:b/>
                <w:color w:val="000000"/>
                <w:sz w:val="22"/>
                <w:lang w:eastAsia="en-GB"/>
              </w:rPr>
              <w:t>Hawkinge</w:t>
            </w:r>
            <w:proofErr w:type="spellEnd"/>
          </w:p>
        </w:tc>
      </w:tr>
      <w:tr w:rsidR="00812953" w:rsidRPr="000D7FD8" w:rsidTr="000D7FD8">
        <w:trPr>
          <w:trHeight w:val="710"/>
        </w:trPr>
        <w:tc>
          <w:tcPr>
            <w:tcW w:w="851" w:type="dxa"/>
            <w:shd w:val="clear" w:color="auto" w:fill="auto"/>
            <w:noWrap/>
            <w:hideMark/>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ND3, p.160</w:t>
            </w:r>
          </w:p>
        </w:tc>
        <w:tc>
          <w:tcPr>
            <w:tcW w:w="2409" w:type="dxa"/>
            <w:shd w:val="clear" w:color="auto" w:fill="auto"/>
            <w:hideMark/>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 xml:space="preserve">Land adjacent Kent Battle of Britain Museum, Aerodrome Road, </w:t>
            </w:r>
            <w:proofErr w:type="spellStart"/>
            <w:r w:rsidRPr="000D7FD8">
              <w:rPr>
                <w:rFonts w:eastAsia="Times New Roman" w:cs="Arial"/>
                <w:color w:val="000000"/>
                <w:sz w:val="22"/>
                <w:lang w:eastAsia="en-GB"/>
              </w:rPr>
              <w:t>Hawkinge</w:t>
            </w:r>
            <w:proofErr w:type="spellEnd"/>
            <w:r w:rsidRPr="000D7FD8">
              <w:rPr>
                <w:rFonts w:eastAsia="Times New Roman" w:cs="Arial"/>
                <w:color w:val="000000"/>
                <w:sz w:val="22"/>
                <w:lang w:eastAsia="en-GB"/>
              </w:rPr>
              <w:t xml:space="preserve"> </w:t>
            </w:r>
          </w:p>
        </w:tc>
        <w:tc>
          <w:tcPr>
            <w:tcW w:w="850" w:type="dxa"/>
            <w:shd w:val="clear" w:color="auto" w:fill="auto"/>
            <w:noWrap/>
            <w:hideMark/>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5.5</w:t>
            </w:r>
            <w:r w:rsidR="000D7FD8">
              <w:rPr>
                <w:rFonts w:eastAsia="Times New Roman" w:cs="Arial"/>
                <w:color w:val="000000"/>
                <w:sz w:val="22"/>
                <w:lang w:eastAsia="en-GB"/>
              </w:rPr>
              <w:t xml:space="preserve"> </w:t>
            </w:r>
            <w:r w:rsidRPr="000D7FD8">
              <w:rPr>
                <w:rFonts w:eastAsia="Times New Roman" w:cs="Arial"/>
                <w:color w:val="000000"/>
                <w:sz w:val="22"/>
                <w:lang w:eastAsia="en-GB"/>
              </w:rPr>
              <w:t>ha</w:t>
            </w:r>
          </w:p>
        </w:tc>
        <w:tc>
          <w:tcPr>
            <w:tcW w:w="1843" w:type="dxa"/>
            <w:shd w:val="clear" w:color="auto" w:fill="auto"/>
            <w:noWrap/>
            <w:hideMark/>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100 dwellings</w:t>
            </w:r>
          </w:p>
        </w:tc>
        <w:tc>
          <w:tcPr>
            <w:tcW w:w="2268" w:type="dxa"/>
          </w:tcPr>
          <w:p w:rsidR="00812953" w:rsidRPr="000D7FD8" w:rsidRDefault="00812953" w:rsidP="00E761FA">
            <w:pPr>
              <w:spacing w:after="0" w:line="240" w:lineRule="auto"/>
              <w:ind w:left="0" w:firstLine="0"/>
              <w:rPr>
                <w:rFonts w:eastAsia="Times New Roman" w:cs="Arial"/>
                <w:color w:val="000000"/>
                <w:sz w:val="22"/>
                <w:lang w:eastAsia="en-GB"/>
              </w:rPr>
            </w:pPr>
          </w:p>
        </w:tc>
        <w:tc>
          <w:tcPr>
            <w:tcW w:w="1418" w:type="dxa"/>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 xml:space="preserve">Zone B: </w:t>
            </w:r>
            <w:proofErr w:type="spellStart"/>
            <w:r w:rsidRPr="000D7FD8">
              <w:rPr>
                <w:rFonts w:eastAsia="Times New Roman" w:cs="Arial"/>
                <w:color w:val="000000"/>
                <w:sz w:val="22"/>
                <w:lang w:eastAsia="en-GB"/>
              </w:rPr>
              <w:t>Hawkinge</w:t>
            </w:r>
            <w:proofErr w:type="spellEnd"/>
            <w:r w:rsidR="004E26B6" w:rsidRPr="000D7FD8">
              <w:rPr>
                <w:rFonts w:eastAsia="Times New Roman" w:cs="Arial"/>
                <w:color w:val="000000"/>
                <w:sz w:val="22"/>
                <w:lang w:eastAsia="en-GB"/>
              </w:rPr>
              <w:t xml:space="preserve"> (£50/m</w:t>
            </w:r>
            <w:r w:rsidR="004E26B6" w:rsidRPr="000D7FD8">
              <w:rPr>
                <w:rFonts w:eastAsia="Times New Roman" w:cs="Arial"/>
                <w:color w:val="000000"/>
                <w:sz w:val="22"/>
                <w:vertAlign w:val="superscript"/>
                <w:lang w:eastAsia="en-GB"/>
              </w:rPr>
              <w:t>2</w:t>
            </w:r>
            <w:r w:rsidR="004E26B6" w:rsidRPr="000D7FD8">
              <w:rPr>
                <w:rFonts w:eastAsia="Times New Roman" w:cs="Arial"/>
                <w:color w:val="000000"/>
                <w:sz w:val="22"/>
                <w:lang w:eastAsia="en-GB"/>
              </w:rPr>
              <w:t>)</w:t>
            </w:r>
          </w:p>
        </w:tc>
      </w:tr>
      <w:tr w:rsidR="000D062E" w:rsidRPr="000D7FD8" w:rsidTr="000D7FD8">
        <w:trPr>
          <w:trHeight w:val="381"/>
        </w:trPr>
        <w:tc>
          <w:tcPr>
            <w:tcW w:w="9639" w:type="dxa"/>
            <w:gridSpan w:val="6"/>
            <w:shd w:val="clear" w:color="auto" w:fill="E5DFEC" w:themeFill="accent4" w:themeFillTint="33"/>
            <w:noWrap/>
            <w:vAlign w:val="center"/>
            <w:hideMark/>
          </w:tcPr>
          <w:p w:rsidR="000D062E" w:rsidRPr="000D7FD8" w:rsidRDefault="000D062E" w:rsidP="008C4703">
            <w:pPr>
              <w:spacing w:after="0" w:line="240" w:lineRule="auto"/>
              <w:ind w:left="0" w:firstLine="0"/>
              <w:rPr>
                <w:rFonts w:eastAsia="Times New Roman" w:cs="Arial"/>
                <w:b/>
                <w:color w:val="000000"/>
                <w:sz w:val="22"/>
                <w:lang w:eastAsia="en-GB"/>
              </w:rPr>
            </w:pPr>
            <w:proofErr w:type="spellStart"/>
            <w:r w:rsidRPr="000D7FD8">
              <w:rPr>
                <w:rFonts w:eastAsia="Times New Roman" w:cs="Arial"/>
                <w:b/>
                <w:color w:val="000000"/>
                <w:sz w:val="22"/>
                <w:lang w:eastAsia="en-GB"/>
              </w:rPr>
              <w:t>Lympne</w:t>
            </w:r>
            <w:proofErr w:type="spellEnd"/>
          </w:p>
        </w:tc>
      </w:tr>
      <w:tr w:rsidR="00812953" w:rsidRPr="000D7FD8" w:rsidTr="000D7FD8">
        <w:trPr>
          <w:trHeight w:val="659"/>
        </w:trPr>
        <w:tc>
          <w:tcPr>
            <w:tcW w:w="851" w:type="dxa"/>
            <w:shd w:val="clear" w:color="auto" w:fill="auto"/>
            <w:noWrap/>
            <w:hideMark/>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lastRenderedPageBreak/>
              <w:t>ND7, p.179</w:t>
            </w:r>
          </w:p>
        </w:tc>
        <w:tc>
          <w:tcPr>
            <w:tcW w:w="2409" w:type="dxa"/>
            <w:shd w:val="clear" w:color="auto" w:fill="auto"/>
            <w:hideMark/>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 xml:space="preserve">Former </w:t>
            </w:r>
            <w:proofErr w:type="spellStart"/>
            <w:r w:rsidRPr="000D7FD8">
              <w:rPr>
                <w:rFonts w:eastAsia="Times New Roman" w:cs="Arial"/>
                <w:color w:val="000000"/>
                <w:sz w:val="22"/>
                <w:lang w:eastAsia="en-GB"/>
              </w:rPr>
              <w:t>Lympne</w:t>
            </w:r>
            <w:proofErr w:type="spellEnd"/>
            <w:r w:rsidRPr="000D7FD8">
              <w:rPr>
                <w:rFonts w:eastAsia="Times New Roman" w:cs="Arial"/>
                <w:color w:val="000000"/>
                <w:sz w:val="22"/>
                <w:lang w:eastAsia="en-GB"/>
              </w:rPr>
              <w:t xml:space="preserve"> Airfield </w:t>
            </w:r>
          </w:p>
        </w:tc>
        <w:tc>
          <w:tcPr>
            <w:tcW w:w="850" w:type="dxa"/>
            <w:shd w:val="clear" w:color="auto" w:fill="auto"/>
            <w:noWrap/>
            <w:hideMark/>
          </w:tcPr>
          <w:p w:rsidR="00812953" w:rsidRPr="000D7FD8" w:rsidRDefault="00812953" w:rsidP="000D7FD8">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40</w:t>
            </w:r>
            <w:r w:rsidR="000D7FD8">
              <w:rPr>
                <w:rFonts w:eastAsia="Times New Roman" w:cs="Arial"/>
                <w:color w:val="000000"/>
                <w:sz w:val="22"/>
                <w:lang w:eastAsia="en-GB"/>
              </w:rPr>
              <w:t xml:space="preserve"> </w:t>
            </w:r>
            <w:r w:rsidRPr="000D7FD8">
              <w:rPr>
                <w:rFonts w:eastAsia="Times New Roman" w:cs="Arial"/>
                <w:color w:val="000000"/>
                <w:sz w:val="22"/>
                <w:lang w:eastAsia="en-GB"/>
              </w:rPr>
              <w:t xml:space="preserve">ha </w:t>
            </w:r>
          </w:p>
        </w:tc>
        <w:tc>
          <w:tcPr>
            <w:tcW w:w="1843" w:type="dxa"/>
            <w:shd w:val="clear" w:color="auto" w:fill="auto"/>
            <w:noWrap/>
            <w:hideMark/>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125 dwellings</w:t>
            </w:r>
          </w:p>
        </w:tc>
        <w:tc>
          <w:tcPr>
            <w:tcW w:w="2268" w:type="dxa"/>
          </w:tcPr>
          <w:p w:rsidR="00812953" w:rsidRPr="000D7FD8" w:rsidRDefault="000D7FD8"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7</w:t>
            </w:r>
            <w:r>
              <w:rPr>
                <w:rFonts w:eastAsia="Times New Roman" w:cs="Arial"/>
                <w:color w:val="000000"/>
                <w:sz w:val="22"/>
                <w:lang w:eastAsia="en-GB"/>
              </w:rPr>
              <w:t xml:space="preserve"> </w:t>
            </w:r>
            <w:r w:rsidRPr="000D7FD8">
              <w:rPr>
                <w:rFonts w:eastAsia="Times New Roman" w:cs="Arial"/>
                <w:color w:val="000000"/>
                <w:sz w:val="22"/>
                <w:lang w:eastAsia="en-GB"/>
              </w:rPr>
              <w:t>ha developable</w:t>
            </w:r>
          </w:p>
        </w:tc>
        <w:tc>
          <w:tcPr>
            <w:tcW w:w="1418" w:type="dxa"/>
          </w:tcPr>
          <w:p w:rsidR="00812953" w:rsidRPr="000D7FD8" w:rsidRDefault="00812953" w:rsidP="00E761FA">
            <w:pPr>
              <w:spacing w:after="0" w:line="240" w:lineRule="auto"/>
              <w:ind w:left="0" w:firstLine="0"/>
              <w:rPr>
                <w:rFonts w:eastAsia="Times New Roman" w:cs="Arial"/>
                <w:color w:val="000000"/>
                <w:sz w:val="22"/>
                <w:lang w:eastAsia="en-GB"/>
              </w:rPr>
            </w:pPr>
            <w:r w:rsidRPr="000D7FD8">
              <w:rPr>
                <w:rFonts w:eastAsia="Times New Roman" w:cs="Arial"/>
                <w:color w:val="000000"/>
                <w:sz w:val="22"/>
                <w:lang w:eastAsia="en-GB"/>
              </w:rPr>
              <w:t>Zone C: Hythe</w:t>
            </w:r>
            <w:r w:rsidR="004E26B6" w:rsidRPr="000D7FD8">
              <w:rPr>
                <w:rFonts w:eastAsia="Times New Roman" w:cs="Arial"/>
                <w:color w:val="000000"/>
                <w:sz w:val="22"/>
                <w:lang w:eastAsia="en-GB"/>
              </w:rPr>
              <w:t xml:space="preserve"> (£100/m</w:t>
            </w:r>
            <w:r w:rsidR="004E26B6" w:rsidRPr="000D7FD8">
              <w:rPr>
                <w:rFonts w:eastAsia="Times New Roman" w:cs="Arial"/>
                <w:color w:val="000000"/>
                <w:sz w:val="22"/>
                <w:vertAlign w:val="superscript"/>
                <w:lang w:eastAsia="en-GB"/>
              </w:rPr>
              <w:t>2</w:t>
            </w:r>
            <w:r w:rsidR="004E26B6" w:rsidRPr="000D7FD8">
              <w:rPr>
                <w:rFonts w:eastAsia="Times New Roman" w:cs="Arial"/>
                <w:color w:val="000000"/>
                <w:sz w:val="22"/>
                <w:lang w:eastAsia="en-GB"/>
              </w:rPr>
              <w:t>)</w:t>
            </w:r>
          </w:p>
        </w:tc>
      </w:tr>
    </w:tbl>
    <w:p w:rsidR="000D062E" w:rsidRDefault="000D062E" w:rsidP="004E26B6">
      <w:pPr>
        <w:spacing w:after="360" w:line="240" w:lineRule="auto"/>
        <w:ind w:left="0" w:firstLine="0"/>
        <w:rPr>
          <w:sz w:val="22"/>
        </w:rPr>
      </w:pPr>
    </w:p>
    <w:p w:rsidR="00F4440D" w:rsidRPr="00327FCA" w:rsidRDefault="00B64C25" w:rsidP="000D7FD8">
      <w:pPr>
        <w:spacing w:line="240" w:lineRule="auto"/>
        <w:ind w:left="567" w:hanging="567"/>
        <w:rPr>
          <w:szCs w:val="24"/>
        </w:rPr>
      </w:pPr>
      <w:r>
        <w:rPr>
          <w:szCs w:val="24"/>
        </w:rPr>
        <w:t xml:space="preserve">5.9   </w:t>
      </w:r>
      <w:r w:rsidR="00F4440D" w:rsidRPr="00327FCA">
        <w:rPr>
          <w:szCs w:val="24"/>
        </w:rPr>
        <w:t xml:space="preserve">Sites with recent planning permissions, subject to current planning applications or where there is known </w:t>
      </w:r>
      <w:r w:rsidR="00CA5376">
        <w:rPr>
          <w:szCs w:val="24"/>
        </w:rPr>
        <w:t xml:space="preserve">current </w:t>
      </w:r>
      <w:r w:rsidR="00F4440D" w:rsidRPr="00327FCA">
        <w:rPr>
          <w:szCs w:val="24"/>
        </w:rPr>
        <w:t xml:space="preserve">developer interest are excluded from </w:t>
      </w:r>
      <w:r w:rsidRPr="00327FCA">
        <w:rPr>
          <w:szCs w:val="24"/>
        </w:rPr>
        <w:t>the assessment</w:t>
      </w:r>
      <w:r>
        <w:rPr>
          <w:szCs w:val="24"/>
        </w:rPr>
        <w:t xml:space="preserve"> and Table 1</w:t>
      </w:r>
      <w:r w:rsidR="00F4440D" w:rsidRPr="00327FCA">
        <w:rPr>
          <w:szCs w:val="24"/>
        </w:rPr>
        <w:t xml:space="preserve">. </w:t>
      </w:r>
    </w:p>
    <w:p w:rsidR="000D062E" w:rsidRPr="00327FCA" w:rsidRDefault="00F4440D" w:rsidP="00F4440D">
      <w:pPr>
        <w:spacing w:line="240" w:lineRule="auto"/>
        <w:ind w:left="567" w:firstLine="0"/>
        <w:rPr>
          <w:szCs w:val="24"/>
          <w:u w:val="single"/>
        </w:rPr>
      </w:pPr>
      <w:r w:rsidRPr="00327FCA">
        <w:rPr>
          <w:szCs w:val="24"/>
          <w:u w:val="single"/>
        </w:rPr>
        <w:t>Site typology assessments</w:t>
      </w:r>
    </w:p>
    <w:p w:rsidR="00A0612B" w:rsidRPr="00327FCA" w:rsidRDefault="00327FCA" w:rsidP="00A1403E">
      <w:pPr>
        <w:spacing w:line="240" w:lineRule="auto"/>
        <w:ind w:left="567" w:hanging="567"/>
        <w:rPr>
          <w:szCs w:val="24"/>
        </w:rPr>
      </w:pPr>
      <w:proofErr w:type="gramStart"/>
      <w:r>
        <w:rPr>
          <w:szCs w:val="24"/>
        </w:rPr>
        <w:t xml:space="preserve">5.10  </w:t>
      </w:r>
      <w:r w:rsidR="00A0612B" w:rsidRPr="00327FCA">
        <w:rPr>
          <w:szCs w:val="24"/>
        </w:rPr>
        <w:t>Excluding</w:t>
      </w:r>
      <w:proofErr w:type="gramEnd"/>
      <w:r w:rsidR="00A0612B" w:rsidRPr="00327FCA">
        <w:rPr>
          <w:szCs w:val="24"/>
        </w:rPr>
        <w:t xml:space="preserve"> the key sites listed </w:t>
      </w:r>
      <w:r w:rsidR="00A227B5" w:rsidRPr="00327FCA">
        <w:rPr>
          <w:szCs w:val="24"/>
        </w:rPr>
        <w:t xml:space="preserve">for individual viability assessment </w:t>
      </w:r>
      <w:r w:rsidR="00A0612B" w:rsidRPr="00327FCA">
        <w:rPr>
          <w:szCs w:val="24"/>
        </w:rPr>
        <w:t>(Table 1), and the sites with kn</w:t>
      </w:r>
      <w:r w:rsidR="00F4440D" w:rsidRPr="00327FCA">
        <w:rPr>
          <w:szCs w:val="24"/>
        </w:rPr>
        <w:t>own developer interest</w:t>
      </w:r>
      <w:r w:rsidR="00923D55" w:rsidRPr="00327FCA">
        <w:rPr>
          <w:szCs w:val="24"/>
        </w:rPr>
        <w:t xml:space="preserve">, there are </w:t>
      </w:r>
      <w:r w:rsidR="00317935">
        <w:rPr>
          <w:szCs w:val="24"/>
        </w:rPr>
        <w:t>29</w:t>
      </w:r>
      <w:r w:rsidR="00923D55" w:rsidRPr="00327FCA">
        <w:rPr>
          <w:szCs w:val="24"/>
        </w:rPr>
        <w:t xml:space="preserve"> remaining</w:t>
      </w:r>
      <w:r w:rsidR="00A0612B" w:rsidRPr="00327FCA">
        <w:rPr>
          <w:szCs w:val="24"/>
        </w:rPr>
        <w:t xml:space="preserve"> </w:t>
      </w:r>
      <w:r w:rsidR="00A64298" w:rsidRPr="00327FCA">
        <w:rPr>
          <w:szCs w:val="24"/>
        </w:rPr>
        <w:t>residential</w:t>
      </w:r>
      <w:r w:rsidR="00A0612B" w:rsidRPr="00327FCA">
        <w:rPr>
          <w:szCs w:val="24"/>
        </w:rPr>
        <w:t xml:space="preserve"> site</w:t>
      </w:r>
      <w:r w:rsidR="00923D55" w:rsidRPr="00327FCA">
        <w:rPr>
          <w:szCs w:val="24"/>
        </w:rPr>
        <w:t xml:space="preserve"> allocations (site</w:t>
      </w:r>
      <w:r w:rsidR="00A0612B" w:rsidRPr="00327FCA">
        <w:rPr>
          <w:szCs w:val="24"/>
        </w:rPr>
        <w:t>s</w:t>
      </w:r>
      <w:r w:rsidR="00A64298" w:rsidRPr="00327FCA">
        <w:rPr>
          <w:szCs w:val="24"/>
        </w:rPr>
        <w:t xml:space="preserve"> with a capacity of 49 dwellings or below</w:t>
      </w:r>
      <w:r w:rsidR="00923D55" w:rsidRPr="00327FCA">
        <w:rPr>
          <w:szCs w:val="24"/>
        </w:rPr>
        <w:t>)</w:t>
      </w:r>
      <w:r w:rsidR="00A64298" w:rsidRPr="00327FCA">
        <w:rPr>
          <w:szCs w:val="24"/>
        </w:rPr>
        <w:t xml:space="preserve">. </w:t>
      </w:r>
      <w:r w:rsidR="00923D55" w:rsidRPr="00327FCA">
        <w:rPr>
          <w:szCs w:val="24"/>
        </w:rPr>
        <w:t>For information the</w:t>
      </w:r>
      <w:r w:rsidR="004B33EA" w:rsidRPr="00327FCA">
        <w:rPr>
          <w:szCs w:val="24"/>
        </w:rPr>
        <w:t xml:space="preserve">se are listed in </w:t>
      </w:r>
      <w:r w:rsidR="00A1403E" w:rsidRPr="00327FCA">
        <w:rPr>
          <w:szCs w:val="24"/>
        </w:rPr>
        <w:t xml:space="preserve">Appendix </w:t>
      </w:r>
      <w:r w:rsidR="008758D2">
        <w:rPr>
          <w:szCs w:val="24"/>
        </w:rPr>
        <w:t>A</w:t>
      </w:r>
      <w:r w:rsidR="00527E7E">
        <w:rPr>
          <w:szCs w:val="24"/>
        </w:rPr>
        <w:t>3</w:t>
      </w:r>
      <w:r w:rsidR="00A1403E" w:rsidRPr="00327FCA">
        <w:rPr>
          <w:szCs w:val="24"/>
        </w:rPr>
        <w:t>.</w:t>
      </w:r>
    </w:p>
    <w:p w:rsidR="000D062E" w:rsidRPr="00327FCA" w:rsidRDefault="00A1403E" w:rsidP="00A1403E">
      <w:pPr>
        <w:spacing w:line="240" w:lineRule="auto"/>
        <w:ind w:left="567" w:hanging="567"/>
        <w:rPr>
          <w:szCs w:val="24"/>
        </w:rPr>
      </w:pPr>
      <w:r w:rsidRPr="00327FCA">
        <w:rPr>
          <w:szCs w:val="24"/>
        </w:rPr>
        <w:t>5.11</w:t>
      </w:r>
      <w:r w:rsidRPr="00327FCA">
        <w:rPr>
          <w:szCs w:val="24"/>
        </w:rPr>
        <w:tab/>
      </w:r>
      <w:r w:rsidR="004B33EA" w:rsidRPr="00327FCA">
        <w:rPr>
          <w:szCs w:val="24"/>
        </w:rPr>
        <w:t>It is proposed that these sites are tested through the creation of a limited number of site typologies, based on the following considerations:</w:t>
      </w:r>
    </w:p>
    <w:p w:rsidR="004B33EA" w:rsidRPr="00327FCA" w:rsidRDefault="00ED7286" w:rsidP="004B33EA">
      <w:pPr>
        <w:pStyle w:val="ListParagraph"/>
        <w:numPr>
          <w:ilvl w:val="0"/>
          <w:numId w:val="4"/>
        </w:numPr>
        <w:spacing w:after="0" w:line="240" w:lineRule="auto"/>
        <w:ind w:left="851" w:hanging="284"/>
        <w:contextualSpacing w:val="0"/>
        <w:rPr>
          <w:szCs w:val="24"/>
        </w:rPr>
      </w:pPr>
      <w:r>
        <w:rPr>
          <w:szCs w:val="24"/>
        </w:rPr>
        <w:t xml:space="preserve">Whether the site is </w:t>
      </w:r>
      <w:proofErr w:type="spellStart"/>
      <w:r>
        <w:rPr>
          <w:szCs w:val="24"/>
        </w:rPr>
        <w:t>g</w:t>
      </w:r>
      <w:r w:rsidR="004B33EA" w:rsidRPr="00327FCA">
        <w:rPr>
          <w:szCs w:val="24"/>
        </w:rPr>
        <w:t>reenfield</w:t>
      </w:r>
      <w:proofErr w:type="spellEnd"/>
      <w:r w:rsidR="004B33EA" w:rsidRPr="00327FCA">
        <w:rPr>
          <w:szCs w:val="24"/>
        </w:rPr>
        <w:t xml:space="preserve"> or previously developed land</w:t>
      </w:r>
    </w:p>
    <w:p w:rsidR="004B33EA" w:rsidRPr="00327FCA" w:rsidRDefault="00ED7286" w:rsidP="004B33EA">
      <w:pPr>
        <w:pStyle w:val="ListParagraph"/>
        <w:numPr>
          <w:ilvl w:val="0"/>
          <w:numId w:val="4"/>
        </w:numPr>
        <w:spacing w:after="0" w:line="240" w:lineRule="auto"/>
        <w:ind w:left="851" w:hanging="284"/>
        <w:contextualSpacing w:val="0"/>
        <w:rPr>
          <w:szCs w:val="24"/>
        </w:rPr>
      </w:pPr>
      <w:r>
        <w:rPr>
          <w:szCs w:val="24"/>
        </w:rPr>
        <w:t xml:space="preserve">The </w:t>
      </w:r>
      <w:r w:rsidR="004B33EA" w:rsidRPr="00327FCA">
        <w:rPr>
          <w:szCs w:val="24"/>
        </w:rPr>
        <w:t xml:space="preserve">CIL zone </w:t>
      </w:r>
      <w:r>
        <w:rPr>
          <w:szCs w:val="24"/>
        </w:rPr>
        <w:t>that the site is located within</w:t>
      </w:r>
    </w:p>
    <w:p w:rsidR="004B33EA" w:rsidRPr="00327FCA" w:rsidRDefault="00ED7286" w:rsidP="004B33EA">
      <w:pPr>
        <w:pStyle w:val="ListParagraph"/>
        <w:numPr>
          <w:ilvl w:val="0"/>
          <w:numId w:val="4"/>
        </w:numPr>
        <w:spacing w:after="0" w:line="240" w:lineRule="auto"/>
        <w:ind w:left="851" w:hanging="284"/>
        <w:contextualSpacing w:val="0"/>
        <w:rPr>
          <w:szCs w:val="24"/>
        </w:rPr>
      </w:pPr>
      <w:r>
        <w:rPr>
          <w:szCs w:val="24"/>
        </w:rPr>
        <w:t>Whether the allocation is above or below the a</w:t>
      </w:r>
      <w:r w:rsidR="004B33EA" w:rsidRPr="00327FCA">
        <w:rPr>
          <w:szCs w:val="24"/>
        </w:rPr>
        <w:t>ffordable housing threshold</w:t>
      </w:r>
    </w:p>
    <w:p w:rsidR="004B33EA" w:rsidRPr="00327FCA" w:rsidRDefault="00ED7286" w:rsidP="004B33EA">
      <w:pPr>
        <w:pStyle w:val="ListParagraph"/>
        <w:numPr>
          <w:ilvl w:val="0"/>
          <w:numId w:val="4"/>
        </w:numPr>
        <w:spacing w:line="240" w:lineRule="auto"/>
        <w:ind w:left="851" w:hanging="284"/>
        <w:contextualSpacing w:val="0"/>
        <w:rPr>
          <w:szCs w:val="24"/>
        </w:rPr>
      </w:pPr>
      <w:r>
        <w:rPr>
          <w:szCs w:val="24"/>
        </w:rPr>
        <w:t>Whether the allocation is above or below the t</w:t>
      </w:r>
      <w:r w:rsidR="004B33EA" w:rsidRPr="00327FCA">
        <w:rPr>
          <w:szCs w:val="24"/>
        </w:rPr>
        <w:t xml:space="preserve">hreshold for provision of self-build/custom build plots </w:t>
      </w:r>
      <w:r>
        <w:rPr>
          <w:szCs w:val="24"/>
        </w:rPr>
        <w:t>(</w:t>
      </w:r>
      <w:r w:rsidR="004B33EA" w:rsidRPr="00327FCA">
        <w:rPr>
          <w:szCs w:val="24"/>
        </w:rPr>
        <w:t>in line with Places and Policies Local Plan Policy HB6</w:t>
      </w:r>
      <w:r>
        <w:rPr>
          <w:szCs w:val="24"/>
        </w:rPr>
        <w:t>)</w:t>
      </w:r>
    </w:p>
    <w:p w:rsidR="000D062E" w:rsidRDefault="00A1403E" w:rsidP="00F86210">
      <w:pPr>
        <w:spacing w:after="360" w:line="240" w:lineRule="auto"/>
        <w:ind w:left="567" w:hanging="567"/>
        <w:rPr>
          <w:b/>
          <w:szCs w:val="24"/>
        </w:rPr>
      </w:pPr>
      <w:r w:rsidRPr="00327FCA">
        <w:rPr>
          <w:szCs w:val="24"/>
        </w:rPr>
        <w:t>5.12</w:t>
      </w:r>
      <w:r w:rsidRPr="00327FCA">
        <w:rPr>
          <w:szCs w:val="24"/>
        </w:rPr>
        <w:tab/>
      </w:r>
      <w:r w:rsidR="004B33EA" w:rsidRPr="00327FCA">
        <w:rPr>
          <w:b/>
          <w:szCs w:val="24"/>
        </w:rPr>
        <w:t xml:space="preserve">Following this, it is proposed that </w:t>
      </w:r>
      <w:r w:rsidRPr="00327FCA">
        <w:rPr>
          <w:b/>
          <w:szCs w:val="24"/>
        </w:rPr>
        <w:t xml:space="preserve">seven generic site typologies are tested as listed in Table 2. </w:t>
      </w:r>
    </w:p>
    <w:p w:rsidR="00ED7286" w:rsidRDefault="00ED7286" w:rsidP="00F86210">
      <w:pPr>
        <w:spacing w:after="360" w:line="240" w:lineRule="auto"/>
        <w:ind w:left="567" w:hanging="567"/>
        <w:rPr>
          <w:b/>
          <w:szCs w:val="24"/>
        </w:rPr>
      </w:pPr>
    </w:p>
    <w:p w:rsidR="00ED7286" w:rsidRDefault="00ED7286" w:rsidP="00F86210">
      <w:pPr>
        <w:spacing w:after="360" w:line="240" w:lineRule="auto"/>
        <w:ind w:left="567" w:hanging="567"/>
        <w:rPr>
          <w:b/>
          <w:szCs w:val="24"/>
        </w:rPr>
      </w:pPr>
    </w:p>
    <w:p w:rsidR="00ED7286" w:rsidRDefault="00ED7286" w:rsidP="00F86210">
      <w:pPr>
        <w:spacing w:after="360" w:line="240" w:lineRule="auto"/>
        <w:ind w:left="567" w:hanging="567"/>
        <w:rPr>
          <w:b/>
          <w:szCs w:val="24"/>
        </w:rPr>
      </w:pPr>
    </w:p>
    <w:p w:rsidR="00ED7286" w:rsidRDefault="00ED7286" w:rsidP="00B64C25">
      <w:pPr>
        <w:spacing w:after="360" w:line="240" w:lineRule="auto"/>
        <w:ind w:left="0" w:firstLine="0"/>
        <w:rPr>
          <w:b/>
          <w:szCs w:val="24"/>
        </w:rPr>
      </w:pPr>
    </w:p>
    <w:p w:rsidR="006466DD" w:rsidRDefault="006466DD" w:rsidP="00B64C25">
      <w:pPr>
        <w:spacing w:after="360" w:line="240" w:lineRule="auto"/>
        <w:ind w:left="0" w:firstLine="0"/>
        <w:rPr>
          <w:b/>
          <w:szCs w:val="24"/>
        </w:rPr>
      </w:pPr>
    </w:p>
    <w:p w:rsidR="00527E7E" w:rsidRDefault="00527E7E" w:rsidP="00B64C25">
      <w:pPr>
        <w:spacing w:after="360" w:line="240" w:lineRule="auto"/>
        <w:ind w:left="0" w:firstLine="0"/>
        <w:rPr>
          <w:b/>
          <w:szCs w:val="24"/>
        </w:rPr>
      </w:pPr>
    </w:p>
    <w:p w:rsidR="00527E7E" w:rsidRPr="00327FCA" w:rsidRDefault="00527E7E" w:rsidP="00B64C25">
      <w:pPr>
        <w:spacing w:after="360" w:line="240" w:lineRule="auto"/>
        <w:ind w:left="0" w:firstLine="0"/>
        <w:rPr>
          <w:b/>
          <w:szCs w:val="24"/>
        </w:rPr>
      </w:pPr>
    </w:p>
    <w:tbl>
      <w:tblPr>
        <w:tblW w:w="964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135"/>
        <w:gridCol w:w="8505"/>
      </w:tblGrid>
      <w:tr w:rsidR="00A1403E" w:rsidRPr="00ED7286" w:rsidTr="000D7FD8">
        <w:trPr>
          <w:trHeight w:val="398"/>
          <w:tblHeader/>
        </w:trPr>
        <w:tc>
          <w:tcPr>
            <w:tcW w:w="9640" w:type="dxa"/>
            <w:gridSpan w:val="2"/>
            <w:shd w:val="clear" w:color="auto" w:fill="E5DFEC" w:themeFill="accent4" w:themeFillTint="33"/>
            <w:noWrap/>
            <w:vAlign w:val="center"/>
            <w:hideMark/>
          </w:tcPr>
          <w:p w:rsidR="00A1403E" w:rsidRPr="00ED7286" w:rsidRDefault="00A1403E" w:rsidP="00A1403E">
            <w:pPr>
              <w:spacing w:after="0" w:line="240" w:lineRule="auto"/>
              <w:ind w:left="0" w:firstLine="0"/>
              <w:rPr>
                <w:rFonts w:eastAsia="Times New Roman" w:cs="Arial"/>
                <w:b/>
                <w:color w:val="000000"/>
                <w:sz w:val="22"/>
                <w:lang w:eastAsia="en-GB"/>
              </w:rPr>
            </w:pPr>
            <w:r w:rsidRPr="00ED7286">
              <w:rPr>
                <w:rFonts w:eastAsia="Times New Roman" w:cs="Arial"/>
                <w:b/>
                <w:color w:val="000000"/>
                <w:sz w:val="22"/>
                <w:lang w:eastAsia="en-GB"/>
              </w:rPr>
              <w:lastRenderedPageBreak/>
              <w:t>Table 2: Places and Policies Local Plan – Generic Site Typologies</w:t>
            </w:r>
          </w:p>
        </w:tc>
      </w:tr>
      <w:tr w:rsidR="00597BDA" w:rsidRPr="00ED7286" w:rsidTr="000D7FD8">
        <w:trPr>
          <w:trHeight w:val="499"/>
          <w:tblHeader/>
        </w:trPr>
        <w:tc>
          <w:tcPr>
            <w:tcW w:w="1135" w:type="dxa"/>
            <w:shd w:val="clear" w:color="auto" w:fill="E5DFEC" w:themeFill="accent4" w:themeFillTint="33"/>
            <w:noWrap/>
            <w:vAlign w:val="center"/>
            <w:hideMark/>
          </w:tcPr>
          <w:p w:rsidR="00597BDA" w:rsidRPr="00ED7286" w:rsidRDefault="000D7FD8" w:rsidP="000D7FD8">
            <w:pPr>
              <w:spacing w:after="0" w:line="240" w:lineRule="auto"/>
              <w:ind w:left="0" w:firstLine="0"/>
              <w:jc w:val="center"/>
              <w:rPr>
                <w:rFonts w:eastAsia="Times New Roman" w:cs="Arial"/>
                <w:b/>
                <w:color w:val="000000"/>
                <w:sz w:val="22"/>
                <w:lang w:eastAsia="en-GB"/>
              </w:rPr>
            </w:pPr>
            <w:r w:rsidRPr="00ED7286">
              <w:rPr>
                <w:rFonts w:eastAsia="Times New Roman" w:cs="Arial"/>
                <w:b/>
                <w:color w:val="000000"/>
                <w:sz w:val="22"/>
                <w:lang w:eastAsia="en-GB"/>
              </w:rPr>
              <w:t>T</w:t>
            </w:r>
            <w:r w:rsidR="00597BDA" w:rsidRPr="00ED7286">
              <w:rPr>
                <w:rFonts w:eastAsia="Times New Roman" w:cs="Arial"/>
                <w:b/>
                <w:color w:val="000000"/>
                <w:sz w:val="22"/>
                <w:lang w:eastAsia="en-GB"/>
              </w:rPr>
              <w:t>ypology</w:t>
            </w:r>
          </w:p>
        </w:tc>
        <w:tc>
          <w:tcPr>
            <w:tcW w:w="8505" w:type="dxa"/>
            <w:shd w:val="clear" w:color="auto" w:fill="E5DFEC" w:themeFill="accent4" w:themeFillTint="33"/>
            <w:noWrap/>
            <w:vAlign w:val="center"/>
            <w:hideMark/>
          </w:tcPr>
          <w:p w:rsidR="00597BDA" w:rsidRPr="00ED7286" w:rsidRDefault="00597BDA" w:rsidP="00597BDA">
            <w:pPr>
              <w:spacing w:after="0" w:line="240" w:lineRule="auto"/>
              <w:ind w:left="0" w:firstLine="0"/>
              <w:rPr>
                <w:rFonts w:eastAsia="Times New Roman" w:cs="Arial"/>
                <w:b/>
                <w:color w:val="000000"/>
                <w:sz w:val="22"/>
                <w:lang w:eastAsia="en-GB"/>
              </w:rPr>
            </w:pPr>
            <w:r w:rsidRPr="00ED7286">
              <w:rPr>
                <w:rFonts w:eastAsia="Times New Roman" w:cs="Arial"/>
                <w:b/>
                <w:color w:val="000000"/>
                <w:sz w:val="22"/>
                <w:lang w:eastAsia="en-GB"/>
              </w:rPr>
              <w:t>Description</w:t>
            </w:r>
          </w:p>
        </w:tc>
      </w:tr>
      <w:tr w:rsidR="00597BDA" w:rsidRPr="00ED7286" w:rsidTr="000D7FD8">
        <w:trPr>
          <w:trHeight w:val="388"/>
          <w:tblHeader/>
        </w:trPr>
        <w:tc>
          <w:tcPr>
            <w:tcW w:w="1135" w:type="dxa"/>
            <w:shd w:val="clear" w:color="auto" w:fill="auto"/>
            <w:noWrap/>
            <w:vAlign w:val="center"/>
            <w:hideMark/>
          </w:tcPr>
          <w:p w:rsidR="00597BDA" w:rsidRPr="00ED7286" w:rsidRDefault="000D7FD8" w:rsidP="000D7FD8">
            <w:pPr>
              <w:spacing w:after="0" w:line="240" w:lineRule="auto"/>
              <w:ind w:left="0" w:firstLine="0"/>
              <w:jc w:val="center"/>
              <w:rPr>
                <w:rFonts w:eastAsia="Times New Roman" w:cs="Arial"/>
                <w:color w:val="000000"/>
                <w:sz w:val="22"/>
                <w:lang w:eastAsia="en-GB"/>
              </w:rPr>
            </w:pPr>
            <w:r w:rsidRPr="00ED7286">
              <w:rPr>
                <w:rFonts w:eastAsia="Times New Roman" w:cs="Arial"/>
                <w:color w:val="000000"/>
                <w:sz w:val="22"/>
                <w:lang w:eastAsia="en-GB"/>
              </w:rPr>
              <w:t>A</w:t>
            </w:r>
          </w:p>
        </w:tc>
        <w:tc>
          <w:tcPr>
            <w:tcW w:w="8505" w:type="dxa"/>
            <w:shd w:val="clear" w:color="auto" w:fill="auto"/>
            <w:noWrap/>
            <w:vAlign w:val="center"/>
            <w:hideMark/>
          </w:tcPr>
          <w:p w:rsidR="00597BDA" w:rsidRPr="00ED7286" w:rsidRDefault="00597BDA" w:rsidP="008F7D16">
            <w:pPr>
              <w:spacing w:after="0" w:line="240" w:lineRule="auto"/>
              <w:ind w:left="0" w:firstLine="0"/>
              <w:rPr>
                <w:rFonts w:eastAsia="Times New Roman" w:cs="Arial"/>
                <w:color w:val="000000"/>
                <w:sz w:val="22"/>
                <w:lang w:eastAsia="en-GB"/>
              </w:rPr>
            </w:pPr>
            <w:r w:rsidRPr="00ED7286">
              <w:rPr>
                <w:rFonts w:eastAsia="Times New Roman" w:cs="Arial"/>
                <w:color w:val="000000"/>
                <w:sz w:val="22"/>
                <w:lang w:eastAsia="en-GB"/>
              </w:rPr>
              <w:t xml:space="preserve">Rural </w:t>
            </w:r>
            <w:proofErr w:type="spellStart"/>
            <w:r w:rsidRPr="00ED7286">
              <w:rPr>
                <w:rFonts w:eastAsia="Times New Roman" w:cs="Arial"/>
                <w:color w:val="000000"/>
                <w:sz w:val="22"/>
                <w:lang w:eastAsia="en-GB"/>
              </w:rPr>
              <w:t>greenfield</w:t>
            </w:r>
            <w:proofErr w:type="spellEnd"/>
            <w:r w:rsidRPr="00ED7286">
              <w:rPr>
                <w:rFonts w:eastAsia="Times New Roman" w:cs="Arial"/>
                <w:color w:val="000000"/>
                <w:sz w:val="22"/>
                <w:lang w:eastAsia="en-GB"/>
              </w:rPr>
              <w:t xml:space="preserve"> site. 5 dwellings. </w:t>
            </w:r>
            <w:r w:rsidR="00ED7286">
              <w:rPr>
                <w:rFonts w:eastAsia="Times New Roman" w:cs="Arial"/>
                <w:color w:val="000000"/>
                <w:sz w:val="22"/>
                <w:lang w:eastAsia="en-GB"/>
              </w:rPr>
              <w:t xml:space="preserve">CIL </w:t>
            </w:r>
            <w:r w:rsidRPr="00ED7286">
              <w:rPr>
                <w:rFonts w:eastAsia="Times New Roman" w:cs="Arial"/>
                <w:color w:val="000000"/>
                <w:sz w:val="22"/>
                <w:lang w:eastAsia="en-GB"/>
              </w:rPr>
              <w:t>Zone D</w:t>
            </w:r>
            <w:r w:rsidR="008F7D16" w:rsidRPr="00ED7286">
              <w:rPr>
                <w:rFonts w:eastAsia="Times New Roman" w:cs="Arial"/>
                <w:color w:val="000000"/>
                <w:sz w:val="22"/>
                <w:lang w:eastAsia="en-GB"/>
              </w:rPr>
              <w:t>:</w:t>
            </w:r>
            <w:r w:rsidRPr="00ED7286">
              <w:rPr>
                <w:rFonts w:eastAsia="Times New Roman" w:cs="Arial"/>
                <w:color w:val="000000"/>
                <w:sz w:val="22"/>
                <w:lang w:eastAsia="en-GB"/>
              </w:rPr>
              <w:t xml:space="preserve"> </w:t>
            </w:r>
            <w:proofErr w:type="spellStart"/>
            <w:r w:rsidR="008F7D16" w:rsidRPr="00ED7286">
              <w:rPr>
                <w:rFonts w:eastAsia="Times New Roman" w:cs="Arial"/>
                <w:color w:val="000000"/>
                <w:sz w:val="22"/>
                <w:lang w:eastAsia="en-GB"/>
              </w:rPr>
              <w:t>Elham</w:t>
            </w:r>
            <w:proofErr w:type="spellEnd"/>
            <w:r w:rsidR="008F7D16" w:rsidRPr="00ED7286">
              <w:rPr>
                <w:rFonts w:eastAsia="Times New Roman" w:cs="Arial"/>
                <w:color w:val="000000"/>
                <w:sz w:val="22"/>
                <w:lang w:eastAsia="en-GB"/>
              </w:rPr>
              <w:t xml:space="preserve"> </w:t>
            </w:r>
            <w:r w:rsidRPr="00ED7286">
              <w:rPr>
                <w:rFonts w:eastAsia="Times New Roman" w:cs="Arial"/>
                <w:color w:val="000000"/>
                <w:sz w:val="22"/>
                <w:lang w:eastAsia="en-GB"/>
              </w:rPr>
              <w:t>(£125/m</w:t>
            </w:r>
            <w:r w:rsidRPr="00ED7286">
              <w:rPr>
                <w:rFonts w:eastAsia="Times New Roman" w:cs="Arial"/>
                <w:color w:val="000000"/>
                <w:sz w:val="22"/>
                <w:vertAlign w:val="superscript"/>
                <w:lang w:eastAsia="en-GB"/>
              </w:rPr>
              <w:t>2</w:t>
            </w:r>
            <w:r w:rsidR="008F7D16" w:rsidRPr="00ED7286">
              <w:rPr>
                <w:rFonts w:eastAsia="Times New Roman" w:cs="Arial"/>
                <w:color w:val="000000"/>
                <w:sz w:val="22"/>
                <w:lang w:eastAsia="en-GB"/>
              </w:rPr>
              <w:t>)</w:t>
            </w:r>
            <w:r w:rsidRPr="00ED7286">
              <w:rPr>
                <w:rFonts w:eastAsia="Times New Roman" w:cs="Arial"/>
                <w:color w:val="000000"/>
                <w:sz w:val="22"/>
                <w:lang w:eastAsia="en-GB"/>
              </w:rPr>
              <w:t>.</w:t>
            </w:r>
          </w:p>
        </w:tc>
      </w:tr>
      <w:tr w:rsidR="00597BDA" w:rsidRPr="00ED7286" w:rsidTr="000D7FD8">
        <w:trPr>
          <w:trHeight w:val="388"/>
          <w:tblHeader/>
        </w:trPr>
        <w:tc>
          <w:tcPr>
            <w:tcW w:w="1135" w:type="dxa"/>
            <w:shd w:val="clear" w:color="auto" w:fill="auto"/>
            <w:noWrap/>
            <w:vAlign w:val="center"/>
            <w:hideMark/>
          </w:tcPr>
          <w:p w:rsidR="00597BDA" w:rsidRPr="00ED7286" w:rsidRDefault="000D7FD8" w:rsidP="000D7FD8">
            <w:pPr>
              <w:spacing w:after="0" w:line="240" w:lineRule="auto"/>
              <w:ind w:left="0" w:firstLine="0"/>
              <w:jc w:val="center"/>
              <w:rPr>
                <w:rFonts w:eastAsia="Times New Roman" w:cs="Arial"/>
                <w:color w:val="000000"/>
                <w:sz w:val="22"/>
                <w:lang w:eastAsia="en-GB"/>
              </w:rPr>
            </w:pPr>
            <w:r w:rsidRPr="00ED7286">
              <w:rPr>
                <w:rFonts w:eastAsia="Times New Roman" w:cs="Arial"/>
                <w:color w:val="000000"/>
                <w:sz w:val="22"/>
                <w:lang w:eastAsia="en-GB"/>
              </w:rPr>
              <w:t>B</w:t>
            </w:r>
          </w:p>
        </w:tc>
        <w:tc>
          <w:tcPr>
            <w:tcW w:w="8505" w:type="dxa"/>
            <w:shd w:val="clear" w:color="auto" w:fill="auto"/>
            <w:noWrap/>
            <w:vAlign w:val="center"/>
            <w:hideMark/>
          </w:tcPr>
          <w:p w:rsidR="00597BDA" w:rsidRPr="00ED7286" w:rsidRDefault="00597BDA" w:rsidP="008C58E0">
            <w:pPr>
              <w:spacing w:after="0" w:line="240" w:lineRule="auto"/>
              <w:ind w:left="0" w:firstLine="0"/>
              <w:rPr>
                <w:rFonts w:eastAsia="Times New Roman" w:cs="Arial"/>
                <w:color w:val="000000"/>
                <w:sz w:val="22"/>
                <w:lang w:eastAsia="en-GB"/>
              </w:rPr>
            </w:pPr>
            <w:r w:rsidRPr="00ED7286">
              <w:rPr>
                <w:rFonts w:eastAsia="Times New Roman" w:cs="Arial"/>
                <w:color w:val="000000"/>
                <w:sz w:val="22"/>
                <w:lang w:eastAsia="en-GB"/>
              </w:rPr>
              <w:t xml:space="preserve">Rural </w:t>
            </w:r>
            <w:proofErr w:type="spellStart"/>
            <w:r w:rsidRPr="00ED7286">
              <w:rPr>
                <w:rFonts w:eastAsia="Times New Roman" w:cs="Arial"/>
                <w:color w:val="000000"/>
                <w:sz w:val="22"/>
                <w:lang w:eastAsia="en-GB"/>
              </w:rPr>
              <w:t>greenfield</w:t>
            </w:r>
            <w:proofErr w:type="spellEnd"/>
            <w:r w:rsidRPr="00ED7286">
              <w:rPr>
                <w:rFonts w:eastAsia="Times New Roman" w:cs="Arial"/>
                <w:color w:val="000000"/>
                <w:sz w:val="22"/>
                <w:lang w:eastAsia="en-GB"/>
              </w:rPr>
              <w:t xml:space="preserve"> site. 11 dwellings. </w:t>
            </w:r>
            <w:r w:rsidR="00ED7286">
              <w:rPr>
                <w:rFonts w:eastAsia="Times New Roman" w:cs="Arial"/>
                <w:color w:val="000000"/>
                <w:sz w:val="22"/>
                <w:lang w:eastAsia="en-GB"/>
              </w:rPr>
              <w:t xml:space="preserve">CIL </w:t>
            </w:r>
            <w:r w:rsidRPr="00ED7286">
              <w:rPr>
                <w:rFonts w:eastAsia="Times New Roman" w:cs="Arial"/>
                <w:color w:val="000000"/>
                <w:sz w:val="22"/>
                <w:lang w:eastAsia="en-GB"/>
              </w:rPr>
              <w:t>Zone D</w:t>
            </w:r>
            <w:r w:rsidR="008C58E0" w:rsidRPr="00ED7286">
              <w:rPr>
                <w:rFonts w:eastAsia="Times New Roman" w:cs="Arial"/>
                <w:color w:val="000000"/>
                <w:sz w:val="22"/>
                <w:lang w:eastAsia="en-GB"/>
              </w:rPr>
              <w:t>:</w:t>
            </w:r>
            <w:r w:rsidRPr="00ED7286">
              <w:rPr>
                <w:rFonts w:eastAsia="Times New Roman" w:cs="Arial"/>
                <w:color w:val="000000"/>
                <w:sz w:val="22"/>
                <w:lang w:eastAsia="en-GB"/>
              </w:rPr>
              <w:t xml:space="preserve"> </w:t>
            </w:r>
            <w:proofErr w:type="spellStart"/>
            <w:r w:rsidR="008C58E0" w:rsidRPr="00ED7286">
              <w:rPr>
                <w:rFonts w:eastAsia="Times New Roman" w:cs="Arial"/>
                <w:color w:val="000000"/>
                <w:sz w:val="22"/>
                <w:lang w:eastAsia="en-GB"/>
              </w:rPr>
              <w:t>Elham</w:t>
            </w:r>
            <w:proofErr w:type="spellEnd"/>
            <w:r w:rsidR="008C58E0" w:rsidRPr="00ED7286">
              <w:rPr>
                <w:rFonts w:eastAsia="Times New Roman" w:cs="Arial"/>
                <w:color w:val="000000"/>
                <w:sz w:val="22"/>
                <w:lang w:eastAsia="en-GB"/>
              </w:rPr>
              <w:t xml:space="preserve"> </w:t>
            </w:r>
            <w:r w:rsidRPr="00ED7286">
              <w:rPr>
                <w:rFonts w:eastAsia="Times New Roman" w:cs="Arial"/>
                <w:color w:val="000000"/>
                <w:sz w:val="22"/>
                <w:lang w:eastAsia="en-GB"/>
              </w:rPr>
              <w:t>(£125/m</w:t>
            </w:r>
            <w:r w:rsidRPr="00ED7286">
              <w:rPr>
                <w:rFonts w:eastAsia="Times New Roman" w:cs="Arial"/>
                <w:color w:val="000000"/>
                <w:sz w:val="22"/>
                <w:vertAlign w:val="superscript"/>
                <w:lang w:eastAsia="en-GB"/>
              </w:rPr>
              <w:t>2</w:t>
            </w:r>
            <w:r w:rsidR="008C58E0" w:rsidRPr="00ED7286">
              <w:rPr>
                <w:rFonts w:eastAsia="Times New Roman" w:cs="Arial"/>
                <w:color w:val="000000"/>
                <w:sz w:val="22"/>
                <w:lang w:eastAsia="en-GB"/>
              </w:rPr>
              <w:t>)</w:t>
            </w:r>
            <w:r w:rsidRPr="00ED7286">
              <w:rPr>
                <w:rFonts w:eastAsia="Times New Roman" w:cs="Arial"/>
                <w:color w:val="000000"/>
                <w:sz w:val="22"/>
                <w:lang w:eastAsia="en-GB"/>
              </w:rPr>
              <w:t>. 2 affordable dwellings provided on site</w:t>
            </w:r>
            <w:r w:rsidR="008F7D16" w:rsidRPr="00ED7286">
              <w:rPr>
                <w:rFonts w:eastAsia="Times New Roman" w:cs="Arial"/>
                <w:color w:val="000000"/>
                <w:sz w:val="22"/>
                <w:lang w:eastAsia="en-GB"/>
              </w:rPr>
              <w:t xml:space="preserve"> in accordance with Core Strategy Policy CSD1</w:t>
            </w:r>
            <w:r w:rsidRPr="00ED7286">
              <w:rPr>
                <w:rFonts w:eastAsia="Times New Roman" w:cs="Arial"/>
                <w:color w:val="000000"/>
                <w:sz w:val="22"/>
                <w:lang w:eastAsia="en-GB"/>
              </w:rPr>
              <w:t>.</w:t>
            </w:r>
          </w:p>
        </w:tc>
      </w:tr>
      <w:tr w:rsidR="00597BDA" w:rsidRPr="00ED7286" w:rsidTr="000D7FD8">
        <w:trPr>
          <w:trHeight w:val="388"/>
          <w:tblHeader/>
        </w:trPr>
        <w:tc>
          <w:tcPr>
            <w:tcW w:w="1135" w:type="dxa"/>
            <w:shd w:val="clear" w:color="auto" w:fill="auto"/>
            <w:noWrap/>
            <w:vAlign w:val="center"/>
            <w:hideMark/>
          </w:tcPr>
          <w:p w:rsidR="00597BDA" w:rsidRPr="00ED7286" w:rsidRDefault="000D7FD8" w:rsidP="000D7FD8">
            <w:pPr>
              <w:spacing w:after="0" w:line="240" w:lineRule="auto"/>
              <w:ind w:left="0" w:firstLine="0"/>
              <w:jc w:val="center"/>
              <w:rPr>
                <w:rFonts w:eastAsia="Times New Roman" w:cs="Arial"/>
                <w:color w:val="000000"/>
                <w:sz w:val="22"/>
                <w:lang w:eastAsia="en-GB"/>
              </w:rPr>
            </w:pPr>
            <w:r w:rsidRPr="00ED7286">
              <w:rPr>
                <w:rFonts w:eastAsia="Times New Roman" w:cs="Arial"/>
                <w:color w:val="000000"/>
                <w:sz w:val="22"/>
                <w:lang w:eastAsia="en-GB"/>
              </w:rPr>
              <w:t>C</w:t>
            </w:r>
          </w:p>
        </w:tc>
        <w:tc>
          <w:tcPr>
            <w:tcW w:w="8505" w:type="dxa"/>
            <w:shd w:val="clear" w:color="auto" w:fill="auto"/>
            <w:noWrap/>
            <w:vAlign w:val="center"/>
            <w:hideMark/>
          </w:tcPr>
          <w:p w:rsidR="00597BDA" w:rsidRPr="00ED7286" w:rsidRDefault="00597BDA" w:rsidP="008C58E0">
            <w:pPr>
              <w:spacing w:after="0" w:line="240" w:lineRule="auto"/>
              <w:ind w:left="0" w:firstLine="0"/>
              <w:rPr>
                <w:rFonts w:eastAsia="Times New Roman" w:cs="Arial"/>
                <w:color w:val="000000"/>
                <w:sz w:val="22"/>
                <w:lang w:eastAsia="en-GB"/>
              </w:rPr>
            </w:pPr>
            <w:r w:rsidRPr="00ED7286">
              <w:rPr>
                <w:rFonts w:eastAsia="Times New Roman" w:cs="Arial"/>
                <w:color w:val="000000"/>
                <w:sz w:val="22"/>
                <w:lang w:eastAsia="en-GB"/>
              </w:rPr>
              <w:t xml:space="preserve">Urban </w:t>
            </w:r>
            <w:proofErr w:type="spellStart"/>
            <w:r w:rsidRPr="00ED7286">
              <w:rPr>
                <w:rFonts w:eastAsia="Times New Roman" w:cs="Arial"/>
                <w:color w:val="000000"/>
                <w:sz w:val="22"/>
                <w:lang w:eastAsia="en-GB"/>
              </w:rPr>
              <w:t>greenfield</w:t>
            </w:r>
            <w:proofErr w:type="spellEnd"/>
            <w:r w:rsidRPr="00ED7286">
              <w:rPr>
                <w:rFonts w:eastAsia="Times New Roman" w:cs="Arial"/>
                <w:color w:val="000000"/>
                <w:sz w:val="22"/>
                <w:lang w:eastAsia="en-GB"/>
              </w:rPr>
              <w:t xml:space="preserve"> site. 40 dwellings. </w:t>
            </w:r>
            <w:r w:rsidR="00ED7286">
              <w:rPr>
                <w:rFonts w:eastAsia="Times New Roman" w:cs="Arial"/>
                <w:color w:val="000000"/>
                <w:sz w:val="22"/>
                <w:lang w:eastAsia="en-GB"/>
              </w:rPr>
              <w:t xml:space="preserve">CIL </w:t>
            </w:r>
            <w:r w:rsidRPr="00ED7286">
              <w:rPr>
                <w:rFonts w:eastAsia="Times New Roman" w:cs="Arial"/>
                <w:color w:val="000000"/>
                <w:sz w:val="22"/>
                <w:lang w:eastAsia="en-GB"/>
              </w:rPr>
              <w:t>Zone C</w:t>
            </w:r>
            <w:r w:rsidR="008C58E0" w:rsidRPr="00ED7286">
              <w:rPr>
                <w:rFonts w:eastAsia="Times New Roman" w:cs="Arial"/>
                <w:color w:val="000000"/>
                <w:sz w:val="22"/>
                <w:lang w:eastAsia="en-GB"/>
              </w:rPr>
              <w:t>:</w:t>
            </w:r>
            <w:r w:rsidRPr="00ED7286">
              <w:rPr>
                <w:rFonts w:eastAsia="Times New Roman" w:cs="Arial"/>
                <w:color w:val="000000"/>
                <w:sz w:val="22"/>
                <w:lang w:eastAsia="en-GB"/>
              </w:rPr>
              <w:t xml:space="preserve"> </w:t>
            </w:r>
            <w:r w:rsidR="008C58E0" w:rsidRPr="00ED7286">
              <w:rPr>
                <w:rFonts w:eastAsia="Times New Roman" w:cs="Arial"/>
                <w:color w:val="000000"/>
                <w:sz w:val="22"/>
                <w:lang w:eastAsia="en-GB"/>
              </w:rPr>
              <w:t>Folkestone (£100/m</w:t>
            </w:r>
            <w:r w:rsidR="008C58E0" w:rsidRPr="00B64C25">
              <w:rPr>
                <w:rFonts w:eastAsia="Times New Roman" w:cs="Arial"/>
                <w:color w:val="000000"/>
                <w:sz w:val="22"/>
                <w:vertAlign w:val="superscript"/>
                <w:lang w:eastAsia="en-GB"/>
              </w:rPr>
              <w:t>2</w:t>
            </w:r>
            <w:r w:rsidR="008C58E0" w:rsidRPr="00ED7286">
              <w:rPr>
                <w:rFonts w:eastAsia="Times New Roman" w:cs="Arial"/>
                <w:color w:val="000000"/>
                <w:sz w:val="22"/>
                <w:lang w:eastAsia="en-GB"/>
              </w:rPr>
              <w:t>)</w:t>
            </w:r>
            <w:r w:rsidRPr="00ED7286">
              <w:rPr>
                <w:rFonts w:eastAsia="Times New Roman" w:cs="Arial"/>
                <w:color w:val="000000"/>
                <w:sz w:val="22"/>
                <w:lang w:eastAsia="en-GB"/>
              </w:rPr>
              <w:t xml:space="preserve">. </w:t>
            </w:r>
            <w:r w:rsidR="008F7D16" w:rsidRPr="00ED7286">
              <w:rPr>
                <w:rFonts w:eastAsia="Times New Roman" w:cs="Arial"/>
                <w:color w:val="000000"/>
                <w:sz w:val="22"/>
                <w:lang w:eastAsia="en-GB"/>
              </w:rPr>
              <w:t>12 affordable dwellings provided on site in accordance with Core Strategy Policy CSD1.</w:t>
            </w:r>
          </w:p>
        </w:tc>
      </w:tr>
      <w:tr w:rsidR="00597BDA" w:rsidRPr="00ED7286" w:rsidTr="000D7FD8">
        <w:trPr>
          <w:trHeight w:val="388"/>
          <w:tblHeader/>
        </w:trPr>
        <w:tc>
          <w:tcPr>
            <w:tcW w:w="1135" w:type="dxa"/>
            <w:shd w:val="clear" w:color="auto" w:fill="auto"/>
            <w:noWrap/>
            <w:vAlign w:val="center"/>
            <w:hideMark/>
          </w:tcPr>
          <w:p w:rsidR="00597BDA" w:rsidRPr="00ED7286" w:rsidRDefault="000D7FD8" w:rsidP="000D7FD8">
            <w:pPr>
              <w:spacing w:after="0" w:line="240" w:lineRule="auto"/>
              <w:ind w:left="0" w:firstLine="0"/>
              <w:jc w:val="center"/>
              <w:rPr>
                <w:rFonts w:eastAsia="Times New Roman" w:cs="Arial"/>
                <w:color w:val="000000"/>
                <w:sz w:val="22"/>
                <w:lang w:eastAsia="en-GB"/>
              </w:rPr>
            </w:pPr>
            <w:r w:rsidRPr="00ED7286">
              <w:rPr>
                <w:rFonts w:eastAsia="Times New Roman" w:cs="Arial"/>
                <w:color w:val="000000"/>
                <w:sz w:val="22"/>
                <w:lang w:eastAsia="en-GB"/>
              </w:rPr>
              <w:t>D</w:t>
            </w:r>
          </w:p>
        </w:tc>
        <w:tc>
          <w:tcPr>
            <w:tcW w:w="8505" w:type="dxa"/>
            <w:shd w:val="clear" w:color="auto" w:fill="auto"/>
            <w:noWrap/>
            <w:vAlign w:val="center"/>
            <w:hideMark/>
          </w:tcPr>
          <w:p w:rsidR="00597BDA" w:rsidRPr="00ED7286" w:rsidRDefault="008F7D16" w:rsidP="00B4035A">
            <w:pPr>
              <w:spacing w:after="0" w:line="240" w:lineRule="auto"/>
              <w:ind w:left="0" w:firstLine="0"/>
              <w:rPr>
                <w:rFonts w:eastAsia="Times New Roman" w:cs="Arial"/>
                <w:color w:val="000000"/>
                <w:sz w:val="22"/>
                <w:lang w:eastAsia="en-GB"/>
              </w:rPr>
            </w:pPr>
            <w:r w:rsidRPr="00ED7286">
              <w:rPr>
                <w:rFonts w:eastAsia="Times New Roman" w:cs="Arial"/>
                <w:color w:val="000000"/>
                <w:sz w:val="22"/>
                <w:lang w:eastAsia="en-GB"/>
              </w:rPr>
              <w:t xml:space="preserve">Rural </w:t>
            </w:r>
            <w:proofErr w:type="spellStart"/>
            <w:r w:rsidRPr="00ED7286">
              <w:rPr>
                <w:rFonts w:eastAsia="Times New Roman" w:cs="Arial"/>
                <w:color w:val="000000"/>
                <w:sz w:val="22"/>
                <w:lang w:eastAsia="en-GB"/>
              </w:rPr>
              <w:t>greenfield</w:t>
            </w:r>
            <w:proofErr w:type="spellEnd"/>
            <w:r w:rsidRPr="00ED7286">
              <w:rPr>
                <w:rFonts w:eastAsia="Times New Roman" w:cs="Arial"/>
                <w:color w:val="000000"/>
                <w:sz w:val="22"/>
                <w:lang w:eastAsia="en-GB"/>
              </w:rPr>
              <w:t xml:space="preserve"> site. 25 dwellings. </w:t>
            </w:r>
            <w:r w:rsidR="00ED7286">
              <w:rPr>
                <w:rFonts w:eastAsia="Times New Roman" w:cs="Arial"/>
                <w:color w:val="000000"/>
                <w:sz w:val="22"/>
                <w:lang w:eastAsia="en-GB"/>
              </w:rPr>
              <w:t xml:space="preserve">CIL </w:t>
            </w:r>
            <w:r w:rsidRPr="00ED7286">
              <w:rPr>
                <w:rFonts w:eastAsia="Times New Roman" w:cs="Arial"/>
                <w:color w:val="000000"/>
                <w:sz w:val="22"/>
                <w:lang w:eastAsia="en-GB"/>
              </w:rPr>
              <w:t>Zone D</w:t>
            </w:r>
            <w:r w:rsidR="008C58E0" w:rsidRPr="00ED7286">
              <w:rPr>
                <w:rFonts w:eastAsia="Times New Roman" w:cs="Arial"/>
                <w:color w:val="000000"/>
                <w:sz w:val="22"/>
                <w:lang w:eastAsia="en-GB"/>
              </w:rPr>
              <w:t>:</w:t>
            </w:r>
            <w:r w:rsidRPr="00ED7286">
              <w:rPr>
                <w:rFonts w:eastAsia="Times New Roman" w:cs="Arial"/>
                <w:color w:val="000000"/>
                <w:sz w:val="22"/>
                <w:lang w:eastAsia="en-GB"/>
              </w:rPr>
              <w:t xml:space="preserve"> </w:t>
            </w:r>
            <w:proofErr w:type="spellStart"/>
            <w:r w:rsidR="008C58E0" w:rsidRPr="00ED7286">
              <w:rPr>
                <w:rFonts w:eastAsia="Times New Roman" w:cs="Arial"/>
                <w:color w:val="000000"/>
                <w:sz w:val="22"/>
                <w:lang w:eastAsia="en-GB"/>
              </w:rPr>
              <w:t>Elham</w:t>
            </w:r>
            <w:proofErr w:type="spellEnd"/>
            <w:r w:rsidR="008C58E0" w:rsidRPr="00ED7286">
              <w:rPr>
                <w:rFonts w:eastAsia="Times New Roman" w:cs="Arial"/>
                <w:color w:val="000000"/>
                <w:sz w:val="22"/>
                <w:lang w:eastAsia="en-GB"/>
              </w:rPr>
              <w:t xml:space="preserve"> </w:t>
            </w:r>
            <w:r w:rsidRPr="00ED7286">
              <w:rPr>
                <w:rFonts w:eastAsia="Times New Roman" w:cs="Arial"/>
                <w:color w:val="000000"/>
                <w:sz w:val="22"/>
                <w:lang w:eastAsia="en-GB"/>
              </w:rPr>
              <w:t>(£125/m</w:t>
            </w:r>
            <w:r w:rsidRPr="00ED7286">
              <w:rPr>
                <w:rFonts w:eastAsia="Times New Roman" w:cs="Arial"/>
                <w:color w:val="000000"/>
                <w:sz w:val="22"/>
                <w:vertAlign w:val="superscript"/>
                <w:lang w:eastAsia="en-GB"/>
              </w:rPr>
              <w:t>2</w:t>
            </w:r>
            <w:r w:rsidR="008C58E0" w:rsidRPr="00ED7286">
              <w:rPr>
                <w:rFonts w:eastAsia="Times New Roman" w:cs="Arial"/>
                <w:color w:val="000000"/>
                <w:sz w:val="22"/>
                <w:lang w:eastAsia="en-GB"/>
              </w:rPr>
              <w:t>)</w:t>
            </w:r>
            <w:r w:rsidRPr="00ED7286">
              <w:rPr>
                <w:rFonts w:eastAsia="Times New Roman" w:cs="Arial"/>
                <w:color w:val="000000"/>
                <w:sz w:val="22"/>
                <w:lang w:eastAsia="en-GB"/>
              </w:rPr>
              <w:t>. 2 self-build / custom build plots in line with Places and Policies Local Plan Policy HB6. 8 affordable dwellings provided on site in accordance with Core Strategy Policy CS</w:t>
            </w:r>
            <w:r w:rsidR="00B4035A" w:rsidRPr="00ED7286">
              <w:rPr>
                <w:rFonts w:eastAsia="Times New Roman" w:cs="Arial"/>
                <w:color w:val="000000"/>
                <w:sz w:val="22"/>
                <w:lang w:eastAsia="en-GB"/>
              </w:rPr>
              <w:t>D</w:t>
            </w:r>
            <w:r w:rsidRPr="00ED7286">
              <w:rPr>
                <w:rFonts w:eastAsia="Times New Roman" w:cs="Arial"/>
                <w:color w:val="000000"/>
                <w:sz w:val="22"/>
                <w:lang w:eastAsia="en-GB"/>
              </w:rPr>
              <w:t>1.</w:t>
            </w:r>
          </w:p>
        </w:tc>
      </w:tr>
      <w:tr w:rsidR="00597BDA" w:rsidRPr="00ED7286" w:rsidTr="000D7FD8">
        <w:trPr>
          <w:trHeight w:val="388"/>
          <w:tblHeader/>
        </w:trPr>
        <w:tc>
          <w:tcPr>
            <w:tcW w:w="1135" w:type="dxa"/>
            <w:shd w:val="clear" w:color="auto" w:fill="auto"/>
            <w:noWrap/>
            <w:vAlign w:val="center"/>
            <w:hideMark/>
          </w:tcPr>
          <w:p w:rsidR="00597BDA" w:rsidRPr="00ED7286" w:rsidRDefault="000D7FD8" w:rsidP="000D7FD8">
            <w:pPr>
              <w:spacing w:after="0" w:line="240" w:lineRule="auto"/>
              <w:ind w:left="0" w:firstLine="0"/>
              <w:jc w:val="center"/>
              <w:rPr>
                <w:rFonts w:eastAsia="Times New Roman" w:cs="Arial"/>
                <w:color w:val="000000"/>
                <w:sz w:val="22"/>
                <w:lang w:eastAsia="en-GB"/>
              </w:rPr>
            </w:pPr>
            <w:r w:rsidRPr="00ED7286">
              <w:rPr>
                <w:rFonts w:eastAsia="Times New Roman" w:cs="Arial"/>
                <w:color w:val="000000"/>
                <w:sz w:val="22"/>
                <w:lang w:eastAsia="en-GB"/>
              </w:rPr>
              <w:t>E</w:t>
            </w:r>
          </w:p>
        </w:tc>
        <w:tc>
          <w:tcPr>
            <w:tcW w:w="8505" w:type="dxa"/>
            <w:shd w:val="clear" w:color="auto" w:fill="auto"/>
            <w:noWrap/>
            <w:vAlign w:val="center"/>
            <w:hideMark/>
          </w:tcPr>
          <w:p w:rsidR="00597BDA" w:rsidRPr="00ED7286" w:rsidRDefault="008F7D16" w:rsidP="008C58E0">
            <w:pPr>
              <w:spacing w:after="0" w:line="240" w:lineRule="auto"/>
              <w:ind w:left="0" w:firstLine="0"/>
              <w:rPr>
                <w:rFonts w:eastAsia="Times New Roman" w:cs="Arial"/>
                <w:color w:val="000000"/>
                <w:sz w:val="22"/>
                <w:lang w:eastAsia="en-GB"/>
              </w:rPr>
            </w:pPr>
            <w:r w:rsidRPr="00ED7286">
              <w:rPr>
                <w:rFonts w:eastAsia="Times New Roman" w:cs="Arial"/>
                <w:color w:val="000000"/>
                <w:sz w:val="22"/>
                <w:lang w:eastAsia="en-GB"/>
              </w:rPr>
              <w:t xml:space="preserve">Urban previously developed site. 10 dwellings. </w:t>
            </w:r>
            <w:r w:rsidR="00ED7286">
              <w:rPr>
                <w:rFonts w:eastAsia="Times New Roman" w:cs="Arial"/>
                <w:color w:val="000000"/>
                <w:sz w:val="22"/>
                <w:lang w:eastAsia="en-GB"/>
              </w:rPr>
              <w:t xml:space="preserve">CIL </w:t>
            </w:r>
            <w:r w:rsidRPr="00ED7286">
              <w:rPr>
                <w:rFonts w:eastAsia="Times New Roman" w:cs="Arial"/>
                <w:color w:val="000000"/>
                <w:sz w:val="22"/>
                <w:lang w:eastAsia="en-GB"/>
              </w:rPr>
              <w:t>Zone A</w:t>
            </w:r>
            <w:r w:rsidR="008C58E0" w:rsidRPr="00ED7286">
              <w:rPr>
                <w:rFonts w:eastAsia="Times New Roman" w:cs="Arial"/>
                <w:color w:val="000000"/>
                <w:sz w:val="22"/>
                <w:lang w:eastAsia="en-GB"/>
              </w:rPr>
              <w:t>:</w:t>
            </w:r>
            <w:r w:rsidRPr="00ED7286">
              <w:rPr>
                <w:rFonts w:eastAsia="Times New Roman" w:cs="Arial"/>
                <w:color w:val="000000"/>
                <w:sz w:val="22"/>
                <w:lang w:eastAsia="en-GB"/>
              </w:rPr>
              <w:t xml:space="preserve"> </w:t>
            </w:r>
            <w:r w:rsidR="008C58E0" w:rsidRPr="00ED7286">
              <w:rPr>
                <w:rFonts w:eastAsia="Times New Roman" w:cs="Arial"/>
                <w:color w:val="000000"/>
                <w:sz w:val="22"/>
                <w:lang w:eastAsia="en-GB"/>
              </w:rPr>
              <w:t xml:space="preserve">Folkestone </w:t>
            </w:r>
            <w:r w:rsidRPr="00ED7286">
              <w:rPr>
                <w:rFonts w:eastAsia="Times New Roman" w:cs="Arial"/>
                <w:color w:val="000000"/>
                <w:sz w:val="22"/>
                <w:lang w:eastAsia="en-GB"/>
              </w:rPr>
              <w:t>(£0/m</w:t>
            </w:r>
            <w:r w:rsidRPr="00ED7286">
              <w:rPr>
                <w:rFonts w:eastAsia="Times New Roman" w:cs="Arial"/>
                <w:color w:val="000000"/>
                <w:sz w:val="22"/>
                <w:vertAlign w:val="superscript"/>
                <w:lang w:eastAsia="en-GB"/>
              </w:rPr>
              <w:t>2</w:t>
            </w:r>
            <w:r w:rsidRPr="00ED7286">
              <w:rPr>
                <w:rFonts w:eastAsia="Times New Roman" w:cs="Arial"/>
                <w:color w:val="000000"/>
                <w:sz w:val="22"/>
                <w:lang w:eastAsia="en-GB"/>
              </w:rPr>
              <w:t>)</w:t>
            </w:r>
            <w:r w:rsidR="008C58E0" w:rsidRPr="00ED7286">
              <w:rPr>
                <w:rFonts w:eastAsia="Times New Roman" w:cs="Arial"/>
                <w:color w:val="000000"/>
                <w:sz w:val="22"/>
                <w:lang w:eastAsia="en-GB"/>
              </w:rPr>
              <w:t>.</w:t>
            </w:r>
          </w:p>
        </w:tc>
      </w:tr>
      <w:tr w:rsidR="0031008E" w:rsidRPr="00ED7286" w:rsidTr="000D7FD8">
        <w:trPr>
          <w:trHeight w:val="388"/>
          <w:tblHeader/>
        </w:trPr>
        <w:tc>
          <w:tcPr>
            <w:tcW w:w="1135" w:type="dxa"/>
            <w:shd w:val="clear" w:color="auto" w:fill="auto"/>
            <w:noWrap/>
            <w:vAlign w:val="center"/>
            <w:hideMark/>
          </w:tcPr>
          <w:p w:rsidR="0031008E" w:rsidRPr="00ED7286" w:rsidRDefault="000D7FD8" w:rsidP="000D7FD8">
            <w:pPr>
              <w:spacing w:after="0" w:line="240" w:lineRule="auto"/>
              <w:ind w:left="0" w:firstLine="0"/>
              <w:jc w:val="center"/>
              <w:rPr>
                <w:rFonts w:eastAsia="Times New Roman" w:cs="Arial"/>
                <w:color w:val="000000"/>
                <w:sz w:val="22"/>
                <w:lang w:eastAsia="en-GB"/>
              </w:rPr>
            </w:pPr>
            <w:r w:rsidRPr="00ED7286">
              <w:rPr>
                <w:rFonts w:eastAsia="Times New Roman" w:cs="Arial"/>
                <w:color w:val="000000"/>
                <w:sz w:val="22"/>
                <w:lang w:eastAsia="en-GB"/>
              </w:rPr>
              <w:t>F</w:t>
            </w:r>
          </w:p>
        </w:tc>
        <w:tc>
          <w:tcPr>
            <w:tcW w:w="8505" w:type="dxa"/>
            <w:shd w:val="clear" w:color="auto" w:fill="auto"/>
            <w:noWrap/>
            <w:vAlign w:val="center"/>
            <w:hideMark/>
          </w:tcPr>
          <w:p w:rsidR="0031008E" w:rsidRPr="00ED7286" w:rsidRDefault="0031008E" w:rsidP="008C58E0">
            <w:pPr>
              <w:spacing w:after="0" w:line="240" w:lineRule="auto"/>
              <w:ind w:left="0" w:firstLine="0"/>
              <w:rPr>
                <w:rFonts w:eastAsia="Times New Roman" w:cs="Arial"/>
                <w:color w:val="000000"/>
                <w:sz w:val="22"/>
                <w:lang w:eastAsia="en-GB"/>
              </w:rPr>
            </w:pPr>
            <w:r w:rsidRPr="00ED7286">
              <w:rPr>
                <w:rFonts w:eastAsia="Times New Roman" w:cs="Arial"/>
                <w:color w:val="000000"/>
                <w:sz w:val="22"/>
                <w:lang w:eastAsia="en-GB"/>
              </w:rPr>
              <w:t xml:space="preserve">Urban previously developed site. 30 dwellings. </w:t>
            </w:r>
            <w:r w:rsidR="00ED7286">
              <w:rPr>
                <w:rFonts w:eastAsia="Times New Roman" w:cs="Arial"/>
                <w:color w:val="000000"/>
                <w:sz w:val="22"/>
                <w:lang w:eastAsia="en-GB"/>
              </w:rPr>
              <w:t xml:space="preserve">CIL </w:t>
            </w:r>
            <w:r w:rsidRPr="00ED7286">
              <w:rPr>
                <w:rFonts w:eastAsia="Times New Roman" w:cs="Arial"/>
                <w:color w:val="000000"/>
                <w:sz w:val="22"/>
                <w:lang w:eastAsia="en-GB"/>
              </w:rPr>
              <w:t>Zone B: Romney Marsh (£50/m</w:t>
            </w:r>
            <w:r w:rsidRPr="00ED7286">
              <w:rPr>
                <w:rFonts w:eastAsia="Times New Roman" w:cs="Arial"/>
                <w:color w:val="000000"/>
                <w:sz w:val="22"/>
                <w:vertAlign w:val="superscript"/>
                <w:lang w:eastAsia="en-GB"/>
              </w:rPr>
              <w:t>2</w:t>
            </w:r>
            <w:r w:rsidRPr="00ED7286">
              <w:rPr>
                <w:rFonts w:eastAsia="Times New Roman" w:cs="Arial"/>
                <w:color w:val="000000"/>
                <w:sz w:val="22"/>
                <w:lang w:eastAsia="en-GB"/>
              </w:rPr>
              <w:t xml:space="preserve">). 2 self-build / custom build plots in line with Places and Policies Local Plan Policy HB6. </w:t>
            </w:r>
            <w:r w:rsidR="00872318" w:rsidRPr="00ED7286">
              <w:rPr>
                <w:rFonts w:eastAsia="Times New Roman" w:cs="Arial"/>
                <w:color w:val="000000"/>
                <w:sz w:val="22"/>
                <w:lang w:eastAsia="en-GB"/>
              </w:rPr>
              <w:t>9 affordable dwellings provided on site in accordance with Core Strategy Policy CSD1.</w:t>
            </w:r>
          </w:p>
        </w:tc>
      </w:tr>
      <w:tr w:rsidR="00872318" w:rsidRPr="00ED7286" w:rsidTr="000D7FD8">
        <w:trPr>
          <w:trHeight w:val="388"/>
          <w:tblHeader/>
        </w:trPr>
        <w:tc>
          <w:tcPr>
            <w:tcW w:w="1135" w:type="dxa"/>
            <w:shd w:val="clear" w:color="auto" w:fill="auto"/>
            <w:noWrap/>
            <w:vAlign w:val="center"/>
            <w:hideMark/>
          </w:tcPr>
          <w:p w:rsidR="00872318" w:rsidRPr="00ED7286" w:rsidRDefault="000D7FD8" w:rsidP="000D7FD8">
            <w:pPr>
              <w:spacing w:after="0" w:line="240" w:lineRule="auto"/>
              <w:ind w:left="0" w:firstLine="0"/>
              <w:jc w:val="center"/>
              <w:rPr>
                <w:rFonts w:eastAsia="Times New Roman" w:cs="Arial"/>
                <w:color w:val="000000"/>
                <w:sz w:val="22"/>
                <w:lang w:eastAsia="en-GB"/>
              </w:rPr>
            </w:pPr>
            <w:r w:rsidRPr="00ED7286">
              <w:rPr>
                <w:rFonts w:eastAsia="Times New Roman" w:cs="Arial"/>
                <w:color w:val="000000"/>
                <w:sz w:val="22"/>
                <w:lang w:eastAsia="en-GB"/>
              </w:rPr>
              <w:t>G</w:t>
            </w:r>
          </w:p>
        </w:tc>
        <w:tc>
          <w:tcPr>
            <w:tcW w:w="8505" w:type="dxa"/>
            <w:shd w:val="clear" w:color="auto" w:fill="auto"/>
            <w:noWrap/>
            <w:vAlign w:val="center"/>
            <w:hideMark/>
          </w:tcPr>
          <w:p w:rsidR="00872318" w:rsidRPr="00ED7286" w:rsidRDefault="00872318" w:rsidP="008C58E0">
            <w:pPr>
              <w:spacing w:after="0" w:line="240" w:lineRule="auto"/>
              <w:ind w:left="0" w:firstLine="0"/>
              <w:rPr>
                <w:rFonts w:eastAsia="Times New Roman" w:cs="Arial"/>
                <w:color w:val="000000"/>
                <w:sz w:val="22"/>
                <w:lang w:eastAsia="en-GB"/>
              </w:rPr>
            </w:pPr>
            <w:r w:rsidRPr="00ED7286">
              <w:rPr>
                <w:rFonts w:eastAsia="Times New Roman" w:cs="Arial"/>
                <w:color w:val="000000"/>
                <w:sz w:val="22"/>
                <w:lang w:eastAsia="en-GB"/>
              </w:rPr>
              <w:t xml:space="preserve">Urban previously developed site. 27 dwellings. </w:t>
            </w:r>
            <w:r w:rsidR="00ED7286">
              <w:rPr>
                <w:rFonts w:eastAsia="Times New Roman" w:cs="Arial"/>
                <w:color w:val="000000"/>
                <w:sz w:val="22"/>
                <w:lang w:eastAsia="en-GB"/>
              </w:rPr>
              <w:t xml:space="preserve">CIL </w:t>
            </w:r>
            <w:r w:rsidRPr="00ED7286">
              <w:rPr>
                <w:rFonts w:eastAsia="Times New Roman" w:cs="Arial"/>
                <w:color w:val="000000"/>
                <w:sz w:val="22"/>
                <w:lang w:eastAsia="en-GB"/>
              </w:rPr>
              <w:t>Zone B: Folkestone (£50/m</w:t>
            </w:r>
            <w:r w:rsidRPr="00ED7286">
              <w:rPr>
                <w:rFonts w:eastAsia="Times New Roman" w:cs="Arial"/>
                <w:color w:val="000000"/>
                <w:sz w:val="22"/>
                <w:vertAlign w:val="superscript"/>
                <w:lang w:eastAsia="en-GB"/>
              </w:rPr>
              <w:t>2</w:t>
            </w:r>
            <w:r w:rsidRPr="00ED7286">
              <w:rPr>
                <w:rFonts w:eastAsia="Times New Roman" w:cs="Arial"/>
                <w:color w:val="000000"/>
                <w:sz w:val="22"/>
                <w:lang w:eastAsia="en-GB"/>
              </w:rPr>
              <w:t>)</w:t>
            </w:r>
            <w:r w:rsidR="00466ED5">
              <w:rPr>
                <w:rFonts w:eastAsia="Times New Roman" w:cs="Arial"/>
                <w:color w:val="000000"/>
                <w:sz w:val="22"/>
                <w:lang w:eastAsia="en-GB"/>
              </w:rPr>
              <w:t>. 8 affordable dwellings provided on site in accordance with Core Strategy Policy CSD1.</w:t>
            </w:r>
          </w:p>
        </w:tc>
      </w:tr>
    </w:tbl>
    <w:p w:rsidR="00A1403E" w:rsidRDefault="00A1403E" w:rsidP="00B64C25">
      <w:pPr>
        <w:spacing w:after="360" w:line="240" w:lineRule="auto"/>
        <w:ind w:left="0" w:firstLine="0"/>
        <w:rPr>
          <w:sz w:val="22"/>
        </w:rPr>
      </w:pPr>
    </w:p>
    <w:p w:rsidR="00087D86" w:rsidRPr="00327FCA" w:rsidRDefault="00087D86" w:rsidP="00F86210">
      <w:pPr>
        <w:pStyle w:val="ListParagraph"/>
        <w:numPr>
          <w:ilvl w:val="0"/>
          <w:numId w:val="12"/>
        </w:numPr>
        <w:spacing w:line="240" w:lineRule="auto"/>
        <w:ind w:left="567" w:hanging="567"/>
        <w:contextualSpacing w:val="0"/>
        <w:rPr>
          <w:b/>
          <w:szCs w:val="24"/>
        </w:rPr>
      </w:pPr>
      <w:r w:rsidRPr="00327FCA">
        <w:rPr>
          <w:b/>
          <w:szCs w:val="24"/>
        </w:rPr>
        <w:t>Timescales and delivery</w:t>
      </w:r>
    </w:p>
    <w:p w:rsidR="00EB1F1E" w:rsidRPr="00327FCA" w:rsidRDefault="00087D86" w:rsidP="00466ED5">
      <w:pPr>
        <w:spacing w:line="240" w:lineRule="auto"/>
        <w:ind w:left="567" w:hanging="567"/>
        <w:rPr>
          <w:szCs w:val="24"/>
        </w:rPr>
      </w:pPr>
      <w:r w:rsidRPr="00327FCA">
        <w:rPr>
          <w:szCs w:val="24"/>
        </w:rPr>
        <w:t>6.1</w:t>
      </w:r>
      <w:r w:rsidRPr="00327FCA">
        <w:rPr>
          <w:szCs w:val="24"/>
        </w:rPr>
        <w:tab/>
        <w:t>The expected outputs of the work and deli</w:t>
      </w:r>
      <w:r w:rsidR="003C1017" w:rsidRPr="00327FCA">
        <w:rPr>
          <w:szCs w:val="24"/>
        </w:rPr>
        <w:t xml:space="preserve">very deadlines are set out in </w:t>
      </w:r>
      <w:r w:rsidR="008758D2">
        <w:rPr>
          <w:szCs w:val="24"/>
        </w:rPr>
        <w:t>the Invitation to Quote Section 1.2 and summarised below.</w:t>
      </w:r>
    </w:p>
    <w:p w:rsidR="00F05F60" w:rsidRPr="00327FCA" w:rsidRDefault="00F05F60" w:rsidP="00F86210">
      <w:pPr>
        <w:spacing w:line="240" w:lineRule="auto"/>
        <w:ind w:left="567" w:firstLine="0"/>
        <w:rPr>
          <w:szCs w:val="24"/>
          <w:u w:val="single"/>
        </w:rPr>
      </w:pPr>
      <w:r w:rsidRPr="00327FCA">
        <w:rPr>
          <w:szCs w:val="24"/>
          <w:u w:val="single"/>
        </w:rPr>
        <w:t>Stage 1: Draft Viability Assessment</w:t>
      </w:r>
      <w:r w:rsidR="00B4035A">
        <w:rPr>
          <w:szCs w:val="24"/>
          <w:u w:val="single"/>
        </w:rPr>
        <w:t xml:space="preserve"> – Key Residential Sites</w:t>
      </w:r>
    </w:p>
    <w:p w:rsidR="00087D86" w:rsidRPr="00327FCA" w:rsidRDefault="00076572" w:rsidP="00F86210">
      <w:pPr>
        <w:spacing w:line="240" w:lineRule="auto"/>
        <w:ind w:left="567" w:hanging="567"/>
        <w:rPr>
          <w:szCs w:val="24"/>
        </w:rPr>
      </w:pPr>
      <w:r w:rsidRPr="00327FCA">
        <w:rPr>
          <w:szCs w:val="24"/>
        </w:rPr>
        <w:t>6.2</w:t>
      </w:r>
      <w:r w:rsidRPr="00327FCA">
        <w:rPr>
          <w:szCs w:val="24"/>
        </w:rPr>
        <w:tab/>
        <w:t xml:space="preserve">Stage 1 should conclude with the delivery of a </w:t>
      </w:r>
      <w:r w:rsidRPr="00DF3F6E">
        <w:rPr>
          <w:b/>
          <w:szCs w:val="24"/>
        </w:rPr>
        <w:t>confidential draft report</w:t>
      </w:r>
      <w:r w:rsidRPr="00327FCA">
        <w:rPr>
          <w:szCs w:val="24"/>
        </w:rPr>
        <w:t xml:space="preserve"> setting out:</w:t>
      </w:r>
    </w:p>
    <w:p w:rsidR="00076572" w:rsidRPr="00327FCA" w:rsidRDefault="00076572" w:rsidP="00645C3E">
      <w:pPr>
        <w:pStyle w:val="ListParagraph"/>
        <w:numPr>
          <w:ilvl w:val="0"/>
          <w:numId w:val="4"/>
        </w:numPr>
        <w:spacing w:after="0" w:line="240" w:lineRule="auto"/>
        <w:ind w:left="851" w:hanging="284"/>
        <w:contextualSpacing w:val="0"/>
        <w:rPr>
          <w:szCs w:val="24"/>
        </w:rPr>
      </w:pPr>
      <w:r w:rsidRPr="00327FCA">
        <w:rPr>
          <w:szCs w:val="24"/>
        </w:rPr>
        <w:t xml:space="preserve">The methodology, information sources and assumptions used in the assessment </w:t>
      </w:r>
    </w:p>
    <w:p w:rsidR="00076572" w:rsidRPr="00327FCA" w:rsidRDefault="00076572" w:rsidP="00645C3E">
      <w:pPr>
        <w:pStyle w:val="ListParagraph"/>
        <w:numPr>
          <w:ilvl w:val="0"/>
          <w:numId w:val="4"/>
        </w:numPr>
        <w:spacing w:after="0" w:line="240" w:lineRule="auto"/>
        <w:ind w:left="851" w:hanging="284"/>
        <w:contextualSpacing w:val="0"/>
        <w:rPr>
          <w:szCs w:val="24"/>
        </w:rPr>
      </w:pPr>
      <w:r w:rsidRPr="00327FCA">
        <w:rPr>
          <w:szCs w:val="24"/>
        </w:rPr>
        <w:t xml:space="preserve">The conclusions of the </w:t>
      </w:r>
      <w:r w:rsidR="00B4035A">
        <w:rPr>
          <w:szCs w:val="24"/>
        </w:rPr>
        <w:t>viability assessment on key residential sites (Table 1)</w:t>
      </w:r>
    </w:p>
    <w:p w:rsidR="00076572" w:rsidRDefault="00645C3E" w:rsidP="00645C3E">
      <w:pPr>
        <w:pStyle w:val="ListParagraph"/>
        <w:numPr>
          <w:ilvl w:val="0"/>
          <w:numId w:val="4"/>
        </w:numPr>
        <w:spacing w:line="240" w:lineRule="auto"/>
        <w:ind w:left="851" w:hanging="284"/>
        <w:contextualSpacing w:val="0"/>
        <w:rPr>
          <w:szCs w:val="24"/>
        </w:rPr>
      </w:pPr>
      <w:r w:rsidRPr="00327FCA">
        <w:rPr>
          <w:szCs w:val="24"/>
        </w:rPr>
        <w:t>If necessary</w:t>
      </w:r>
      <w:r w:rsidR="006B2DA5" w:rsidRPr="00327FCA">
        <w:rPr>
          <w:szCs w:val="24"/>
        </w:rPr>
        <w:t>,</w:t>
      </w:r>
      <w:r w:rsidRPr="00327FCA">
        <w:rPr>
          <w:szCs w:val="24"/>
        </w:rPr>
        <w:t xml:space="preserve"> recommendations </w:t>
      </w:r>
      <w:r w:rsidR="00F05F60" w:rsidRPr="00327FCA">
        <w:rPr>
          <w:szCs w:val="24"/>
        </w:rPr>
        <w:t>as to</w:t>
      </w:r>
      <w:r w:rsidR="00076572" w:rsidRPr="00327FCA">
        <w:rPr>
          <w:szCs w:val="24"/>
        </w:rPr>
        <w:t xml:space="preserve"> how the Local Plan policies </w:t>
      </w:r>
      <w:r w:rsidRPr="00327FCA">
        <w:rPr>
          <w:szCs w:val="24"/>
        </w:rPr>
        <w:t>c</w:t>
      </w:r>
      <w:r w:rsidR="00F05F60" w:rsidRPr="00327FCA">
        <w:rPr>
          <w:szCs w:val="24"/>
        </w:rPr>
        <w:t>ould</w:t>
      </w:r>
      <w:r w:rsidR="00076572" w:rsidRPr="00327FCA">
        <w:rPr>
          <w:szCs w:val="24"/>
        </w:rPr>
        <w:t xml:space="preserve"> be amended to overcome any viability problems identified</w:t>
      </w:r>
    </w:p>
    <w:p w:rsidR="00DF3F6E" w:rsidRPr="00327FCA" w:rsidRDefault="00DF3F6E" w:rsidP="00DF3F6E">
      <w:pPr>
        <w:spacing w:line="240" w:lineRule="auto"/>
        <w:ind w:left="567" w:hanging="567"/>
        <w:rPr>
          <w:szCs w:val="24"/>
        </w:rPr>
      </w:pPr>
      <w:r>
        <w:rPr>
          <w:szCs w:val="24"/>
        </w:rPr>
        <w:t>6.3</w:t>
      </w:r>
      <w:r>
        <w:rPr>
          <w:szCs w:val="24"/>
        </w:rPr>
        <w:tab/>
        <w:t xml:space="preserve">Stage 1 should be completed by </w:t>
      </w:r>
      <w:r w:rsidR="001F1BA5" w:rsidRPr="001F1BA5">
        <w:rPr>
          <w:b/>
          <w:szCs w:val="24"/>
        </w:rPr>
        <w:t>28 April 2017</w:t>
      </w:r>
      <w:r w:rsidR="001F1BA5">
        <w:rPr>
          <w:szCs w:val="24"/>
        </w:rPr>
        <w:t>.</w:t>
      </w:r>
    </w:p>
    <w:p w:rsidR="00F05F60" w:rsidRPr="00327FCA" w:rsidRDefault="00F05F60" w:rsidP="00F86210">
      <w:pPr>
        <w:spacing w:line="240" w:lineRule="auto"/>
        <w:ind w:left="567" w:firstLine="0"/>
        <w:rPr>
          <w:szCs w:val="24"/>
          <w:u w:val="single"/>
        </w:rPr>
      </w:pPr>
      <w:r w:rsidRPr="00327FCA">
        <w:rPr>
          <w:szCs w:val="24"/>
          <w:u w:val="single"/>
        </w:rPr>
        <w:t>Stage 2: Dra</w:t>
      </w:r>
      <w:r w:rsidR="00B4035A">
        <w:rPr>
          <w:szCs w:val="24"/>
          <w:u w:val="single"/>
        </w:rPr>
        <w:t>ft Viability Assessment – Generic Site Typologies</w:t>
      </w:r>
    </w:p>
    <w:p w:rsidR="00272EBF" w:rsidRPr="00327FCA" w:rsidRDefault="00F05F60" w:rsidP="00B4035A">
      <w:pPr>
        <w:spacing w:line="240" w:lineRule="auto"/>
        <w:ind w:left="567" w:hanging="567"/>
        <w:rPr>
          <w:szCs w:val="24"/>
        </w:rPr>
      </w:pPr>
      <w:r w:rsidRPr="00327FCA">
        <w:rPr>
          <w:szCs w:val="24"/>
        </w:rPr>
        <w:t>6.</w:t>
      </w:r>
      <w:r w:rsidR="00DF3F6E">
        <w:rPr>
          <w:szCs w:val="24"/>
        </w:rPr>
        <w:t>4</w:t>
      </w:r>
      <w:r w:rsidRPr="00327FCA">
        <w:rPr>
          <w:szCs w:val="24"/>
        </w:rPr>
        <w:tab/>
      </w:r>
      <w:r w:rsidR="00272EBF" w:rsidRPr="00327FCA">
        <w:rPr>
          <w:szCs w:val="24"/>
        </w:rPr>
        <w:t xml:space="preserve">Stage 2 </w:t>
      </w:r>
      <w:r w:rsidR="00B4035A">
        <w:rPr>
          <w:szCs w:val="24"/>
        </w:rPr>
        <w:t>sh</w:t>
      </w:r>
      <w:r w:rsidR="00272EBF" w:rsidRPr="00327FCA">
        <w:rPr>
          <w:szCs w:val="24"/>
        </w:rPr>
        <w:t xml:space="preserve">ould provide an addendum to the Stage 1 </w:t>
      </w:r>
      <w:r w:rsidR="00DF3F6E" w:rsidRPr="00DF3F6E">
        <w:rPr>
          <w:b/>
          <w:szCs w:val="24"/>
        </w:rPr>
        <w:t xml:space="preserve">confidential </w:t>
      </w:r>
      <w:r w:rsidR="00272EBF" w:rsidRPr="00DF3F6E">
        <w:rPr>
          <w:b/>
          <w:szCs w:val="24"/>
        </w:rPr>
        <w:t>draft</w:t>
      </w:r>
      <w:r w:rsidR="004322DC" w:rsidRPr="00DF3F6E">
        <w:rPr>
          <w:b/>
          <w:szCs w:val="24"/>
        </w:rPr>
        <w:t xml:space="preserve"> </w:t>
      </w:r>
      <w:r w:rsidRPr="00DF3F6E">
        <w:rPr>
          <w:b/>
          <w:szCs w:val="24"/>
        </w:rPr>
        <w:t>report</w:t>
      </w:r>
      <w:r w:rsidRPr="00327FCA">
        <w:rPr>
          <w:szCs w:val="24"/>
        </w:rPr>
        <w:t xml:space="preserve"> </w:t>
      </w:r>
      <w:r w:rsidR="004322DC" w:rsidRPr="00327FCA">
        <w:rPr>
          <w:szCs w:val="24"/>
        </w:rPr>
        <w:t>assessing</w:t>
      </w:r>
      <w:r w:rsidR="00272EBF" w:rsidRPr="00327FCA">
        <w:rPr>
          <w:szCs w:val="24"/>
        </w:rPr>
        <w:t>:</w:t>
      </w:r>
    </w:p>
    <w:p w:rsidR="00272EBF" w:rsidRPr="00327FCA" w:rsidRDefault="00272EBF" w:rsidP="00645C3E">
      <w:pPr>
        <w:pStyle w:val="ListParagraph"/>
        <w:numPr>
          <w:ilvl w:val="0"/>
          <w:numId w:val="4"/>
        </w:numPr>
        <w:spacing w:after="0" w:line="240" w:lineRule="auto"/>
        <w:ind w:left="851" w:hanging="284"/>
        <w:contextualSpacing w:val="0"/>
        <w:rPr>
          <w:szCs w:val="24"/>
        </w:rPr>
      </w:pPr>
      <w:r w:rsidRPr="00327FCA">
        <w:rPr>
          <w:szCs w:val="24"/>
        </w:rPr>
        <w:t>T</w:t>
      </w:r>
      <w:r w:rsidR="004322DC" w:rsidRPr="00327FCA">
        <w:rPr>
          <w:szCs w:val="24"/>
        </w:rPr>
        <w:t>he viability of</w:t>
      </w:r>
      <w:r w:rsidR="005F1E0C" w:rsidRPr="00327FCA">
        <w:rPr>
          <w:szCs w:val="24"/>
        </w:rPr>
        <w:t xml:space="preserve"> </w:t>
      </w:r>
      <w:r w:rsidR="00B4035A">
        <w:rPr>
          <w:szCs w:val="24"/>
        </w:rPr>
        <w:t>the generic site typologies (Table 2)</w:t>
      </w:r>
    </w:p>
    <w:p w:rsidR="00B4035A" w:rsidRDefault="00B4035A" w:rsidP="00B4035A">
      <w:pPr>
        <w:pStyle w:val="ListParagraph"/>
        <w:numPr>
          <w:ilvl w:val="0"/>
          <w:numId w:val="4"/>
        </w:numPr>
        <w:spacing w:line="240" w:lineRule="auto"/>
        <w:ind w:left="851" w:hanging="284"/>
        <w:contextualSpacing w:val="0"/>
        <w:rPr>
          <w:szCs w:val="24"/>
        </w:rPr>
      </w:pPr>
      <w:r w:rsidRPr="00327FCA">
        <w:rPr>
          <w:szCs w:val="24"/>
        </w:rPr>
        <w:t>If necessary, recommendations as to how the Local Plan policies could be amended to overcome any viability problems identified</w:t>
      </w:r>
    </w:p>
    <w:p w:rsidR="00DF3F6E" w:rsidRPr="00327FCA" w:rsidRDefault="00DF3F6E" w:rsidP="00DF3F6E">
      <w:pPr>
        <w:spacing w:line="240" w:lineRule="auto"/>
        <w:ind w:left="567" w:hanging="567"/>
        <w:rPr>
          <w:szCs w:val="24"/>
        </w:rPr>
      </w:pPr>
      <w:r>
        <w:rPr>
          <w:szCs w:val="24"/>
        </w:rPr>
        <w:lastRenderedPageBreak/>
        <w:t>6.5</w:t>
      </w:r>
      <w:r>
        <w:rPr>
          <w:szCs w:val="24"/>
        </w:rPr>
        <w:tab/>
        <w:t xml:space="preserve">Stage 2 should be completed by </w:t>
      </w:r>
      <w:r w:rsidR="001F1BA5" w:rsidRPr="001F1BA5">
        <w:rPr>
          <w:b/>
          <w:szCs w:val="24"/>
        </w:rPr>
        <w:t>13 May 2017</w:t>
      </w:r>
      <w:r w:rsidR="001F1BA5">
        <w:rPr>
          <w:szCs w:val="24"/>
        </w:rPr>
        <w:t>.</w:t>
      </w:r>
    </w:p>
    <w:p w:rsidR="00F05F60" w:rsidRPr="00327FCA" w:rsidRDefault="00F05F60" w:rsidP="00F86210">
      <w:pPr>
        <w:spacing w:line="240" w:lineRule="auto"/>
        <w:ind w:left="567" w:firstLine="0"/>
        <w:rPr>
          <w:szCs w:val="24"/>
          <w:u w:val="single"/>
        </w:rPr>
      </w:pPr>
      <w:r w:rsidRPr="00327FCA">
        <w:rPr>
          <w:szCs w:val="24"/>
          <w:u w:val="single"/>
        </w:rPr>
        <w:t>Sta</w:t>
      </w:r>
      <w:r w:rsidR="00B4035A">
        <w:rPr>
          <w:szCs w:val="24"/>
          <w:u w:val="single"/>
        </w:rPr>
        <w:t>ge 3: Final Viability Assessment Report</w:t>
      </w:r>
    </w:p>
    <w:p w:rsidR="00B4035A" w:rsidRDefault="004322DC" w:rsidP="00F86210">
      <w:pPr>
        <w:spacing w:line="240" w:lineRule="auto"/>
        <w:ind w:left="567" w:hanging="567"/>
        <w:rPr>
          <w:szCs w:val="24"/>
        </w:rPr>
      </w:pPr>
      <w:r w:rsidRPr="00327FCA">
        <w:rPr>
          <w:szCs w:val="24"/>
        </w:rPr>
        <w:t>6.</w:t>
      </w:r>
      <w:r w:rsidR="00DF3F6E">
        <w:rPr>
          <w:szCs w:val="24"/>
        </w:rPr>
        <w:t>6</w:t>
      </w:r>
      <w:r w:rsidRPr="00327FCA">
        <w:rPr>
          <w:szCs w:val="24"/>
        </w:rPr>
        <w:t xml:space="preserve"> </w:t>
      </w:r>
      <w:r w:rsidRPr="00327FCA">
        <w:rPr>
          <w:szCs w:val="24"/>
        </w:rPr>
        <w:tab/>
        <w:t xml:space="preserve">Stage 3 of the project requires the publication of a </w:t>
      </w:r>
      <w:r w:rsidRPr="00DF3F6E">
        <w:rPr>
          <w:b/>
          <w:szCs w:val="24"/>
        </w:rPr>
        <w:t>final viability assessment</w:t>
      </w:r>
      <w:r w:rsidRPr="00327FCA">
        <w:rPr>
          <w:szCs w:val="24"/>
        </w:rPr>
        <w:t xml:space="preserve"> report, taking account of </w:t>
      </w:r>
      <w:r w:rsidR="001F1BA5">
        <w:rPr>
          <w:szCs w:val="24"/>
        </w:rPr>
        <w:t>the findings of Stages 1 and 2 and making final recommendations.</w:t>
      </w:r>
    </w:p>
    <w:p w:rsidR="00DF3F6E" w:rsidRDefault="00B4035A" w:rsidP="00F86210">
      <w:pPr>
        <w:spacing w:line="240" w:lineRule="auto"/>
        <w:ind w:left="567" w:hanging="567"/>
        <w:rPr>
          <w:szCs w:val="24"/>
        </w:rPr>
      </w:pPr>
      <w:r>
        <w:rPr>
          <w:szCs w:val="24"/>
        </w:rPr>
        <w:t>6.</w:t>
      </w:r>
      <w:r w:rsidR="00DF3F6E">
        <w:rPr>
          <w:szCs w:val="24"/>
        </w:rPr>
        <w:t>7</w:t>
      </w:r>
      <w:r>
        <w:rPr>
          <w:szCs w:val="24"/>
        </w:rPr>
        <w:tab/>
      </w:r>
      <w:r w:rsidR="00DF3F6E">
        <w:rPr>
          <w:szCs w:val="24"/>
        </w:rPr>
        <w:t xml:space="preserve">Stage 3 should be completed by </w:t>
      </w:r>
      <w:r w:rsidR="001F1BA5" w:rsidRPr="001F1BA5">
        <w:rPr>
          <w:b/>
          <w:szCs w:val="24"/>
        </w:rPr>
        <w:t>27 May 2017</w:t>
      </w:r>
      <w:r w:rsidR="001F1BA5">
        <w:rPr>
          <w:szCs w:val="24"/>
        </w:rPr>
        <w:t>.</w:t>
      </w:r>
    </w:p>
    <w:p w:rsidR="00CA5376" w:rsidRDefault="00DF3F6E" w:rsidP="00F86210">
      <w:pPr>
        <w:spacing w:line="240" w:lineRule="auto"/>
        <w:ind w:left="567" w:hanging="567"/>
        <w:rPr>
          <w:szCs w:val="24"/>
        </w:rPr>
      </w:pPr>
      <w:r>
        <w:rPr>
          <w:szCs w:val="24"/>
        </w:rPr>
        <w:t>6.8</w:t>
      </w:r>
      <w:r>
        <w:rPr>
          <w:szCs w:val="24"/>
        </w:rPr>
        <w:tab/>
      </w:r>
      <w:r w:rsidR="00CA5376" w:rsidRPr="00466ED5">
        <w:rPr>
          <w:b/>
          <w:szCs w:val="24"/>
        </w:rPr>
        <w:t xml:space="preserve">It is possible that further sites may need to be assessed for viability, beyond the sites outlined in this </w:t>
      </w:r>
      <w:r w:rsidR="0046742F" w:rsidRPr="00466ED5">
        <w:rPr>
          <w:b/>
          <w:szCs w:val="24"/>
        </w:rPr>
        <w:t>specification</w:t>
      </w:r>
      <w:r w:rsidR="00CA5376" w:rsidRPr="00466ED5">
        <w:rPr>
          <w:b/>
          <w:szCs w:val="24"/>
        </w:rPr>
        <w:t xml:space="preserve">. This will depend on amendments to the Preferred Options plan arising from comments submitted during the recent consultation. </w:t>
      </w:r>
      <w:r w:rsidR="008102DE" w:rsidRPr="00466ED5">
        <w:rPr>
          <w:b/>
          <w:szCs w:val="24"/>
        </w:rPr>
        <w:t>These are likely to be small in number and if the need arises the appointed consultant will be asked to quote for this additional work separately</w:t>
      </w:r>
      <w:r w:rsidR="008102DE">
        <w:rPr>
          <w:szCs w:val="24"/>
        </w:rPr>
        <w:t>.</w:t>
      </w:r>
    </w:p>
    <w:p w:rsidR="004322DC" w:rsidRPr="00327FCA" w:rsidRDefault="008102DE" w:rsidP="00F86210">
      <w:pPr>
        <w:spacing w:line="240" w:lineRule="auto"/>
        <w:ind w:left="567" w:hanging="567"/>
        <w:rPr>
          <w:szCs w:val="24"/>
        </w:rPr>
      </w:pPr>
      <w:r>
        <w:rPr>
          <w:szCs w:val="24"/>
        </w:rPr>
        <w:t>6.9</w:t>
      </w:r>
      <w:r>
        <w:rPr>
          <w:szCs w:val="24"/>
        </w:rPr>
        <w:tab/>
      </w:r>
      <w:r w:rsidR="004322DC" w:rsidRPr="00327FCA">
        <w:rPr>
          <w:szCs w:val="24"/>
        </w:rPr>
        <w:t>Th</w:t>
      </w:r>
      <w:r w:rsidR="00B4035A">
        <w:rPr>
          <w:szCs w:val="24"/>
        </w:rPr>
        <w:t>e final report</w:t>
      </w:r>
      <w:r w:rsidR="004322DC" w:rsidRPr="00327FCA">
        <w:rPr>
          <w:szCs w:val="24"/>
        </w:rPr>
        <w:t xml:space="preserve"> will </w:t>
      </w:r>
      <w:r w:rsidR="00A33D74" w:rsidRPr="00327FCA">
        <w:rPr>
          <w:szCs w:val="24"/>
        </w:rPr>
        <w:t>form</w:t>
      </w:r>
      <w:r w:rsidR="004322DC" w:rsidRPr="00327FCA">
        <w:rPr>
          <w:szCs w:val="24"/>
        </w:rPr>
        <w:t xml:space="preserve"> part of the </w:t>
      </w:r>
      <w:r w:rsidR="00272EBF" w:rsidRPr="00327FCA">
        <w:rPr>
          <w:szCs w:val="24"/>
        </w:rPr>
        <w:t xml:space="preserve">published </w:t>
      </w:r>
      <w:r w:rsidR="004322DC" w:rsidRPr="00327FCA">
        <w:rPr>
          <w:szCs w:val="24"/>
        </w:rPr>
        <w:t xml:space="preserve">evidence base supporting the </w:t>
      </w:r>
      <w:r w:rsidR="004322DC" w:rsidRPr="00327FCA">
        <w:rPr>
          <w:i/>
          <w:szCs w:val="24"/>
        </w:rPr>
        <w:t>Places and Policies Local Plan</w:t>
      </w:r>
      <w:r w:rsidR="00B4035A">
        <w:rPr>
          <w:i/>
          <w:szCs w:val="24"/>
        </w:rPr>
        <w:t xml:space="preserve">. </w:t>
      </w:r>
      <w:r w:rsidR="00B4035A" w:rsidRPr="00B4035A">
        <w:rPr>
          <w:szCs w:val="24"/>
        </w:rPr>
        <w:t>It is intended that this will be</w:t>
      </w:r>
      <w:r w:rsidR="00B4035A">
        <w:rPr>
          <w:szCs w:val="24"/>
        </w:rPr>
        <w:t xml:space="preserve"> submitted to the Secretary of State in September/October 2017.</w:t>
      </w:r>
      <w:r w:rsidR="00B4035A" w:rsidRPr="00B4035A">
        <w:rPr>
          <w:szCs w:val="24"/>
        </w:rPr>
        <w:t xml:space="preserve"> </w:t>
      </w:r>
      <w:r w:rsidR="004322DC" w:rsidRPr="00327FCA">
        <w:rPr>
          <w:szCs w:val="24"/>
        </w:rPr>
        <w:t xml:space="preserve"> </w:t>
      </w:r>
    </w:p>
    <w:p w:rsidR="00D813F9" w:rsidRPr="00327FCA" w:rsidRDefault="00A33D74" w:rsidP="00613D8C">
      <w:pPr>
        <w:spacing w:after="360" w:line="240" w:lineRule="auto"/>
        <w:ind w:left="567" w:hanging="567"/>
        <w:rPr>
          <w:szCs w:val="24"/>
        </w:rPr>
      </w:pPr>
      <w:r w:rsidRPr="00327FCA">
        <w:rPr>
          <w:szCs w:val="24"/>
        </w:rPr>
        <w:t>6.</w:t>
      </w:r>
      <w:r w:rsidR="008102DE">
        <w:rPr>
          <w:szCs w:val="24"/>
        </w:rPr>
        <w:t>10</w:t>
      </w:r>
      <w:r w:rsidRPr="00327FCA">
        <w:rPr>
          <w:szCs w:val="24"/>
        </w:rPr>
        <w:tab/>
      </w:r>
      <w:r w:rsidR="00F74D04" w:rsidRPr="00327FCA">
        <w:rPr>
          <w:szCs w:val="24"/>
        </w:rPr>
        <w:t xml:space="preserve">As outlined above, the viability consultant may be required to attend the public examination into the </w:t>
      </w:r>
      <w:r w:rsidR="00272EBF" w:rsidRPr="00327FCA">
        <w:rPr>
          <w:szCs w:val="24"/>
        </w:rPr>
        <w:t xml:space="preserve">Local Plan to </w:t>
      </w:r>
      <w:r w:rsidR="00B4035A">
        <w:rPr>
          <w:szCs w:val="24"/>
        </w:rPr>
        <w:t>support</w:t>
      </w:r>
      <w:r w:rsidR="00272EBF" w:rsidRPr="00327FCA">
        <w:rPr>
          <w:szCs w:val="24"/>
        </w:rPr>
        <w:t xml:space="preserve"> the results of the assessment. It is envisaged that the examination will be held during </w:t>
      </w:r>
      <w:r w:rsidR="00B4035A" w:rsidRPr="00B4035A">
        <w:rPr>
          <w:szCs w:val="24"/>
        </w:rPr>
        <w:t>November/December 2017.</w:t>
      </w:r>
      <w:r w:rsidR="00272EBF" w:rsidRPr="00327FCA">
        <w:rPr>
          <w:color w:val="FF0000"/>
          <w:szCs w:val="24"/>
        </w:rPr>
        <w:t xml:space="preserve"> </w:t>
      </w:r>
      <w:r w:rsidR="00272EBF" w:rsidRPr="00327FCA">
        <w:rPr>
          <w:szCs w:val="24"/>
        </w:rPr>
        <w:t xml:space="preserve">Quotations should be given for this work </w:t>
      </w:r>
      <w:r w:rsidR="00613D8C" w:rsidRPr="00327FCA">
        <w:rPr>
          <w:szCs w:val="24"/>
        </w:rPr>
        <w:t>as</w:t>
      </w:r>
      <w:r w:rsidR="00272EBF" w:rsidRPr="00327FCA">
        <w:rPr>
          <w:szCs w:val="24"/>
        </w:rPr>
        <w:t xml:space="preserve"> an hourly</w:t>
      </w:r>
      <w:r w:rsidR="00B4035A">
        <w:rPr>
          <w:szCs w:val="24"/>
        </w:rPr>
        <w:t>/daily</w:t>
      </w:r>
      <w:r w:rsidR="00272EBF" w:rsidRPr="00327FCA">
        <w:rPr>
          <w:szCs w:val="24"/>
        </w:rPr>
        <w:t xml:space="preserve"> rate.</w:t>
      </w:r>
    </w:p>
    <w:p w:rsidR="00F05F60" w:rsidRPr="00327FCA" w:rsidRDefault="00F05F60" w:rsidP="00F86210">
      <w:pPr>
        <w:spacing w:line="240" w:lineRule="auto"/>
        <w:ind w:left="567" w:hanging="567"/>
        <w:rPr>
          <w:b/>
          <w:szCs w:val="24"/>
        </w:rPr>
      </w:pPr>
      <w:r w:rsidRPr="00327FCA">
        <w:rPr>
          <w:b/>
          <w:szCs w:val="24"/>
        </w:rPr>
        <w:t>7</w:t>
      </w:r>
      <w:r w:rsidRPr="00327FCA">
        <w:rPr>
          <w:b/>
          <w:szCs w:val="24"/>
        </w:rPr>
        <w:tab/>
        <w:t>Background information</w:t>
      </w:r>
    </w:p>
    <w:p w:rsidR="00255A22" w:rsidRPr="00327FCA" w:rsidRDefault="00F05F60" w:rsidP="006B0EC5">
      <w:pPr>
        <w:spacing w:line="240" w:lineRule="auto"/>
        <w:ind w:left="567" w:hanging="567"/>
        <w:rPr>
          <w:szCs w:val="24"/>
        </w:rPr>
      </w:pPr>
      <w:r w:rsidRPr="00327FCA">
        <w:rPr>
          <w:szCs w:val="24"/>
        </w:rPr>
        <w:t>7.1</w:t>
      </w:r>
      <w:r w:rsidRPr="00327FCA">
        <w:rPr>
          <w:szCs w:val="24"/>
        </w:rPr>
        <w:tab/>
      </w:r>
      <w:r w:rsidR="005F4B14" w:rsidRPr="00327FCA">
        <w:rPr>
          <w:szCs w:val="24"/>
        </w:rPr>
        <w:t xml:space="preserve">In addition to the </w:t>
      </w:r>
      <w:r w:rsidR="00D813F9" w:rsidRPr="00327FCA">
        <w:rPr>
          <w:szCs w:val="24"/>
        </w:rPr>
        <w:t xml:space="preserve">supporting documents referenced above, </w:t>
      </w:r>
      <w:r w:rsidR="00255A22" w:rsidRPr="00327FCA">
        <w:rPr>
          <w:szCs w:val="24"/>
        </w:rPr>
        <w:t>regard should also be had to</w:t>
      </w:r>
      <w:r w:rsidR="006B0EC5" w:rsidRPr="00327FCA">
        <w:rPr>
          <w:szCs w:val="24"/>
        </w:rPr>
        <w:t xml:space="preserve"> the following</w:t>
      </w:r>
      <w:r w:rsidR="00255A22" w:rsidRPr="00327FCA">
        <w:rPr>
          <w:szCs w:val="24"/>
        </w:rPr>
        <w:t>:</w:t>
      </w:r>
    </w:p>
    <w:p w:rsidR="00255A22" w:rsidRPr="00327FCA" w:rsidRDefault="00255A22" w:rsidP="006B0EC5">
      <w:pPr>
        <w:pStyle w:val="ListParagraph"/>
        <w:numPr>
          <w:ilvl w:val="0"/>
          <w:numId w:val="4"/>
        </w:numPr>
        <w:spacing w:after="0" w:line="240" w:lineRule="auto"/>
        <w:ind w:left="851" w:hanging="284"/>
        <w:contextualSpacing w:val="0"/>
        <w:rPr>
          <w:szCs w:val="24"/>
        </w:rPr>
      </w:pPr>
      <w:r w:rsidRPr="00327FCA">
        <w:rPr>
          <w:i/>
          <w:szCs w:val="24"/>
        </w:rPr>
        <w:t>Local Development Framework: Economic Viability Assessment</w:t>
      </w:r>
      <w:r w:rsidRPr="00327FCA">
        <w:rPr>
          <w:szCs w:val="24"/>
        </w:rPr>
        <w:t xml:space="preserve"> (Adams Integra, 2011)</w:t>
      </w:r>
      <w:r w:rsidRPr="00327FCA">
        <w:rPr>
          <w:rStyle w:val="FootnoteReference"/>
          <w:szCs w:val="24"/>
        </w:rPr>
        <w:footnoteReference w:id="12"/>
      </w:r>
      <w:r w:rsidR="00272EBF" w:rsidRPr="00327FCA">
        <w:rPr>
          <w:szCs w:val="24"/>
        </w:rPr>
        <w:t xml:space="preserve">  </w:t>
      </w:r>
    </w:p>
    <w:p w:rsidR="005748FC" w:rsidRPr="00327FCA" w:rsidRDefault="00255A22" w:rsidP="006B0EC5">
      <w:pPr>
        <w:pStyle w:val="ListParagraph"/>
        <w:numPr>
          <w:ilvl w:val="0"/>
          <w:numId w:val="4"/>
        </w:numPr>
        <w:spacing w:after="0" w:line="240" w:lineRule="auto"/>
        <w:ind w:left="851" w:hanging="284"/>
        <w:contextualSpacing w:val="0"/>
        <w:rPr>
          <w:szCs w:val="24"/>
        </w:rPr>
      </w:pPr>
      <w:r w:rsidRPr="00327FCA">
        <w:rPr>
          <w:i/>
          <w:szCs w:val="24"/>
        </w:rPr>
        <w:t xml:space="preserve">CIL and Whole Plan Economic Viability Assessment </w:t>
      </w:r>
      <w:r w:rsidRPr="00327FCA">
        <w:rPr>
          <w:szCs w:val="24"/>
        </w:rPr>
        <w:t>(Dixon Searle LLP, 2014)</w:t>
      </w:r>
      <w:r w:rsidRPr="00327FCA">
        <w:rPr>
          <w:rStyle w:val="FootnoteReference"/>
          <w:szCs w:val="24"/>
        </w:rPr>
        <w:footnoteReference w:id="13"/>
      </w:r>
    </w:p>
    <w:p w:rsidR="005748FC" w:rsidRPr="00327FCA" w:rsidRDefault="005748FC" w:rsidP="006B0EC5">
      <w:pPr>
        <w:pStyle w:val="ListParagraph"/>
        <w:numPr>
          <w:ilvl w:val="0"/>
          <w:numId w:val="4"/>
        </w:numPr>
        <w:spacing w:after="0" w:line="240" w:lineRule="auto"/>
        <w:ind w:left="851" w:hanging="284"/>
        <w:contextualSpacing w:val="0"/>
        <w:rPr>
          <w:i/>
          <w:szCs w:val="24"/>
        </w:rPr>
      </w:pPr>
      <w:r w:rsidRPr="00327FCA">
        <w:rPr>
          <w:i/>
          <w:szCs w:val="24"/>
        </w:rPr>
        <w:t xml:space="preserve">CIL and Whole Plan Economic Viability Assessment – Appendices </w:t>
      </w:r>
      <w:r w:rsidRPr="00327FCA">
        <w:rPr>
          <w:szCs w:val="24"/>
        </w:rPr>
        <w:t>(Dixon Searle LLP, 2014)</w:t>
      </w:r>
      <w:r w:rsidRPr="00327FCA">
        <w:rPr>
          <w:rStyle w:val="FootnoteReference"/>
          <w:szCs w:val="24"/>
        </w:rPr>
        <w:footnoteReference w:id="14"/>
      </w:r>
    </w:p>
    <w:p w:rsidR="00163BE8" w:rsidRPr="00327FCA" w:rsidRDefault="001E31B2" w:rsidP="006B0EC5">
      <w:pPr>
        <w:pStyle w:val="ListParagraph"/>
        <w:numPr>
          <w:ilvl w:val="0"/>
          <w:numId w:val="4"/>
        </w:numPr>
        <w:spacing w:after="0" w:line="240" w:lineRule="auto"/>
        <w:ind w:left="851" w:hanging="284"/>
        <w:contextualSpacing w:val="0"/>
        <w:rPr>
          <w:szCs w:val="24"/>
        </w:rPr>
      </w:pPr>
      <w:r w:rsidRPr="00327FCA">
        <w:rPr>
          <w:i/>
          <w:szCs w:val="24"/>
        </w:rPr>
        <w:t xml:space="preserve">Core Strategy Local Plan Draft Infrastructure Assessment and Delivery Plan </w:t>
      </w:r>
      <w:r w:rsidRPr="00327FCA">
        <w:rPr>
          <w:szCs w:val="24"/>
        </w:rPr>
        <w:t>(SDC, 2015)</w:t>
      </w:r>
      <w:r w:rsidRPr="00327FCA">
        <w:rPr>
          <w:rStyle w:val="FootnoteReference"/>
          <w:szCs w:val="24"/>
        </w:rPr>
        <w:footnoteReference w:id="15"/>
      </w:r>
    </w:p>
    <w:p w:rsidR="00163BE8" w:rsidRDefault="00163BE8">
      <w:pPr>
        <w:rPr>
          <w:i/>
          <w:sz w:val="22"/>
        </w:rPr>
      </w:pPr>
      <w:r>
        <w:rPr>
          <w:i/>
          <w:sz w:val="22"/>
        </w:rPr>
        <w:br w:type="page"/>
      </w:r>
    </w:p>
    <w:p w:rsidR="00081A2F" w:rsidRDefault="00081A2F">
      <w:pPr>
        <w:rPr>
          <w:rFonts w:cs="Arial"/>
          <w:b/>
          <w:szCs w:val="24"/>
        </w:rPr>
        <w:sectPr w:rsidR="00081A2F" w:rsidSect="009C31E6">
          <w:headerReference w:type="default" r:id="rId13"/>
          <w:footerReference w:type="default" r:id="rId14"/>
          <w:pgSz w:w="11906" w:h="16838"/>
          <w:pgMar w:top="1440" w:right="1440" w:bottom="1440" w:left="1440" w:header="708" w:footer="708" w:gutter="0"/>
          <w:pgNumType w:start="1"/>
          <w:cols w:space="708"/>
          <w:docGrid w:linePitch="360"/>
        </w:sectPr>
      </w:pPr>
    </w:p>
    <w:p w:rsidR="006903C1" w:rsidRDefault="00FA452D" w:rsidP="00FA452D">
      <w:pPr>
        <w:spacing w:line="360" w:lineRule="auto"/>
        <w:ind w:left="567" w:firstLine="0"/>
        <w:rPr>
          <w:rFonts w:cs="Arial"/>
          <w:b/>
          <w:szCs w:val="24"/>
        </w:rPr>
      </w:pPr>
      <w:r>
        <w:rPr>
          <w:rFonts w:cs="Arial"/>
          <w:b/>
          <w:szCs w:val="24"/>
        </w:rPr>
        <w:lastRenderedPageBreak/>
        <w:t>Appendix A</w:t>
      </w:r>
      <w:r w:rsidR="00781950">
        <w:rPr>
          <w:rFonts w:cs="Arial"/>
          <w:b/>
          <w:szCs w:val="24"/>
        </w:rPr>
        <w:t>1</w:t>
      </w:r>
      <w:r>
        <w:rPr>
          <w:rFonts w:cs="Arial"/>
          <w:b/>
          <w:szCs w:val="24"/>
        </w:rPr>
        <w:t>: Places and Policies Local Plan Preferred Options – Residential Site Allocations</w:t>
      </w:r>
      <w:r w:rsidR="006903C1">
        <w:rPr>
          <w:rFonts w:cs="Arial"/>
          <w:b/>
          <w:szCs w:val="24"/>
        </w:rPr>
        <w:br w:type="page"/>
      </w:r>
    </w:p>
    <w:p w:rsidR="005A1E5A" w:rsidRDefault="005A1E5A">
      <w:pPr>
        <w:rPr>
          <w:rFonts w:cs="Arial"/>
          <w:b/>
          <w:szCs w:val="24"/>
        </w:rPr>
        <w:sectPr w:rsidR="005A1E5A" w:rsidSect="009C31E6">
          <w:headerReference w:type="default" r:id="rId15"/>
          <w:footerReference w:type="default" r:id="rId16"/>
          <w:pgSz w:w="11906" w:h="16838"/>
          <w:pgMar w:top="1440" w:right="1440" w:bottom="1440" w:left="1440" w:header="708" w:footer="708" w:gutter="0"/>
          <w:pgNumType w:start="1"/>
          <w:cols w:space="708"/>
          <w:docGrid w:linePitch="360"/>
        </w:sectPr>
      </w:pPr>
    </w:p>
    <w:tbl>
      <w:tblPr>
        <w:tblW w:w="1445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993"/>
        <w:gridCol w:w="2590"/>
        <w:gridCol w:w="1301"/>
        <w:gridCol w:w="1843"/>
        <w:gridCol w:w="4330"/>
        <w:gridCol w:w="1353"/>
        <w:gridCol w:w="2043"/>
      </w:tblGrid>
      <w:tr w:rsidR="005A1E5A" w:rsidRPr="005A1E5A" w:rsidTr="005D02A3">
        <w:trPr>
          <w:trHeight w:val="500"/>
          <w:tblHeader/>
        </w:trPr>
        <w:tc>
          <w:tcPr>
            <w:tcW w:w="993" w:type="dxa"/>
            <w:shd w:val="clear" w:color="auto" w:fill="E5DFEC" w:themeFill="accent4" w:themeFillTint="33"/>
            <w:noWrap/>
            <w:vAlign w:val="center"/>
            <w:hideMark/>
          </w:tcPr>
          <w:p w:rsidR="005A1E5A" w:rsidRPr="005A1E5A" w:rsidRDefault="005A1E5A" w:rsidP="005A1E5A">
            <w:pPr>
              <w:spacing w:after="0" w:line="240" w:lineRule="auto"/>
              <w:ind w:left="0" w:firstLine="0"/>
              <w:rPr>
                <w:rFonts w:eastAsia="Times New Roman" w:cs="Arial"/>
                <w:b/>
                <w:color w:val="000000"/>
                <w:sz w:val="22"/>
                <w:lang w:eastAsia="en-GB"/>
              </w:rPr>
            </w:pPr>
            <w:r w:rsidRPr="005A1E5A">
              <w:rPr>
                <w:rFonts w:eastAsia="Times New Roman" w:cs="Arial"/>
                <w:b/>
                <w:color w:val="000000"/>
                <w:sz w:val="22"/>
                <w:lang w:eastAsia="en-GB"/>
              </w:rPr>
              <w:lastRenderedPageBreak/>
              <w:t xml:space="preserve">Policy </w:t>
            </w:r>
          </w:p>
        </w:tc>
        <w:tc>
          <w:tcPr>
            <w:tcW w:w="2590" w:type="dxa"/>
            <w:shd w:val="clear" w:color="auto" w:fill="E5DFEC" w:themeFill="accent4" w:themeFillTint="33"/>
            <w:noWrap/>
            <w:vAlign w:val="center"/>
            <w:hideMark/>
          </w:tcPr>
          <w:p w:rsidR="005A1E5A" w:rsidRPr="005A1E5A" w:rsidRDefault="005A1E5A" w:rsidP="005A1E5A">
            <w:pPr>
              <w:spacing w:after="0" w:line="240" w:lineRule="auto"/>
              <w:ind w:left="0" w:firstLine="0"/>
              <w:rPr>
                <w:rFonts w:eastAsia="Times New Roman" w:cs="Arial"/>
                <w:b/>
                <w:color w:val="000000"/>
                <w:sz w:val="22"/>
                <w:lang w:eastAsia="en-GB"/>
              </w:rPr>
            </w:pPr>
            <w:r w:rsidRPr="005A1E5A">
              <w:rPr>
                <w:rFonts w:eastAsia="Times New Roman" w:cs="Arial"/>
                <w:b/>
                <w:color w:val="000000"/>
                <w:sz w:val="22"/>
                <w:lang w:eastAsia="en-GB"/>
              </w:rPr>
              <w:t>Address</w:t>
            </w:r>
          </w:p>
        </w:tc>
        <w:tc>
          <w:tcPr>
            <w:tcW w:w="1301" w:type="dxa"/>
            <w:shd w:val="clear" w:color="auto" w:fill="E5DFEC" w:themeFill="accent4" w:themeFillTint="33"/>
            <w:noWrap/>
            <w:vAlign w:val="center"/>
            <w:hideMark/>
          </w:tcPr>
          <w:p w:rsidR="005A1E5A" w:rsidRPr="005A1E5A" w:rsidRDefault="005A1E5A" w:rsidP="005A1E5A">
            <w:pPr>
              <w:spacing w:after="0" w:line="240" w:lineRule="auto"/>
              <w:ind w:left="0" w:firstLine="0"/>
              <w:rPr>
                <w:rFonts w:eastAsia="Times New Roman" w:cs="Arial"/>
                <w:b/>
                <w:color w:val="000000"/>
                <w:sz w:val="22"/>
                <w:lang w:eastAsia="en-GB"/>
              </w:rPr>
            </w:pPr>
            <w:r w:rsidRPr="005A1E5A">
              <w:rPr>
                <w:rFonts w:eastAsia="Times New Roman" w:cs="Arial"/>
                <w:b/>
                <w:color w:val="000000"/>
                <w:sz w:val="22"/>
                <w:lang w:eastAsia="en-GB"/>
              </w:rPr>
              <w:t>Size</w:t>
            </w:r>
          </w:p>
        </w:tc>
        <w:tc>
          <w:tcPr>
            <w:tcW w:w="1843" w:type="dxa"/>
            <w:shd w:val="clear" w:color="auto" w:fill="E5DFEC" w:themeFill="accent4" w:themeFillTint="33"/>
            <w:vAlign w:val="center"/>
            <w:hideMark/>
          </w:tcPr>
          <w:p w:rsidR="005A1E5A" w:rsidRPr="005A1E5A" w:rsidRDefault="005A1E5A" w:rsidP="005A1E5A">
            <w:pPr>
              <w:spacing w:after="0" w:line="240" w:lineRule="auto"/>
              <w:ind w:left="0" w:firstLine="0"/>
              <w:rPr>
                <w:rFonts w:eastAsia="Times New Roman" w:cs="Arial"/>
                <w:b/>
                <w:color w:val="000000"/>
                <w:sz w:val="22"/>
                <w:lang w:eastAsia="en-GB"/>
              </w:rPr>
            </w:pPr>
            <w:r>
              <w:rPr>
                <w:rFonts w:eastAsia="Times New Roman" w:cs="Arial"/>
                <w:b/>
                <w:color w:val="000000"/>
                <w:sz w:val="22"/>
                <w:lang w:eastAsia="en-GB"/>
              </w:rPr>
              <w:t>A</w:t>
            </w:r>
            <w:r w:rsidRPr="005A1E5A">
              <w:rPr>
                <w:rFonts w:eastAsia="Times New Roman" w:cs="Arial"/>
                <w:b/>
                <w:color w:val="000000"/>
                <w:sz w:val="22"/>
                <w:lang w:eastAsia="en-GB"/>
              </w:rPr>
              <w:t xml:space="preserve">llocation </w:t>
            </w:r>
          </w:p>
        </w:tc>
        <w:tc>
          <w:tcPr>
            <w:tcW w:w="4330" w:type="dxa"/>
            <w:shd w:val="clear" w:color="auto" w:fill="E5DFEC" w:themeFill="accent4" w:themeFillTint="33"/>
            <w:vAlign w:val="center"/>
          </w:tcPr>
          <w:p w:rsidR="005A1E5A" w:rsidRPr="005A1E5A" w:rsidRDefault="005A1E5A" w:rsidP="005A1E5A">
            <w:pPr>
              <w:spacing w:after="0" w:line="240" w:lineRule="auto"/>
              <w:ind w:left="0" w:firstLine="0"/>
              <w:rPr>
                <w:rFonts w:eastAsia="Times New Roman" w:cs="Arial"/>
                <w:b/>
                <w:color w:val="000000"/>
                <w:sz w:val="22"/>
                <w:lang w:eastAsia="en-GB"/>
              </w:rPr>
            </w:pPr>
            <w:r w:rsidRPr="005A1E5A">
              <w:rPr>
                <w:rFonts w:eastAsia="Times New Roman" w:cs="Arial"/>
                <w:b/>
                <w:color w:val="000000"/>
                <w:sz w:val="22"/>
                <w:lang w:eastAsia="en-GB"/>
              </w:rPr>
              <w:t>Comments</w:t>
            </w:r>
          </w:p>
        </w:tc>
        <w:tc>
          <w:tcPr>
            <w:tcW w:w="1353" w:type="dxa"/>
            <w:shd w:val="clear" w:color="auto" w:fill="E5DFEC" w:themeFill="accent4" w:themeFillTint="33"/>
            <w:vAlign w:val="center"/>
          </w:tcPr>
          <w:p w:rsidR="005A1E5A" w:rsidRPr="005A1E5A" w:rsidRDefault="005A1E5A" w:rsidP="005A1E5A">
            <w:pPr>
              <w:spacing w:after="0" w:line="240" w:lineRule="auto"/>
              <w:ind w:left="0" w:firstLine="14"/>
              <w:rPr>
                <w:rFonts w:eastAsia="Times New Roman" w:cs="Arial"/>
                <w:b/>
                <w:color w:val="000000"/>
                <w:sz w:val="22"/>
                <w:lang w:eastAsia="en-GB"/>
              </w:rPr>
            </w:pPr>
            <w:r w:rsidRPr="005A1E5A">
              <w:rPr>
                <w:rFonts w:eastAsia="Times New Roman" w:cs="Arial"/>
                <w:b/>
                <w:color w:val="000000"/>
                <w:sz w:val="22"/>
                <w:lang w:eastAsia="en-GB"/>
              </w:rPr>
              <w:t>CIL Zone</w:t>
            </w:r>
          </w:p>
        </w:tc>
        <w:tc>
          <w:tcPr>
            <w:tcW w:w="2043" w:type="dxa"/>
            <w:shd w:val="clear" w:color="auto" w:fill="E5DFEC" w:themeFill="accent4" w:themeFillTint="33"/>
            <w:vAlign w:val="center"/>
          </w:tcPr>
          <w:p w:rsidR="005A1E5A" w:rsidRPr="005A1E5A" w:rsidRDefault="005A1E5A" w:rsidP="005A1E5A">
            <w:pPr>
              <w:spacing w:after="0" w:line="240" w:lineRule="auto"/>
              <w:ind w:left="0" w:firstLine="0"/>
              <w:rPr>
                <w:rFonts w:eastAsia="Times New Roman" w:cs="Arial"/>
                <w:b/>
                <w:color w:val="000000"/>
                <w:sz w:val="22"/>
                <w:lang w:eastAsia="en-GB"/>
              </w:rPr>
            </w:pPr>
            <w:r w:rsidRPr="005A1E5A">
              <w:rPr>
                <w:rFonts w:eastAsia="Times New Roman" w:cs="Arial"/>
                <w:b/>
                <w:color w:val="000000"/>
                <w:sz w:val="22"/>
                <w:lang w:eastAsia="en-GB"/>
              </w:rPr>
              <w:t>Assessment</w:t>
            </w:r>
          </w:p>
        </w:tc>
      </w:tr>
      <w:tr w:rsidR="005A1E5A" w:rsidRPr="005A1E5A" w:rsidTr="005D02A3">
        <w:trPr>
          <w:trHeight w:val="438"/>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r w:rsidRPr="005A1E5A">
              <w:rPr>
                <w:rFonts w:eastAsia="Times New Roman" w:cs="Arial"/>
                <w:b/>
                <w:color w:val="000000"/>
                <w:sz w:val="22"/>
                <w:lang w:eastAsia="en-GB"/>
              </w:rPr>
              <w:t>Folkestone and Hythe Urban Area</w:t>
            </w:r>
          </w:p>
        </w:tc>
      </w:tr>
      <w:tr w:rsidR="005A1E5A" w:rsidRPr="005A1E5A" w:rsidTr="005D02A3">
        <w:trPr>
          <w:trHeight w:val="431"/>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r w:rsidRPr="005A1E5A">
              <w:rPr>
                <w:rFonts w:eastAsia="Times New Roman" w:cs="Arial"/>
                <w:b/>
                <w:color w:val="000000"/>
                <w:sz w:val="22"/>
                <w:lang w:eastAsia="en-GB"/>
              </w:rPr>
              <w:t xml:space="preserve">Folkestone (including </w:t>
            </w:r>
            <w:proofErr w:type="spellStart"/>
            <w:r w:rsidRPr="005A1E5A">
              <w:rPr>
                <w:rFonts w:eastAsia="Times New Roman" w:cs="Arial"/>
                <w:b/>
                <w:color w:val="000000"/>
                <w:sz w:val="22"/>
                <w:lang w:eastAsia="en-GB"/>
              </w:rPr>
              <w:t>Cheriton</w:t>
            </w:r>
            <w:proofErr w:type="spellEnd"/>
            <w:r w:rsidRPr="005A1E5A">
              <w:rPr>
                <w:rFonts w:eastAsia="Times New Roman" w:cs="Arial"/>
                <w:b/>
                <w:color w:val="000000"/>
                <w:sz w:val="22"/>
                <w:lang w:eastAsia="en-GB"/>
              </w:rPr>
              <w:t xml:space="preserve"> and Sandgate)</w:t>
            </w:r>
          </w:p>
        </w:tc>
      </w:tr>
      <w:tr w:rsidR="00706CA4" w:rsidRPr="005A1E5A" w:rsidTr="00706CA4">
        <w:trPr>
          <w:trHeight w:val="600"/>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UA6, p.50</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East Station Goods Yard, Southern Way, Folkestone</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1.2ha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40 dwellings, 1,000sqm B1/B8</w:t>
            </w:r>
          </w:p>
        </w:tc>
        <w:tc>
          <w:tcPr>
            <w:tcW w:w="4330" w:type="dxa"/>
            <w:shd w:val="clear" w:color="auto" w:fill="auto"/>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Planning permission granted in 2016 for a mixed use development of 41 dwellings and 1000sqm commercial space (reference: Y14/0928/SH)</w:t>
            </w: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A: Folkestone</w:t>
            </w:r>
          </w:p>
        </w:tc>
        <w:tc>
          <w:tcPr>
            <w:tcW w:w="2043" w:type="dxa"/>
          </w:tcPr>
          <w:p w:rsidR="005A1E5A" w:rsidRPr="005A1E5A" w:rsidRDefault="005A1E5A" w:rsidP="00527E7E">
            <w:pPr>
              <w:spacing w:after="0" w:line="240" w:lineRule="auto"/>
              <w:ind w:left="0" w:firstLine="0"/>
              <w:rPr>
                <w:rFonts w:eastAsia="Times New Roman" w:cs="Arial"/>
                <w:color w:val="000000"/>
                <w:sz w:val="22"/>
                <w:lang w:eastAsia="en-GB"/>
              </w:rPr>
            </w:pPr>
          </w:p>
        </w:tc>
      </w:tr>
      <w:tr w:rsidR="00706CA4" w:rsidRPr="005A1E5A" w:rsidTr="00706CA4">
        <w:trPr>
          <w:trHeight w:val="600"/>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UA7, p.53</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Rotunda and Marine Parade Car Parks, Marine Parade, Folkestone</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165 dwellings total</w:t>
            </w:r>
          </w:p>
        </w:tc>
        <w:tc>
          <w:tcPr>
            <w:tcW w:w="4330" w:type="dxa"/>
            <w:shd w:val="clear" w:color="auto" w:fill="auto"/>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Allocation comprising two sites:</w:t>
            </w:r>
          </w:p>
          <w:p w:rsidR="005A1E5A" w:rsidRPr="005A1E5A" w:rsidRDefault="005A1E5A" w:rsidP="005D02A3">
            <w:pPr>
              <w:pStyle w:val="ListParagraph"/>
              <w:numPr>
                <w:ilvl w:val="0"/>
                <w:numId w:val="20"/>
              </w:numPr>
              <w:spacing w:after="0" w:line="240" w:lineRule="auto"/>
              <w:ind w:left="304" w:hanging="304"/>
              <w:rPr>
                <w:rFonts w:eastAsia="Times New Roman" w:cs="Arial"/>
                <w:color w:val="000000"/>
                <w:sz w:val="22"/>
                <w:lang w:eastAsia="en-GB"/>
              </w:rPr>
            </w:pPr>
            <w:r w:rsidRPr="005A1E5A">
              <w:rPr>
                <w:rFonts w:eastAsia="Times New Roman" w:cs="Arial"/>
                <w:color w:val="000000"/>
                <w:sz w:val="22"/>
                <w:lang w:eastAsia="en-GB"/>
              </w:rPr>
              <w:t>Rotunda Car Park – 100 dwellings (1.02ha)</w:t>
            </w:r>
          </w:p>
          <w:p w:rsidR="005A1E5A" w:rsidRPr="005A1E5A" w:rsidRDefault="005A1E5A" w:rsidP="005D02A3">
            <w:pPr>
              <w:pStyle w:val="ListParagraph"/>
              <w:numPr>
                <w:ilvl w:val="0"/>
                <w:numId w:val="20"/>
              </w:numPr>
              <w:spacing w:after="0" w:line="240" w:lineRule="auto"/>
              <w:ind w:left="304" w:hanging="304"/>
              <w:rPr>
                <w:rFonts w:eastAsia="Times New Roman" w:cs="Arial"/>
                <w:color w:val="000000"/>
                <w:sz w:val="22"/>
                <w:lang w:eastAsia="en-GB"/>
              </w:rPr>
            </w:pPr>
            <w:r w:rsidRPr="005A1E5A">
              <w:rPr>
                <w:rFonts w:eastAsia="Times New Roman" w:cs="Arial"/>
                <w:color w:val="000000"/>
                <w:sz w:val="22"/>
                <w:lang w:eastAsia="en-GB"/>
              </w:rPr>
              <w:t>Marine Car Park – 65 dwellings (0.7ha)</w:t>
            </w: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A: Folkestone</w:t>
            </w:r>
          </w:p>
        </w:tc>
        <w:tc>
          <w:tcPr>
            <w:tcW w:w="2043" w:type="dxa"/>
          </w:tcPr>
          <w:p w:rsidR="005A1E5A" w:rsidRPr="005A1E5A" w:rsidRDefault="005D02A3"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Individual site assessments</w:t>
            </w:r>
          </w:p>
        </w:tc>
      </w:tr>
      <w:tr w:rsidR="00706CA4" w:rsidRPr="005A1E5A" w:rsidTr="00706CA4">
        <w:trPr>
          <w:trHeight w:val="627"/>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UA8, p.56</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Royal Victoria Hospital, Radnor Park Avenue, Folkestone</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42 dwellings</w:t>
            </w:r>
          </w:p>
        </w:tc>
        <w:tc>
          <w:tcPr>
            <w:tcW w:w="4330" w:type="dxa"/>
            <w:shd w:val="clear" w:color="auto" w:fill="auto"/>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Planning application Y12/0980/SH under consideration for conversion to provide 16 dwellings and redevelopment of the remainder of the site to provide 26 dwellings</w:t>
            </w: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B: Folkestone</w:t>
            </w:r>
          </w:p>
        </w:tc>
        <w:tc>
          <w:tcPr>
            <w:tcW w:w="2043" w:type="dxa"/>
          </w:tcPr>
          <w:p w:rsidR="005A1E5A" w:rsidRPr="005A1E5A" w:rsidRDefault="005D02A3"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w:t>
            </w:r>
          </w:p>
        </w:tc>
      </w:tr>
      <w:tr w:rsidR="00706CA4" w:rsidRPr="005A1E5A" w:rsidTr="00706CA4">
        <w:trPr>
          <w:trHeight w:val="627"/>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UA9, p.58</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3-5 </w:t>
            </w:r>
            <w:proofErr w:type="spellStart"/>
            <w:r w:rsidRPr="005A1E5A">
              <w:rPr>
                <w:rFonts w:eastAsia="Times New Roman" w:cs="Arial"/>
                <w:color w:val="000000"/>
                <w:sz w:val="22"/>
                <w:lang w:eastAsia="en-GB"/>
              </w:rPr>
              <w:t>Shorncliffe</w:t>
            </w:r>
            <w:proofErr w:type="spellEnd"/>
            <w:r w:rsidRPr="005A1E5A">
              <w:rPr>
                <w:rFonts w:eastAsia="Times New Roman" w:cs="Arial"/>
                <w:color w:val="000000"/>
                <w:sz w:val="22"/>
                <w:lang w:eastAsia="en-GB"/>
              </w:rPr>
              <w:t xml:space="preserve"> Road, Folkestone</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0.15ha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20 residential apartments</w:t>
            </w:r>
          </w:p>
        </w:tc>
        <w:tc>
          <w:tcPr>
            <w:tcW w:w="4330" w:type="dxa"/>
            <w:shd w:val="clear" w:color="auto" w:fill="auto"/>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B: Folkestone</w:t>
            </w:r>
          </w:p>
        </w:tc>
        <w:tc>
          <w:tcPr>
            <w:tcW w:w="2043" w:type="dxa"/>
          </w:tcPr>
          <w:p w:rsidR="005A1E5A" w:rsidRPr="005A1E5A" w:rsidRDefault="005D02A3"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w:t>
            </w:r>
          </w:p>
        </w:tc>
      </w:tr>
      <w:tr w:rsidR="00706CA4" w:rsidRPr="005A1E5A" w:rsidTr="00706CA4">
        <w:trPr>
          <w:trHeight w:val="600"/>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UA10, p.60</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Ingles Manor, Castle Hill Avenue, Folkestone</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1.9ha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46 dwellings, 1,400 </w:t>
            </w:r>
            <w:proofErr w:type="spellStart"/>
            <w:r w:rsidRPr="005A1E5A">
              <w:rPr>
                <w:rFonts w:eastAsia="Times New Roman" w:cs="Arial"/>
                <w:color w:val="000000"/>
                <w:sz w:val="22"/>
                <w:lang w:eastAsia="en-GB"/>
              </w:rPr>
              <w:t>sqm</w:t>
            </w:r>
            <w:proofErr w:type="spellEnd"/>
            <w:r w:rsidRPr="005A1E5A">
              <w:rPr>
                <w:rFonts w:eastAsia="Times New Roman" w:cs="Arial"/>
                <w:color w:val="000000"/>
                <w:sz w:val="22"/>
                <w:lang w:eastAsia="en-GB"/>
              </w:rPr>
              <w:t xml:space="preserve"> B1a</w:t>
            </w:r>
          </w:p>
        </w:tc>
        <w:tc>
          <w:tcPr>
            <w:tcW w:w="4330" w:type="dxa"/>
            <w:shd w:val="clear" w:color="auto" w:fill="auto"/>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Outline planning permission granted for 46 homes and 1,400sqm commercial </w:t>
            </w:r>
            <w:proofErr w:type="spellStart"/>
            <w:r w:rsidRPr="005A1E5A">
              <w:rPr>
                <w:rFonts w:eastAsia="Times New Roman" w:cs="Arial"/>
                <w:color w:val="000000"/>
                <w:sz w:val="22"/>
                <w:lang w:eastAsia="en-GB"/>
              </w:rPr>
              <w:t>floorspace</w:t>
            </w:r>
            <w:proofErr w:type="spellEnd"/>
            <w:r w:rsidRPr="005A1E5A">
              <w:rPr>
                <w:rFonts w:eastAsia="Times New Roman" w:cs="Arial"/>
                <w:color w:val="000000"/>
                <w:sz w:val="22"/>
                <w:lang w:eastAsia="en-GB"/>
              </w:rPr>
              <w:t>.  Phase 1 completed for 13 dwellings (application reference Y12/0767/SH)</w:t>
            </w: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B: Folkestone</w:t>
            </w:r>
          </w:p>
        </w:tc>
        <w:tc>
          <w:tcPr>
            <w:tcW w:w="2043" w:type="dxa"/>
          </w:tcPr>
          <w:p w:rsidR="005A1E5A" w:rsidRPr="005A1E5A" w:rsidRDefault="005D02A3"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w:t>
            </w:r>
          </w:p>
        </w:tc>
      </w:tr>
      <w:tr w:rsidR="00706CA4" w:rsidRPr="005A1E5A" w:rsidTr="00706CA4">
        <w:trPr>
          <w:trHeight w:val="600"/>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UA11, p.62</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Shepway Close, Folkestone</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0.79ha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24 dwellings, 0.3ha public open space</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A: Folkestone</w:t>
            </w:r>
          </w:p>
        </w:tc>
        <w:tc>
          <w:tcPr>
            <w:tcW w:w="2043" w:type="dxa"/>
          </w:tcPr>
          <w:p w:rsidR="005A1E5A" w:rsidRPr="005A1E5A" w:rsidRDefault="005A1E5A" w:rsidP="00527E7E">
            <w:pPr>
              <w:spacing w:after="0" w:line="240" w:lineRule="auto"/>
              <w:ind w:left="0" w:firstLine="0"/>
              <w:rPr>
                <w:rFonts w:eastAsia="Times New Roman" w:cs="Arial"/>
                <w:color w:val="000000"/>
                <w:sz w:val="22"/>
                <w:lang w:eastAsia="en-GB"/>
              </w:rPr>
            </w:pPr>
          </w:p>
        </w:tc>
      </w:tr>
      <w:tr w:rsidR="00706CA4" w:rsidRPr="005A1E5A" w:rsidTr="00706CA4">
        <w:trPr>
          <w:trHeight w:val="600"/>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lastRenderedPageBreak/>
              <w:t>UA12, p.65</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Former Gas Works, Ship Street, Folkestone</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1.5ha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100 dwellings, public open space</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A: Folkestone</w:t>
            </w:r>
          </w:p>
        </w:tc>
        <w:tc>
          <w:tcPr>
            <w:tcW w:w="2043" w:type="dxa"/>
          </w:tcPr>
          <w:p w:rsidR="005A1E5A" w:rsidRPr="005A1E5A" w:rsidRDefault="005D02A3" w:rsidP="005D02A3">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Individual site assessment</w:t>
            </w:r>
          </w:p>
        </w:tc>
      </w:tr>
      <w:tr w:rsidR="00706CA4" w:rsidRPr="005A1E5A" w:rsidTr="00706CA4">
        <w:trPr>
          <w:trHeight w:val="627"/>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UA13, p.67</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proofErr w:type="spellStart"/>
            <w:r w:rsidRPr="005A1E5A">
              <w:rPr>
                <w:rFonts w:eastAsia="Times New Roman" w:cs="Arial"/>
                <w:color w:val="000000"/>
                <w:sz w:val="22"/>
                <w:lang w:eastAsia="en-GB"/>
              </w:rPr>
              <w:t>Highview</w:t>
            </w:r>
            <w:proofErr w:type="spellEnd"/>
            <w:r w:rsidRPr="005A1E5A">
              <w:rPr>
                <w:rFonts w:eastAsia="Times New Roman" w:cs="Arial"/>
                <w:color w:val="000000"/>
                <w:sz w:val="22"/>
                <w:lang w:eastAsia="en-GB"/>
              </w:rPr>
              <w:t xml:space="preserve"> School, Moat Farm Road, Folkestone</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0.9ha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27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B: Folkestone</w:t>
            </w:r>
          </w:p>
        </w:tc>
        <w:tc>
          <w:tcPr>
            <w:tcW w:w="2043" w:type="dxa"/>
          </w:tcPr>
          <w:p w:rsidR="005A1E5A" w:rsidRPr="005A1E5A" w:rsidRDefault="005D02A3"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w:t>
            </w:r>
          </w:p>
        </w:tc>
      </w:tr>
      <w:tr w:rsidR="00706CA4" w:rsidRPr="005A1E5A" w:rsidTr="00706CA4">
        <w:trPr>
          <w:trHeight w:val="600"/>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UA14, p.70</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Brockman Family Centre, </w:t>
            </w:r>
            <w:proofErr w:type="spellStart"/>
            <w:r w:rsidRPr="005A1E5A">
              <w:rPr>
                <w:rFonts w:eastAsia="Times New Roman" w:cs="Arial"/>
                <w:color w:val="000000"/>
                <w:sz w:val="22"/>
                <w:lang w:eastAsia="en-GB"/>
              </w:rPr>
              <w:t>Cheriton</w:t>
            </w:r>
            <w:proofErr w:type="spellEnd"/>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0.87ha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26 houses or 50 apartment</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A: Folkestone</w:t>
            </w:r>
          </w:p>
        </w:tc>
        <w:tc>
          <w:tcPr>
            <w:tcW w:w="2043" w:type="dxa"/>
          </w:tcPr>
          <w:p w:rsidR="005A1E5A" w:rsidRPr="005A1E5A" w:rsidRDefault="005D02A3"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w:t>
            </w:r>
          </w:p>
        </w:tc>
      </w:tr>
      <w:tr w:rsidR="00706CA4" w:rsidRPr="005A1E5A" w:rsidTr="00706CA4">
        <w:trPr>
          <w:trHeight w:val="600"/>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UA15, p.72</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The Cherry Pickers Public House, </w:t>
            </w:r>
            <w:proofErr w:type="spellStart"/>
            <w:r w:rsidRPr="005A1E5A">
              <w:rPr>
                <w:rFonts w:eastAsia="Times New Roman" w:cs="Arial"/>
                <w:color w:val="000000"/>
                <w:sz w:val="22"/>
                <w:lang w:eastAsia="en-GB"/>
              </w:rPr>
              <w:t>Cheriton</w:t>
            </w:r>
            <w:proofErr w:type="spellEnd"/>
            <w:r w:rsidRPr="005A1E5A">
              <w:rPr>
                <w:rFonts w:eastAsia="Times New Roman" w:cs="Arial"/>
                <w:color w:val="000000"/>
                <w:sz w:val="22"/>
                <w:lang w:eastAsia="en-GB"/>
              </w:rPr>
              <w:t xml:space="preserve"> </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0.223ha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10 houses or 20 apartments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A: Folkestone</w:t>
            </w:r>
          </w:p>
        </w:tc>
        <w:tc>
          <w:tcPr>
            <w:tcW w:w="2043" w:type="dxa"/>
          </w:tcPr>
          <w:p w:rsidR="005A1E5A" w:rsidRPr="005A1E5A" w:rsidRDefault="005D02A3"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w:t>
            </w:r>
          </w:p>
        </w:tc>
      </w:tr>
      <w:tr w:rsidR="00706CA4" w:rsidRPr="005A1E5A" w:rsidTr="00706CA4">
        <w:trPr>
          <w:trHeight w:val="600"/>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UA16, p.75</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Affinity Water, Land at Cherry Garden Lane, Folkestone</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2.875ha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70 dwellings, 1ha public open space</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A: Folkestone</w:t>
            </w:r>
          </w:p>
        </w:tc>
        <w:tc>
          <w:tcPr>
            <w:tcW w:w="2043" w:type="dxa"/>
          </w:tcPr>
          <w:p w:rsidR="005A1E5A" w:rsidRPr="005A1E5A" w:rsidRDefault="005D02A3"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Individual site assessment</w:t>
            </w:r>
          </w:p>
        </w:tc>
      </w:tr>
      <w:tr w:rsidR="00706CA4" w:rsidRPr="005A1E5A" w:rsidTr="00706CA4">
        <w:trPr>
          <w:trHeight w:val="627"/>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UA17, p.77</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Shepway Resource Centre, Military Road, Sandgate </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0.64ha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41 dwellings</w:t>
            </w:r>
          </w:p>
        </w:tc>
        <w:tc>
          <w:tcPr>
            <w:tcW w:w="4330" w:type="dxa"/>
            <w:shd w:val="clear" w:color="auto" w:fill="auto"/>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Planning permission Y16/0463/SH for development of 23 dwellings and 18 apartments approved October 2016</w:t>
            </w: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C: Folkestone</w:t>
            </w:r>
          </w:p>
        </w:tc>
        <w:tc>
          <w:tcPr>
            <w:tcW w:w="2043" w:type="dxa"/>
          </w:tcPr>
          <w:p w:rsidR="005A1E5A" w:rsidRPr="005A1E5A" w:rsidRDefault="005A1E5A" w:rsidP="00527E7E">
            <w:pPr>
              <w:spacing w:after="0" w:line="240" w:lineRule="auto"/>
              <w:ind w:left="0" w:firstLine="0"/>
              <w:rPr>
                <w:rFonts w:eastAsia="Times New Roman" w:cs="Arial"/>
                <w:color w:val="000000"/>
                <w:sz w:val="22"/>
                <w:lang w:eastAsia="en-GB"/>
              </w:rPr>
            </w:pPr>
          </w:p>
        </w:tc>
      </w:tr>
      <w:tr w:rsidR="00706CA4" w:rsidRPr="005A1E5A" w:rsidTr="00706CA4">
        <w:trPr>
          <w:trHeight w:val="627"/>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UA18, p.80</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Land East of </w:t>
            </w:r>
            <w:proofErr w:type="spellStart"/>
            <w:r w:rsidRPr="005A1E5A">
              <w:rPr>
                <w:rFonts w:eastAsia="Times New Roman" w:cs="Arial"/>
                <w:color w:val="000000"/>
                <w:sz w:val="22"/>
                <w:lang w:eastAsia="en-GB"/>
              </w:rPr>
              <w:t>Coolinge</w:t>
            </w:r>
            <w:proofErr w:type="spellEnd"/>
            <w:r w:rsidRPr="005A1E5A">
              <w:rPr>
                <w:rFonts w:eastAsia="Times New Roman" w:cs="Arial"/>
                <w:color w:val="000000"/>
                <w:sz w:val="22"/>
                <w:lang w:eastAsia="en-GB"/>
              </w:rPr>
              <w:t xml:space="preserve"> Lane, Sandgate </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4.54ha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60 dwellings, 1.2ha public open space</w:t>
            </w:r>
          </w:p>
        </w:tc>
        <w:tc>
          <w:tcPr>
            <w:tcW w:w="4330" w:type="dxa"/>
            <w:shd w:val="clear" w:color="auto" w:fill="auto"/>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C: Folkestone</w:t>
            </w:r>
          </w:p>
        </w:tc>
        <w:tc>
          <w:tcPr>
            <w:tcW w:w="2043" w:type="dxa"/>
          </w:tcPr>
          <w:p w:rsidR="005A1E5A" w:rsidRPr="005A1E5A" w:rsidRDefault="00703E29"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Individual site assessment</w:t>
            </w:r>
          </w:p>
        </w:tc>
      </w:tr>
      <w:tr w:rsidR="00706CA4" w:rsidRPr="005A1E5A" w:rsidTr="00706CA4">
        <w:trPr>
          <w:trHeight w:val="627"/>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UA19, p.82</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Former </w:t>
            </w:r>
            <w:proofErr w:type="spellStart"/>
            <w:r w:rsidRPr="005A1E5A">
              <w:rPr>
                <w:rFonts w:eastAsia="Times New Roman" w:cs="Arial"/>
                <w:color w:val="000000"/>
                <w:sz w:val="22"/>
                <w:lang w:eastAsia="en-GB"/>
              </w:rPr>
              <w:t>Encombe</w:t>
            </w:r>
            <w:proofErr w:type="spellEnd"/>
            <w:r w:rsidRPr="005A1E5A">
              <w:rPr>
                <w:rFonts w:eastAsia="Times New Roman" w:cs="Arial"/>
                <w:color w:val="000000"/>
                <w:sz w:val="22"/>
                <w:lang w:eastAsia="en-GB"/>
              </w:rPr>
              <w:t xml:space="preserve"> House, </w:t>
            </w:r>
            <w:proofErr w:type="spellStart"/>
            <w:r w:rsidRPr="005A1E5A">
              <w:rPr>
                <w:rFonts w:eastAsia="Times New Roman" w:cs="Arial"/>
                <w:color w:val="000000"/>
                <w:sz w:val="22"/>
                <w:lang w:eastAsia="en-GB"/>
              </w:rPr>
              <w:t>Encombe</w:t>
            </w:r>
            <w:proofErr w:type="spellEnd"/>
            <w:r w:rsidRPr="005A1E5A">
              <w:rPr>
                <w:rFonts w:eastAsia="Times New Roman" w:cs="Arial"/>
                <w:color w:val="000000"/>
                <w:sz w:val="22"/>
                <w:lang w:eastAsia="en-GB"/>
              </w:rPr>
              <w:t xml:space="preserve">, Sandgate </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1.6ha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36 apartments</w:t>
            </w:r>
          </w:p>
        </w:tc>
        <w:tc>
          <w:tcPr>
            <w:tcW w:w="4330" w:type="dxa"/>
            <w:shd w:val="clear" w:color="auto" w:fill="auto"/>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Planning permission granted for erection of 36 two- and three-bedroom flats (application references Y11/0122/SH and Y15/1154/SH)</w:t>
            </w: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C: Folkestone</w:t>
            </w:r>
          </w:p>
        </w:tc>
        <w:tc>
          <w:tcPr>
            <w:tcW w:w="2043" w:type="dxa"/>
          </w:tcPr>
          <w:p w:rsidR="005A1E5A" w:rsidRPr="005A1E5A" w:rsidRDefault="005A1E5A" w:rsidP="00527E7E">
            <w:pPr>
              <w:spacing w:after="0" w:line="240" w:lineRule="auto"/>
              <w:ind w:left="0" w:firstLine="0"/>
              <w:rPr>
                <w:rFonts w:eastAsia="Times New Roman" w:cs="Arial"/>
                <w:color w:val="000000"/>
                <w:sz w:val="22"/>
                <w:lang w:eastAsia="en-GB"/>
              </w:rPr>
            </w:pPr>
          </w:p>
        </w:tc>
      </w:tr>
      <w:tr w:rsidR="005A1E5A" w:rsidRPr="005A1E5A" w:rsidTr="00706CA4">
        <w:trPr>
          <w:trHeight w:val="481"/>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r w:rsidRPr="005A1E5A">
              <w:rPr>
                <w:rFonts w:eastAsia="Times New Roman" w:cs="Arial"/>
                <w:b/>
                <w:color w:val="000000"/>
                <w:sz w:val="22"/>
                <w:lang w:eastAsia="en-GB"/>
              </w:rPr>
              <w:t>Hythe</w:t>
            </w:r>
          </w:p>
        </w:tc>
      </w:tr>
      <w:tr w:rsidR="00706CA4" w:rsidRPr="005A1E5A" w:rsidTr="00706CA4">
        <w:trPr>
          <w:trHeight w:val="627"/>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lastRenderedPageBreak/>
              <w:t>UA21, p.89</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Smiths Medical Campus, Boundary Road, Hythe </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3.2ha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80 dwellings, B1/B8 commercial</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C: Hythe</w:t>
            </w:r>
          </w:p>
        </w:tc>
        <w:tc>
          <w:tcPr>
            <w:tcW w:w="2043" w:type="dxa"/>
          </w:tcPr>
          <w:p w:rsidR="005A1E5A" w:rsidRPr="005A1E5A" w:rsidRDefault="00703E29"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Individual site assessment</w:t>
            </w:r>
          </w:p>
        </w:tc>
      </w:tr>
      <w:tr w:rsidR="00706CA4" w:rsidRPr="005A1E5A" w:rsidTr="00706CA4">
        <w:trPr>
          <w:trHeight w:val="627"/>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UA22, p.91</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Land at Station Road, Hythe </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1.25ha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40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C: Hythe</w:t>
            </w:r>
          </w:p>
        </w:tc>
        <w:tc>
          <w:tcPr>
            <w:tcW w:w="2043" w:type="dxa"/>
          </w:tcPr>
          <w:p w:rsidR="005A1E5A" w:rsidRPr="005A1E5A" w:rsidRDefault="00703E29"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w:t>
            </w:r>
          </w:p>
        </w:tc>
      </w:tr>
      <w:tr w:rsidR="00706CA4" w:rsidRPr="005A1E5A" w:rsidTr="00706CA4">
        <w:trPr>
          <w:trHeight w:val="627"/>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UA23, p.93</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 xml:space="preserve">Land at </w:t>
            </w:r>
            <w:proofErr w:type="spellStart"/>
            <w:r w:rsidRPr="005A1E5A">
              <w:rPr>
                <w:rFonts w:eastAsia="Times New Roman" w:cs="Arial"/>
                <w:sz w:val="22"/>
                <w:lang w:eastAsia="en-GB"/>
              </w:rPr>
              <w:t>Saltwood</w:t>
            </w:r>
            <w:proofErr w:type="spellEnd"/>
            <w:r w:rsidRPr="005A1E5A">
              <w:rPr>
                <w:rFonts w:eastAsia="Times New Roman" w:cs="Arial"/>
                <w:sz w:val="22"/>
                <w:lang w:eastAsia="en-GB"/>
              </w:rPr>
              <w:t xml:space="preserve"> Care Centre, Tanners Hill, Hythe </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2ha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color w:val="000000"/>
                <w:sz w:val="22"/>
                <w:lang w:eastAsia="en-GB"/>
              </w:rPr>
              <w:t>Extra care housing</w:t>
            </w:r>
            <w:r w:rsidRPr="005A1E5A">
              <w:rPr>
                <w:rFonts w:eastAsia="Times New Roman" w:cs="Arial"/>
                <w:sz w:val="22"/>
                <w:lang w:eastAsia="en-GB"/>
              </w:rPr>
              <w:t xml:space="preserve"> </w:t>
            </w:r>
          </w:p>
        </w:tc>
        <w:tc>
          <w:tcPr>
            <w:tcW w:w="4330" w:type="dxa"/>
            <w:shd w:val="clear" w:color="auto" w:fill="auto"/>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color w:val="000000"/>
                <w:sz w:val="22"/>
                <w:lang w:eastAsia="en-GB"/>
              </w:rPr>
              <w:t>Planning application currently being considered for 84 extra care homes (reference Y15/0720/SH)</w:t>
            </w: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C: Hythe</w:t>
            </w:r>
          </w:p>
        </w:tc>
        <w:tc>
          <w:tcPr>
            <w:tcW w:w="2043" w:type="dxa"/>
          </w:tcPr>
          <w:p w:rsidR="005A1E5A" w:rsidRPr="005A1E5A" w:rsidRDefault="005A1E5A" w:rsidP="00527E7E">
            <w:pPr>
              <w:spacing w:after="0" w:line="240" w:lineRule="auto"/>
              <w:ind w:left="0" w:firstLine="0"/>
              <w:rPr>
                <w:rFonts w:eastAsia="Times New Roman" w:cs="Arial"/>
                <w:color w:val="000000"/>
                <w:sz w:val="22"/>
                <w:lang w:eastAsia="en-GB"/>
              </w:rPr>
            </w:pPr>
          </w:p>
        </w:tc>
      </w:tr>
      <w:tr w:rsidR="00706CA4" w:rsidRPr="005A1E5A" w:rsidTr="00706CA4">
        <w:trPr>
          <w:trHeight w:val="342"/>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UA24, p.97</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proofErr w:type="spellStart"/>
            <w:r w:rsidRPr="005A1E5A">
              <w:rPr>
                <w:rFonts w:eastAsia="Times New Roman" w:cs="Arial"/>
                <w:color w:val="000000"/>
                <w:sz w:val="22"/>
                <w:lang w:eastAsia="en-GB"/>
              </w:rPr>
              <w:t>Foxwood</w:t>
            </w:r>
            <w:proofErr w:type="spellEnd"/>
            <w:r w:rsidRPr="005A1E5A">
              <w:rPr>
                <w:rFonts w:eastAsia="Times New Roman" w:cs="Arial"/>
                <w:color w:val="000000"/>
                <w:sz w:val="22"/>
                <w:lang w:eastAsia="en-GB"/>
              </w:rPr>
              <w:t xml:space="preserve"> School and St Saviours Hospital, Seabrook Road, Hythe </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185 dwellings total</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Allocation comprising two sites:</w:t>
            </w:r>
          </w:p>
          <w:p w:rsidR="005A1E5A" w:rsidRPr="005A1E5A" w:rsidRDefault="005A1E5A" w:rsidP="00703E29">
            <w:pPr>
              <w:pStyle w:val="ListParagraph"/>
              <w:numPr>
                <w:ilvl w:val="0"/>
                <w:numId w:val="20"/>
              </w:numPr>
              <w:spacing w:after="0" w:line="240" w:lineRule="auto"/>
              <w:ind w:left="304" w:hanging="304"/>
              <w:rPr>
                <w:rFonts w:eastAsia="Times New Roman" w:cs="Arial"/>
                <w:color w:val="000000"/>
                <w:sz w:val="22"/>
                <w:lang w:eastAsia="en-GB"/>
              </w:rPr>
            </w:pPr>
            <w:proofErr w:type="spellStart"/>
            <w:r w:rsidRPr="005A1E5A">
              <w:rPr>
                <w:rFonts w:eastAsia="Times New Roman" w:cs="Arial"/>
                <w:color w:val="000000"/>
                <w:sz w:val="22"/>
                <w:lang w:eastAsia="en-GB"/>
              </w:rPr>
              <w:t>Foxwood</w:t>
            </w:r>
            <w:proofErr w:type="spellEnd"/>
            <w:r w:rsidRPr="005A1E5A">
              <w:rPr>
                <w:rFonts w:eastAsia="Times New Roman" w:cs="Arial"/>
                <w:color w:val="000000"/>
                <w:sz w:val="22"/>
                <w:lang w:eastAsia="en-GB"/>
              </w:rPr>
              <w:t xml:space="preserve"> School – 150 dwellings (6.3ha)</w:t>
            </w:r>
          </w:p>
          <w:p w:rsidR="005A1E5A" w:rsidRPr="005A1E5A" w:rsidRDefault="005A1E5A" w:rsidP="00703E29">
            <w:pPr>
              <w:pStyle w:val="ListParagraph"/>
              <w:numPr>
                <w:ilvl w:val="0"/>
                <w:numId w:val="20"/>
              </w:numPr>
              <w:spacing w:after="0" w:line="240" w:lineRule="auto"/>
              <w:ind w:left="304" w:hanging="304"/>
              <w:rPr>
                <w:rFonts w:eastAsia="Times New Roman" w:cs="Arial"/>
                <w:color w:val="000000"/>
                <w:sz w:val="22"/>
                <w:lang w:eastAsia="en-GB"/>
              </w:rPr>
            </w:pPr>
            <w:r w:rsidRPr="005A1E5A">
              <w:rPr>
                <w:rFonts w:eastAsia="Times New Roman" w:cs="Arial"/>
                <w:color w:val="000000"/>
                <w:sz w:val="22"/>
                <w:lang w:eastAsia="en-GB"/>
              </w:rPr>
              <w:t>St Saviours Hospital – 35 dwellings (1.14ha)</w:t>
            </w: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C: Hythe</w:t>
            </w:r>
          </w:p>
        </w:tc>
        <w:tc>
          <w:tcPr>
            <w:tcW w:w="2043" w:type="dxa"/>
          </w:tcPr>
          <w:p w:rsidR="005A1E5A" w:rsidRDefault="00703E29" w:rsidP="00703E29">
            <w:pPr>
              <w:pStyle w:val="ListParagraph"/>
              <w:numPr>
                <w:ilvl w:val="0"/>
                <w:numId w:val="20"/>
              </w:numPr>
              <w:spacing w:after="0" w:line="240" w:lineRule="auto"/>
              <w:ind w:left="304" w:hanging="304"/>
              <w:rPr>
                <w:rFonts w:eastAsia="Times New Roman" w:cs="Arial"/>
                <w:color w:val="000000"/>
                <w:sz w:val="22"/>
                <w:lang w:eastAsia="en-GB"/>
              </w:rPr>
            </w:pPr>
            <w:r>
              <w:rPr>
                <w:rFonts w:eastAsia="Times New Roman" w:cs="Arial"/>
                <w:color w:val="000000"/>
                <w:sz w:val="22"/>
                <w:lang w:eastAsia="en-GB"/>
              </w:rPr>
              <w:t>Individual site assessment (</w:t>
            </w:r>
            <w:proofErr w:type="spellStart"/>
            <w:r>
              <w:rPr>
                <w:rFonts w:eastAsia="Times New Roman" w:cs="Arial"/>
                <w:color w:val="000000"/>
                <w:sz w:val="22"/>
                <w:lang w:eastAsia="en-GB"/>
              </w:rPr>
              <w:t>Foxwood</w:t>
            </w:r>
            <w:proofErr w:type="spellEnd"/>
            <w:r>
              <w:rPr>
                <w:rFonts w:eastAsia="Times New Roman" w:cs="Arial"/>
                <w:color w:val="000000"/>
                <w:sz w:val="22"/>
                <w:lang w:eastAsia="en-GB"/>
              </w:rPr>
              <w:t xml:space="preserve"> School)</w:t>
            </w:r>
          </w:p>
          <w:p w:rsidR="00703E29" w:rsidRPr="005A1E5A" w:rsidRDefault="00703E29" w:rsidP="00703E29">
            <w:pPr>
              <w:pStyle w:val="ListParagraph"/>
              <w:numPr>
                <w:ilvl w:val="0"/>
                <w:numId w:val="20"/>
              </w:numPr>
              <w:spacing w:after="0" w:line="240" w:lineRule="auto"/>
              <w:ind w:left="304" w:hanging="304"/>
              <w:rPr>
                <w:rFonts w:eastAsia="Times New Roman" w:cs="Arial"/>
                <w:color w:val="000000"/>
                <w:sz w:val="22"/>
                <w:lang w:eastAsia="en-GB"/>
              </w:rPr>
            </w:pPr>
            <w:r>
              <w:rPr>
                <w:rFonts w:eastAsia="Times New Roman" w:cs="Arial"/>
                <w:color w:val="000000"/>
                <w:sz w:val="22"/>
                <w:lang w:eastAsia="en-GB"/>
              </w:rPr>
              <w:t>Generic site assessment (St Saviours Hospital)</w:t>
            </w:r>
          </w:p>
        </w:tc>
      </w:tr>
      <w:tr w:rsidR="00706CA4" w:rsidRPr="005A1E5A" w:rsidTr="00706CA4">
        <w:trPr>
          <w:trHeight w:val="627"/>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UA25, p.102</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Princes Parade, Hythe </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7.2ha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150 dwellings, leisure, public open space, commercial</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C: Hythe</w:t>
            </w:r>
          </w:p>
        </w:tc>
        <w:tc>
          <w:tcPr>
            <w:tcW w:w="2043" w:type="dxa"/>
          </w:tcPr>
          <w:p w:rsidR="005A1E5A" w:rsidRPr="005A1E5A" w:rsidRDefault="005A1E5A" w:rsidP="00527E7E">
            <w:pPr>
              <w:spacing w:after="0" w:line="240" w:lineRule="auto"/>
              <w:ind w:left="0" w:firstLine="0"/>
              <w:rPr>
                <w:rFonts w:eastAsia="Times New Roman" w:cs="Arial"/>
                <w:color w:val="000000"/>
                <w:sz w:val="22"/>
                <w:lang w:eastAsia="en-GB"/>
              </w:rPr>
            </w:pPr>
          </w:p>
        </w:tc>
      </w:tr>
      <w:tr w:rsidR="00706CA4" w:rsidRPr="005A1E5A" w:rsidTr="00706CA4">
        <w:trPr>
          <w:trHeight w:val="627"/>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UA26, p.104</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 xml:space="preserve">Hythe Swimming Pool, South Road, Hythe </w:t>
            </w:r>
          </w:p>
        </w:tc>
        <w:tc>
          <w:tcPr>
            <w:tcW w:w="1301" w:type="dxa"/>
            <w:shd w:val="clear" w:color="auto" w:fill="auto"/>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0.5ha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50 dwellings</w:t>
            </w:r>
          </w:p>
        </w:tc>
        <w:tc>
          <w:tcPr>
            <w:tcW w:w="4330" w:type="dxa"/>
          </w:tcPr>
          <w:p w:rsidR="005A1E5A" w:rsidRPr="005A1E5A" w:rsidRDefault="005A1E5A" w:rsidP="005A1E5A">
            <w:pPr>
              <w:spacing w:after="0" w:line="240" w:lineRule="auto"/>
              <w:ind w:left="0" w:firstLine="0"/>
              <w:rPr>
                <w:rFonts w:eastAsia="Times New Roman" w:cs="Arial"/>
                <w:sz w:val="22"/>
                <w:lang w:eastAsia="en-GB"/>
              </w:rPr>
            </w:pPr>
          </w:p>
        </w:tc>
        <w:tc>
          <w:tcPr>
            <w:tcW w:w="1353" w:type="dxa"/>
          </w:tcPr>
          <w:p w:rsidR="005A1E5A" w:rsidRPr="005A1E5A" w:rsidRDefault="005A1E5A" w:rsidP="005A1E5A">
            <w:pPr>
              <w:spacing w:after="0" w:line="240" w:lineRule="auto"/>
              <w:ind w:left="0" w:firstLine="14"/>
              <w:rPr>
                <w:rFonts w:eastAsia="Times New Roman" w:cs="Arial"/>
                <w:sz w:val="22"/>
                <w:lang w:eastAsia="en-GB"/>
              </w:rPr>
            </w:pPr>
            <w:r w:rsidRPr="005A1E5A">
              <w:rPr>
                <w:rFonts w:eastAsia="Times New Roman" w:cs="Arial"/>
                <w:sz w:val="22"/>
                <w:lang w:eastAsia="en-GB"/>
              </w:rPr>
              <w:t>Zone C: Hythe</w:t>
            </w:r>
          </w:p>
        </w:tc>
        <w:tc>
          <w:tcPr>
            <w:tcW w:w="2043" w:type="dxa"/>
          </w:tcPr>
          <w:p w:rsidR="005A1E5A" w:rsidRPr="005A1E5A" w:rsidRDefault="005A1E5A" w:rsidP="00527E7E">
            <w:pPr>
              <w:spacing w:after="0" w:line="240" w:lineRule="auto"/>
              <w:ind w:left="0" w:firstLine="0"/>
              <w:rPr>
                <w:rFonts w:eastAsia="Times New Roman" w:cs="Arial"/>
                <w:sz w:val="22"/>
                <w:lang w:eastAsia="en-GB"/>
              </w:rPr>
            </w:pPr>
          </w:p>
        </w:tc>
      </w:tr>
      <w:tr w:rsidR="005A1E5A" w:rsidRPr="005A1E5A" w:rsidTr="00706CA4">
        <w:trPr>
          <w:trHeight w:val="456"/>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r w:rsidRPr="005A1E5A">
              <w:rPr>
                <w:rFonts w:eastAsia="Times New Roman" w:cs="Arial"/>
                <w:b/>
                <w:color w:val="000000"/>
                <w:sz w:val="22"/>
                <w:lang w:eastAsia="en-GB"/>
              </w:rPr>
              <w:t>Romney Marsh</w:t>
            </w:r>
          </w:p>
        </w:tc>
      </w:tr>
      <w:tr w:rsidR="005A1E5A" w:rsidRPr="005A1E5A" w:rsidTr="00706CA4">
        <w:trPr>
          <w:trHeight w:val="450"/>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r w:rsidRPr="005A1E5A">
              <w:rPr>
                <w:rFonts w:eastAsia="Times New Roman" w:cs="Arial"/>
                <w:b/>
                <w:color w:val="000000"/>
                <w:sz w:val="22"/>
                <w:lang w:eastAsia="en-GB"/>
              </w:rPr>
              <w:t xml:space="preserve">New Romney (including </w:t>
            </w:r>
            <w:proofErr w:type="spellStart"/>
            <w:r w:rsidRPr="005A1E5A">
              <w:rPr>
                <w:rFonts w:eastAsia="Times New Roman" w:cs="Arial"/>
                <w:b/>
                <w:color w:val="000000"/>
                <w:sz w:val="22"/>
                <w:lang w:eastAsia="en-GB"/>
              </w:rPr>
              <w:t>Littlestone</w:t>
            </w:r>
            <w:proofErr w:type="spellEnd"/>
            <w:r w:rsidRPr="005A1E5A">
              <w:rPr>
                <w:rFonts w:eastAsia="Times New Roman" w:cs="Arial"/>
                <w:b/>
                <w:color w:val="000000"/>
                <w:sz w:val="22"/>
                <w:lang w:eastAsia="en-GB"/>
              </w:rPr>
              <w:t>)</w:t>
            </w:r>
          </w:p>
        </w:tc>
      </w:tr>
      <w:tr w:rsidR="00706CA4" w:rsidRPr="005A1E5A" w:rsidTr="00706CA4">
        <w:trPr>
          <w:trHeight w:val="654"/>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lastRenderedPageBreak/>
              <w:t>RM2, p.116</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Land off Victoria Road West, </w:t>
            </w:r>
            <w:proofErr w:type="spellStart"/>
            <w:r w:rsidRPr="005A1E5A">
              <w:rPr>
                <w:rFonts w:eastAsia="Times New Roman" w:cs="Arial"/>
                <w:color w:val="000000"/>
                <w:sz w:val="22"/>
                <w:lang w:eastAsia="en-GB"/>
              </w:rPr>
              <w:t>Littlestone</w:t>
            </w:r>
            <w:proofErr w:type="spellEnd"/>
          </w:p>
        </w:tc>
        <w:tc>
          <w:tcPr>
            <w:tcW w:w="1301"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10.00ha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70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B: Romney Marsh</w:t>
            </w:r>
          </w:p>
        </w:tc>
        <w:tc>
          <w:tcPr>
            <w:tcW w:w="2043" w:type="dxa"/>
          </w:tcPr>
          <w:p w:rsidR="005A1E5A" w:rsidRPr="005A1E5A" w:rsidRDefault="005A1E5A" w:rsidP="005A1E5A">
            <w:pPr>
              <w:spacing w:after="0" w:line="240" w:lineRule="auto"/>
              <w:ind w:left="0" w:firstLine="0"/>
              <w:rPr>
                <w:rFonts w:eastAsia="Times New Roman" w:cs="Arial"/>
                <w:color w:val="000000"/>
                <w:sz w:val="22"/>
                <w:lang w:eastAsia="en-GB"/>
              </w:rPr>
            </w:pPr>
          </w:p>
        </w:tc>
      </w:tr>
      <w:tr w:rsidR="00706CA4" w:rsidRPr="005A1E5A" w:rsidTr="00706CA4">
        <w:trPr>
          <w:trHeight w:val="403"/>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RM3, p.118</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Land rear of the Old School House, Church Lane, New Romney </w:t>
            </w:r>
          </w:p>
        </w:tc>
        <w:tc>
          <w:tcPr>
            <w:tcW w:w="1301"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20 dwellings total</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Allocation comprising two sites:</w:t>
            </w:r>
          </w:p>
          <w:p w:rsidR="005A1E5A" w:rsidRPr="005A1E5A" w:rsidRDefault="005A1E5A" w:rsidP="00703E29">
            <w:pPr>
              <w:pStyle w:val="ListParagraph"/>
              <w:numPr>
                <w:ilvl w:val="0"/>
                <w:numId w:val="20"/>
              </w:numPr>
              <w:spacing w:after="0" w:line="240" w:lineRule="auto"/>
              <w:ind w:left="304" w:hanging="304"/>
              <w:rPr>
                <w:rFonts w:eastAsia="Times New Roman" w:cs="Arial"/>
                <w:color w:val="000000"/>
                <w:sz w:val="22"/>
                <w:lang w:eastAsia="en-GB"/>
              </w:rPr>
            </w:pPr>
            <w:r w:rsidRPr="005A1E5A">
              <w:rPr>
                <w:rFonts w:eastAsia="Times New Roman" w:cs="Arial"/>
                <w:color w:val="000000"/>
                <w:sz w:val="22"/>
                <w:lang w:eastAsia="en-GB"/>
              </w:rPr>
              <w:t>Site 1 - 10 dwellings (0.4ha)</w:t>
            </w:r>
          </w:p>
          <w:p w:rsidR="005A1E5A" w:rsidRPr="005A1E5A" w:rsidRDefault="005A1E5A" w:rsidP="00703E29">
            <w:pPr>
              <w:pStyle w:val="ListParagraph"/>
              <w:numPr>
                <w:ilvl w:val="0"/>
                <w:numId w:val="20"/>
              </w:numPr>
              <w:spacing w:after="0" w:line="240" w:lineRule="auto"/>
              <w:ind w:left="304" w:hanging="304"/>
              <w:rPr>
                <w:rFonts w:eastAsia="Times New Roman" w:cs="Arial"/>
                <w:color w:val="000000"/>
                <w:sz w:val="22"/>
                <w:lang w:eastAsia="en-GB"/>
              </w:rPr>
            </w:pPr>
            <w:r w:rsidRPr="005A1E5A">
              <w:rPr>
                <w:rFonts w:eastAsia="Times New Roman" w:cs="Arial"/>
                <w:color w:val="000000"/>
                <w:sz w:val="22"/>
                <w:lang w:eastAsia="en-GB"/>
              </w:rPr>
              <w:t>Site 2 - 10 dwellings (0.44ha)</w:t>
            </w: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B: Romney Marsh</w:t>
            </w:r>
          </w:p>
        </w:tc>
        <w:tc>
          <w:tcPr>
            <w:tcW w:w="2043" w:type="dxa"/>
          </w:tcPr>
          <w:p w:rsidR="005A1E5A" w:rsidRPr="005A1E5A" w:rsidRDefault="00703E29"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w:t>
            </w:r>
          </w:p>
        </w:tc>
      </w:tr>
      <w:tr w:rsidR="00706CA4" w:rsidRPr="005A1E5A" w:rsidTr="00706CA4">
        <w:trPr>
          <w:trHeight w:val="654"/>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RM4, p.121</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Land west of Ashford Road, New Romney </w:t>
            </w:r>
          </w:p>
        </w:tc>
        <w:tc>
          <w:tcPr>
            <w:tcW w:w="1301"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3.22ha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60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B: Romney Marsh</w:t>
            </w:r>
          </w:p>
        </w:tc>
        <w:tc>
          <w:tcPr>
            <w:tcW w:w="2043" w:type="dxa"/>
          </w:tcPr>
          <w:p w:rsidR="005A1E5A" w:rsidRPr="005A1E5A" w:rsidRDefault="00703E29"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Individual site assessment</w:t>
            </w:r>
          </w:p>
        </w:tc>
      </w:tr>
      <w:tr w:rsidR="00706CA4" w:rsidRPr="005A1E5A" w:rsidTr="00706CA4">
        <w:trPr>
          <w:trHeight w:val="654"/>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RM5, p.123</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Land to the South of New Romney </w:t>
            </w:r>
          </w:p>
        </w:tc>
        <w:tc>
          <w:tcPr>
            <w:tcW w:w="1301"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22ha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400 dwellings, improved access, health care and community facilities, open space, transport infrastructure</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B: Romney Marsh</w:t>
            </w:r>
          </w:p>
        </w:tc>
        <w:tc>
          <w:tcPr>
            <w:tcW w:w="2043" w:type="dxa"/>
          </w:tcPr>
          <w:p w:rsidR="005A1E5A" w:rsidRPr="005A1E5A" w:rsidRDefault="00703E29"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Individual site assessment</w:t>
            </w:r>
          </w:p>
        </w:tc>
      </w:tr>
      <w:tr w:rsidR="00706CA4" w:rsidRPr="005A1E5A" w:rsidTr="00706CA4">
        <w:trPr>
          <w:trHeight w:val="654"/>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RM6, p.125</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Land adjoining The Marsh Academy, Station Road, New Romney</w:t>
            </w:r>
          </w:p>
        </w:tc>
        <w:tc>
          <w:tcPr>
            <w:tcW w:w="1301" w:type="dxa"/>
            <w:shd w:val="clear" w:color="auto" w:fill="auto"/>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0.98ha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29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B: Romney Marsh</w:t>
            </w:r>
          </w:p>
        </w:tc>
        <w:tc>
          <w:tcPr>
            <w:tcW w:w="2043" w:type="dxa"/>
          </w:tcPr>
          <w:p w:rsidR="005A1E5A" w:rsidRPr="005A1E5A" w:rsidRDefault="00703E29"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w:t>
            </w:r>
          </w:p>
        </w:tc>
      </w:tr>
      <w:tr w:rsidR="005A1E5A" w:rsidRPr="005A1E5A" w:rsidTr="00706CA4">
        <w:trPr>
          <w:trHeight w:val="342"/>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proofErr w:type="spellStart"/>
            <w:r w:rsidRPr="005A1E5A">
              <w:rPr>
                <w:rFonts w:eastAsia="Times New Roman" w:cs="Arial"/>
                <w:b/>
                <w:color w:val="000000"/>
                <w:sz w:val="22"/>
                <w:lang w:eastAsia="en-GB"/>
              </w:rPr>
              <w:t>Lydd</w:t>
            </w:r>
            <w:proofErr w:type="spellEnd"/>
          </w:p>
        </w:tc>
      </w:tr>
      <w:tr w:rsidR="00706CA4" w:rsidRPr="005A1E5A" w:rsidTr="00706CA4">
        <w:trPr>
          <w:trHeight w:val="654"/>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RM7, p.129</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 xml:space="preserve">Development at North </w:t>
            </w:r>
            <w:proofErr w:type="spellStart"/>
            <w:r w:rsidRPr="005A1E5A">
              <w:rPr>
                <w:rFonts w:eastAsia="Times New Roman" w:cs="Arial"/>
                <w:sz w:val="22"/>
                <w:lang w:eastAsia="en-GB"/>
              </w:rPr>
              <w:t>Lydd</w:t>
            </w:r>
            <w:proofErr w:type="spellEnd"/>
          </w:p>
        </w:tc>
        <w:tc>
          <w:tcPr>
            <w:tcW w:w="1301" w:type="dxa"/>
            <w:shd w:val="clear" w:color="auto" w:fill="auto"/>
            <w:hideMark/>
          </w:tcPr>
          <w:p w:rsidR="005A1E5A" w:rsidRPr="005A1E5A" w:rsidRDefault="005A1E5A" w:rsidP="005A1E5A">
            <w:pPr>
              <w:spacing w:after="0" w:line="240" w:lineRule="auto"/>
              <w:ind w:left="0" w:firstLine="0"/>
              <w:rPr>
                <w:rFonts w:eastAsia="Times New Roman" w:cs="Arial"/>
                <w:sz w:val="22"/>
                <w:lang w:eastAsia="en-GB"/>
              </w:rPr>
            </w:pP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65 dwellings total</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Allocation comprising four sites:</w:t>
            </w:r>
          </w:p>
          <w:p w:rsidR="005A1E5A" w:rsidRPr="005A1E5A" w:rsidRDefault="005A1E5A" w:rsidP="00703E29">
            <w:pPr>
              <w:pStyle w:val="ListParagraph"/>
              <w:numPr>
                <w:ilvl w:val="0"/>
                <w:numId w:val="20"/>
              </w:numPr>
              <w:spacing w:after="0" w:line="240" w:lineRule="auto"/>
              <w:ind w:left="304" w:hanging="304"/>
              <w:rPr>
                <w:rFonts w:eastAsia="Times New Roman" w:cs="Arial"/>
                <w:color w:val="000000"/>
                <w:sz w:val="22"/>
                <w:lang w:eastAsia="en-GB"/>
              </w:rPr>
            </w:pPr>
            <w:proofErr w:type="spellStart"/>
            <w:r w:rsidRPr="005A1E5A">
              <w:rPr>
                <w:rFonts w:eastAsia="Times New Roman" w:cs="Arial"/>
                <w:color w:val="000000"/>
                <w:sz w:val="22"/>
                <w:lang w:eastAsia="en-GB"/>
              </w:rPr>
              <w:t>Kitewell</w:t>
            </w:r>
            <w:proofErr w:type="spellEnd"/>
            <w:r w:rsidRPr="005A1E5A">
              <w:rPr>
                <w:rFonts w:eastAsia="Times New Roman" w:cs="Arial"/>
                <w:color w:val="000000"/>
                <w:sz w:val="22"/>
                <w:lang w:eastAsia="en-GB"/>
              </w:rPr>
              <w:t xml:space="preserve"> Lane, rear of Ambulance Station, </w:t>
            </w:r>
            <w:proofErr w:type="spellStart"/>
            <w:r w:rsidRPr="005A1E5A">
              <w:rPr>
                <w:rFonts w:eastAsia="Times New Roman" w:cs="Arial"/>
                <w:color w:val="000000"/>
                <w:sz w:val="22"/>
                <w:lang w:eastAsia="en-GB"/>
              </w:rPr>
              <w:t>Lydd</w:t>
            </w:r>
            <w:proofErr w:type="spellEnd"/>
            <w:r w:rsidRPr="005A1E5A">
              <w:rPr>
                <w:rFonts w:eastAsia="Times New Roman" w:cs="Arial"/>
                <w:color w:val="000000"/>
                <w:sz w:val="22"/>
                <w:lang w:eastAsia="en-GB"/>
              </w:rPr>
              <w:t xml:space="preserve"> – 8 dwellings (0.39ha)</w:t>
            </w:r>
          </w:p>
          <w:p w:rsidR="005A1E5A" w:rsidRPr="005A1E5A" w:rsidRDefault="005A1E5A" w:rsidP="00703E29">
            <w:pPr>
              <w:pStyle w:val="ListParagraph"/>
              <w:numPr>
                <w:ilvl w:val="0"/>
                <w:numId w:val="20"/>
              </w:numPr>
              <w:spacing w:after="0" w:line="240" w:lineRule="auto"/>
              <w:ind w:left="304" w:hanging="304"/>
              <w:rPr>
                <w:rFonts w:eastAsia="Times New Roman" w:cs="Arial"/>
                <w:color w:val="000000"/>
                <w:sz w:val="22"/>
                <w:lang w:eastAsia="en-GB"/>
              </w:rPr>
            </w:pPr>
            <w:r w:rsidRPr="005A1E5A">
              <w:rPr>
                <w:rFonts w:eastAsia="Times New Roman" w:cs="Arial"/>
                <w:color w:val="000000"/>
                <w:sz w:val="22"/>
                <w:lang w:eastAsia="en-GB"/>
              </w:rPr>
              <w:t xml:space="preserve">Land south of </w:t>
            </w:r>
            <w:proofErr w:type="spellStart"/>
            <w:r w:rsidRPr="005A1E5A">
              <w:rPr>
                <w:rFonts w:eastAsia="Times New Roman" w:cs="Arial"/>
                <w:color w:val="000000"/>
                <w:sz w:val="22"/>
                <w:lang w:eastAsia="en-GB"/>
              </w:rPr>
              <w:t>Kitewell</w:t>
            </w:r>
            <w:proofErr w:type="spellEnd"/>
            <w:r w:rsidRPr="005A1E5A">
              <w:rPr>
                <w:rFonts w:eastAsia="Times New Roman" w:cs="Arial"/>
                <w:color w:val="000000"/>
                <w:sz w:val="22"/>
                <w:lang w:eastAsia="en-GB"/>
              </w:rPr>
              <w:t xml:space="preserve"> Lane, </w:t>
            </w:r>
            <w:proofErr w:type="spellStart"/>
            <w:r w:rsidRPr="005A1E5A">
              <w:rPr>
                <w:rFonts w:eastAsia="Times New Roman" w:cs="Arial"/>
                <w:color w:val="000000"/>
                <w:sz w:val="22"/>
                <w:lang w:eastAsia="en-GB"/>
              </w:rPr>
              <w:t>Lydd</w:t>
            </w:r>
            <w:proofErr w:type="spellEnd"/>
            <w:r w:rsidRPr="005A1E5A">
              <w:rPr>
                <w:rFonts w:eastAsia="Times New Roman" w:cs="Arial"/>
                <w:color w:val="000000"/>
                <w:sz w:val="22"/>
                <w:lang w:eastAsia="en-GB"/>
              </w:rPr>
              <w:t xml:space="preserve"> – 9 dwellings (0.51ha)</w:t>
            </w:r>
          </w:p>
          <w:p w:rsidR="005A1E5A" w:rsidRPr="005A1E5A" w:rsidRDefault="005A1E5A" w:rsidP="00703E29">
            <w:pPr>
              <w:pStyle w:val="ListParagraph"/>
              <w:numPr>
                <w:ilvl w:val="0"/>
                <w:numId w:val="20"/>
              </w:numPr>
              <w:spacing w:after="0" w:line="240" w:lineRule="auto"/>
              <w:ind w:left="304" w:hanging="304"/>
              <w:rPr>
                <w:rFonts w:eastAsia="Times New Roman" w:cs="Arial"/>
                <w:color w:val="000000"/>
                <w:sz w:val="22"/>
                <w:lang w:eastAsia="en-GB"/>
              </w:rPr>
            </w:pPr>
            <w:r w:rsidRPr="005A1E5A">
              <w:rPr>
                <w:rFonts w:eastAsia="Times New Roman" w:cs="Arial"/>
                <w:color w:val="000000"/>
                <w:sz w:val="22"/>
                <w:lang w:eastAsia="en-GB"/>
              </w:rPr>
              <w:t xml:space="preserve">Station Yard, Station Road, </w:t>
            </w:r>
            <w:proofErr w:type="spellStart"/>
            <w:r w:rsidRPr="005A1E5A">
              <w:rPr>
                <w:rFonts w:eastAsia="Times New Roman" w:cs="Arial"/>
                <w:color w:val="000000"/>
                <w:sz w:val="22"/>
                <w:lang w:eastAsia="en-GB"/>
              </w:rPr>
              <w:t>Lydd</w:t>
            </w:r>
            <w:proofErr w:type="spellEnd"/>
            <w:r w:rsidRPr="005A1E5A">
              <w:rPr>
                <w:rFonts w:eastAsia="Times New Roman" w:cs="Arial"/>
                <w:color w:val="000000"/>
                <w:sz w:val="22"/>
                <w:lang w:eastAsia="en-GB"/>
              </w:rPr>
              <w:t xml:space="preserve"> – 30 dwellings (0.87ha)</w:t>
            </w:r>
          </w:p>
          <w:p w:rsidR="005A1E5A" w:rsidRPr="005A1E5A" w:rsidRDefault="005A1E5A" w:rsidP="00703E29">
            <w:pPr>
              <w:pStyle w:val="ListParagraph"/>
              <w:numPr>
                <w:ilvl w:val="0"/>
                <w:numId w:val="20"/>
              </w:numPr>
              <w:spacing w:after="0" w:line="240" w:lineRule="auto"/>
              <w:ind w:left="304" w:hanging="304"/>
              <w:rPr>
                <w:rFonts w:eastAsia="Times New Roman" w:cs="Arial"/>
                <w:color w:val="000000"/>
                <w:sz w:val="22"/>
                <w:lang w:eastAsia="en-GB"/>
              </w:rPr>
            </w:pPr>
            <w:r w:rsidRPr="005A1E5A">
              <w:rPr>
                <w:rFonts w:eastAsia="Times New Roman" w:cs="Arial"/>
                <w:color w:val="000000"/>
                <w:sz w:val="22"/>
                <w:lang w:eastAsia="en-GB"/>
              </w:rPr>
              <w:t xml:space="preserve">Peak Welders, </w:t>
            </w:r>
            <w:proofErr w:type="spellStart"/>
            <w:r w:rsidRPr="005A1E5A">
              <w:rPr>
                <w:rFonts w:eastAsia="Times New Roman" w:cs="Arial"/>
                <w:color w:val="000000"/>
                <w:sz w:val="22"/>
                <w:lang w:eastAsia="en-GB"/>
              </w:rPr>
              <w:t>Lydd</w:t>
            </w:r>
            <w:proofErr w:type="spellEnd"/>
            <w:r w:rsidRPr="005A1E5A">
              <w:rPr>
                <w:rFonts w:eastAsia="Times New Roman" w:cs="Arial"/>
                <w:color w:val="000000"/>
                <w:sz w:val="22"/>
                <w:lang w:eastAsia="en-GB"/>
              </w:rPr>
              <w:t xml:space="preserve"> – 18 dwellings </w:t>
            </w:r>
            <w:r w:rsidRPr="005A1E5A">
              <w:rPr>
                <w:rFonts w:eastAsia="Times New Roman" w:cs="Arial"/>
                <w:color w:val="000000"/>
                <w:sz w:val="22"/>
                <w:lang w:eastAsia="en-GB"/>
              </w:rPr>
              <w:lastRenderedPageBreak/>
              <w:t>(0.7ha)</w:t>
            </w: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lastRenderedPageBreak/>
              <w:t xml:space="preserve">Zone A: </w:t>
            </w:r>
            <w:proofErr w:type="spellStart"/>
            <w:r w:rsidRPr="005A1E5A">
              <w:rPr>
                <w:rFonts w:eastAsia="Times New Roman" w:cs="Arial"/>
                <w:color w:val="000000"/>
                <w:sz w:val="22"/>
                <w:lang w:eastAsia="en-GB"/>
              </w:rPr>
              <w:t>Lydd</w:t>
            </w:r>
            <w:proofErr w:type="spellEnd"/>
          </w:p>
        </w:tc>
        <w:tc>
          <w:tcPr>
            <w:tcW w:w="2043" w:type="dxa"/>
          </w:tcPr>
          <w:p w:rsidR="005A1E5A" w:rsidRPr="005A1E5A" w:rsidRDefault="00703E29"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assessments</w:t>
            </w:r>
          </w:p>
        </w:tc>
      </w:tr>
      <w:tr w:rsidR="005A1E5A" w:rsidRPr="005A1E5A" w:rsidTr="00706CA4">
        <w:trPr>
          <w:trHeight w:val="432"/>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r w:rsidRPr="005A1E5A">
              <w:rPr>
                <w:rFonts w:eastAsia="Times New Roman" w:cs="Arial"/>
                <w:b/>
                <w:color w:val="000000"/>
                <w:sz w:val="22"/>
                <w:lang w:eastAsia="en-GB"/>
              </w:rPr>
              <w:lastRenderedPageBreak/>
              <w:t>St Mary’s Bay</w:t>
            </w:r>
          </w:p>
        </w:tc>
      </w:tr>
      <w:tr w:rsidR="00706CA4" w:rsidRPr="005A1E5A" w:rsidTr="00706CA4">
        <w:trPr>
          <w:trHeight w:val="759"/>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RM8, p.134</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Former Sands Motel, Land adjoining pumping station, </w:t>
            </w:r>
            <w:proofErr w:type="spellStart"/>
            <w:r w:rsidRPr="005A1E5A">
              <w:rPr>
                <w:rFonts w:eastAsia="Times New Roman" w:cs="Arial"/>
                <w:color w:val="000000"/>
                <w:sz w:val="22"/>
                <w:lang w:eastAsia="en-GB"/>
              </w:rPr>
              <w:t>Dymchurch</w:t>
            </w:r>
            <w:proofErr w:type="spellEnd"/>
            <w:r w:rsidRPr="005A1E5A">
              <w:rPr>
                <w:rFonts w:eastAsia="Times New Roman" w:cs="Arial"/>
                <w:color w:val="000000"/>
                <w:sz w:val="22"/>
                <w:lang w:eastAsia="en-GB"/>
              </w:rPr>
              <w:t xml:space="preserve"> Road, St Mary's Bay</w:t>
            </w:r>
          </w:p>
        </w:tc>
        <w:tc>
          <w:tcPr>
            <w:tcW w:w="1301"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4ha total (1.6ha proposed for housing)</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85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Planning permission granted in 2016 for erection of 85 dwellings (Y07/1566/SH)</w:t>
            </w: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B: Romney Marsh</w:t>
            </w:r>
          </w:p>
        </w:tc>
        <w:tc>
          <w:tcPr>
            <w:tcW w:w="2043" w:type="dxa"/>
          </w:tcPr>
          <w:p w:rsidR="005A1E5A" w:rsidRPr="005A1E5A" w:rsidRDefault="005A1E5A" w:rsidP="005A1E5A">
            <w:pPr>
              <w:spacing w:after="0" w:line="240" w:lineRule="auto"/>
              <w:ind w:left="0" w:firstLine="0"/>
              <w:rPr>
                <w:rFonts w:eastAsia="Times New Roman" w:cs="Arial"/>
                <w:color w:val="000000"/>
                <w:sz w:val="22"/>
                <w:lang w:eastAsia="en-GB"/>
              </w:rPr>
            </w:pPr>
          </w:p>
        </w:tc>
      </w:tr>
      <w:tr w:rsidR="005A1E5A" w:rsidRPr="005A1E5A" w:rsidTr="00706CA4">
        <w:trPr>
          <w:trHeight w:val="489"/>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proofErr w:type="spellStart"/>
            <w:r w:rsidRPr="005A1E5A">
              <w:rPr>
                <w:rFonts w:eastAsia="Times New Roman" w:cs="Arial"/>
                <w:b/>
                <w:color w:val="000000"/>
                <w:sz w:val="22"/>
                <w:lang w:eastAsia="en-GB"/>
              </w:rPr>
              <w:t>Greatstone</w:t>
            </w:r>
            <w:proofErr w:type="spellEnd"/>
          </w:p>
        </w:tc>
      </w:tr>
      <w:tr w:rsidR="00706CA4" w:rsidRPr="005A1E5A" w:rsidTr="00706CA4">
        <w:trPr>
          <w:trHeight w:val="759"/>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RM9, p.136</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Land rear </w:t>
            </w:r>
            <w:proofErr w:type="spellStart"/>
            <w:r w:rsidRPr="005A1E5A">
              <w:rPr>
                <w:rFonts w:eastAsia="Times New Roman" w:cs="Arial"/>
                <w:color w:val="000000"/>
                <w:sz w:val="22"/>
                <w:lang w:eastAsia="en-GB"/>
              </w:rPr>
              <w:t>Varne</w:t>
            </w:r>
            <w:proofErr w:type="spellEnd"/>
            <w:r w:rsidRPr="005A1E5A">
              <w:rPr>
                <w:rFonts w:eastAsia="Times New Roman" w:cs="Arial"/>
                <w:color w:val="000000"/>
                <w:sz w:val="22"/>
                <w:lang w:eastAsia="en-GB"/>
              </w:rPr>
              <w:t xml:space="preserve"> Boat Club, Coast Drive, </w:t>
            </w:r>
            <w:proofErr w:type="spellStart"/>
            <w:r w:rsidRPr="005A1E5A">
              <w:rPr>
                <w:rFonts w:eastAsia="Times New Roman" w:cs="Arial"/>
                <w:color w:val="000000"/>
                <w:sz w:val="22"/>
                <w:lang w:eastAsia="en-GB"/>
              </w:rPr>
              <w:t>Greatstone</w:t>
            </w:r>
            <w:proofErr w:type="spellEnd"/>
            <w:r w:rsidRPr="005A1E5A">
              <w:rPr>
                <w:rFonts w:eastAsia="Times New Roman" w:cs="Arial"/>
                <w:color w:val="000000"/>
                <w:sz w:val="22"/>
                <w:lang w:eastAsia="en-GB"/>
              </w:rPr>
              <w:t xml:space="preserve"> </w:t>
            </w:r>
          </w:p>
        </w:tc>
        <w:tc>
          <w:tcPr>
            <w:tcW w:w="1301"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0.23ha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5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Outline planning permission granted for erection of four detached dwellings (Y15/1132/SH)</w:t>
            </w: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B: Romney Marsh</w:t>
            </w:r>
          </w:p>
        </w:tc>
        <w:tc>
          <w:tcPr>
            <w:tcW w:w="2043" w:type="dxa"/>
          </w:tcPr>
          <w:p w:rsidR="005A1E5A" w:rsidRPr="005A1E5A" w:rsidRDefault="005A1E5A" w:rsidP="005A1E5A">
            <w:pPr>
              <w:spacing w:after="0" w:line="240" w:lineRule="auto"/>
              <w:ind w:left="0" w:firstLine="0"/>
              <w:rPr>
                <w:rFonts w:eastAsia="Times New Roman" w:cs="Arial"/>
                <w:color w:val="000000"/>
                <w:sz w:val="22"/>
                <w:lang w:eastAsia="en-GB"/>
              </w:rPr>
            </w:pPr>
          </w:p>
        </w:tc>
      </w:tr>
      <w:tr w:rsidR="00706CA4" w:rsidRPr="005A1E5A" w:rsidTr="00706CA4">
        <w:trPr>
          <w:trHeight w:val="759"/>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RM10, p.138</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 xml:space="preserve">Car Park, Coast Drive </w:t>
            </w:r>
            <w:proofErr w:type="spellStart"/>
            <w:r w:rsidRPr="005A1E5A">
              <w:rPr>
                <w:rFonts w:eastAsia="Times New Roman" w:cs="Arial"/>
                <w:sz w:val="22"/>
                <w:lang w:eastAsia="en-GB"/>
              </w:rPr>
              <w:t>Greatstone</w:t>
            </w:r>
            <w:proofErr w:type="spellEnd"/>
            <w:r w:rsidRPr="005A1E5A">
              <w:rPr>
                <w:rFonts w:eastAsia="Times New Roman" w:cs="Arial"/>
                <w:sz w:val="22"/>
                <w:lang w:eastAsia="en-GB"/>
              </w:rPr>
              <w:t xml:space="preserve"> </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0.47ha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16 dwellings</w:t>
            </w:r>
          </w:p>
        </w:tc>
        <w:tc>
          <w:tcPr>
            <w:tcW w:w="4330" w:type="dxa"/>
          </w:tcPr>
          <w:p w:rsidR="005A1E5A" w:rsidRPr="005A1E5A" w:rsidRDefault="005A1E5A" w:rsidP="005A1E5A">
            <w:pPr>
              <w:spacing w:after="0" w:line="240" w:lineRule="auto"/>
              <w:ind w:left="0" w:firstLine="0"/>
              <w:rPr>
                <w:rFonts w:eastAsia="Times New Roman" w:cs="Arial"/>
                <w:sz w:val="22"/>
                <w:lang w:eastAsia="en-GB"/>
              </w:rPr>
            </w:pPr>
          </w:p>
        </w:tc>
        <w:tc>
          <w:tcPr>
            <w:tcW w:w="1353" w:type="dxa"/>
          </w:tcPr>
          <w:p w:rsidR="005A1E5A" w:rsidRPr="005A1E5A" w:rsidRDefault="005A1E5A" w:rsidP="005A1E5A">
            <w:pPr>
              <w:spacing w:after="0" w:line="240" w:lineRule="auto"/>
              <w:ind w:left="0" w:firstLine="14"/>
              <w:rPr>
                <w:rFonts w:eastAsia="Times New Roman" w:cs="Arial"/>
                <w:sz w:val="22"/>
                <w:lang w:eastAsia="en-GB"/>
              </w:rPr>
            </w:pPr>
            <w:r w:rsidRPr="005A1E5A">
              <w:rPr>
                <w:rFonts w:eastAsia="Times New Roman" w:cs="Arial"/>
                <w:color w:val="000000"/>
                <w:sz w:val="22"/>
                <w:lang w:eastAsia="en-GB"/>
              </w:rPr>
              <w:t>Zone B: Romney Marsh</w:t>
            </w:r>
          </w:p>
        </w:tc>
        <w:tc>
          <w:tcPr>
            <w:tcW w:w="2043" w:type="dxa"/>
          </w:tcPr>
          <w:p w:rsidR="005A1E5A" w:rsidRPr="005A1E5A" w:rsidRDefault="005A1E5A" w:rsidP="005A1E5A">
            <w:pPr>
              <w:spacing w:after="0" w:line="240" w:lineRule="auto"/>
              <w:ind w:left="0" w:firstLine="0"/>
              <w:rPr>
                <w:rFonts w:eastAsia="Times New Roman" w:cs="Arial"/>
                <w:sz w:val="22"/>
                <w:lang w:eastAsia="en-GB"/>
              </w:rPr>
            </w:pPr>
          </w:p>
        </w:tc>
      </w:tr>
      <w:tr w:rsidR="005A1E5A" w:rsidRPr="005A1E5A" w:rsidTr="00706CA4">
        <w:trPr>
          <w:trHeight w:val="540"/>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proofErr w:type="spellStart"/>
            <w:r w:rsidRPr="005A1E5A">
              <w:rPr>
                <w:rFonts w:eastAsia="Times New Roman" w:cs="Arial"/>
                <w:b/>
                <w:color w:val="000000"/>
                <w:sz w:val="22"/>
                <w:lang w:eastAsia="en-GB"/>
              </w:rPr>
              <w:t>Brookland</w:t>
            </w:r>
            <w:proofErr w:type="spellEnd"/>
          </w:p>
        </w:tc>
      </w:tr>
      <w:tr w:rsidR="00706CA4" w:rsidRPr="005A1E5A" w:rsidTr="00706CA4">
        <w:trPr>
          <w:trHeight w:val="759"/>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RM11, p.140</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The Old Slaughterhouse, 'Rosemary Corner', </w:t>
            </w:r>
            <w:proofErr w:type="spellStart"/>
            <w:r w:rsidRPr="005A1E5A">
              <w:rPr>
                <w:rFonts w:eastAsia="Times New Roman" w:cs="Arial"/>
                <w:color w:val="000000"/>
                <w:sz w:val="22"/>
                <w:lang w:eastAsia="en-GB"/>
              </w:rPr>
              <w:t>Brookland</w:t>
            </w:r>
            <w:proofErr w:type="spellEnd"/>
            <w:r w:rsidRPr="005A1E5A">
              <w:rPr>
                <w:rFonts w:eastAsia="Times New Roman" w:cs="Arial"/>
                <w:color w:val="000000"/>
                <w:sz w:val="22"/>
                <w:lang w:eastAsia="en-GB"/>
              </w:rPr>
              <w:t xml:space="preserve"> </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0.27ha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5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B: Romney Marsh</w:t>
            </w:r>
          </w:p>
        </w:tc>
        <w:tc>
          <w:tcPr>
            <w:tcW w:w="2043" w:type="dxa"/>
          </w:tcPr>
          <w:p w:rsidR="005A1E5A" w:rsidRPr="005A1E5A" w:rsidRDefault="00703E29"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w:t>
            </w:r>
          </w:p>
        </w:tc>
      </w:tr>
      <w:tr w:rsidR="00706CA4" w:rsidRPr="005A1E5A" w:rsidTr="00706CA4">
        <w:trPr>
          <w:trHeight w:val="759"/>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RM12, p.143</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Land north and south of Rye Road, </w:t>
            </w:r>
            <w:proofErr w:type="spellStart"/>
            <w:r w:rsidRPr="005A1E5A">
              <w:rPr>
                <w:rFonts w:eastAsia="Times New Roman" w:cs="Arial"/>
                <w:color w:val="000000"/>
                <w:sz w:val="22"/>
                <w:lang w:eastAsia="en-GB"/>
              </w:rPr>
              <w:t>Brookland</w:t>
            </w:r>
            <w:proofErr w:type="spellEnd"/>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0.72ha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25 dwellings total</w:t>
            </w:r>
          </w:p>
        </w:tc>
        <w:tc>
          <w:tcPr>
            <w:tcW w:w="4330" w:type="dxa"/>
          </w:tcPr>
          <w:p w:rsidR="005A1E5A" w:rsidRPr="005A1E5A" w:rsidRDefault="005A1E5A" w:rsidP="005A1E5A">
            <w:pPr>
              <w:pStyle w:val="ListParagraph"/>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Allocation comprising two sites: </w:t>
            </w:r>
          </w:p>
          <w:p w:rsidR="005A1E5A" w:rsidRPr="005A1E5A" w:rsidRDefault="005A1E5A" w:rsidP="00703E29">
            <w:pPr>
              <w:pStyle w:val="ListParagraph"/>
              <w:numPr>
                <w:ilvl w:val="0"/>
                <w:numId w:val="20"/>
              </w:numPr>
              <w:spacing w:after="0" w:line="240" w:lineRule="auto"/>
              <w:ind w:left="304" w:hanging="304"/>
              <w:rPr>
                <w:rFonts w:eastAsia="Times New Roman" w:cs="Arial"/>
                <w:color w:val="000000"/>
                <w:sz w:val="22"/>
                <w:lang w:eastAsia="en-GB"/>
              </w:rPr>
            </w:pPr>
            <w:r w:rsidRPr="005A1E5A">
              <w:rPr>
                <w:rFonts w:eastAsia="Times New Roman" w:cs="Arial"/>
                <w:color w:val="000000"/>
                <w:sz w:val="22"/>
                <w:lang w:eastAsia="en-GB"/>
              </w:rPr>
              <w:t>Land north of Rye Road – 15 dwellings (0.72ha)</w:t>
            </w:r>
          </w:p>
          <w:p w:rsidR="005A1E5A" w:rsidRPr="005A1E5A" w:rsidRDefault="005A1E5A" w:rsidP="00703E29">
            <w:pPr>
              <w:pStyle w:val="ListParagraph"/>
              <w:numPr>
                <w:ilvl w:val="0"/>
                <w:numId w:val="20"/>
              </w:numPr>
              <w:spacing w:after="0" w:line="240" w:lineRule="auto"/>
              <w:ind w:left="304" w:hanging="304"/>
              <w:rPr>
                <w:rFonts w:eastAsia="Times New Roman" w:cs="Arial"/>
                <w:color w:val="000000"/>
                <w:sz w:val="22"/>
                <w:lang w:eastAsia="en-GB"/>
              </w:rPr>
            </w:pPr>
            <w:r w:rsidRPr="005A1E5A">
              <w:rPr>
                <w:rFonts w:eastAsia="Times New Roman" w:cs="Arial"/>
                <w:color w:val="000000"/>
                <w:sz w:val="22"/>
                <w:lang w:eastAsia="en-GB"/>
              </w:rPr>
              <w:t>Land south of Rye Road – 10 dwellings (0.63ha)</w:t>
            </w:r>
          </w:p>
        </w:tc>
        <w:tc>
          <w:tcPr>
            <w:tcW w:w="1353" w:type="dxa"/>
          </w:tcPr>
          <w:p w:rsidR="005A1E5A" w:rsidRPr="005A1E5A" w:rsidRDefault="005A1E5A" w:rsidP="005A1E5A">
            <w:pPr>
              <w:pStyle w:val="ListParagraph"/>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B: Romney Marsh</w:t>
            </w:r>
          </w:p>
        </w:tc>
        <w:tc>
          <w:tcPr>
            <w:tcW w:w="2043" w:type="dxa"/>
          </w:tcPr>
          <w:p w:rsidR="005A1E5A" w:rsidRPr="005A1E5A" w:rsidRDefault="00703E29" w:rsidP="005A1E5A">
            <w:pPr>
              <w:pStyle w:val="ListParagraph"/>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assessments</w:t>
            </w:r>
          </w:p>
        </w:tc>
      </w:tr>
      <w:tr w:rsidR="005A1E5A" w:rsidRPr="005A1E5A" w:rsidTr="00706CA4">
        <w:trPr>
          <w:trHeight w:val="453"/>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proofErr w:type="spellStart"/>
            <w:r w:rsidRPr="005A1E5A">
              <w:rPr>
                <w:rFonts w:eastAsia="Times New Roman" w:cs="Arial"/>
                <w:b/>
                <w:color w:val="000000"/>
                <w:sz w:val="22"/>
                <w:lang w:eastAsia="en-GB"/>
              </w:rPr>
              <w:lastRenderedPageBreak/>
              <w:t>Brenzett</w:t>
            </w:r>
            <w:proofErr w:type="spellEnd"/>
          </w:p>
        </w:tc>
      </w:tr>
      <w:tr w:rsidR="00706CA4" w:rsidRPr="005A1E5A" w:rsidTr="00706CA4">
        <w:trPr>
          <w:trHeight w:val="759"/>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RM13, p.145</w:t>
            </w:r>
          </w:p>
        </w:tc>
        <w:tc>
          <w:tcPr>
            <w:tcW w:w="2590"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Land adjacent Moore Close, </w:t>
            </w:r>
            <w:proofErr w:type="spellStart"/>
            <w:r w:rsidRPr="005A1E5A">
              <w:rPr>
                <w:rFonts w:eastAsia="Times New Roman" w:cs="Arial"/>
                <w:color w:val="000000"/>
                <w:sz w:val="22"/>
                <w:lang w:eastAsia="en-GB"/>
              </w:rPr>
              <w:t>Brenzett</w:t>
            </w:r>
            <w:proofErr w:type="spellEnd"/>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2.07ha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20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B: Romney Marsh</w:t>
            </w:r>
          </w:p>
        </w:tc>
        <w:tc>
          <w:tcPr>
            <w:tcW w:w="2043" w:type="dxa"/>
          </w:tcPr>
          <w:p w:rsidR="005A1E5A" w:rsidRPr="005A1E5A" w:rsidRDefault="00703E29"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w:t>
            </w:r>
          </w:p>
        </w:tc>
      </w:tr>
      <w:tr w:rsidR="005A1E5A" w:rsidRPr="005A1E5A" w:rsidTr="00706CA4">
        <w:trPr>
          <w:trHeight w:val="562"/>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r w:rsidRPr="005A1E5A">
              <w:rPr>
                <w:rFonts w:eastAsia="Times New Roman" w:cs="Arial"/>
                <w:b/>
                <w:color w:val="000000"/>
                <w:sz w:val="22"/>
                <w:lang w:eastAsia="en-GB"/>
              </w:rPr>
              <w:t>North Downs</w:t>
            </w:r>
          </w:p>
        </w:tc>
      </w:tr>
      <w:tr w:rsidR="005A1E5A" w:rsidRPr="005A1E5A" w:rsidTr="00706CA4">
        <w:trPr>
          <w:trHeight w:val="443"/>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proofErr w:type="spellStart"/>
            <w:r w:rsidRPr="005A1E5A">
              <w:rPr>
                <w:rFonts w:eastAsia="Times New Roman" w:cs="Arial"/>
                <w:b/>
                <w:color w:val="000000"/>
                <w:sz w:val="22"/>
                <w:lang w:eastAsia="en-GB"/>
              </w:rPr>
              <w:t>Hawkinge</w:t>
            </w:r>
            <w:proofErr w:type="spellEnd"/>
          </w:p>
        </w:tc>
      </w:tr>
      <w:tr w:rsidR="00706CA4" w:rsidRPr="005A1E5A" w:rsidTr="00706CA4">
        <w:trPr>
          <w:trHeight w:val="691"/>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ND1, p.156</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Former Officers Mess, Aerodrome Road, </w:t>
            </w:r>
            <w:proofErr w:type="spellStart"/>
            <w:r w:rsidRPr="005A1E5A">
              <w:rPr>
                <w:rFonts w:eastAsia="Times New Roman" w:cs="Arial"/>
                <w:color w:val="000000"/>
                <w:sz w:val="22"/>
                <w:lang w:eastAsia="en-GB"/>
              </w:rPr>
              <w:t>Hawkinge</w:t>
            </w:r>
            <w:proofErr w:type="spellEnd"/>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3.75ha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70 dwellings</w:t>
            </w:r>
          </w:p>
        </w:tc>
        <w:tc>
          <w:tcPr>
            <w:tcW w:w="4330" w:type="dxa"/>
          </w:tcPr>
          <w:p w:rsidR="005A1E5A" w:rsidRPr="005A1E5A" w:rsidRDefault="005A1E5A" w:rsidP="005A1E5A">
            <w:pPr>
              <w:spacing w:after="0" w:line="240" w:lineRule="auto"/>
              <w:ind w:left="0" w:firstLine="0"/>
              <w:rPr>
                <w:rFonts w:eastAsia="Times New Roman" w:cs="Arial"/>
                <w:sz w:val="22"/>
                <w:lang w:eastAsia="en-GB"/>
              </w:rPr>
            </w:pPr>
            <w:r w:rsidRPr="005A1E5A">
              <w:rPr>
                <w:rFonts w:eastAsia="Times New Roman" w:cs="Arial"/>
                <w:sz w:val="22"/>
                <w:lang w:eastAsia="en-GB"/>
              </w:rPr>
              <w:t>Outline application currently under consideration (Y15/0030/SH)</w:t>
            </w:r>
          </w:p>
        </w:tc>
        <w:tc>
          <w:tcPr>
            <w:tcW w:w="1353" w:type="dxa"/>
          </w:tcPr>
          <w:p w:rsidR="005A1E5A" w:rsidRPr="005A1E5A" w:rsidRDefault="005A1E5A" w:rsidP="005A1E5A">
            <w:pPr>
              <w:spacing w:after="0" w:line="240" w:lineRule="auto"/>
              <w:ind w:left="0" w:firstLine="14"/>
              <w:rPr>
                <w:rFonts w:eastAsia="Times New Roman" w:cs="Arial"/>
                <w:sz w:val="22"/>
                <w:lang w:eastAsia="en-GB"/>
              </w:rPr>
            </w:pPr>
            <w:r w:rsidRPr="005A1E5A">
              <w:rPr>
                <w:rFonts w:eastAsia="Times New Roman" w:cs="Arial"/>
                <w:sz w:val="22"/>
                <w:lang w:eastAsia="en-GB"/>
              </w:rPr>
              <w:t xml:space="preserve">Zone B: </w:t>
            </w:r>
            <w:proofErr w:type="spellStart"/>
            <w:r w:rsidRPr="005A1E5A">
              <w:rPr>
                <w:rFonts w:eastAsia="Times New Roman" w:cs="Arial"/>
                <w:sz w:val="22"/>
                <w:lang w:eastAsia="en-GB"/>
              </w:rPr>
              <w:t>Hawkinge</w:t>
            </w:r>
            <w:proofErr w:type="spellEnd"/>
          </w:p>
        </w:tc>
        <w:tc>
          <w:tcPr>
            <w:tcW w:w="2043" w:type="dxa"/>
          </w:tcPr>
          <w:p w:rsidR="005A1E5A" w:rsidRPr="005A1E5A" w:rsidRDefault="005A1E5A" w:rsidP="005A1E5A">
            <w:pPr>
              <w:spacing w:after="0" w:line="240" w:lineRule="auto"/>
              <w:ind w:left="0" w:firstLine="0"/>
              <w:rPr>
                <w:rFonts w:eastAsia="Times New Roman" w:cs="Arial"/>
                <w:sz w:val="22"/>
                <w:lang w:eastAsia="en-GB"/>
              </w:rPr>
            </w:pPr>
          </w:p>
        </w:tc>
      </w:tr>
      <w:tr w:rsidR="00706CA4" w:rsidRPr="005A1E5A" w:rsidTr="00706CA4">
        <w:trPr>
          <w:trHeight w:val="623"/>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ND2, p.158</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Mill Lane, rear of Mill Farm, </w:t>
            </w:r>
            <w:proofErr w:type="spellStart"/>
            <w:r w:rsidRPr="005A1E5A">
              <w:rPr>
                <w:rFonts w:eastAsia="Times New Roman" w:cs="Arial"/>
                <w:color w:val="000000"/>
                <w:sz w:val="22"/>
                <w:lang w:eastAsia="en-GB"/>
              </w:rPr>
              <w:t>Hawkinge</w:t>
            </w:r>
            <w:proofErr w:type="spellEnd"/>
            <w:r w:rsidRPr="005A1E5A">
              <w:rPr>
                <w:rFonts w:eastAsia="Times New Roman" w:cs="Arial"/>
                <w:color w:val="000000"/>
                <w:sz w:val="22"/>
                <w:lang w:eastAsia="en-GB"/>
              </w:rPr>
              <w:t xml:space="preserve"> </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1.1ha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14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Outline planning permission (Y15/0741/SH) granted in July 2016 for 14 dwellings</w:t>
            </w: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sz w:val="22"/>
                <w:lang w:eastAsia="en-GB"/>
              </w:rPr>
              <w:t xml:space="preserve">Zone B: </w:t>
            </w:r>
            <w:proofErr w:type="spellStart"/>
            <w:r w:rsidRPr="005A1E5A">
              <w:rPr>
                <w:rFonts w:eastAsia="Times New Roman" w:cs="Arial"/>
                <w:sz w:val="22"/>
                <w:lang w:eastAsia="en-GB"/>
              </w:rPr>
              <w:t>Hawkinge</w:t>
            </w:r>
            <w:proofErr w:type="spellEnd"/>
          </w:p>
        </w:tc>
        <w:tc>
          <w:tcPr>
            <w:tcW w:w="2043" w:type="dxa"/>
          </w:tcPr>
          <w:p w:rsidR="005A1E5A" w:rsidRPr="005A1E5A" w:rsidRDefault="005A1E5A" w:rsidP="005A1E5A">
            <w:pPr>
              <w:spacing w:after="0" w:line="240" w:lineRule="auto"/>
              <w:ind w:left="0" w:firstLine="0"/>
              <w:rPr>
                <w:rFonts w:eastAsia="Times New Roman" w:cs="Arial"/>
                <w:color w:val="000000"/>
                <w:sz w:val="22"/>
                <w:lang w:eastAsia="en-GB"/>
              </w:rPr>
            </w:pPr>
          </w:p>
        </w:tc>
      </w:tr>
      <w:tr w:rsidR="00706CA4" w:rsidRPr="005A1E5A" w:rsidTr="00706CA4">
        <w:trPr>
          <w:trHeight w:val="710"/>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ND3, p.160</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Land adjacent Kent Battle of Britain Museum, Aerodrome Road, </w:t>
            </w:r>
            <w:proofErr w:type="spellStart"/>
            <w:r w:rsidRPr="005A1E5A">
              <w:rPr>
                <w:rFonts w:eastAsia="Times New Roman" w:cs="Arial"/>
                <w:color w:val="000000"/>
                <w:sz w:val="22"/>
                <w:lang w:eastAsia="en-GB"/>
              </w:rPr>
              <w:t>Hawkinge</w:t>
            </w:r>
            <w:proofErr w:type="spellEnd"/>
            <w:r w:rsidRPr="005A1E5A">
              <w:rPr>
                <w:rFonts w:eastAsia="Times New Roman" w:cs="Arial"/>
                <w:color w:val="000000"/>
                <w:sz w:val="22"/>
                <w:lang w:eastAsia="en-GB"/>
              </w:rPr>
              <w:t xml:space="preserve"> </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5.5ha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100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sz w:val="22"/>
                <w:lang w:eastAsia="en-GB"/>
              </w:rPr>
              <w:t xml:space="preserve">Zone B: </w:t>
            </w:r>
            <w:proofErr w:type="spellStart"/>
            <w:r w:rsidRPr="005A1E5A">
              <w:rPr>
                <w:rFonts w:eastAsia="Times New Roman" w:cs="Arial"/>
                <w:sz w:val="22"/>
                <w:lang w:eastAsia="en-GB"/>
              </w:rPr>
              <w:t>Hawkinge</w:t>
            </w:r>
            <w:proofErr w:type="spellEnd"/>
          </w:p>
        </w:tc>
        <w:tc>
          <w:tcPr>
            <w:tcW w:w="2043" w:type="dxa"/>
          </w:tcPr>
          <w:p w:rsidR="005A1E5A" w:rsidRPr="005A1E5A" w:rsidRDefault="00703E29"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Individual site assessment</w:t>
            </w:r>
          </w:p>
        </w:tc>
      </w:tr>
      <w:tr w:rsidR="005A1E5A" w:rsidRPr="005A1E5A" w:rsidTr="00706CA4">
        <w:trPr>
          <w:trHeight w:val="457"/>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proofErr w:type="spellStart"/>
            <w:r w:rsidRPr="005A1E5A">
              <w:rPr>
                <w:rFonts w:eastAsia="Times New Roman" w:cs="Arial"/>
                <w:b/>
                <w:color w:val="000000"/>
                <w:sz w:val="22"/>
                <w:lang w:eastAsia="en-GB"/>
              </w:rPr>
              <w:t>Elham</w:t>
            </w:r>
            <w:proofErr w:type="spellEnd"/>
          </w:p>
        </w:tc>
      </w:tr>
      <w:tr w:rsidR="00706CA4" w:rsidRPr="005A1E5A" w:rsidTr="00706CA4">
        <w:trPr>
          <w:trHeight w:val="659"/>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ND4, p.163</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Land at Duck Street, </w:t>
            </w:r>
            <w:proofErr w:type="spellStart"/>
            <w:r w:rsidRPr="005A1E5A">
              <w:rPr>
                <w:rFonts w:eastAsia="Times New Roman" w:cs="Arial"/>
                <w:color w:val="000000"/>
                <w:sz w:val="22"/>
                <w:lang w:eastAsia="en-GB"/>
              </w:rPr>
              <w:t>Elham</w:t>
            </w:r>
            <w:proofErr w:type="spellEnd"/>
            <w:r w:rsidRPr="005A1E5A">
              <w:rPr>
                <w:rFonts w:eastAsia="Times New Roman" w:cs="Arial"/>
                <w:color w:val="000000"/>
                <w:sz w:val="22"/>
                <w:lang w:eastAsia="en-GB"/>
              </w:rPr>
              <w:t xml:space="preserve"> </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0.3ha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5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 xml:space="preserve">Zone D: </w:t>
            </w:r>
            <w:proofErr w:type="spellStart"/>
            <w:r w:rsidRPr="005A1E5A">
              <w:rPr>
                <w:rFonts w:eastAsia="Times New Roman" w:cs="Arial"/>
                <w:color w:val="000000"/>
                <w:sz w:val="22"/>
                <w:lang w:eastAsia="en-GB"/>
              </w:rPr>
              <w:t>Elham</w:t>
            </w:r>
            <w:proofErr w:type="spellEnd"/>
          </w:p>
        </w:tc>
        <w:tc>
          <w:tcPr>
            <w:tcW w:w="2043" w:type="dxa"/>
          </w:tcPr>
          <w:p w:rsidR="005A1E5A" w:rsidRPr="005A1E5A" w:rsidRDefault="00703E29"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w:t>
            </w:r>
          </w:p>
        </w:tc>
      </w:tr>
      <w:tr w:rsidR="005A1E5A" w:rsidRPr="005A1E5A" w:rsidTr="00706CA4">
        <w:trPr>
          <w:trHeight w:val="423"/>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proofErr w:type="spellStart"/>
            <w:r w:rsidRPr="005A1E5A">
              <w:rPr>
                <w:rFonts w:eastAsia="Times New Roman" w:cs="Arial"/>
                <w:b/>
                <w:color w:val="000000"/>
                <w:sz w:val="22"/>
                <w:lang w:eastAsia="en-GB"/>
              </w:rPr>
              <w:t>Lyminge</w:t>
            </w:r>
            <w:proofErr w:type="spellEnd"/>
          </w:p>
        </w:tc>
      </w:tr>
      <w:tr w:rsidR="00706CA4" w:rsidRPr="005A1E5A" w:rsidTr="00706CA4">
        <w:trPr>
          <w:trHeight w:val="484"/>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ND5, </w:t>
            </w:r>
            <w:r w:rsidRPr="005A1E5A">
              <w:rPr>
                <w:rFonts w:eastAsia="Times New Roman" w:cs="Arial"/>
                <w:color w:val="000000"/>
                <w:sz w:val="22"/>
                <w:lang w:eastAsia="en-GB"/>
              </w:rPr>
              <w:lastRenderedPageBreak/>
              <w:t>p.166</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lastRenderedPageBreak/>
              <w:t xml:space="preserve">Land South of </w:t>
            </w:r>
            <w:r w:rsidRPr="005A1E5A">
              <w:rPr>
                <w:rFonts w:eastAsia="Times New Roman" w:cs="Arial"/>
                <w:color w:val="000000"/>
                <w:sz w:val="22"/>
                <w:lang w:eastAsia="en-GB"/>
              </w:rPr>
              <w:lastRenderedPageBreak/>
              <w:t xml:space="preserve">Canterbury Road, </w:t>
            </w:r>
            <w:proofErr w:type="spellStart"/>
            <w:r w:rsidRPr="005A1E5A">
              <w:rPr>
                <w:rFonts w:eastAsia="Times New Roman" w:cs="Arial"/>
                <w:color w:val="000000"/>
                <w:sz w:val="22"/>
                <w:lang w:eastAsia="en-GB"/>
              </w:rPr>
              <w:t>Lyminge</w:t>
            </w:r>
            <w:proofErr w:type="spellEnd"/>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lastRenderedPageBreak/>
              <w:t>2.1ha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30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 xml:space="preserve">Zone D: </w:t>
            </w:r>
            <w:proofErr w:type="spellStart"/>
            <w:r w:rsidRPr="005A1E5A">
              <w:rPr>
                <w:rFonts w:eastAsia="Times New Roman" w:cs="Arial"/>
                <w:color w:val="000000"/>
                <w:sz w:val="22"/>
                <w:lang w:eastAsia="en-GB"/>
              </w:rPr>
              <w:lastRenderedPageBreak/>
              <w:t>Elham</w:t>
            </w:r>
            <w:proofErr w:type="spellEnd"/>
          </w:p>
        </w:tc>
        <w:tc>
          <w:tcPr>
            <w:tcW w:w="2043" w:type="dxa"/>
          </w:tcPr>
          <w:p w:rsidR="005A1E5A" w:rsidRPr="005A1E5A" w:rsidRDefault="00703E29"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lastRenderedPageBreak/>
              <w:t xml:space="preserve">Generic site </w:t>
            </w:r>
            <w:r>
              <w:rPr>
                <w:rFonts w:eastAsia="Times New Roman" w:cs="Arial"/>
                <w:color w:val="000000"/>
                <w:sz w:val="22"/>
                <w:lang w:eastAsia="en-GB"/>
              </w:rPr>
              <w:lastRenderedPageBreak/>
              <w:t>assessment</w:t>
            </w:r>
          </w:p>
        </w:tc>
      </w:tr>
      <w:tr w:rsidR="005A1E5A" w:rsidRPr="005A1E5A" w:rsidTr="00706CA4">
        <w:trPr>
          <w:trHeight w:val="452"/>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proofErr w:type="spellStart"/>
            <w:r w:rsidRPr="005A1E5A">
              <w:rPr>
                <w:rFonts w:eastAsia="Times New Roman" w:cs="Arial"/>
                <w:b/>
                <w:color w:val="000000"/>
                <w:sz w:val="22"/>
                <w:lang w:eastAsia="en-GB"/>
              </w:rPr>
              <w:lastRenderedPageBreak/>
              <w:t>Sellindge</w:t>
            </w:r>
            <w:proofErr w:type="spellEnd"/>
          </w:p>
        </w:tc>
      </w:tr>
      <w:tr w:rsidR="00706CA4" w:rsidRPr="005A1E5A" w:rsidTr="00706CA4">
        <w:trPr>
          <w:trHeight w:val="692"/>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ND6, p.175</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General </w:t>
            </w:r>
            <w:proofErr w:type="spellStart"/>
            <w:r w:rsidRPr="005A1E5A">
              <w:rPr>
                <w:rFonts w:eastAsia="Times New Roman" w:cs="Arial"/>
                <w:color w:val="000000"/>
                <w:sz w:val="22"/>
                <w:lang w:eastAsia="en-GB"/>
              </w:rPr>
              <w:t>Sellindge</w:t>
            </w:r>
            <w:proofErr w:type="spellEnd"/>
            <w:r w:rsidRPr="005A1E5A">
              <w:rPr>
                <w:rFonts w:eastAsia="Times New Roman" w:cs="Arial"/>
                <w:color w:val="000000"/>
                <w:sz w:val="22"/>
                <w:lang w:eastAsia="en-GB"/>
              </w:rPr>
              <w:t xml:space="preserve"> policy</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0.3ha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54 dwellings total</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Allocation comprising five sites:</w:t>
            </w:r>
          </w:p>
          <w:p w:rsidR="005A1E5A" w:rsidRPr="005A1E5A" w:rsidRDefault="005A1E5A" w:rsidP="00703E29">
            <w:pPr>
              <w:pStyle w:val="ListParagraph"/>
              <w:numPr>
                <w:ilvl w:val="0"/>
                <w:numId w:val="20"/>
              </w:numPr>
              <w:spacing w:after="0" w:line="240" w:lineRule="auto"/>
              <w:ind w:left="304" w:hanging="283"/>
              <w:rPr>
                <w:rFonts w:eastAsia="Times New Roman" w:cs="Arial"/>
                <w:color w:val="000000"/>
                <w:sz w:val="22"/>
                <w:lang w:eastAsia="en-GB"/>
              </w:rPr>
            </w:pPr>
            <w:r w:rsidRPr="005A1E5A">
              <w:rPr>
                <w:rFonts w:eastAsia="Times New Roman" w:cs="Arial"/>
                <w:color w:val="000000"/>
                <w:sz w:val="22"/>
                <w:lang w:eastAsia="en-GB"/>
              </w:rPr>
              <w:t xml:space="preserve">The Piggeries, Main Road, </w:t>
            </w:r>
            <w:proofErr w:type="spellStart"/>
            <w:r w:rsidRPr="005A1E5A">
              <w:rPr>
                <w:rFonts w:eastAsia="Times New Roman" w:cs="Arial"/>
                <w:color w:val="000000"/>
                <w:sz w:val="22"/>
                <w:lang w:eastAsia="en-GB"/>
              </w:rPr>
              <w:t>Sellindge</w:t>
            </w:r>
            <w:proofErr w:type="spellEnd"/>
            <w:r w:rsidRPr="005A1E5A">
              <w:rPr>
                <w:rFonts w:eastAsia="Times New Roman" w:cs="Arial"/>
                <w:color w:val="000000"/>
                <w:sz w:val="22"/>
                <w:lang w:eastAsia="en-GB"/>
              </w:rPr>
              <w:t xml:space="preserve"> – 8 dwellings (0.3ha)</w:t>
            </w:r>
          </w:p>
          <w:p w:rsidR="005A1E5A" w:rsidRPr="005A1E5A" w:rsidRDefault="005A1E5A" w:rsidP="00703E29">
            <w:pPr>
              <w:pStyle w:val="ListParagraph"/>
              <w:numPr>
                <w:ilvl w:val="0"/>
                <w:numId w:val="20"/>
              </w:numPr>
              <w:spacing w:after="0" w:line="240" w:lineRule="auto"/>
              <w:ind w:left="304" w:hanging="283"/>
              <w:rPr>
                <w:rFonts w:eastAsia="Times New Roman" w:cs="Arial"/>
                <w:color w:val="000000"/>
                <w:sz w:val="22"/>
                <w:lang w:eastAsia="en-GB"/>
              </w:rPr>
            </w:pPr>
            <w:r w:rsidRPr="005A1E5A">
              <w:rPr>
                <w:rFonts w:eastAsia="Times New Roman" w:cs="Arial"/>
                <w:color w:val="000000"/>
                <w:sz w:val="22"/>
                <w:lang w:eastAsia="en-GB"/>
              </w:rPr>
              <w:t xml:space="preserve">Land west of Jubilee Cottage, Swan Lane, </w:t>
            </w:r>
            <w:proofErr w:type="spellStart"/>
            <w:r w:rsidRPr="005A1E5A">
              <w:rPr>
                <w:rFonts w:eastAsia="Times New Roman" w:cs="Arial"/>
                <w:color w:val="000000"/>
                <w:sz w:val="22"/>
                <w:lang w:eastAsia="en-GB"/>
              </w:rPr>
              <w:t>Sellindge</w:t>
            </w:r>
            <w:proofErr w:type="spellEnd"/>
            <w:r w:rsidRPr="005A1E5A">
              <w:rPr>
                <w:rFonts w:eastAsia="Times New Roman" w:cs="Arial"/>
                <w:color w:val="000000"/>
                <w:sz w:val="22"/>
                <w:lang w:eastAsia="en-GB"/>
              </w:rPr>
              <w:t xml:space="preserve"> – 15 dwellings (1.9ha)</w:t>
            </w:r>
          </w:p>
          <w:p w:rsidR="005A1E5A" w:rsidRPr="005A1E5A" w:rsidRDefault="005A1E5A" w:rsidP="00703E29">
            <w:pPr>
              <w:pStyle w:val="ListParagraph"/>
              <w:numPr>
                <w:ilvl w:val="0"/>
                <w:numId w:val="20"/>
              </w:numPr>
              <w:spacing w:after="0" w:line="240" w:lineRule="auto"/>
              <w:ind w:left="304" w:hanging="283"/>
              <w:rPr>
                <w:rFonts w:eastAsia="Times New Roman" w:cs="Arial"/>
                <w:color w:val="000000"/>
                <w:sz w:val="22"/>
                <w:lang w:eastAsia="en-GB"/>
              </w:rPr>
            </w:pPr>
            <w:r w:rsidRPr="005A1E5A">
              <w:rPr>
                <w:rFonts w:eastAsia="Times New Roman" w:cs="Arial"/>
                <w:color w:val="000000"/>
                <w:sz w:val="22"/>
                <w:lang w:eastAsia="en-GB"/>
              </w:rPr>
              <w:t xml:space="preserve">Land rear of Brook Lane Cottages, Brook Lane, </w:t>
            </w:r>
            <w:proofErr w:type="spellStart"/>
            <w:r w:rsidRPr="005A1E5A">
              <w:rPr>
                <w:rFonts w:eastAsia="Times New Roman" w:cs="Arial"/>
                <w:color w:val="000000"/>
                <w:sz w:val="22"/>
                <w:lang w:eastAsia="en-GB"/>
              </w:rPr>
              <w:t>Sellindge</w:t>
            </w:r>
            <w:proofErr w:type="spellEnd"/>
            <w:r w:rsidRPr="005A1E5A">
              <w:rPr>
                <w:rFonts w:eastAsia="Times New Roman" w:cs="Arial"/>
                <w:color w:val="000000"/>
                <w:sz w:val="22"/>
                <w:lang w:eastAsia="en-GB"/>
              </w:rPr>
              <w:t xml:space="preserve"> – 11 dwellings (0.45ha)</w:t>
            </w:r>
          </w:p>
          <w:p w:rsidR="005A1E5A" w:rsidRPr="005A1E5A" w:rsidRDefault="005A1E5A" w:rsidP="00703E29">
            <w:pPr>
              <w:pStyle w:val="ListParagraph"/>
              <w:numPr>
                <w:ilvl w:val="0"/>
                <w:numId w:val="20"/>
              </w:numPr>
              <w:spacing w:after="0" w:line="240" w:lineRule="auto"/>
              <w:ind w:left="304" w:hanging="283"/>
              <w:rPr>
                <w:rFonts w:eastAsia="Times New Roman" w:cs="Arial"/>
                <w:color w:val="000000"/>
                <w:sz w:val="22"/>
                <w:lang w:eastAsia="en-GB"/>
              </w:rPr>
            </w:pPr>
            <w:r w:rsidRPr="005A1E5A">
              <w:rPr>
                <w:rFonts w:eastAsia="Times New Roman" w:cs="Arial"/>
                <w:color w:val="000000"/>
                <w:sz w:val="22"/>
                <w:lang w:eastAsia="en-GB"/>
              </w:rPr>
              <w:t xml:space="preserve">Land at Barrow Hill, </w:t>
            </w:r>
            <w:proofErr w:type="spellStart"/>
            <w:r w:rsidRPr="005A1E5A">
              <w:rPr>
                <w:rFonts w:eastAsia="Times New Roman" w:cs="Arial"/>
                <w:color w:val="000000"/>
                <w:sz w:val="22"/>
                <w:lang w:eastAsia="en-GB"/>
              </w:rPr>
              <w:t>Sellindge</w:t>
            </w:r>
            <w:proofErr w:type="spellEnd"/>
            <w:r w:rsidRPr="005A1E5A">
              <w:rPr>
                <w:rFonts w:eastAsia="Times New Roman" w:cs="Arial"/>
                <w:color w:val="000000"/>
                <w:sz w:val="22"/>
                <w:lang w:eastAsia="en-GB"/>
              </w:rPr>
              <w:t xml:space="preserve"> – 15 dwellings (0.69ha)</w:t>
            </w:r>
          </w:p>
          <w:p w:rsidR="005A1E5A" w:rsidRPr="005A1E5A" w:rsidRDefault="005A1E5A" w:rsidP="00703E29">
            <w:pPr>
              <w:pStyle w:val="ListParagraph"/>
              <w:numPr>
                <w:ilvl w:val="0"/>
                <w:numId w:val="20"/>
              </w:numPr>
              <w:spacing w:after="0" w:line="240" w:lineRule="auto"/>
              <w:ind w:left="304" w:hanging="283"/>
              <w:rPr>
                <w:rFonts w:eastAsia="Times New Roman" w:cs="Arial"/>
                <w:color w:val="000000"/>
                <w:sz w:val="22"/>
                <w:lang w:eastAsia="en-GB"/>
              </w:rPr>
            </w:pPr>
            <w:r w:rsidRPr="005A1E5A">
              <w:rPr>
                <w:rFonts w:eastAsia="Times New Roman" w:cs="Arial"/>
                <w:color w:val="000000"/>
                <w:sz w:val="22"/>
                <w:lang w:eastAsia="en-GB"/>
              </w:rPr>
              <w:t xml:space="preserve">Silver Spray, </w:t>
            </w:r>
            <w:proofErr w:type="spellStart"/>
            <w:r w:rsidRPr="005A1E5A">
              <w:rPr>
                <w:rFonts w:eastAsia="Times New Roman" w:cs="Arial"/>
                <w:color w:val="000000"/>
                <w:sz w:val="22"/>
                <w:lang w:eastAsia="en-GB"/>
              </w:rPr>
              <w:t>Sellindge</w:t>
            </w:r>
            <w:proofErr w:type="spellEnd"/>
            <w:r w:rsidRPr="005A1E5A">
              <w:rPr>
                <w:rFonts w:eastAsia="Times New Roman" w:cs="Arial"/>
                <w:color w:val="000000"/>
                <w:sz w:val="22"/>
                <w:lang w:eastAsia="en-GB"/>
              </w:rPr>
              <w:t xml:space="preserve"> – 5 dwellings (0.45ha)</w:t>
            </w: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 xml:space="preserve">Zone D: </w:t>
            </w:r>
            <w:proofErr w:type="spellStart"/>
            <w:r w:rsidRPr="005A1E5A">
              <w:rPr>
                <w:rFonts w:eastAsia="Times New Roman" w:cs="Arial"/>
                <w:color w:val="000000"/>
                <w:sz w:val="22"/>
                <w:lang w:eastAsia="en-GB"/>
              </w:rPr>
              <w:t>Elham</w:t>
            </w:r>
            <w:proofErr w:type="spellEnd"/>
          </w:p>
        </w:tc>
        <w:tc>
          <w:tcPr>
            <w:tcW w:w="2043" w:type="dxa"/>
          </w:tcPr>
          <w:p w:rsidR="005A1E5A" w:rsidRPr="005A1E5A" w:rsidRDefault="00703E29"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assessments</w:t>
            </w:r>
          </w:p>
        </w:tc>
      </w:tr>
      <w:tr w:rsidR="005A1E5A" w:rsidRPr="005A1E5A" w:rsidTr="00706CA4">
        <w:trPr>
          <w:trHeight w:val="437"/>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proofErr w:type="spellStart"/>
            <w:r w:rsidRPr="005A1E5A">
              <w:rPr>
                <w:rFonts w:eastAsia="Times New Roman" w:cs="Arial"/>
                <w:b/>
                <w:color w:val="000000"/>
                <w:sz w:val="22"/>
                <w:lang w:eastAsia="en-GB"/>
              </w:rPr>
              <w:t>Lympne</w:t>
            </w:r>
            <w:proofErr w:type="spellEnd"/>
          </w:p>
        </w:tc>
      </w:tr>
      <w:tr w:rsidR="00706CA4" w:rsidRPr="005A1E5A" w:rsidTr="00706CA4">
        <w:trPr>
          <w:trHeight w:val="659"/>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ND7, p.179</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Former </w:t>
            </w:r>
            <w:proofErr w:type="spellStart"/>
            <w:r w:rsidRPr="005A1E5A">
              <w:rPr>
                <w:rFonts w:eastAsia="Times New Roman" w:cs="Arial"/>
                <w:color w:val="000000"/>
                <w:sz w:val="22"/>
                <w:lang w:eastAsia="en-GB"/>
              </w:rPr>
              <w:t>Lympne</w:t>
            </w:r>
            <w:proofErr w:type="spellEnd"/>
            <w:r w:rsidRPr="005A1E5A">
              <w:rPr>
                <w:rFonts w:eastAsia="Times New Roman" w:cs="Arial"/>
                <w:color w:val="000000"/>
                <w:sz w:val="22"/>
                <w:lang w:eastAsia="en-GB"/>
              </w:rPr>
              <w:t xml:space="preserve"> Airfield </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40ha (7ha developable area)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125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Zone C: Hythe</w:t>
            </w:r>
          </w:p>
        </w:tc>
        <w:tc>
          <w:tcPr>
            <w:tcW w:w="2043" w:type="dxa"/>
          </w:tcPr>
          <w:p w:rsidR="005A1E5A" w:rsidRPr="005A1E5A" w:rsidRDefault="00703E29"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Individual site assessment</w:t>
            </w:r>
          </w:p>
        </w:tc>
      </w:tr>
      <w:tr w:rsidR="005A1E5A" w:rsidRPr="005A1E5A" w:rsidTr="00706CA4">
        <w:trPr>
          <w:trHeight w:val="515"/>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r w:rsidRPr="005A1E5A">
              <w:rPr>
                <w:rFonts w:eastAsia="Times New Roman" w:cs="Arial"/>
                <w:b/>
                <w:color w:val="000000"/>
                <w:sz w:val="22"/>
                <w:lang w:eastAsia="en-GB"/>
              </w:rPr>
              <w:t>Stanford</w:t>
            </w:r>
          </w:p>
        </w:tc>
      </w:tr>
      <w:tr w:rsidR="00706CA4" w:rsidRPr="005A1E5A" w:rsidTr="00706CA4">
        <w:trPr>
          <w:trHeight w:val="659"/>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ND8, p.182</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Land rear Barnstormers, Stone Street, Stanford</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0.5ha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5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 xml:space="preserve">Zone D: </w:t>
            </w:r>
            <w:proofErr w:type="spellStart"/>
            <w:r w:rsidRPr="005A1E5A">
              <w:rPr>
                <w:rFonts w:eastAsia="Times New Roman" w:cs="Arial"/>
                <w:color w:val="000000"/>
                <w:sz w:val="22"/>
                <w:lang w:eastAsia="en-GB"/>
              </w:rPr>
              <w:t>Elham</w:t>
            </w:r>
            <w:proofErr w:type="spellEnd"/>
          </w:p>
        </w:tc>
        <w:tc>
          <w:tcPr>
            <w:tcW w:w="2043" w:type="dxa"/>
          </w:tcPr>
          <w:p w:rsidR="005A1E5A" w:rsidRPr="005A1E5A" w:rsidRDefault="00703E29"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w:t>
            </w:r>
          </w:p>
        </w:tc>
      </w:tr>
      <w:tr w:rsidR="005A1E5A" w:rsidRPr="005A1E5A" w:rsidTr="00706CA4">
        <w:trPr>
          <w:trHeight w:val="410"/>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proofErr w:type="spellStart"/>
            <w:r w:rsidRPr="005A1E5A">
              <w:rPr>
                <w:rFonts w:eastAsia="Times New Roman" w:cs="Arial"/>
                <w:b/>
                <w:color w:val="000000"/>
                <w:sz w:val="22"/>
                <w:lang w:eastAsia="en-GB"/>
              </w:rPr>
              <w:t>Westenhanger</w:t>
            </w:r>
            <w:proofErr w:type="spellEnd"/>
          </w:p>
        </w:tc>
      </w:tr>
      <w:tr w:rsidR="00706CA4" w:rsidRPr="005A1E5A" w:rsidTr="00706CA4">
        <w:trPr>
          <w:trHeight w:val="654"/>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lastRenderedPageBreak/>
              <w:t>ND9, p.184</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Folkestone Racecourse (parts), </w:t>
            </w:r>
            <w:proofErr w:type="spellStart"/>
            <w:r w:rsidRPr="005A1E5A">
              <w:rPr>
                <w:rFonts w:eastAsia="Times New Roman" w:cs="Arial"/>
                <w:color w:val="000000"/>
                <w:sz w:val="22"/>
                <w:lang w:eastAsia="en-GB"/>
              </w:rPr>
              <w:t>Westenhanger</w:t>
            </w:r>
            <w:proofErr w:type="spellEnd"/>
            <w:r w:rsidRPr="005A1E5A">
              <w:rPr>
                <w:rFonts w:eastAsia="Times New Roman" w:cs="Arial"/>
                <w:color w:val="000000"/>
                <w:sz w:val="22"/>
                <w:lang w:eastAsia="en-GB"/>
              </w:rPr>
              <w:t xml:space="preserve"> </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4.6ha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11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 xml:space="preserve">Zone D: </w:t>
            </w:r>
            <w:proofErr w:type="spellStart"/>
            <w:r w:rsidRPr="005A1E5A">
              <w:rPr>
                <w:rFonts w:eastAsia="Times New Roman" w:cs="Arial"/>
                <w:color w:val="000000"/>
                <w:sz w:val="22"/>
                <w:lang w:eastAsia="en-GB"/>
              </w:rPr>
              <w:t>Elham</w:t>
            </w:r>
            <w:proofErr w:type="spellEnd"/>
          </w:p>
        </w:tc>
        <w:tc>
          <w:tcPr>
            <w:tcW w:w="2043" w:type="dxa"/>
          </w:tcPr>
          <w:p w:rsidR="005A1E5A" w:rsidRPr="005A1E5A" w:rsidRDefault="005A1E5A" w:rsidP="005A1E5A">
            <w:pPr>
              <w:spacing w:after="0" w:line="240" w:lineRule="auto"/>
              <w:ind w:left="0" w:firstLine="0"/>
              <w:rPr>
                <w:rFonts w:eastAsia="Times New Roman" w:cs="Arial"/>
                <w:color w:val="000000"/>
                <w:sz w:val="22"/>
                <w:lang w:eastAsia="en-GB"/>
              </w:rPr>
            </w:pPr>
          </w:p>
        </w:tc>
      </w:tr>
      <w:tr w:rsidR="005A1E5A" w:rsidRPr="005A1E5A" w:rsidTr="00706CA4">
        <w:trPr>
          <w:trHeight w:val="537"/>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proofErr w:type="spellStart"/>
            <w:r w:rsidRPr="005A1E5A">
              <w:rPr>
                <w:rFonts w:eastAsia="Times New Roman" w:cs="Arial"/>
                <w:b/>
                <w:color w:val="000000"/>
                <w:sz w:val="22"/>
                <w:lang w:eastAsia="en-GB"/>
              </w:rPr>
              <w:t>Stelling</w:t>
            </w:r>
            <w:proofErr w:type="spellEnd"/>
            <w:r w:rsidRPr="005A1E5A">
              <w:rPr>
                <w:rFonts w:eastAsia="Times New Roman" w:cs="Arial"/>
                <w:b/>
                <w:color w:val="000000"/>
                <w:sz w:val="22"/>
                <w:lang w:eastAsia="en-GB"/>
              </w:rPr>
              <w:t xml:space="preserve"> </w:t>
            </w:r>
            <w:proofErr w:type="spellStart"/>
            <w:r w:rsidRPr="005A1E5A">
              <w:rPr>
                <w:rFonts w:eastAsia="Times New Roman" w:cs="Arial"/>
                <w:b/>
                <w:color w:val="000000"/>
                <w:sz w:val="22"/>
                <w:lang w:eastAsia="en-GB"/>
              </w:rPr>
              <w:t>Minnis</w:t>
            </w:r>
            <w:proofErr w:type="spellEnd"/>
          </w:p>
        </w:tc>
      </w:tr>
      <w:tr w:rsidR="00706CA4" w:rsidRPr="005A1E5A" w:rsidTr="00706CA4">
        <w:trPr>
          <w:trHeight w:val="659"/>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ND10, p.187</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Camping and Caravan Site, </w:t>
            </w:r>
            <w:proofErr w:type="spellStart"/>
            <w:r w:rsidRPr="005A1E5A">
              <w:rPr>
                <w:rFonts w:eastAsia="Times New Roman" w:cs="Arial"/>
                <w:color w:val="000000"/>
                <w:sz w:val="22"/>
                <w:lang w:eastAsia="en-GB"/>
              </w:rPr>
              <w:t>Minnis</w:t>
            </w:r>
            <w:proofErr w:type="spellEnd"/>
            <w:r w:rsidRPr="005A1E5A">
              <w:rPr>
                <w:rFonts w:eastAsia="Times New Roman" w:cs="Arial"/>
                <w:color w:val="000000"/>
                <w:sz w:val="22"/>
                <w:lang w:eastAsia="en-GB"/>
              </w:rPr>
              <w:t xml:space="preserve"> Lane, </w:t>
            </w:r>
            <w:proofErr w:type="spellStart"/>
            <w:r w:rsidRPr="005A1E5A">
              <w:rPr>
                <w:rFonts w:eastAsia="Times New Roman" w:cs="Arial"/>
                <w:color w:val="000000"/>
                <w:sz w:val="22"/>
                <w:lang w:eastAsia="en-GB"/>
              </w:rPr>
              <w:t>Stelling</w:t>
            </w:r>
            <w:proofErr w:type="spellEnd"/>
            <w:r w:rsidRPr="005A1E5A">
              <w:rPr>
                <w:rFonts w:eastAsia="Times New Roman" w:cs="Arial"/>
                <w:color w:val="000000"/>
                <w:sz w:val="22"/>
                <w:lang w:eastAsia="en-GB"/>
              </w:rPr>
              <w:t xml:space="preserve"> </w:t>
            </w:r>
            <w:proofErr w:type="spellStart"/>
            <w:r w:rsidRPr="005A1E5A">
              <w:rPr>
                <w:rFonts w:eastAsia="Times New Roman" w:cs="Arial"/>
                <w:color w:val="000000"/>
                <w:sz w:val="22"/>
                <w:lang w:eastAsia="en-GB"/>
              </w:rPr>
              <w:t>Minnis</w:t>
            </w:r>
            <w:proofErr w:type="spellEnd"/>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0.47ha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11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 xml:space="preserve">Zone D: </w:t>
            </w:r>
            <w:proofErr w:type="spellStart"/>
            <w:r w:rsidRPr="005A1E5A">
              <w:rPr>
                <w:rFonts w:eastAsia="Times New Roman" w:cs="Arial"/>
                <w:color w:val="000000"/>
                <w:sz w:val="22"/>
                <w:lang w:eastAsia="en-GB"/>
              </w:rPr>
              <w:t>Elham</w:t>
            </w:r>
            <w:proofErr w:type="spellEnd"/>
          </w:p>
        </w:tc>
        <w:tc>
          <w:tcPr>
            <w:tcW w:w="2043" w:type="dxa"/>
          </w:tcPr>
          <w:p w:rsidR="005A1E5A" w:rsidRPr="005A1E5A" w:rsidRDefault="00703E29"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w:t>
            </w:r>
          </w:p>
        </w:tc>
      </w:tr>
      <w:tr w:rsidR="005A1E5A" w:rsidRPr="005A1E5A" w:rsidTr="00706CA4">
        <w:trPr>
          <w:trHeight w:val="567"/>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proofErr w:type="spellStart"/>
            <w:r w:rsidRPr="005A1E5A">
              <w:rPr>
                <w:rFonts w:eastAsia="Times New Roman" w:cs="Arial"/>
                <w:b/>
                <w:color w:val="000000"/>
                <w:sz w:val="22"/>
                <w:lang w:eastAsia="en-GB"/>
              </w:rPr>
              <w:t>Densole</w:t>
            </w:r>
            <w:proofErr w:type="spellEnd"/>
          </w:p>
        </w:tc>
      </w:tr>
      <w:tr w:rsidR="00706CA4" w:rsidRPr="005A1E5A" w:rsidTr="00706CA4">
        <w:trPr>
          <w:trHeight w:val="659"/>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ND11, p.190</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Land adjoining 385 Canterbury Road, </w:t>
            </w:r>
            <w:proofErr w:type="spellStart"/>
            <w:r w:rsidRPr="005A1E5A">
              <w:rPr>
                <w:rFonts w:eastAsia="Times New Roman" w:cs="Arial"/>
                <w:color w:val="000000"/>
                <w:sz w:val="22"/>
                <w:lang w:eastAsia="en-GB"/>
              </w:rPr>
              <w:t>Densole</w:t>
            </w:r>
            <w:proofErr w:type="spellEnd"/>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3.232ha (1.5ha developable area)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25 dwellings, allotment gardens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 xml:space="preserve">Zone D: </w:t>
            </w:r>
            <w:proofErr w:type="spellStart"/>
            <w:r w:rsidRPr="005A1E5A">
              <w:rPr>
                <w:rFonts w:eastAsia="Times New Roman" w:cs="Arial"/>
                <w:color w:val="000000"/>
                <w:sz w:val="22"/>
                <w:lang w:eastAsia="en-GB"/>
              </w:rPr>
              <w:t>Elham</w:t>
            </w:r>
            <w:proofErr w:type="spellEnd"/>
          </w:p>
        </w:tc>
        <w:tc>
          <w:tcPr>
            <w:tcW w:w="2043" w:type="dxa"/>
          </w:tcPr>
          <w:p w:rsidR="005A1E5A" w:rsidRPr="005A1E5A" w:rsidRDefault="008022FD"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w:t>
            </w:r>
          </w:p>
        </w:tc>
      </w:tr>
      <w:tr w:rsidR="005A1E5A" w:rsidRPr="005A1E5A" w:rsidTr="00706CA4">
        <w:trPr>
          <w:trHeight w:val="491"/>
        </w:trPr>
        <w:tc>
          <w:tcPr>
            <w:tcW w:w="14453" w:type="dxa"/>
            <w:gridSpan w:val="7"/>
            <w:shd w:val="clear" w:color="auto" w:fill="E5DFEC" w:themeFill="accent4" w:themeFillTint="33"/>
            <w:noWrap/>
            <w:vAlign w:val="center"/>
            <w:hideMark/>
          </w:tcPr>
          <w:p w:rsidR="005A1E5A" w:rsidRPr="005A1E5A" w:rsidRDefault="005A1E5A" w:rsidP="005A1E5A">
            <w:pPr>
              <w:spacing w:after="0" w:line="240" w:lineRule="auto"/>
              <w:ind w:left="0" w:firstLine="0"/>
              <w:jc w:val="center"/>
              <w:rPr>
                <w:rFonts w:eastAsia="Times New Roman" w:cs="Arial"/>
                <w:b/>
                <w:color w:val="000000"/>
                <w:sz w:val="22"/>
                <w:lang w:eastAsia="en-GB"/>
              </w:rPr>
            </w:pPr>
            <w:proofErr w:type="spellStart"/>
            <w:r w:rsidRPr="005A1E5A">
              <w:rPr>
                <w:rFonts w:eastAsia="Times New Roman" w:cs="Arial"/>
                <w:b/>
                <w:color w:val="000000"/>
                <w:sz w:val="22"/>
                <w:lang w:eastAsia="en-GB"/>
              </w:rPr>
              <w:t>Etchinghill</w:t>
            </w:r>
            <w:proofErr w:type="spellEnd"/>
          </w:p>
        </w:tc>
      </w:tr>
      <w:tr w:rsidR="00706CA4" w:rsidRPr="005A1E5A" w:rsidTr="00706CA4">
        <w:trPr>
          <w:trHeight w:val="659"/>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ND12, p.193</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proofErr w:type="spellStart"/>
            <w:r w:rsidRPr="005A1E5A">
              <w:rPr>
                <w:rFonts w:eastAsia="Times New Roman" w:cs="Arial"/>
                <w:color w:val="000000"/>
                <w:sz w:val="22"/>
                <w:lang w:eastAsia="en-GB"/>
              </w:rPr>
              <w:t>Etchinghill</w:t>
            </w:r>
            <w:proofErr w:type="spellEnd"/>
            <w:r w:rsidRPr="005A1E5A">
              <w:rPr>
                <w:rFonts w:eastAsia="Times New Roman" w:cs="Arial"/>
                <w:color w:val="000000"/>
                <w:sz w:val="22"/>
                <w:lang w:eastAsia="en-GB"/>
              </w:rPr>
              <w:t xml:space="preserve"> Nursery, </w:t>
            </w:r>
            <w:proofErr w:type="spellStart"/>
            <w:r w:rsidRPr="005A1E5A">
              <w:rPr>
                <w:rFonts w:eastAsia="Times New Roman" w:cs="Arial"/>
                <w:color w:val="000000"/>
                <w:sz w:val="22"/>
                <w:lang w:eastAsia="en-GB"/>
              </w:rPr>
              <w:t>Etchinghill</w:t>
            </w:r>
            <w:proofErr w:type="spellEnd"/>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1.6ha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30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 xml:space="preserve">Zone D: </w:t>
            </w:r>
            <w:proofErr w:type="spellStart"/>
            <w:r w:rsidRPr="005A1E5A">
              <w:rPr>
                <w:rFonts w:eastAsia="Times New Roman" w:cs="Arial"/>
                <w:color w:val="000000"/>
                <w:sz w:val="22"/>
                <w:lang w:eastAsia="en-GB"/>
              </w:rPr>
              <w:t>Elham</w:t>
            </w:r>
            <w:proofErr w:type="spellEnd"/>
          </w:p>
        </w:tc>
        <w:tc>
          <w:tcPr>
            <w:tcW w:w="2043" w:type="dxa"/>
          </w:tcPr>
          <w:p w:rsidR="005A1E5A" w:rsidRPr="005A1E5A" w:rsidRDefault="008022FD"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w:t>
            </w:r>
          </w:p>
        </w:tc>
      </w:tr>
      <w:tr w:rsidR="00706CA4" w:rsidRPr="005A1E5A" w:rsidTr="00706CA4">
        <w:trPr>
          <w:trHeight w:val="659"/>
        </w:trPr>
        <w:tc>
          <w:tcPr>
            <w:tcW w:w="99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ND13, p.195</w:t>
            </w:r>
          </w:p>
        </w:tc>
        <w:tc>
          <w:tcPr>
            <w:tcW w:w="2590" w:type="dxa"/>
            <w:shd w:val="clear" w:color="auto" w:fill="auto"/>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 xml:space="preserve">Land adjacent the Golf Course, </w:t>
            </w:r>
            <w:proofErr w:type="spellStart"/>
            <w:r w:rsidRPr="005A1E5A">
              <w:rPr>
                <w:rFonts w:eastAsia="Times New Roman" w:cs="Arial"/>
                <w:color w:val="000000"/>
                <w:sz w:val="22"/>
                <w:lang w:eastAsia="en-GB"/>
              </w:rPr>
              <w:t>Etchinghill</w:t>
            </w:r>
            <w:proofErr w:type="spellEnd"/>
            <w:r w:rsidRPr="005A1E5A">
              <w:rPr>
                <w:rFonts w:eastAsia="Times New Roman" w:cs="Arial"/>
                <w:color w:val="000000"/>
                <w:sz w:val="22"/>
                <w:lang w:eastAsia="en-GB"/>
              </w:rPr>
              <w:t xml:space="preserve"> </w:t>
            </w:r>
          </w:p>
        </w:tc>
        <w:tc>
          <w:tcPr>
            <w:tcW w:w="1301"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0.74ha</w:t>
            </w:r>
          </w:p>
        </w:tc>
        <w:tc>
          <w:tcPr>
            <w:tcW w:w="1843" w:type="dxa"/>
            <w:shd w:val="clear" w:color="auto" w:fill="auto"/>
            <w:noWrap/>
            <w:hideMark/>
          </w:tcPr>
          <w:p w:rsidR="005A1E5A" w:rsidRPr="005A1E5A" w:rsidRDefault="005A1E5A" w:rsidP="005A1E5A">
            <w:pPr>
              <w:spacing w:after="0" w:line="240" w:lineRule="auto"/>
              <w:ind w:left="0" w:firstLine="0"/>
              <w:rPr>
                <w:rFonts w:eastAsia="Times New Roman" w:cs="Arial"/>
                <w:color w:val="000000"/>
                <w:sz w:val="22"/>
                <w:lang w:eastAsia="en-GB"/>
              </w:rPr>
            </w:pPr>
            <w:r w:rsidRPr="005A1E5A">
              <w:rPr>
                <w:rFonts w:eastAsia="Times New Roman" w:cs="Arial"/>
                <w:color w:val="000000"/>
                <w:sz w:val="22"/>
                <w:lang w:eastAsia="en-GB"/>
              </w:rPr>
              <w:t>11 dwellings</w:t>
            </w:r>
          </w:p>
        </w:tc>
        <w:tc>
          <w:tcPr>
            <w:tcW w:w="4330" w:type="dxa"/>
          </w:tcPr>
          <w:p w:rsidR="005A1E5A" w:rsidRPr="005A1E5A" w:rsidRDefault="005A1E5A" w:rsidP="005A1E5A">
            <w:pPr>
              <w:spacing w:after="0" w:line="240" w:lineRule="auto"/>
              <w:ind w:left="0" w:firstLine="0"/>
              <w:rPr>
                <w:rFonts w:eastAsia="Times New Roman" w:cs="Arial"/>
                <w:color w:val="000000"/>
                <w:sz w:val="22"/>
                <w:lang w:eastAsia="en-GB"/>
              </w:rPr>
            </w:pPr>
          </w:p>
        </w:tc>
        <w:tc>
          <w:tcPr>
            <w:tcW w:w="1353" w:type="dxa"/>
          </w:tcPr>
          <w:p w:rsidR="005A1E5A" w:rsidRPr="005A1E5A" w:rsidRDefault="005A1E5A" w:rsidP="005A1E5A">
            <w:pPr>
              <w:spacing w:after="0" w:line="240" w:lineRule="auto"/>
              <w:ind w:left="0" w:firstLine="14"/>
              <w:rPr>
                <w:rFonts w:eastAsia="Times New Roman" w:cs="Arial"/>
                <w:color w:val="000000"/>
                <w:sz w:val="22"/>
                <w:lang w:eastAsia="en-GB"/>
              </w:rPr>
            </w:pPr>
            <w:r w:rsidRPr="005A1E5A">
              <w:rPr>
                <w:rFonts w:eastAsia="Times New Roman" w:cs="Arial"/>
                <w:color w:val="000000"/>
                <w:sz w:val="22"/>
                <w:lang w:eastAsia="en-GB"/>
              </w:rPr>
              <w:t xml:space="preserve">Zone D: </w:t>
            </w:r>
            <w:proofErr w:type="spellStart"/>
            <w:r w:rsidRPr="005A1E5A">
              <w:rPr>
                <w:rFonts w:eastAsia="Times New Roman" w:cs="Arial"/>
                <w:color w:val="000000"/>
                <w:sz w:val="22"/>
                <w:lang w:eastAsia="en-GB"/>
              </w:rPr>
              <w:t>Elham</w:t>
            </w:r>
            <w:proofErr w:type="spellEnd"/>
          </w:p>
        </w:tc>
        <w:tc>
          <w:tcPr>
            <w:tcW w:w="2043" w:type="dxa"/>
          </w:tcPr>
          <w:p w:rsidR="005A1E5A" w:rsidRPr="005A1E5A" w:rsidRDefault="008022FD" w:rsidP="005A1E5A">
            <w:pPr>
              <w:spacing w:after="0" w:line="240" w:lineRule="auto"/>
              <w:ind w:left="0" w:firstLine="0"/>
              <w:rPr>
                <w:rFonts w:eastAsia="Times New Roman" w:cs="Arial"/>
                <w:color w:val="000000"/>
                <w:sz w:val="22"/>
                <w:lang w:eastAsia="en-GB"/>
              </w:rPr>
            </w:pPr>
            <w:r>
              <w:rPr>
                <w:rFonts w:eastAsia="Times New Roman" w:cs="Arial"/>
                <w:color w:val="000000"/>
                <w:sz w:val="22"/>
                <w:lang w:eastAsia="en-GB"/>
              </w:rPr>
              <w:t>Generic site assessment</w:t>
            </w:r>
          </w:p>
        </w:tc>
      </w:tr>
    </w:tbl>
    <w:p w:rsidR="006903C1" w:rsidRDefault="006903C1">
      <w:pPr>
        <w:rPr>
          <w:rFonts w:cs="Arial"/>
          <w:b/>
          <w:szCs w:val="24"/>
        </w:rPr>
      </w:pPr>
      <w:r>
        <w:rPr>
          <w:rFonts w:cs="Arial"/>
          <w:b/>
          <w:szCs w:val="24"/>
        </w:rPr>
        <w:br w:type="page"/>
      </w:r>
    </w:p>
    <w:p w:rsidR="005A1E5A" w:rsidRDefault="005A1E5A" w:rsidP="00163BE8">
      <w:pPr>
        <w:spacing w:after="0" w:line="240" w:lineRule="auto"/>
        <w:ind w:left="567" w:firstLine="0"/>
        <w:rPr>
          <w:rFonts w:cs="Arial"/>
          <w:b/>
          <w:szCs w:val="24"/>
        </w:rPr>
        <w:sectPr w:rsidR="005A1E5A" w:rsidSect="00552B11">
          <w:headerReference w:type="default" r:id="rId17"/>
          <w:footerReference w:type="default" r:id="rId18"/>
          <w:pgSz w:w="16838" w:h="11906" w:orient="landscape"/>
          <w:pgMar w:top="1440" w:right="1440" w:bottom="1440" w:left="1440" w:header="709" w:footer="709" w:gutter="0"/>
          <w:pgNumType w:start="1"/>
          <w:cols w:space="708"/>
          <w:docGrid w:linePitch="360"/>
        </w:sectPr>
      </w:pPr>
    </w:p>
    <w:p w:rsidR="008022FD" w:rsidRDefault="00686326" w:rsidP="001C7B59">
      <w:pPr>
        <w:spacing w:line="360" w:lineRule="auto"/>
        <w:ind w:left="567" w:firstLine="0"/>
        <w:rPr>
          <w:rFonts w:cs="Arial"/>
          <w:b/>
          <w:szCs w:val="24"/>
        </w:rPr>
      </w:pPr>
      <w:r>
        <w:rPr>
          <w:rFonts w:cs="Arial"/>
          <w:b/>
          <w:szCs w:val="24"/>
        </w:rPr>
        <w:lastRenderedPageBreak/>
        <w:t xml:space="preserve">Appendix </w:t>
      </w:r>
      <w:r w:rsidR="00781950">
        <w:rPr>
          <w:rFonts w:cs="Arial"/>
          <w:b/>
          <w:szCs w:val="24"/>
        </w:rPr>
        <w:t>A2</w:t>
      </w:r>
      <w:r>
        <w:rPr>
          <w:rFonts w:cs="Arial"/>
          <w:b/>
          <w:szCs w:val="24"/>
        </w:rPr>
        <w:t xml:space="preserve">: Places and Policies Local Plan Preferred Options – Development Management Policies </w:t>
      </w:r>
      <w:r w:rsidR="008022FD">
        <w:rPr>
          <w:rFonts w:cs="Arial"/>
          <w:b/>
          <w:szCs w:val="24"/>
        </w:rPr>
        <w:br w:type="page"/>
      </w:r>
    </w:p>
    <w:p w:rsidR="008022FD" w:rsidRDefault="008022FD">
      <w:pPr>
        <w:rPr>
          <w:rFonts w:cs="Arial"/>
          <w:b/>
          <w:szCs w:val="24"/>
        </w:rPr>
        <w:sectPr w:rsidR="008022FD" w:rsidSect="00934771">
          <w:headerReference w:type="default" r:id="rId19"/>
          <w:footerReference w:type="default" r:id="rId20"/>
          <w:pgSz w:w="11906" w:h="16838"/>
          <w:pgMar w:top="1440" w:right="1440" w:bottom="1440" w:left="1440" w:header="708" w:footer="708" w:gutter="0"/>
          <w:cols w:space="708"/>
          <w:docGrid w:linePitch="360"/>
        </w:sectPr>
      </w:pPr>
    </w:p>
    <w:tbl>
      <w:tblPr>
        <w:tblW w:w="1460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1418"/>
        <w:gridCol w:w="4253"/>
        <w:gridCol w:w="8930"/>
      </w:tblGrid>
      <w:tr w:rsidR="008022FD" w:rsidRPr="00F043EA" w:rsidTr="00F043EA">
        <w:trPr>
          <w:trHeight w:val="500"/>
          <w:tblHeader/>
        </w:trPr>
        <w:tc>
          <w:tcPr>
            <w:tcW w:w="1418" w:type="dxa"/>
            <w:shd w:val="clear" w:color="auto" w:fill="E5DFEC" w:themeFill="accent4" w:themeFillTint="33"/>
            <w:noWrap/>
            <w:vAlign w:val="center"/>
            <w:hideMark/>
          </w:tcPr>
          <w:p w:rsidR="008022FD" w:rsidRPr="00F043EA" w:rsidRDefault="008022FD" w:rsidP="00F043EA">
            <w:pPr>
              <w:spacing w:after="0" w:line="240" w:lineRule="auto"/>
              <w:ind w:left="85" w:firstLine="0"/>
              <w:rPr>
                <w:rFonts w:eastAsia="Times New Roman" w:cs="Arial"/>
                <w:b/>
                <w:color w:val="000000"/>
                <w:sz w:val="22"/>
                <w:lang w:eastAsia="en-GB"/>
              </w:rPr>
            </w:pPr>
            <w:r w:rsidRPr="00F043EA">
              <w:rPr>
                <w:rFonts w:eastAsia="Times New Roman" w:cs="Arial"/>
                <w:b/>
                <w:color w:val="000000"/>
                <w:sz w:val="22"/>
                <w:lang w:eastAsia="en-GB"/>
              </w:rPr>
              <w:lastRenderedPageBreak/>
              <w:t xml:space="preserve">Policy </w:t>
            </w:r>
          </w:p>
        </w:tc>
        <w:tc>
          <w:tcPr>
            <w:tcW w:w="4253" w:type="dxa"/>
            <w:shd w:val="clear" w:color="auto" w:fill="E5DFEC" w:themeFill="accent4" w:themeFillTint="33"/>
            <w:noWrap/>
            <w:vAlign w:val="center"/>
            <w:hideMark/>
          </w:tcPr>
          <w:p w:rsidR="008022FD" w:rsidRPr="00F043EA" w:rsidRDefault="008022FD" w:rsidP="00F043EA">
            <w:pPr>
              <w:spacing w:after="0" w:line="240" w:lineRule="auto"/>
              <w:ind w:left="85" w:firstLine="0"/>
              <w:rPr>
                <w:rFonts w:eastAsia="Times New Roman" w:cs="Arial"/>
                <w:b/>
                <w:color w:val="000000"/>
                <w:sz w:val="22"/>
                <w:lang w:eastAsia="en-GB"/>
              </w:rPr>
            </w:pPr>
            <w:r w:rsidRPr="00F043EA">
              <w:rPr>
                <w:rFonts w:eastAsia="Times New Roman" w:cs="Arial"/>
                <w:b/>
                <w:color w:val="000000"/>
                <w:sz w:val="22"/>
                <w:lang w:eastAsia="en-GB"/>
              </w:rPr>
              <w:t>Title</w:t>
            </w:r>
          </w:p>
        </w:tc>
        <w:tc>
          <w:tcPr>
            <w:tcW w:w="8930" w:type="dxa"/>
            <w:shd w:val="clear" w:color="auto" w:fill="E5DFEC" w:themeFill="accent4" w:themeFillTint="33"/>
            <w:vAlign w:val="center"/>
          </w:tcPr>
          <w:p w:rsidR="008022FD" w:rsidRPr="00F043EA" w:rsidRDefault="008022FD" w:rsidP="00F043EA">
            <w:pPr>
              <w:spacing w:after="0" w:line="240" w:lineRule="auto"/>
              <w:ind w:left="369"/>
              <w:rPr>
                <w:rFonts w:eastAsia="Times New Roman" w:cs="Arial"/>
                <w:b/>
                <w:color w:val="000000"/>
                <w:sz w:val="22"/>
                <w:lang w:eastAsia="en-GB"/>
              </w:rPr>
            </w:pPr>
            <w:r w:rsidRPr="00F043EA">
              <w:rPr>
                <w:rFonts w:eastAsia="Times New Roman" w:cs="Arial"/>
                <w:b/>
                <w:color w:val="000000"/>
                <w:sz w:val="22"/>
                <w:lang w:eastAsia="en-GB"/>
              </w:rPr>
              <w:t>Policy Overview</w:t>
            </w:r>
          </w:p>
        </w:tc>
      </w:tr>
      <w:tr w:rsidR="008022FD" w:rsidRPr="00F043EA" w:rsidTr="00F043EA">
        <w:trPr>
          <w:trHeight w:val="487"/>
        </w:trPr>
        <w:tc>
          <w:tcPr>
            <w:tcW w:w="14601" w:type="dxa"/>
            <w:gridSpan w:val="3"/>
            <w:shd w:val="clear" w:color="auto" w:fill="E5DFEC" w:themeFill="accent4" w:themeFillTint="33"/>
            <w:noWrap/>
            <w:vAlign w:val="center"/>
            <w:hideMark/>
          </w:tcPr>
          <w:p w:rsidR="008022FD" w:rsidRPr="00F043EA" w:rsidRDefault="008022FD" w:rsidP="00F043EA">
            <w:pPr>
              <w:spacing w:after="0" w:line="240" w:lineRule="auto"/>
              <w:ind w:left="369"/>
              <w:jc w:val="center"/>
              <w:rPr>
                <w:rFonts w:eastAsia="Times New Roman" w:cs="Arial"/>
                <w:b/>
                <w:color w:val="000000"/>
                <w:sz w:val="22"/>
                <w:lang w:eastAsia="en-GB"/>
              </w:rPr>
            </w:pPr>
            <w:r w:rsidRPr="00F043EA">
              <w:rPr>
                <w:rFonts w:eastAsia="Times New Roman" w:cs="Arial"/>
                <w:b/>
                <w:color w:val="000000"/>
                <w:sz w:val="22"/>
                <w:lang w:eastAsia="en-GB"/>
              </w:rPr>
              <w:t>Housing and Built Environment</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HB1, p.204</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Quality Places Through Design</w:t>
            </w:r>
          </w:p>
        </w:tc>
        <w:tc>
          <w:tcPr>
            <w:tcW w:w="8930" w:type="dxa"/>
            <w:shd w:val="clear" w:color="auto" w:fill="auto"/>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General design criteria</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HB2, p.206</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Cohesive Design</w:t>
            </w:r>
          </w:p>
        </w:tc>
        <w:tc>
          <w:tcPr>
            <w:tcW w:w="8930" w:type="dxa"/>
            <w:shd w:val="clear" w:color="auto" w:fill="auto"/>
            <w:vAlign w:val="center"/>
          </w:tcPr>
          <w:p w:rsidR="008022FD" w:rsidRPr="00F043EA" w:rsidRDefault="008022FD" w:rsidP="00F043EA">
            <w:pPr>
              <w:pStyle w:val="ListParagraph"/>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Urban design criteria</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HB3, p.208</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Development of Residential Gardens</w:t>
            </w:r>
          </w:p>
        </w:tc>
        <w:tc>
          <w:tcPr>
            <w:tcW w:w="8930" w:type="dxa"/>
            <w:shd w:val="clear" w:color="auto" w:fill="auto"/>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Criteria to assess proposals for the redevelopment of residential garden land</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HB4, p.212</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Alteration and Extensions to Existing Buildings</w:t>
            </w:r>
          </w:p>
        </w:tc>
        <w:tc>
          <w:tcPr>
            <w:tcW w:w="8930" w:type="dxa"/>
            <w:shd w:val="clear" w:color="auto" w:fill="auto"/>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Detailed design criteria for extensions</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HB5, p.216</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Internal and External Space Standards</w:t>
            </w:r>
          </w:p>
        </w:tc>
        <w:tc>
          <w:tcPr>
            <w:tcW w:w="8930" w:type="dxa"/>
            <w:shd w:val="clear" w:color="auto" w:fill="auto"/>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Requirements to meet national internal space standards and standards for gardens / balconies</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HB6, p.219</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Self-build / Custom Build Development</w:t>
            </w:r>
          </w:p>
        </w:tc>
        <w:tc>
          <w:tcPr>
            <w:tcW w:w="8930" w:type="dxa"/>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Requirement for delivery of dwelling plots for sale to self or custom builders:</w:t>
            </w:r>
          </w:p>
          <w:p w:rsidR="008022FD" w:rsidRPr="00F043EA" w:rsidRDefault="008022FD" w:rsidP="00F043EA">
            <w:pPr>
              <w:pStyle w:val="ListParagraph"/>
              <w:numPr>
                <w:ilvl w:val="0"/>
                <w:numId w:val="20"/>
              </w:numPr>
              <w:spacing w:after="0" w:line="240" w:lineRule="auto"/>
              <w:ind w:left="369" w:hanging="284"/>
              <w:rPr>
                <w:rFonts w:eastAsia="Times New Roman" w:cs="Arial"/>
                <w:color w:val="000000"/>
                <w:sz w:val="22"/>
                <w:lang w:eastAsia="en-GB"/>
              </w:rPr>
            </w:pPr>
            <w:r w:rsidRPr="00F043EA">
              <w:rPr>
                <w:rFonts w:eastAsia="Times New Roman" w:cs="Arial"/>
                <w:color w:val="000000"/>
                <w:sz w:val="22"/>
                <w:lang w:eastAsia="en-GB"/>
              </w:rPr>
              <w:t>Folkestone and Hythe Urban Area – all sites delivering more than 40 dwellings to supply no less than 5% of dwelling plots</w:t>
            </w:r>
          </w:p>
          <w:p w:rsidR="008022FD" w:rsidRPr="00F043EA" w:rsidRDefault="008022FD" w:rsidP="00F043EA">
            <w:pPr>
              <w:pStyle w:val="ListParagraph"/>
              <w:numPr>
                <w:ilvl w:val="0"/>
                <w:numId w:val="20"/>
              </w:numPr>
              <w:spacing w:after="0" w:line="240" w:lineRule="auto"/>
              <w:ind w:left="369" w:hanging="284"/>
              <w:rPr>
                <w:rFonts w:eastAsia="Times New Roman" w:cs="Arial"/>
                <w:color w:val="000000"/>
                <w:sz w:val="22"/>
                <w:lang w:eastAsia="en-GB"/>
              </w:rPr>
            </w:pPr>
            <w:r w:rsidRPr="00F043EA">
              <w:rPr>
                <w:rFonts w:eastAsia="Times New Roman" w:cs="Arial"/>
                <w:color w:val="000000"/>
                <w:sz w:val="22"/>
                <w:lang w:eastAsia="en-GB"/>
              </w:rPr>
              <w:t>North Downs and Romney Marsh Areas – all sites delivering more than 20 dwellings to supply no less than 5% of dwelling plots</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HB7, p.221</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Local Housing Needs in Rural Areas</w:t>
            </w:r>
          </w:p>
        </w:tc>
        <w:tc>
          <w:tcPr>
            <w:tcW w:w="8930" w:type="dxa"/>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General criteria for provision of ‘exceptions’ site affordable housing</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HB8, p.223</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Residential Development in the Countryside</w:t>
            </w:r>
          </w:p>
        </w:tc>
        <w:tc>
          <w:tcPr>
            <w:tcW w:w="8930" w:type="dxa"/>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General criteria for replacement dwellings in the countryside</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HB9, p.227</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Conversion and Reconfiguration of Residential Care Homes and Institutions</w:t>
            </w:r>
          </w:p>
        </w:tc>
        <w:tc>
          <w:tcPr>
            <w:tcW w:w="8930" w:type="dxa"/>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Criteria for conversion and reconfiguration of existing residential care homes. Requirement for Building for Life 12 criteria as far as reasonably practical</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lastRenderedPageBreak/>
              <w:t>HB10, p.228</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 xml:space="preserve">Development of New or Extended Residential Institutions (C2 use) </w:t>
            </w:r>
          </w:p>
        </w:tc>
        <w:tc>
          <w:tcPr>
            <w:tcW w:w="8930" w:type="dxa"/>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Criteria for the development or conversion of residential institutions (C2 use). Requirement for Care Quality Commission Fundamental Standards and Building for Life 12 criteria</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HB11, p.230</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Accommodation for Gypsies and Travellers</w:t>
            </w:r>
          </w:p>
        </w:tc>
        <w:tc>
          <w:tcPr>
            <w:tcW w:w="8930" w:type="dxa"/>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General criteria for the development of new Gypsy and Traveller sites</w:t>
            </w:r>
          </w:p>
        </w:tc>
      </w:tr>
      <w:tr w:rsidR="008022FD" w:rsidRPr="00F043EA" w:rsidTr="00F043EA">
        <w:trPr>
          <w:trHeight w:val="487"/>
        </w:trPr>
        <w:tc>
          <w:tcPr>
            <w:tcW w:w="14601" w:type="dxa"/>
            <w:gridSpan w:val="3"/>
            <w:shd w:val="clear" w:color="auto" w:fill="E5DFEC" w:themeFill="accent4" w:themeFillTint="33"/>
            <w:noWrap/>
            <w:vAlign w:val="center"/>
            <w:hideMark/>
          </w:tcPr>
          <w:p w:rsidR="008022FD" w:rsidRPr="00F043EA" w:rsidRDefault="008022FD" w:rsidP="00F043EA">
            <w:pPr>
              <w:spacing w:after="0" w:line="240" w:lineRule="auto"/>
              <w:ind w:left="369"/>
              <w:jc w:val="center"/>
              <w:rPr>
                <w:rFonts w:eastAsia="Times New Roman" w:cs="Arial"/>
                <w:b/>
                <w:color w:val="000000"/>
                <w:sz w:val="22"/>
                <w:lang w:eastAsia="en-GB"/>
              </w:rPr>
            </w:pPr>
            <w:r w:rsidRPr="00F043EA">
              <w:rPr>
                <w:rFonts w:eastAsia="Times New Roman" w:cs="Arial"/>
                <w:b/>
                <w:color w:val="000000"/>
                <w:sz w:val="22"/>
                <w:lang w:eastAsia="en-GB"/>
              </w:rPr>
              <w:t>Economy</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E1, p.239</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Employment Sites</w:t>
            </w:r>
          </w:p>
        </w:tc>
        <w:tc>
          <w:tcPr>
            <w:tcW w:w="8930" w:type="dxa"/>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Sites protected for employment use</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E2, p.241</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Tourism</w:t>
            </w:r>
          </w:p>
        </w:tc>
        <w:tc>
          <w:tcPr>
            <w:tcW w:w="8930" w:type="dxa"/>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Criteria for assessing proposals for tourism facilities</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E3, p.242</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Hotels / Guest Houses</w:t>
            </w:r>
          </w:p>
        </w:tc>
        <w:tc>
          <w:tcPr>
            <w:tcW w:w="8930" w:type="dxa"/>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Criteria for assessing proposals for change of use or redevelopment of hotels, guest houses and self-catering units</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E4, p.243</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Touring and Static Caravan Sites</w:t>
            </w:r>
          </w:p>
        </w:tc>
        <w:tc>
          <w:tcPr>
            <w:tcW w:w="8930" w:type="dxa"/>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Criteria for assessing proposals for upgrading existing touring and static caravan sites</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E5, p.244</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Farm Diversification</w:t>
            </w:r>
          </w:p>
        </w:tc>
        <w:tc>
          <w:tcPr>
            <w:tcW w:w="8930" w:type="dxa"/>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Criteria for assessing proposals for farm diversification</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E6, p.245</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Farm Shops</w:t>
            </w:r>
          </w:p>
        </w:tc>
        <w:tc>
          <w:tcPr>
            <w:tcW w:w="8930" w:type="dxa"/>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Criteria for assessing proposals for retail use on farms</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E7, p.246</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Reuse of Rural Buildings</w:t>
            </w:r>
          </w:p>
        </w:tc>
        <w:tc>
          <w:tcPr>
            <w:tcW w:w="8930" w:type="dxa"/>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Criteria for assessing proposals for the re-use or adaption of rural buildings to alternative uses</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E8, p.247</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Broadband Provision</w:t>
            </w:r>
          </w:p>
        </w:tc>
        <w:tc>
          <w:tcPr>
            <w:tcW w:w="8930" w:type="dxa"/>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Requirement to design in broadband provision to new developments</w:t>
            </w:r>
          </w:p>
        </w:tc>
      </w:tr>
      <w:tr w:rsidR="008022FD" w:rsidRPr="00F043EA" w:rsidTr="00F043EA">
        <w:trPr>
          <w:trHeight w:val="487"/>
        </w:trPr>
        <w:tc>
          <w:tcPr>
            <w:tcW w:w="14601" w:type="dxa"/>
            <w:gridSpan w:val="3"/>
            <w:shd w:val="clear" w:color="auto" w:fill="E5DFEC" w:themeFill="accent4" w:themeFillTint="33"/>
            <w:noWrap/>
            <w:vAlign w:val="center"/>
            <w:hideMark/>
          </w:tcPr>
          <w:p w:rsidR="008022FD" w:rsidRPr="00F043EA" w:rsidRDefault="008022FD" w:rsidP="00F043EA">
            <w:pPr>
              <w:spacing w:after="0" w:line="240" w:lineRule="auto"/>
              <w:ind w:left="369"/>
              <w:jc w:val="center"/>
              <w:rPr>
                <w:rFonts w:eastAsia="Times New Roman" w:cs="Arial"/>
                <w:b/>
                <w:color w:val="000000"/>
                <w:sz w:val="22"/>
                <w:lang w:eastAsia="en-GB"/>
              </w:rPr>
            </w:pPr>
            <w:r w:rsidRPr="00F043EA">
              <w:rPr>
                <w:rFonts w:eastAsia="Times New Roman" w:cs="Arial"/>
                <w:b/>
                <w:color w:val="000000"/>
                <w:sz w:val="22"/>
                <w:lang w:eastAsia="en-GB"/>
              </w:rPr>
              <w:lastRenderedPageBreak/>
              <w:t>Community</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C1, p.260</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Creating a Sense of Place</w:t>
            </w:r>
          </w:p>
        </w:tc>
        <w:tc>
          <w:tcPr>
            <w:tcW w:w="8930" w:type="dxa"/>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Requirement for developments of 10 or more dwellings or 500sqm (gross) or greater floor area for other uses to provide a fully resourced project for creating a sense of place through landscaping, public art, water features and/or lighting</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C2, p.263</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Safeguarding Community Facilities</w:t>
            </w:r>
          </w:p>
        </w:tc>
        <w:tc>
          <w:tcPr>
            <w:tcW w:w="8930" w:type="dxa"/>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Criteria for judging proposals for the loss of a community facility</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C3, p.266</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Provision of Open Space</w:t>
            </w:r>
          </w:p>
        </w:tc>
        <w:tc>
          <w:tcPr>
            <w:tcW w:w="8930" w:type="dxa"/>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Standards for the provision of open space as part of developments of 5 or more dwellings</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C4, p.268</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 xml:space="preserve">Formal Play Space Provision </w:t>
            </w:r>
          </w:p>
        </w:tc>
        <w:tc>
          <w:tcPr>
            <w:tcW w:w="8930" w:type="dxa"/>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Requirements for the provision of formal play space as part of residential or mixed-use development of 10 or more dwellings</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C5, p.275</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Local Green Space</w:t>
            </w:r>
          </w:p>
        </w:tc>
        <w:tc>
          <w:tcPr>
            <w:tcW w:w="8930" w:type="dxa"/>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Criteria for protecting Local Green Spaces from development</w:t>
            </w:r>
          </w:p>
        </w:tc>
      </w:tr>
      <w:tr w:rsidR="008022FD" w:rsidRPr="00F043EA" w:rsidTr="00F043EA">
        <w:trPr>
          <w:trHeight w:val="487"/>
        </w:trPr>
        <w:tc>
          <w:tcPr>
            <w:tcW w:w="14601" w:type="dxa"/>
            <w:gridSpan w:val="3"/>
            <w:shd w:val="clear" w:color="auto" w:fill="E5DFEC" w:themeFill="accent4" w:themeFillTint="33"/>
            <w:noWrap/>
            <w:vAlign w:val="center"/>
            <w:hideMark/>
          </w:tcPr>
          <w:p w:rsidR="008022FD" w:rsidRPr="00F043EA" w:rsidRDefault="008022FD" w:rsidP="00F043EA">
            <w:pPr>
              <w:spacing w:after="0" w:line="240" w:lineRule="auto"/>
              <w:ind w:left="369"/>
              <w:jc w:val="center"/>
              <w:rPr>
                <w:rFonts w:eastAsia="Times New Roman" w:cs="Arial"/>
                <w:b/>
                <w:color w:val="000000"/>
                <w:sz w:val="22"/>
                <w:lang w:eastAsia="en-GB"/>
              </w:rPr>
            </w:pPr>
            <w:r w:rsidRPr="00F043EA">
              <w:rPr>
                <w:rFonts w:eastAsia="Times New Roman" w:cs="Arial"/>
                <w:b/>
                <w:color w:val="000000"/>
                <w:sz w:val="22"/>
                <w:lang w:eastAsia="en-GB"/>
              </w:rPr>
              <w:t>Transport</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T1, p.280</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Street Hierarchy and Site Layout</w:t>
            </w:r>
          </w:p>
        </w:tc>
        <w:tc>
          <w:tcPr>
            <w:tcW w:w="8930" w:type="dxa"/>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Criteria for street hierarchy, walking routes and active frontages as part of new developments</w:t>
            </w:r>
          </w:p>
        </w:tc>
      </w:tr>
      <w:tr w:rsidR="008022FD" w:rsidRPr="00F043EA" w:rsidTr="00F043EA">
        <w:trPr>
          <w:trHeight w:val="600"/>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T2, p.290</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Residential Parking</w:t>
            </w:r>
          </w:p>
        </w:tc>
        <w:tc>
          <w:tcPr>
            <w:tcW w:w="8930" w:type="dxa"/>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Criteria for the provision of parking as part of new residential developments</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T3, p.293</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 xml:space="preserve">Residential Garages </w:t>
            </w:r>
          </w:p>
        </w:tc>
        <w:tc>
          <w:tcPr>
            <w:tcW w:w="8930" w:type="dxa"/>
            <w:shd w:val="clear" w:color="auto" w:fill="auto"/>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Treatment of new garages as part of developments</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T4, p.297</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 xml:space="preserve">Lorry Parking </w:t>
            </w:r>
          </w:p>
        </w:tc>
        <w:tc>
          <w:tcPr>
            <w:tcW w:w="8930" w:type="dxa"/>
            <w:shd w:val="clear" w:color="auto" w:fill="auto"/>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Criteria for assessing proposals for lorry parking and service facilities</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lastRenderedPageBreak/>
              <w:t>T5, p.298</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Cycle Parking</w:t>
            </w:r>
          </w:p>
        </w:tc>
        <w:tc>
          <w:tcPr>
            <w:tcW w:w="8930" w:type="dxa"/>
            <w:shd w:val="clear" w:color="auto" w:fill="auto"/>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Standards for the provision of cycle parking as part of residential developments</w:t>
            </w:r>
          </w:p>
        </w:tc>
      </w:tr>
      <w:tr w:rsidR="008022FD" w:rsidRPr="00F043EA" w:rsidTr="00F043EA">
        <w:trPr>
          <w:trHeight w:val="487"/>
        </w:trPr>
        <w:tc>
          <w:tcPr>
            <w:tcW w:w="14601" w:type="dxa"/>
            <w:gridSpan w:val="3"/>
            <w:shd w:val="clear" w:color="auto" w:fill="E5DFEC" w:themeFill="accent4" w:themeFillTint="33"/>
            <w:noWrap/>
            <w:vAlign w:val="center"/>
            <w:hideMark/>
          </w:tcPr>
          <w:p w:rsidR="008022FD" w:rsidRPr="00F043EA" w:rsidRDefault="008022FD" w:rsidP="00F043EA">
            <w:pPr>
              <w:spacing w:after="0" w:line="240" w:lineRule="auto"/>
              <w:ind w:left="85" w:firstLine="0"/>
              <w:jc w:val="center"/>
              <w:rPr>
                <w:rFonts w:eastAsia="Times New Roman" w:cs="Arial"/>
                <w:b/>
                <w:color w:val="000000"/>
                <w:sz w:val="22"/>
                <w:lang w:eastAsia="en-GB"/>
              </w:rPr>
            </w:pPr>
            <w:r w:rsidRPr="00F043EA">
              <w:rPr>
                <w:rFonts w:eastAsia="Times New Roman" w:cs="Arial"/>
                <w:b/>
                <w:color w:val="000000"/>
                <w:sz w:val="22"/>
                <w:lang w:eastAsia="en-GB"/>
              </w:rPr>
              <w:t>Natural Environment</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NE1, p.301</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Enhancing and Managing Access to the Natural Environment</w:t>
            </w:r>
          </w:p>
        </w:tc>
        <w:tc>
          <w:tcPr>
            <w:tcW w:w="8930" w:type="dxa"/>
            <w:shd w:val="clear" w:color="auto" w:fill="auto"/>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General criteria for enhancing access to the natural environment</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NE2, p.304</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Biodiversity</w:t>
            </w:r>
          </w:p>
        </w:tc>
        <w:tc>
          <w:tcPr>
            <w:tcW w:w="8930" w:type="dxa"/>
            <w:shd w:val="clear" w:color="auto" w:fill="auto"/>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Criteria for assessing proposals affecting biodiversity</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NE3, p.309</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To Protect the District’s Landscapes and Countryside</w:t>
            </w:r>
          </w:p>
        </w:tc>
        <w:tc>
          <w:tcPr>
            <w:tcW w:w="8930" w:type="dxa"/>
            <w:shd w:val="clear" w:color="auto" w:fill="auto"/>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Criteria for assessing impact on the Kent Downs Area of Outstanding Natural Beauty and its setting, the Special Landscape Area and Local Landscape Areas</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NE4, p.313</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Equestrian Development</w:t>
            </w:r>
          </w:p>
        </w:tc>
        <w:tc>
          <w:tcPr>
            <w:tcW w:w="8930" w:type="dxa"/>
            <w:shd w:val="clear" w:color="auto" w:fill="auto"/>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Criteria for assessing proposals for equestrian development</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NE5, p.317</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Light Pollution and External Illumination</w:t>
            </w:r>
          </w:p>
        </w:tc>
        <w:tc>
          <w:tcPr>
            <w:tcW w:w="8930" w:type="dxa"/>
            <w:shd w:val="clear" w:color="auto" w:fill="auto"/>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Lighting standards applying to major development, and development including significant external lighting.  Requirement for Institution of Lighting Professionals Guidance</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NE6, p.319</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Land Stability</w:t>
            </w:r>
          </w:p>
        </w:tc>
        <w:tc>
          <w:tcPr>
            <w:tcW w:w="8930" w:type="dxa"/>
            <w:shd w:val="clear" w:color="auto" w:fill="auto"/>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Requirement for the production of a risk assessment in areas of land instability</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NE7, p.321</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Contaminated Land</w:t>
            </w:r>
          </w:p>
        </w:tc>
        <w:tc>
          <w:tcPr>
            <w:tcW w:w="8930" w:type="dxa"/>
            <w:shd w:val="clear" w:color="auto" w:fill="auto"/>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Requirement for measures to treat, contain and/or control contamination</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NE8, p.325</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Integrated Coastal Zone Management</w:t>
            </w:r>
          </w:p>
        </w:tc>
        <w:tc>
          <w:tcPr>
            <w:tcW w:w="8930" w:type="dxa"/>
            <w:shd w:val="clear" w:color="auto" w:fill="auto"/>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Requirements for development to have regard to the Shoreline Management Plan and Marine Plan</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NE9, p.328</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Development around the Coast</w:t>
            </w:r>
          </w:p>
        </w:tc>
        <w:tc>
          <w:tcPr>
            <w:tcW w:w="8930" w:type="dxa"/>
            <w:shd w:val="clear" w:color="auto" w:fill="auto"/>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Criteria based policy protecting coastal areas and the Folkestone and Dover Heritage Coast</w:t>
            </w:r>
          </w:p>
        </w:tc>
      </w:tr>
      <w:tr w:rsidR="008022FD" w:rsidRPr="00F043EA" w:rsidTr="00F043EA">
        <w:trPr>
          <w:trHeight w:val="487"/>
        </w:trPr>
        <w:tc>
          <w:tcPr>
            <w:tcW w:w="14601" w:type="dxa"/>
            <w:gridSpan w:val="3"/>
            <w:shd w:val="clear" w:color="auto" w:fill="E5DFEC" w:themeFill="accent4" w:themeFillTint="33"/>
            <w:noWrap/>
            <w:vAlign w:val="center"/>
            <w:hideMark/>
          </w:tcPr>
          <w:p w:rsidR="008022FD" w:rsidRPr="00F043EA" w:rsidRDefault="008022FD" w:rsidP="00F043EA">
            <w:pPr>
              <w:spacing w:after="0" w:line="240" w:lineRule="auto"/>
              <w:ind w:left="85" w:firstLine="0"/>
              <w:jc w:val="center"/>
              <w:rPr>
                <w:rFonts w:eastAsia="Times New Roman" w:cs="Arial"/>
                <w:b/>
                <w:color w:val="000000"/>
                <w:sz w:val="22"/>
                <w:lang w:eastAsia="en-GB"/>
              </w:rPr>
            </w:pPr>
            <w:r w:rsidRPr="00F043EA">
              <w:rPr>
                <w:rFonts w:eastAsia="Times New Roman" w:cs="Arial"/>
                <w:b/>
                <w:color w:val="000000"/>
                <w:sz w:val="22"/>
                <w:lang w:eastAsia="en-GB"/>
              </w:rPr>
              <w:lastRenderedPageBreak/>
              <w:t>Climate Change</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CC1, p.335</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Reducing Carbon Emissions</w:t>
            </w:r>
          </w:p>
        </w:tc>
        <w:tc>
          <w:tcPr>
            <w:tcW w:w="8930" w:type="dxa"/>
            <w:shd w:val="clear" w:color="auto" w:fill="auto"/>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 xml:space="preserve">Standards for the reduction of carbon emissions by a minimum of 10% for developments of 1,000sqm and above </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CC2, p.339</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Sustainable Construction</w:t>
            </w:r>
          </w:p>
        </w:tc>
        <w:tc>
          <w:tcPr>
            <w:tcW w:w="8930" w:type="dxa"/>
            <w:shd w:val="clear" w:color="auto" w:fill="auto"/>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General criteria for sustainable construction to be met by all development, including the target to meet water use not greater than 110 litres per person per day. All new non-residential developments of 1,000sqm (gross) or greater to achieve BREEAM ‘Very Good’ standard</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CC3, p.345</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proofErr w:type="spellStart"/>
            <w:r w:rsidRPr="00F043EA">
              <w:rPr>
                <w:rFonts w:eastAsia="Times New Roman" w:cs="Arial"/>
                <w:color w:val="000000"/>
                <w:sz w:val="22"/>
                <w:lang w:eastAsia="en-GB"/>
              </w:rPr>
              <w:t>SuDS</w:t>
            </w:r>
            <w:proofErr w:type="spellEnd"/>
          </w:p>
        </w:tc>
        <w:tc>
          <w:tcPr>
            <w:tcW w:w="8930" w:type="dxa"/>
            <w:shd w:val="clear" w:color="auto" w:fill="auto"/>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Requirements for Sustainable Drainage System (</w:t>
            </w:r>
            <w:proofErr w:type="spellStart"/>
            <w:r w:rsidRPr="00F043EA">
              <w:rPr>
                <w:rFonts w:eastAsia="Times New Roman" w:cs="Arial"/>
                <w:color w:val="000000"/>
                <w:sz w:val="22"/>
                <w:lang w:eastAsia="en-GB"/>
              </w:rPr>
              <w:t>SuDS</w:t>
            </w:r>
            <w:proofErr w:type="spellEnd"/>
            <w:r w:rsidRPr="00F043EA">
              <w:rPr>
                <w:rFonts w:eastAsia="Times New Roman" w:cs="Arial"/>
                <w:color w:val="000000"/>
                <w:sz w:val="22"/>
                <w:lang w:eastAsia="en-GB"/>
              </w:rPr>
              <w:t xml:space="preserve">) standards in accordance with CIRIA C753 and Kent County Council </w:t>
            </w:r>
            <w:proofErr w:type="spellStart"/>
            <w:r w:rsidRPr="00F043EA">
              <w:rPr>
                <w:rFonts w:eastAsia="Times New Roman" w:cs="Arial"/>
                <w:color w:val="000000"/>
                <w:sz w:val="22"/>
                <w:lang w:eastAsia="en-GB"/>
              </w:rPr>
              <w:t>SuDS</w:t>
            </w:r>
            <w:proofErr w:type="spellEnd"/>
            <w:r w:rsidRPr="00F043EA">
              <w:rPr>
                <w:rFonts w:eastAsia="Times New Roman" w:cs="Arial"/>
                <w:color w:val="000000"/>
                <w:sz w:val="22"/>
                <w:lang w:eastAsia="en-GB"/>
              </w:rPr>
              <w:t xml:space="preserve"> policy</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CC4, p.348</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Wind Turbine Development</w:t>
            </w:r>
          </w:p>
        </w:tc>
        <w:tc>
          <w:tcPr>
            <w:tcW w:w="8930" w:type="dxa"/>
            <w:shd w:val="clear" w:color="auto" w:fill="auto"/>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Support for wind turbine developments identified in Neighbourhood Plans</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CC5, p.350</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Domestic Wind Turbines and Existing Residential Development</w:t>
            </w:r>
          </w:p>
        </w:tc>
        <w:tc>
          <w:tcPr>
            <w:tcW w:w="8930" w:type="dxa"/>
            <w:shd w:val="clear" w:color="auto" w:fill="auto"/>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Criteria for assessing wind turbine developments for existing residential dwellings</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CC6, p.352</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Solar Farms</w:t>
            </w:r>
          </w:p>
        </w:tc>
        <w:tc>
          <w:tcPr>
            <w:tcW w:w="8930" w:type="dxa"/>
            <w:shd w:val="clear" w:color="auto" w:fill="auto"/>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Criteria for assessing proposals for solar farms</w:t>
            </w:r>
          </w:p>
        </w:tc>
      </w:tr>
      <w:tr w:rsidR="008022FD" w:rsidRPr="00F043EA" w:rsidTr="00F043EA">
        <w:trPr>
          <w:trHeight w:val="487"/>
        </w:trPr>
        <w:tc>
          <w:tcPr>
            <w:tcW w:w="14601" w:type="dxa"/>
            <w:gridSpan w:val="3"/>
            <w:shd w:val="clear" w:color="auto" w:fill="E5DFEC" w:themeFill="accent4" w:themeFillTint="33"/>
            <w:noWrap/>
            <w:vAlign w:val="center"/>
            <w:hideMark/>
          </w:tcPr>
          <w:p w:rsidR="008022FD" w:rsidRPr="00F043EA" w:rsidRDefault="008022FD" w:rsidP="00F043EA">
            <w:pPr>
              <w:spacing w:after="0" w:line="240" w:lineRule="auto"/>
              <w:ind w:left="369"/>
              <w:jc w:val="center"/>
              <w:rPr>
                <w:rFonts w:eastAsia="Times New Roman" w:cs="Arial"/>
                <w:b/>
                <w:color w:val="000000"/>
                <w:sz w:val="22"/>
                <w:lang w:eastAsia="en-GB"/>
              </w:rPr>
            </w:pPr>
            <w:r w:rsidRPr="00F043EA">
              <w:rPr>
                <w:rFonts w:eastAsia="Times New Roman" w:cs="Arial"/>
                <w:b/>
                <w:color w:val="000000"/>
                <w:sz w:val="22"/>
                <w:lang w:eastAsia="en-GB"/>
              </w:rPr>
              <w:t>Health and Wellbeing</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HW1, p.358</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Promoting Healthier Food Environments</w:t>
            </w:r>
          </w:p>
        </w:tc>
        <w:tc>
          <w:tcPr>
            <w:tcW w:w="8930" w:type="dxa"/>
            <w:shd w:val="clear" w:color="auto" w:fill="auto"/>
            <w:vAlign w:val="center"/>
          </w:tcPr>
          <w:p w:rsidR="008022FD" w:rsidRPr="00F043EA" w:rsidRDefault="008022FD" w:rsidP="00F043EA">
            <w:pPr>
              <w:spacing w:after="0" w:line="240" w:lineRule="auto"/>
              <w:ind w:left="369"/>
              <w:rPr>
                <w:rFonts w:eastAsia="Times New Roman" w:cs="Arial"/>
                <w:color w:val="000000"/>
                <w:sz w:val="22"/>
                <w:lang w:eastAsia="en-GB"/>
              </w:rPr>
            </w:pPr>
            <w:r w:rsidRPr="00F043EA">
              <w:rPr>
                <w:rFonts w:eastAsia="Times New Roman" w:cs="Arial"/>
                <w:color w:val="000000"/>
                <w:sz w:val="22"/>
                <w:lang w:eastAsia="en-GB"/>
              </w:rPr>
              <w:t>Criteria for assessing proposals for hot food take-away shops</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HW2, p.360</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Improving the Health and Wellbeing of the Local Population and Reducing Health Inequalities</w:t>
            </w:r>
          </w:p>
        </w:tc>
        <w:tc>
          <w:tcPr>
            <w:tcW w:w="8930" w:type="dxa"/>
            <w:shd w:val="clear" w:color="auto" w:fill="auto"/>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Requirement to produce a Health Impact Assessment for all proposals of 100 or more dwellings or non-residential development in excess of 1,000sqm</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lastRenderedPageBreak/>
              <w:t>HW3, p.362</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Development that Supports Healthy, Fulfilling and Active Lifestyles</w:t>
            </w:r>
          </w:p>
        </w:tc>
        <w:tc>
          <w:tcPr>
            <w:tcW w:w="8930" w:type="dxa"/>
            <w:shd w:val="clear" w:color="auto" w:fill="auto"/>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Requirement for major developments to incorporate food growing in the design and layout of buildings and landscaping</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HW4, p.365</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Protecting and Enhancing Rights of Way</w:t>
            </w:r>
          </w:p>
        </w:tc>
        <w:tc>
          <w:tcPr>
            <w:tcW w:w="8930" w:type="dxa"/>
            <w:shd w:val="clear" w:color="auto" w:fill="auto"/>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 xml:space="preserve">Requirements for the provision of new cycle and walking routes </w:t>
            </w:r>
          </w:p>
        </w:tc>
      </w:tr>
      <w:tr w:rsidR="008022FD" w:rsidRPr="00F043EA" w:rsidTr="00F043EA">
        <w:trPr>
          <w:trHeight w:val="487"/>
        </w:trPr>
        <w:tc>
          <w:tcPr>
            <w:tcW w:w="14601" w:type="dxa"/>
            <w:gridSpan w:val="3"/>
            <w:shd w:val="clear" w:color="auto" w:fill="E5DFEC" w:themeFill="accent4" w:themeFillTint="33"/>
            <w:noWrap/>
            <w:vAlign w:val="center"/>
            <w:hideMark/>
          </w:tcPr>
          <w:p w:rsidR="008022FD" w:rsidRPr="00F043EA" w:rsidRDefault="008022FD" w:rsidP="00F043EA">
            <w:pPr>
              <w:spacing w:after="0" w:line="240" w:lineRule="auto"/>
              <w:ind w:left="369"/>
              <w:jc w:val="center"/>
              <w:rPr>
                <w:rFonts w:eastAsia="Times New Roman" w:cs="Arial"/>
                <w:b/>
                <w:color w:val="000000"/>
                <w:sz w:val="22"/>
                <w:lang w:eastAsia="en-GB"/>
              </w:rPr>
            </w:pPr>
            <w:r w:rsidRPr="00F043EA">
              <w:rPr>
                <w:rFonts w:eastAsia="Times New Roman" w:cs="Arial"/>
                <w:b/>
                <w:color w:val="000000"/>
                <w:sz w:val="22"/>
                <w:lang w:eastAsia="en-GB"/>
              </w:rPr>
              <w:t>Historic Environment</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HE1, p.370</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Heritage Assets</w:t>
            </w:r>
          </w:p>
        </w:tc>
        <w:tc>
          <w:tcPr>
            <w:tcW w:w="8930" w:type="dxa"/>
            <w:shd w:val="clear" w:color="auto" w:fill="auto"/>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Support for the reuse of heritage assets</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HE2, p.372</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Archaeology</w:t>
            </w:r>
          </w:p>
        </w:tc>
        <w:tc>
          <w:tcPr>
            <w:tcW w:w="8930" w:type="dxa"/>
            <w:shd w:val="clear" w:color="auto" w:fill="auto"/>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Requirements for the assessment of archaeological assets as part of new developments</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HE3, p.373</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Local List of Buildings and Sites of Architectural or Historic Interest</w:t>
            </w:r>
          </w:p>
        </w:tc>
        <w:tc>
          <w:tcPr>
            <w:tcW w:w="8930" w:type="dxa"/>
            <w:shd w:val="clear" w:color="auto" w:fill="auto"/>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Requirement to protect and conserve buildings or sites identified on the Local List of Buildings of Architectural of Historic Interest</w:t>
            </w:r>
          </w:p>
        </w:tc>
      </w:tr>
      <w:tr w:rsidR="008022FD" w:rsidRPr="00F043EA" w:rsidTr="00F043EA">
        <w:trPr>
          <w:trHeight w:val="627"/>
        </w:trPr>
        <w:tc>
          <w:tcPr>
            <w:tcW w:w="1418" w:type="dxa"/>
            <w:shd w:val="clear" w:color="auto" w:fill="auto"/>
            <w:noWrap/>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HE4, p.375</w:t>
            </w:r>
          </w:p>
        </w:tc>
        <w:tc>
          <w:tcPr>
            <w:tcW w:w="4253" w:type="dxa"/>
            <w:shd w:val="clear" w:color="auto" w:fill="auto"/>
            <w:vAlign w:val="center"/>
            <w:hideMark/>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Communal Gardens</w:t>
            </w:r>
          </w:p>
        </w:tc>
        <w:tc>
          <w:tcPr>
            <w:tcW w:w="8930" w:type="dxa"/>
            <w:shd w:val="clear" w:color="auto" w:fill="auto"/>
            <w:vAlign w:val="center"/>
          </w:tcPr>
          <w:p w:rsidR="008022FD" w:rsidRPr="00F043EA" w:rsidRDefault="008022FD" w:rsidP="00F043EA">
            <w:pPr>
              <w:spacing w:after="0" w:line="240" w:lineRule="auto"/>
              <w:ind w:left="85" w:firstLine="0"/>
              <w:rPr>
                <w:rFonts w:eastAsia="Times New Roman" w:cs="Arial"/>
                <w:color w:val="000000"/>
                <w:sz w:val="22"/>
                <w:lang w:eastAsia="en-GB"/>
              </w:rPr>
            </w:pPr>
            <w:r w:rsidRPr="00F043EA">
              <w:rPr>
                <w:rFonts w:eastAsia="Times New Roman" w:cs="Arial"/>
                <w:color w:val="000000"/>
                <w:sz w:val="22"/>
                <w:lang w:eastAsia="en-GB"/>
              </w:rPr>
              <w:t>Policy restricting development of gardens in specified areas</w:t>
            </w:r>
          </w:p>
        </w:tc>
      </w:tr>
    </w:tbl>
    <w:p w:rsidR="008022FD" w:rsidRDefault="008022FD">
      <w:pPr>
        <w:rPr>
          <w:rFonts w:cs="Arial"/>
          <w:b/>
          <w:szCs w:val="24"/>
        </w:rPr>
      </w:pPr>
      <w:r>
        <w:rPr>
          <w:rFonts w:cs="Arial"/>
          <w:b/>
          <w:szCs w:val="24"/>
        </w:rPr>
        <w:br w:type="page"/>
      </w:r>
    </w:p>
    <w:p w:rsidR="008022FD" w:rsidRDefault="008022FD" w:rsidP="00163BE8">
      <w:pPr>
        <w:spacing w:after="0" w:line="240" w:lineRule="auto"/>
        <w:ind w:left="567" w:firstLine="0"/>
        <w:rPr>
          <w:rFonts w:cs="Arial"/>
          <w:b/>
          <w:szCs w:val="24"/>
        </w:rPr>
        <w:sectPr w:rsidR="008022FD" w:rsidSect="00547B21">
          <w:headerReference w:type="default" r:id="rId21"/>
          <w:footerReference w:type="default" r:id="rId22"/>
          <w:pgSz w:w="16838" w:h="11906" w:orient="landscape"/>
          <w:pgMar w:top="1440" w:right="1440" w:bottom="1440" w:left="1440" w:header="709" w:footer="709" w:gutter="0"/>
          <w:pgNumType w:start="1"/>
          <w:cols w:space="708"/>
          <w:docGrid w:linePitch="360"/>
        </w:sectPr>
      </w:pPr>
    </w:p>
    <w:p w:rsidR="00163BE8" w:rsidRDefault="00163BE8" w:rsidP="00163BE8">
      <w:pPr>
        <w:spacing w:after="0" w:line="240" w:lineRule="auto"/>
        <w:rPr>
          <w:sz w:val="22"/>
        </w:rPr>
      </w:pPr>
    </w:p>
    <w:p w:rsidR="00163BE8" w:rsidRDefault="00033575" w:rsidP="00466ED5">
      <w:pPr>
        <w:spacing w:after="0" w:line="360" w:lineRule="auto"/>
        <w:ind w:left="567" w:firstLine="0"/>
        <w:rPr>
          <w:sz w:val="22"/>
        </w:rPr>
      </w:pPr>
      <w:r>
        <w:rPr>
          <w:rFonts w:cs="Arial"/>
          <w:b/>
          <w:szCs w:val="24"/>
        </w:rPr>
        <w:t xml:space="preserve">Appendix </w:t>
      </w:r>
      <w:r w:rsidR="00A61BBA">
        <w:rPr>
          <w:rFonts w:cs="Arial"/>
          <w:b/>
          <w:szCs w:val="24"/>
        </w:rPr>
        <w:t>A</w:t>
      </w:r>
      <w:r w:rsidR="007462C5">
        <w:rPr>
          <w:rFonts w:cs="Arial"/>
          <w:b/>
          <w:szCs w:val="24"/>
        </w:rPr>
        <w:t>3</w:t>
      </w:r>
      <w:r>
        <w:rPr>
          <w:rFonts w:cs="Arial"/>
          <w:b/>
          <w:szCs w:val="24"/>
        </w:rPr>
        <w:t>: Places and Policies Local Plan Preferred Options – Proposed Site Allocations of 49 Dwellings or Below</w:t>
      </w: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p w:rsidR="00163BE8" w:rsidRDefault="00163BE8" w:rsidP="00163BE8">
      <w:pPr>
        <w:spacing w:after="0" w:line="240" w:lineRule="auto"/>
        <w:rPr>
          <w:sz w:val="22"/>
        </w:rPr>
      </w:pPr>
    </w:p>
    <w:tbl>
      <w:tblPr>
        <w:tblW w:w="1006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763"/>
        <w:gridCol w:w="2590"/>
        <w:gridCol w:w="1559"/>
        <w:gridCol w:w="2796"/>
        <w:gridCol w:w="2357"/>
      </w:tblGrid>
      <w:tr w:rsidR="009877DD" w:rsidRPr="00F043EA" w:rsidTr="00F043EA">
        <w:trPr>
          <w:trHeight w:val="491"/>
          <w:tblHeader/>
        </w:trPr>
        <w:tc>
          <w:tcPr>
            <w:tcW w:w="10065" w:type="dxa"/>
            <w:gridSpan w:val="5"/>
            <w:shd w:val="clear" w:color="auto" w:fill="E5DFEC" w:themeFill="accent4" w:themeFillTint="33"/>
            <w:noWrap/>
            <w:vAlign w:val="center"/>
            <w:hideMark/>
          </w:tcPr>
          <w:p w:rsidR="009877DD" w:rsidRPr="00F043EA" w:rsidRDefault="009877DD" w:rsidP="00D94775">
            <w:pPr>
              <w:spacing w:after="0" w:line="240" w:lineRule="auto"/>
              <w:ind w:left="0" w:firstLine="0"/>
              <w:rPr>
                <w:rFonts w:eastAsia="Times New Roman" w:cs="Arial"/>
                <w:b/>
                <w:color w:val="000000"/>
                <w:sz w:val="22"/>
                <w:lang w:eastAsia="en-GB"/>
              </w:rPr>
            </w:pPr>
            <w:r w:rsidRPr="00F043EA">
              <w:rPr>
                <w:rFonts w:eastAsia="Times New Roman" w:cs="Arial"/>
                <w:b/>
                <w:color w:val="000000"/>
                <w:sz w:val="22"/>
                <w:lang w:eastAsia="en-GB"/>
              </w:rPr>
              <w:lastRenderedPageBreak/>
              <w:t>Places and Policies Local Plan – Proposed Site Allocations of 49 Dwellings or Below</w:t>
            </w:r>
          </w:p>
        </w:tc>
      </w:tr>
      <w:tr w:rsidR="009877DD" w:rsidRPr="00F043EA" w:rsidTr="00466ED5">
        <w:trPr>
          <w:trHeight w:val="594"/>
          <w:tblHeader/>
        </w:trPr>
        <w:tc>
          <w:tcPr>
            <w:tcW w:w="763" w:type="dxa"/>
            <w:shd w:val="clear" w:color="auto" w:fill="E5DFEC" w:themeFill="accent4" w:themeFillTint="33"/>
            <w:noWrap/>
            <w:vAlign w:val="center"/>
            <w:hideMark/>
          </w:tcPr>
          <w:p w:rsidR="009877DD" w:rsidRPr="00F043EA" w:rsidRDefault="009877DD" w:rsidP="00F043EA">
            <w:pPr>
              <w:spacing w:after="0" w:line="240" w:lineRule="auto"/>
              <w:ind w:left="0" w:firstLine="0"/>
              <w:rPr>
                <w:rFonts w:eastAsia="Times New Roman" w:cs="Arial"/>
                <w:b/>
                <w:color w:val="000000"/>
                <w:sz w:val="22"/>
                <w:lang w:eastAsia="en-GB"/>
              </w:rPr>
            </w:pPr>
            <w:r w:rsidRPr="00F043EA">
              <w:rPr>
                <w:rFonts w:eastAsia="Times New Roman" w:cs="Arial"/>
                <w:b/>
                <w:color w:val="000000"/>
                <w:sz w:val="22"/>
                <w:lang w:eastAsia="en-GB"/>
              </w:rPr>
              <w:t xml:space="preserve">Policy </w:t>
            </w:r>
          </w:p>
        </w:tc>
        <w:tc>
          <w:tcPr>
            <w:tcW w:w="2590" w:type="dxa"/>
            <w:shd w:val="clear" w:color="auto" w:fill="E5DFEC" w:themeFill="accent4" w:themeFillTint="33"/>
            <w:noWrap/>
            <w:vAlign w:val="center"/>
            <w:hideMark/>
          </w:tcPr>
          <w:p w:rsidR="009877DD" w:rsidRPr="00F043EA" w:rsidRDefault="009877DD" w:rsidP="00D94775">
            <w:pPr>
              <w:spacing w:after="0" w:line="240" w:lineRule="auto"/>
              <w:ind w:left="0" w:firstLine="0"/>
              <w:rPr>
                <w:rFonts w:eastAsia="Times New Roman" w:cs="Arial"/>
                <w:b/>
                <w:color w:val="000000"/>
                <w:sz w:val="22"/>
                <w:lang w:eastAsia="en-GB"/>
              </w:rPr>
            </w:pPr>
            <w:r w:rsidRPr="00F043EA">
              <w:rPr>
                <w:rFonts w:eastAsia="Times New Roman" w:cs="Arial"/>
                <w:b/>
                <w:color w:val="000000"/>
                <w:sz w:val="22"/>
                <w:lang w:eastAsia="en-GB"/>
              </w:rPr>
              <w:t>Site address</w:t>
            </w:r>
          </w:p>
        </w:tc>
        <w:tc>
          <w:tcPr>
            <w:tcW w:w="1559" w:type="dxa"/>
            <w:shd w:val="clear" w:color="auto" w:fill="E5DFEC" w:themeFill="accent4" w:themeFillTint="33"/>
            <w:noWrap/>
            <w:vAlign w:val="center"/>
            <w:hideMark/>
          </w:tcPr>
          <w:p w:rsidR="009877DD" w:rsidRPr="00F043EA" w:rsidRDefault="00F043EA" w:rsidP="00F043EA">
            <w:pPr>
              <w:spacing w:after="0" w:line="240" w:lineRule="auto"/>
              <w:ind w:left="26" w:firstLine="0"/>
              <w:rPr>
                <w:rFonts w:eastAsia="Times New Roman" w:cs="Arial"/>
                <w:b/>
                <w:color w:val="000000"/>
                <w:sz w:val="22"/>
                <w:lang w:eastAsia="en-GB"/>
              </w:rPr>
            </w:pPr>
            <w:r>
              <w:rPr>
                <w:rFonts w:eastAsia="Times New Roman" w:cs="Arial"/>
                <w:b/>
                <w:color w:val="000000"/>
                <w:sz w:val="22"/>
                <w:lang w:eastAsia="en-GB"/>
              </w:rPr>
              <w:t>A</w:t>
            </w:r>
            <w:r w:rsidR="009877DD" w:rsidRPr="00F043EA">
              <w:rPr>
                <w:rFonts w:eastAsia="Times New Roman" w:cs="Arial"/>
                <w:b/>
                <w:color w:val="000000"/>
                <w:sz w:val="22"/>
                <w:lang w:eastAsia="en-GB"/>
              </w:rPr>
              <w:t xml:space="preserve">llocation </w:t>
            </w:r>
          </w:p>
        </w:tc>
        <w:tc>
          <w:tcPr>
            <w:tcW w:w="2796" w:type="dxa"/>
            <w:shd w:val="clear" w:color="auto" w:fill="E5DFEC" w:themeFill="accent4" w:themeFillTint="33"/>
            <w:vAlign w:val="center"/>
          </w:tcPr>
          <w:p w:rsidR="009877DD" w:rsidRPr="00F043EA" w:rsidRDefault="009877DD" w:rsidP="00D94775">
            <w:pPr>
              <w:spacing w:after="0" w:line="240" w:lineRule="auto"/>
              <w:ind w:left="188" w:hanging="188"/>
              <w:rPr>
                <w:rFonts w:eastAsia="Times New Roman" w:cs="Arial"/>
                <w:b/>
                <w:color w:val="000000"/>
                <w:sz w:val="22"/>
                <w:lang w:eastAsia="en-GB"/>
              </w:rPr>
            </w:pPr>
            <w:r w:rsidRPr="00F043EA">
              <w:rPr>
                <w:rFonts w:eastAsia="Times New Roman" w:cs="Arial"/>
                <w:b/>
                <w:color w:val="000000"/>
                <w:sz w:val="22"/>
                <w:lang w:eastAsia="en-GB"/>
              </w:rPr>
              <w:t>Comments</w:t>
            </w:r>
          </w:p>
        </w:tc>
        <w:tc>
          <w:tcPr>
            <w:tcW w:w="2357" w:type="dxa"/>
            <w:shd w:val="clear" w:color="auto" w:fill="E5DFEC" w:themeFill="accent4" w:themeFillTint="33"/>
            <w:vAlign w:val="center"/>
          </w:tcPr>
          <w:p w:rsidR="009877DD" w:rsidRPr="00F043EA" w:rsidRDefault="009877DD" w:rsidP="00D94775">
            <w:pPr>
              <w:spacing w:after="0" w:line="240" w:lineRule="auto"/>
              <w:ind w:left="0" w:firstLine="0"/>
              <w:rPr>
                <w:rFonts w:eastAsia="Times New Roman" w:cs="Arial"/>
                <w:b/>
                <w:color w:val="000000"/>
                <w:sz w:val="22"/>
                <w:lang w:eastAsia="en-GB"/>
              </w:rPr>
            </w:pPr>
            <w:r w:rsidRPr="00F043EA">
              <w:rPr>
                <w:rFonts w:eastAsia="Times New Roman" w:cs="Arial"/>
                <w:b/>
                <w:color w:val="000000"/>
                <w:sz w:val="22"/>
                <w:lang w:eastAsia="en-GB"/>
              </w:rPr>
              <w:t>CIL Zone</w:t>
            </w:r>
          </w:p>
        </w:tc>
      </w:tr>
      <w:tr w:rsidR="009877DD" w:rsidRPr="00F043EA" w:rsidTr="00F043EA">
        <w:trPr>
          <w:trHeight w:val="316"/>
        </w:trPr>
        <w:tc>
          <w:tcPr>
            <w:tcW w:w="10065" w:type="dxa"/>
            <w:gridSpan w:val="5"/>
            <w:shd w:val="clear" w:color="auto" w:fill="E5DFEC" w:themeFill="accent4" w:themeFillTint="33"/>
            <w:noWrap/>
            <w:vAlign w:val="center"/>
            <w:hideMark/>
          </w:tcPr>
          <w:p w:rsidR="009877DD" w:rsidRPr="00F043EA" w:rsidRDefault="009877DD" w:rsidP="00D94775">
            <w:pPr>
              <w:spacing w:after="0" w:line="240" w:lineRule="auto"/>
              <w:ind w:left="188" w:hanging="188"/>
              <w:jc w:val="center"/>
              <w:rPr>
                <w:rFonts w:eastAsia="Times New Roman" w:cs="Arial"/>
                <w:b/>
                <w:color w:val="000000"/>
                <w:sz w:val="22"/>
                <w:lang w:eastAsia="en-GB"/>
              </w:rPr>
            </w:pPr>
            <w:r w:rsidRPr="00F043EA">
              <w:rPr>
                <w:rFonts w:eastAsia="Times New Roman" w:cs="Arial"/>
                <w:b/>
                <w:color w:val="000000"/>
                <w:sz w:val="22"/>
                <w:lang w:eastAsia="en-GB"/>
              </w:rPr>
              <w:t>Folkestone and Hythe Urban Area</w:t>
            </w:r>
          </w:p>
        </w:tc>
      </w:tr>
      <w:tr w:rsidR="009877DD" w:rsidRPr="00F043EA" w:rsidTr="00F043EA">
        <w:trPr>
          <w:trHeight w:val="421"/>
        </w:trPr>
        <w:tc>
          <w:tcPr>
            <w:tcW w:w="10065" w:type="dxa"/>
            <w:gridSpan w:val="5"/>
            <w:shd w:val="clear" w:color="auto" w:fill="E5DFEC" w:themeFill="accent4" w:themeFillTint="33"/>
            <w:noWrap/>
            <w:vAlign w:val="center"/>
            <w:hideMark/>
          </w:tcPr>
          <w:p w:rsidR="009877DD" w:rsidRPr="00F043EA" w:rsidRDefault="009877DD" w:rsidP="00D94775">
            <w:pPr>
              <w:spacing w:after="0" w:line="240" w:lineRule="auto"/>
              <w:ind w:left="188" w:hanging="188"/>
              <w:rPr>
                <w:rFonts w:eastAsia="Times New Roman" w:cs="Arial"/>
                <w:b/>
                <w:color w:val="000000"/>
                <w:sz w:val="22"/>
                <w:lang w:eastAsia="en-GB"/>
              </w:rPr>
            </w:pPr>
            <w:r w:rsidRPr="00F043EA">
              <w:rPr>
                <w:rFonts w:eastAsia="Times New Roman" w:cs="Arial"/>
                <w:b/>
                <w:color w:val="000000"/>
                <w:sz w:val="22"/>
                <w:lang w:eastAsia="en-GB"/>
              </w:rPr>
              <w:t xml:space="preserve">Folkestone (including </w:t>
            </w:r>
            <w:proofErr w:type="spellStart"/>
            <w:r w:rsidRPr="00F043EA">
              <w:rPr>
                <w:rFonts w:eastAsia="Times New Roman" w:cs="Arial"/>
                <w:b/>
                <w:color w:val="000000"/>
                <w:sz w:val="22"/>
                <w:lang w:eastAsia="en-GB"/>
              </w:rPr>
              <w:t>Cheriton</w:t>
            </w:r>
            <w:proofErr w:type="spellEnd"/>
            <w:r w:rsidRPr="00F043EA">
              <w:rPr>
                <w:rFonts w:eastAsia="Times New Roman" w:cs="Arial"/>
                <w:b/>
                <w:color w:val="000000"/>
                <w:sz w:val="22"/>
                <w:lang w:eastAsia="en-GB"/>
              </w:rPr>
              <w:t xml:space="preserve"> and Sandgate)</w:t>
            </w:r>
          </w:p>
        </w:tc>
      </w:tr>
      <w:tr w:rsidR="009877DD" w:rsidRPr="00F043EA" w:rsidTr="00466ED5">
        <w:trPr>
          <w:trHeight w:val="596"/>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UA8, p.56</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The Royal Victoria Hospital, Radnor Park Avenue</w:t>
            </w:r>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42 dwellings</w:t>
            </w:r>
          </w:p>
        </w:tc>
        <w:tc>
          <w:tcPr>
            <w:tcW w:w="2796" w:type="dxa"/>
            <w:shd w:val="clear" w:color="auto" w:fill="auto"/>
          </w:tcPr>
          <w:p w:rsidR="009877DD" w:rsidRPr="00F043EA" w:rsidRDefault="009877DD" w:rsidP="00D94775">
            <w:pPr>
              <w:pStyle w:val="ListParagraph"/>
              <w:numPr>
                <w:ilvl w:val="0"/>
                <w:numId w:val="20"/>
              </w:numPr>
              <w:spacing w:after="0" w:line="240" w:lineRule="auto"/>
              <w:ind w:left="188" w:hanging="188"/>
              <w:rPr>
                <w:rFonts w:eastAsia="Times New Roman" w:cs="Arial"/>
                <w:color w:val="000000"/>
                <w:sz w:val="22"/>
                <w:lang w:eastAsia="en-GB"/>
              </w:rPr>
            </w:pPr>
            <w:r w:rsidRPr="00F043EA">
              <w:rPr>
                <w:rFonts w:eastAsia="Times New Roman" w:cs="Arial"/>
                <w:color w:val="000000"/>
                <w:sz w:val="22"/>
                <w:lang w:eastAsia="en-GB"/>
              </w:rPr>
              <w:t>16 homes through residential conversion</w:t>
            </w:r>
          </w:p>
          <w:p w:rsidR="009877DD" w:rsidRPr="00F043EA" w:rsidRDefault="009877DD" w:rsidP="00D94775">
            <w:pPr>
              <w:pStyle w:val="ListParagraph"/>
              <w:numPr>
                <w:ilvl w:val="0"/>
                <w:numId w:val="20"/>
              </w:numPr>
              <w:spacing w:after="0" w:line="240" w:lineRule="auto"/>
              <w:ind w:left="188" w:hanging="188"/>
              <w:rPr>
                <w:rFonts w:eastAsia="Times New Roman" w:cs="Arial"/>
                <w:color w:val="000000"/>
                <w:sz w:val="22"/>
                <w:lang w:eastAsia="en-GB"/>
              </w:rPr>
            </w:pPr>
            <w:r w:rsidRPr="00F043EA">
              <w:rPr>
                <w:rFonts w:eastAsia="Times New Roman" w:cs="Arial"/>
                <w:color w:val="000000"/>
                <w:sz w:val="22"/>
                <w:lang w:eastAsia="en-GB"/>
              </w:rPr>
              <w:t>26 new build</w:t>
            </w: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Zone B: Folkestone (£50/m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466ED5">
        <w:trPr>
          <w:trHeight w:val="596"/>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UA9, p.58</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3-5 </w:t>
            </w:r>
            <w:proofErr w:type="spellStart"/>
            <w:r w:rsidRPr="00F043EA">
              <w:rPr>
                <w:rFonts w:eastAsia="Times New Roman" w:cs="Arial"/>
                <w:color w:val="000000"/>
                <w:sz w:val="22"/>
                <w:lang w:eastAsia="en-GB"/>
              </w:rPr>
              <w:t>Shorncliffe</w:t>
            </w:r>
            <w:proofErr w:type="spellEnd"/>
            <w:r w:rsidRPr="00F043EA">
              <w:rPr>
                <w:rFonts w:eastAsia="Times New Roman" w:cs="Arial"/>
                <w:color w:val="000000"/>
                <w:sz w:val="22"/>
                <w:lang w:eastAsia="en-GB"/>
              </w:rPr>
              <w:t xml:space="preserve"> Road, Folkestone</w:t>
            </w:r>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20 residential apartments</w:t>
            </w:r>
          </w:p>
        </w:tc>
        <w:tc>
          <w:tcPr>
            <w:tcW w:w="2796" w:type="dxa"/>
            <w:shd w:val="clear" w:color="auto" w:fill="auto"/>
          </w:tcPr>
          <w:p w:rsidR="009877DD" w:rsidRPr="00F043EA" w:rsidRDefault="009877DD" w:rsidP="00D94775">
            <w:pPr>
              <w:spacing w:after="0" w:line="240" w:lineRule="auto"/>
              <w:ind w:left="188" w:hanging="188"/>
              <w:rPr>
                <w:rFonts w:eastAsia="Times New Roman" w:cs="Arial"/>
                <w:color w:val="000000"/>
                <w:sz w:val="22"/>
                <w:lang w:eastAsia="en-GB"/>
              </w:rPr>
            </w:pP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Zone B: Folkestone (£50/m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466ED5">
        <w:trPr>
          <w:trHeight w:val="596"/>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UA10, p.60</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Ingles Manor, Castle Hill Avenue, Folkestone</w:t>
            </w:r>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46 dwellings, 1,400m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 xml:space="preserve"> B1a commercial </w:t>
            </w:r>
            <w:proofErr w:type="spellStart"/>
            <w:r w:rsidRPr="00F043EA">
              <w:rPr>
                <w:rFonts w:eastAsia="Times New Roman" w:cs="Arial"/>
                <w:color w:val="000000"/>
                <w:sz w:val="22"/>
                <w:lang w:eastAsia="en-GB"/>
              </w:rPr>
              <w:t>floorspace</w:t>
            </w:r>
            <w:proofErr w:type="spellEnd"/>
          </w:p>
        </w:tc>
        <w:tc>
          <w:tcPr>
            <w:tcW w:w="2796" w:type="dxa"/>
            <w:shd w:val="clear" w:color="auto" w:fill="auto"/>
          </w:tcPr>
          <w:p w:rsidR="009877DD" w:rsidRPr="00F043EA" w:rsidRDefault="009877DD" w:rsidP="00D94775">
            <w:pPr>
              <w:spacing w:after="0" w:line="240" w:lineRule="auto"/>
              <w:ind w:left="188" w:hanging="188"/>
              <w:rPr>
                <w:rFonts w:eastAsia="Times New Roman" w:cs="Arial"/>
                <w:color w:val="000000"/>
                <w:sz w:val="22"/>
                <w:lang w:eastAsia="en-GB"/>
              </w:rPr>
            </w:pP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Zone B: Folkestone (£50/m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466ED5">
        <w:trPr>
          <w:trHeight w:val="627"/>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UA13, p.67</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proofErr w:type="spellStart"/>
            <w:r w:rsidRPr="00F043EA">
              <w:rPr>
                <w:rFonts w:eastAsia="Times New Roman" w:cs="Arial"/>
                <w:color w:val="000000"/>
                <w:sz w:val="22"/>
                <w:lang w:eastAsia="en-GB"/>
              </w:rPr>
              <w:t>Highview</w:t>
            </w:r>
            <w:proofErr w:type="spellEnd"/>
            <w:r w:rsidRPr="00F043EA">
              <w:rPr>
                <w:rFonts w:eastAsia="Times New Roman" w:cs="Arial"/>
                <w:color w:val="000000"/>
                <w:sz w:val="22"/>
                <w:lang w:eastAsia="en-GB"/>
              </w:rPr>
              <w:t xml:space="preserve"> School, Moat Farm Road, Folkestone</w:t>
            </w:r>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27 dwellings</w:t>
            </w:r>
          </w:p>
        </w:tc>
        <w:tc>
          <w:tcPr>
            <w:tcW w:w="2796" w:type="dxa"/>
          </w:tcPr>
          <w:p w:rsidR="009877DD" w:rsidRPr="00F043EA" w:rsidRDefault="009877DD" w:rsidP="00D94775">
            <w:pPr>
              <w:spacing w:after="0" w:line="240" w:lineRule="auto"/>
              <w:ind w:left="188" w:hanging="188"/>
              <w:rPr>
                <w:rFonts w:eastAsia="Times New Roman" w:cs="Arial"/>
                <w:color w:val="000000"/>
                <w:sz w:val="22"/>
                <w:lang w:eastAsia="en-GB"/>
              </w:rPr>
            </w:pP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Zone B: Folkestone (£50/m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466ED5">
        <w:trPr>
          <w:trHeight w:val="600"/>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UA14, p.70</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Brockman Family Centre, </w:t>
            </w:r>
            <w:proofErr w:type="spellStart"/>
            <w:r w:rsidRPr="00F043EA">
              <w:rPr>
                <w:rFonts w:eastAsia="Times New Roman" w:cs="Arial"/>
                <w:color w:val="000000"/>
                <w:sz w:val="22"/>
                <w:lang w:eastAsia="en-GB"/>
              </w:rPr>
              <w:t>Cheriton</w:t>
            </w:r>
            <w:proofErr w:type="spellEnd"/>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26 houses or 50 apartment</w:t>
            </w:r>
          </w:p>
        </w:tc>
        <w:tc>
          <w:tcPr>
            <w:tcW w:w="2796" w:type="dxa"/>
          </w:tcPr>
          <w:p w:rsidR="009877DD" w:rsidRPr="00F043EA" w:rsidRDefault="009877DD" w:rsidP="00D94775">
            <w:pPr>
              <w:spacing w:after="0" w:line="240" w:lineRule="auto"/>
              <w:ind w:left="188" w:hanging="188"/>
              <w:rPr>
                <w:rFonts w:eastAsia="Times New Roman" w:cs="Arial"/>
                <w:color w:val="000000"/>
                <w:sz w:val="22"/>
                <w:lang w:eastAsia="en-GB"/>
              </w:rPr>
            </w:pP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Zone A: Folkestone (£0/m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466ED5">
        <w:trPr>
          <w:trHeight w:val="600"/>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UA15, p.72</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The Cherry Pickers Public House, </w:t>
            </w:r>
            <w:proofErr w:type="spellStart"/>
            <w:r w:rsidRPr="00F043EA">
              <w:rPr>
                <w:rFonts w:eastAsia="Times New Roman" w:cs="Arial"/>
                <w:color w:val="000000"/>
                <w:sz w:val="22"/>
                <w:lang w:eastAsia="en-GB"/>
              </w:rPr>
              <w:t>Cheriton</w:t>
            </w:r>
            <w:proofErr w:type="spellEnd"/>
            <w:r w:rsidRPr="00F043EA">
              <w:rPr>
                <w:rFonts w:eastAsia="Times New Roman" w:cs="Arial"/>
                <w:color w:val="000000"/>
                <w:sz w:val="22"/>
                <w:lang w:eastAsia="en-GB"/>
              </w:rPr>
              <w:t xml:space="preserve"> </w:t>
            </w:r>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10 houses or 20 apartments</w:t>
            </w:r>
          </w:p>
        </w:tc>
        <w:tc>
          <w:tcPr>
            <w:tcW w:w="2796" w:type="dxa"/>
          </w:tcPr>
          <w:p w:rsidR="009877DD" w:rsidRPr="00F043EA" w:rsidRDefault="009877DD" w:rsidP="00D94775">
            <w:pPr>
              <w:spacing w:after="0" w:line="240" w:lineRule="auto"/>
              <w:ind w:left="188" w:hanging="188"/>
              <w:rPr>
                <w:rFonts w:eastAsia="Times New Roman" w:cs="Arial"/>
                <w:color w:val="000000"/>
                <w:sz w:val="22"/>
                <w:lang w:eastAsia="en-GB"/>
              </w:rPr>
            </w:pP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Zone A: Folkestone (£0/m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F043EA">
        <w:trPr>
          <w:trHeight w:val="436"/>
        </w:trPr>
        <w:tc>
          <w:tcPr>
            <w:tcW w:w="10065" w:type="dxa"/>
            <w:gridSpan w:val="5"/>
            <w:shd w:val="clear" w:color="auto" w:fill="E5DFEC" w:themeFill="accent4" w:themeFillTint="33"/>
            <w:noWrap/>
            <w:vAlign w:val="center"/>
            <w:hideMark/>
          </w:tcPr>
          <w:p w:rsidR="009877DD" w:rsidRPr="00F043EA" w:rsidRDefault="009877DD" w:rsidP="00D94775">
            <w:pPr>
              <w:spacing w:after="0" w:line="240" w:lineRule="auto"/>
              <w:ind w:left="188" w:hanging="188"/>
              <w:rPr>
                <w:rFonts w:eastAsia="Times New Roman" w:cs="Arial"/>
                <w:b/>
                <w:color w:val="000000"/>
                <w:sz w:val="22"/>
                <w:lang w:eastAsia="en-GB"/>
              </w:rPr>
            </w:pPr>
            <w:r w:rsidRPr="00F043EA">
              <w:rPr>
                <w:rFonts w:eastAsia="Times New Roman" w:cs="Arial"/>
                <w:b/>
                <w:color w:val="000000"/>
                <w:sz w:val="22"/>
                <w:lang w:eastAsia="en-GB"/>
              </w:rPr>
              <w:t>Hythe</w:t>
            </w:r>
          </w:p>
        </w:tc>
      </w:tr>
      <w:tr w:rsidR="009877DD" w:rsidRPr="00F043EA" w:rsidTr="00466ED5">
        <w:trPr>
          <w:trHeight w:val="627"/>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UA22, p.91</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Land at Station Road, Hythe </w:t>
            </w:r>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40 dwellings</w:t>
            </w:r>
          </w:p>
        </w:tc>
        <w:tc>
          <w:tcPr>
            <w:tcW w:w="2796" w:type="dxa"/>
          </w:tcPr>
          <w:p w:rsidR="009877DD" w:rsidRPr="00F043EA" w:rsidRDefault="009877DD" w:rsidP="00D94775">
            <w:pPr>
              <w:spacing w:after="0" w:line="240" w:lineRule="auto"/>
              <w:ind w:left="188" w:hanging="188"/>
              <w:rPr>
                <w:rFonts w:eastAsia="Times New Roman" w:cs="Arial"/>
                <w:color w:val="000000"/>
                <w:sz w:val="22"/>
                <w:lang w:eastAsia="en-GB"/>
              </w:rPr>
            </w:pP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Zone C: Hythe (£100/m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466ED5">
        <w:trPr>
          <w:trHeight w:val="342"/>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UA24, p.97</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proofErr w:type="spellStart"/>
            <w:r w:rsidRPr="00F043EA">
              <w:rPr>
                <w:rFonts w:eastAsia="Times New Roman" w:cs="Arial"/>
                <w:color w:val="000000"/>
                <w:sz w:val="22"/>
                <w:lang w:eastAsia="en-GB"/>
              </w:rPr>
              <w:t>Foxwood</w:t>
            </w:r>
            <w:proofErr w:type="spellEnd"/>
            <w:r w:rsidRPr="00F043EA">
              <w:rPr>
                <w:rFonts w:eastAsia="Times New Roman" w:cs="Arial"/>
                <w:color w:val="000000"/>
                <w:sz w:val="22"/>
                <w:lang w:eastAsia="en-GB"/>
              </w:rPr>
              <w:t xml:space="preserve"> School and St Saviours Hospital, Seabrook Road, Hythe </w:t>
            </w:r>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185 dwellings total</w:t>
            </w:r>
          </w:p>
        </w:tc>
        <w:tc>
          <w:tcPr>
            <w:tcW w:w="2796" w:type="dxa"/>
          </w:tcPr>
          <w:p w:rsidR="009877DD" w:rsidRPr="00F043EA" w:rsidRDefault="009877DD" w:rsidP="00D94775">
            <w:pPr>
              <w:pStyle w:val="ListParagraph"/>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St Saviours Hospital – 35 dwellings </w:t>
            </w: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Zone C: Hythe (£100/m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F043EA">
        <w:trPr>
          <w:trHeight w:val="347"/>
        </w:trPr>
        <w:tc>
          <w:tcPr>
            <w:tcW w:w="10065" w:type="dxa"/>
            <w:gridSpan w:val="5"/>
            <w:shd w:val="clear" w:color="auto" w:fill="E5DFEC" w:themeFill="accent4" w:themeFillTint="33"/>
            <w:noWrap/>
            <w:vAlign w:val="center"/>
            <w:hideMark/>
          </w:tcPr>
          <w:p w:rsidR="009877DD" w:rsidRPr="00F043EA" w:rsidRDefault="009877DD" w:rsidP="00D94775">
            <w:pPr>
              <w:spacing w:after="0" w:line="240" w:lineRule="auto"/>
              <w:ind w:left="188" w:hanging="188"/>
              <w:jc w:val="center"/>
              <w:rPr>
                <w:rFonts w:eastAsia="Times New Roman" w:cs="Arial"/>
                <w:b/>
                <w:color w:val="000000"/>
                <w:sz w:val="22"/>
                <w:lang w:eastAsia="en-GB"/>
              </w:rPr>
            </w:pPr>
            <w:r w:rsidRPr="00F043EA">
              <w:rPr>
                <w:rFonts w:eastAsia="Times New Roman" w:cs="Arial"/>
                <w:b/>
                <w:color w:val="000000"/>
                <w:sz w:val="22"/>
                <w:lang w:eastAsia="en-GB"/>
              </w:rPr>
              <w:t>Romney Marsh</w:t>
            </w:r>
          </w:p>
        </w:tc>
      </w:tr>
      <w:tr w:rsidR="009877DD" w:rsidRPr="00F043EA" w:rsidTr="00F043EA">
        <w:trPr>
          <w:trHeight w:val="445"/>
        </w:trPr>
        <w:tc>
          <w:tcPr>
            <w:tcW w:w="10065" w:type="dxa"/>
            <w:gridSpan w:val="5"/>
            <w:shd w:val="clear" w:color="auto" w:fill="E5DFEC" w:themeFill="accent4" w:themeFillTint="33"/>
            <w:noWrap/>
            <w:vAlign w:val="center"/>
            <w:hideMark/>
          </w:tcPr>
          <w:p w:rsidR="009877DD" w:rsidRPr="00F043EA" w:rsidRDefault="009877DD" w:rsidP="00D94775">
            <w:pPr>
              <w:spacing w:after="0" w:line="240" w:lineRule="auto"/>
              <w:ind w:left="188" w:hanging="188"/>
              <w:rPr>
                <w:rFonts w:eastAsia="Times New Roman" w:cs="Arial"/>
                <w:b/>
                <w:color w:val="000000"/>
                <w:sz w:val="22"/>
                <w:lang w:eastAsia="en-GB"/>
              </w:rPr>
            </w:pPr>
            <w:r w:rsidRPr="00F043EA">
              <w:rPr>
                <w:rFonts w:eastAsia="Times New Roman" w:cs="Arial"/>
                <w:b/>
                <w:color w:val="000000"/>
                <w:sz w:val="22"/>
                <w:lang w:eastAsia="en-GB"/>
              </w:rPr>
              <w:t xml:space="preserve">New Romney (including </w:t>
            </w:r>
            <w:proofErr w:type="spellStart"/>
            <w:r w:rsidRPr="00F043EA">
              <w:rPr>
                <w:rFonts w:eastAsia="Times New Roman" w:cs="Arial"/>
                <w:b/>
                <w:color w:val="000000"/>
                <w:sz w:val="22"/>
                <w:lang w:eastAsia="en-GB"/>
              </w:rPr>
              <w:t>Littlestone</w:t>
            </w:r>
            <w:proofErr w:type="spellEnd"/>
            <w:r w:rsidRPr="00F043EA">
              <w:rPr>
                <w:rFonts w:eastAsia="Times New Roman" w:cs="Arial"/>
                <w:b/>
                <w:color w:val="000000"/>
                <w:sz w:val="22"/>
                <w:lang w:eastAsia="en-GB"/>
              </w:rPr>
              <w:t>)</w:t>
            </w:r>
          </w:p>
        </w:tc>
      </w:tr>
      <w:tr w:rsidR="009877DD" w:rsidRPr="00F043EA" w:rsidTr="00466ED5">
        <w:trPr>
          <w:trHeight w:val="403"/>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RM3, p.118</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Land rear of the Old School House, Church Lane, New Romney </w:t>
            </w:r>
          </w:p>
        </w:tc>
        <w:tc>
          <w:tcPr>
            <w:tcW w:w="1559" w:type="dxa"/>
            <w:shd w:val="clear" w:color="auto" w:fill="auto"/>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20 dwellings total</w:t>
            </w:r>
          </w:p>
        </w:tc>
        <w:tc>
          <w:tcPr>
            <w:tcW w:w="2796" w:type="dxa"/>
          </w:tcPr>
          <w:p w:rsidR="009877DD" w:rsidRPr="00F043EA" w:rsidRDefault="009877DD" w:rsidP="00D94775">
            <w:pPr>
              <w:pStyle w:val="ListParagraph"/>
              <w:numPr>
                <w:ilvl w:val="0"/>
                <w:numId w:val="20"/>
              </w:numPr>
              <w:spacing w:after="0" w:line="240" w:lineRule="auto"/>
              <w:ind w:left="188" w:hanging="188"/>
              <w:rPr>
                <w:rFonts w:eastAsia="Times New Roman" w:cs="Arial"/>
                <w:color w:val="000000"/>
                <w:sz w:val="22"/>
                <w:lang w:eastAsia="en-GB"/>
              </w:rPr>
            </w:pPr>
            <w:r w:rsidRPr="00F043EA">
              <w:rPr>
                <w:rFonts w:eastAsia="Times New Roman" w:cs="Arial"/>
                <w:color w:val="000000"/>
                <w:sz w:val="22"/>
                <w:lang w:eastAsia="en-GB"/>
              </w:rPr>
              <w:t xml:space="preserve">Site 1 - 10 dwellings </w:t>
            </w:r>
          </w:p>
          <w:p w:rsidR="009877DD" w:rsidRPr="00F043EA" w:rsidRDefault="009877DD" w:rsidP="00D94775">
            <w:pPr>
              <w:pStyle w:val="ListParagraph"/>
              <w:numPr>
                <w:ilvl w:val="0"/>
                <w:numId w:val="20"/>
              </w:numPr>
              <w:spacing w:after="0" w:line="240" w:lineRule="auto"/>
              <w:ind w:left="188" w:hanging="188"/>
              <w:rPr>
                <w:rFonts w:eastAsia="Times New Roman" w:cs="Arial"/>
                <w:color w:val="000000"/>
                <w:sz w:val="22"/>
                <w:lang w:eastAsia="en-GB"/>
              </w:rPr>
            </w:pPr>
            <w:r w:rsidRPr="00F043EA">
              <w:rPr>
                <w:rFonts w:eastAsia="Times New Roman" w:cs="Arial"/>
                <w:color w:val="000000"/>
                <w:sz w:val="22"/>
                <w:lang w:eastAsia="en-GB"/>
              </w:rPr>
              <w:t>Site 2 - 10 dwellings</w:t>
            </w: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Zone B: Romney Marsh (£50/m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466ED5">
        <w:trPr>
          <w:trHeight w:val="654"/>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RM6, p.125</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sz w:val="22"/>
                <w:lang w:eastAsia="en-GB"/>
              </w:rPr>
            </w:pPr>
            <w:r w:rsidRPr="00F043EA">
              <w:rPr>
                <w:rFonts w:eastAsia="Times New Roman" w:cs="Arial"/>
                <w:sz w:val="22"/>
                <w:lang w:eastAsia="en-GB"/>
              </w:rPr>
              <w:t>Land adjoining The Marsh Academy, Station Road, New Romney</w:t>
            </w:r>
          </w:p>
        </w:tc>
        <w:tc>
          <w:tcPr>
            <w:tcW w:w="1559" w:type="dxa"/>
            <w:shd w:val="clear" w:color="auto" w:fill="auto"/>
            <w:hideMark/>
          </w:tcPr>
          <w:p w:rsidR="009877DD" w:rsidRPr="00F043EA" w:rsidRDefault="009877DD" w:rsidP="00D94775">
            <w:pPr>
              <w:spacing w:after="0" w:line="240" w:lineRule="auto"/>
              <w:ind w:left="26" w:firstLine="0"/>
              <w:rPr>
                <w:rFonts w:eastAsia="Times New Roman" w:cs="Arial"/>
                <w:sz w:val="22"/>
                <w:lang w:eastAsia="en-GB"/>
              </w:rPr>
            </w:pPr>
            <w:r w:rsidRPr="00F043EA">
              <w:rPr>
                <w:rFonts w:eastAsia="Times New Roman" w:cs="Arial"/>
                <w:sz w:val="22"/>
                <w:lang w:eastAsia="en-GB"/>
              </w:rPr>
              <w:t>29 dwellings</w:t>
            </w:r>
          </w:p>
        </w:tc>
        <w:tc>
          <w:tcPr>
            <w:tcW w:w="2796" w:type="dxa"/>
          </w:tcPr>
          <w:p w:rsidR="009877DD" w:rsidRPr="00F043EA" w:rsidRDefault="009877DD" w:rsidP="00D94775">
            <w:pPr>
              <w:spacing w:after="0" w:line="240" w:lineRule="auto"/>
              <w:ind w:left="188" w:hanging="188"/>
              <w:rPr>
                <w:rFonts w:eastAsia="Times New Roman" w:cs="Arial"/>
                <w:color w:val="000000"/>
                <w:sz w:val="22"/>
                <w:lang w:eastAsia="en-GB"/>
              </w:rPr>
            </w:pP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Zone B: Romney Marsh (£50/m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F043EA">
        <w:trPr>
          <w:trHeight w:val="342"/>
        </w:trPr>
        <w:tc>
          <w:tcPr>
            <w:tcW w:w="10065" w:type="dxa"/>
            <w:gridSpan w:val="5"/>
            <w:shd w:val="clear" w:color="auto" w:fill="E5DFEC" w:themeFill="accent4" w:themeFillTint="33"/>
            <w:noWrap/>
            <w:vAlign w:val="center"/>
            <w:hideMark/>
          </w:tcPr>
          <w:p w:rsidR="009877DD" w:rsidRPr="00F043EA" w:rsidRDefault="009877DD" w:rsidP="00D94775">
            <w:pPr>
              <w:spacing w:after="0" w:line="240" w:lineRule="auto"/>
              <w:ind w:left="188" w:hanging="188"/>
              <w:rPr>
                <w:rFonts w:eastAsia="Times New Roman" w:cs="Arial"/>
                <w:b/>
                <w:color w:val="000000"/>
                <w:sz w:val="22"/>
                <w:lang w:eastAsia="en-GB"/>
              </w:rPr>
            </w:pPr>
            <w:proofErr w:type="spellStart"/>
            <w:r w:rsidRPr="00F043EA">
              <w:rPr>
                <w:rFonts w:eastAsia="Times New Roman" w:cs="Arial"/>
                <w:b/>
                <w:color w:val="000000"/>
                <w:sz w:val="22"/>
                <w:lang w:eastAsia="en-GB"/>
              </w:rPr>
              <w:t>Lydd</w:t>
            </w:r>
            <w:proofErr w:type="spellEnd"/>
          </w:p>
        </w:tc>
      </w:tr>
      <w:tr w:rsidR="009877DD" w:rsidRPr="00F043EA" w:rsidTr="00466ED5">
        <w:trPr>
          <w:trHeight w:val="654"/>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RM7, p.129</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sz w:val="22"/>
                <w:lang w:eastAsia="en-GB"/>
              </w:rPr>
            </w:pPr>
            <w:r w:rsidRPr="00F043EA">
              <w:rPr>
                <w:rFonts w:eastAsia="Times New Roman" w:cs="Arial"/>
                <w:sz w:val="22"/>
                <w:lang w:eastAsia="en-GB"/>
              </w:rPr>
              <w:t xml:space="preserve">Development at North </w:t>
            </w:r>
            <w:proofErr w:type="spellStart"/>
            <w:r w:rsidRPr="00F043EA">
              <w:rPr>
                <w:rFonts w:eastAsia="Times New Roman" w:cs="Arial"/>
                <w:sz w:val="22"/>
                <w:lang w:eastAsia="en-GB"/>
              </w:rPr>
              <w:t>Lydd</w:t>
            </w:r>
            <w:proofErr w:type="spellEnd"/>
          </w:p>
        </w:tc>
        <w:tc>
          <w:tcPr>
            <w:tcW w:w="1559" w:type="dxa"/>
            <w:shd w:val="clear" w:color="auto" w:fill="auto"/>
            <w:hideMark/>
          </w:tcPr>
          <w:p w:rsidR="009877DD" w:rsidRPr="00F043EA" w:rsidRDefault="009877DD" w:rsidP="00D94775">
            <w:pPr>
              <w:spacing w:after="0" w:line="240" w:lineRule="auto"/>
              <w:ind w:left="26" w:firstLine="0"/>
              <w:rPr>
                <w:rFonts w:eastAsia="Times New Roman" w:cs="Arial"/>
                <w:sz w:val="22"/>
                <w:lang w:eastAsia="en-GB"/>
              </w:rPr>
            </w:pPr>
            <w:r w:rsidRPr="00F043EA">
              <w:rPr>
                <w:rFonts w:eastAsia="Times New Roman" w:cs="Arial"/>
                <w:sz w:val="22"/>
                <w:lang w:eastAsia="en-GB"/>
              </w:rPr>
              <w:t>65 dwellings total</w:t>
            </w:r>
          </w:p>
        </w:tc>
        <w:tc>
          <w:tcPr>
            <w:tcW w:w="2796" w:type="dxa"/>
          </w:tcPr>
          <w:p w:rsidR="009877DD" w:rsidRPr="00F043EA" w:rsidRDefault="009877DD" w:rsidP="00D94775">
            <w:pPr>
              <w:pStyle w:val="ListParagraph"/>
              <w:numPr>
                <w:ilvl w:val="0"/>
                <w:numId w:val="20"/>
              </w:numPr>
              <w:spacing w:after="0" w:line="240" w:lineRule="auto"/>
              <w:ind w:left="188" w:hanging="188"/>
              <w:rPr>
                <w:rFonts w:eastAsia="Times New Roman" w:cs="Arial"/>
                <w:color w:val="000000"/>
                <w:sz w:val="22"/>
                <w:lang w:eastAsia="en-GB"/>
              </w:rPr>
            </w:pPr>
            <w:proofErr w:type="spellStart"/>
            <w:r w:rsidRPr="00F043EA">
              <w:rPr>
                <w:rFonts w:eastAsia="Times New Roman" w:cs="Arial"/>
                <w:color w:val="000000"/>
                <w:sz w:val="22"/>
                <w:lang w:eastAsia="en-GB"/>
              </w:rPr>
              <w:t>Kitewell</w:t>
            </w:r>
            <w:proofErr w:type="spellEnd"/>
            <w:r w:rsidRPr="00F043EA">
              <w:rPr>
                <w:rFonts w:eastAsia="Times New Roman" w:cs="Arial"/>
                <w:color w:val="000000"/>
                <w:sz w:val="22"/>
                <w:lang w:eastAsia="en-GB"/>
              </w:rPr>
              <w:t xml:space="preserve"> Lane, rear of Ambulance Station, </w:t>
            </w:r>
            <w:proofErr w:type="spellStart"/>
            <w:r w:rsidRPr="00F043EA">
              <w:rPr>
                <w:rFonts w:eastAsia="Times New Roman" w:cs="Arial"/>
                <w:color w:val="000000"/>
                <w:sz w:val="22"/>
                <w:lang w:eastAsia="en-GB"/>
              </w:rPr>
              <w:t>Lydd</w:t>
            </w:r>
            <w:proofErr w:type="spellEnd"/>
            <w:r w:rsidRPr="00F043EA">
              <w:rPr>
                <w:rFonts w:eastAsia="Times New Roman" w:cs="Arial"/>
                <w:color w:val="000000"/>
                <w:sz w:val="22"/>
                <w:lang w:eastAsia="en-GB"/>
              </w:rPr>
              <w:t xml:space="preserve"> – 8 dwellings </w:t>
            </w:r>
          </w:p>
          <w:p w:rsidR="009877DD" w:rsidRPr="00F043EA" w:rsidRDefault="009877DD" w:rsidP="00D94775">
            <w:pPr>
              <w:pStyle w:val="ListParagraph"/>
              <w:numPr>
                <w:ilvl w:val="0"/>
                <w:numId w:val="20"/>
              </w:numPr>
              <w:spacing w:after="0" w:line="240" w:lineRule="auto"/>
              <w:ind w:left="188" w:hanging="188"/>
              <w:rPr>
                <w:rFonts w:eastAsia="Times New Roman" w:cs="Arial"/>
                <w:color w:val="000000"/>
                <w:sz w:val="22"/>
                <w:lang w:eastAsia="en-GB"/>
              </w:rPr>
            </w:pPr>
            <w:r w:rsidRPr="00F043EA">
              <w:rPr>
                <w:rFonts w:eastAsia="Times New Roman" w:cs="Arial"/>
                <w:color w:val="000000"/>
                <w:sz w:val="22"/>
                <w:lang w:eastAsia="en-GB"/>
              </w:rPr>
              <w:lastRenderedPageBreak/>
              <w:t xml:space="preserve">Land south of </w:t>
            </w:r>
            <w:proofErr w:type="spellStart"/>
            <w:r w:rsidRPr="00F043EA">
              <w:rPr>
                <w:rFonts w:eastAsia="Times New Roman" w:cs="Arial"/>
                <w:color w:val="000000"/>
                <w:sz w:val="22"/>
                <w:lang w:eastAsia="en-GB"/>
              </w:rPr>
              <w:t>Kitewell</w:t>
            </w:r>
            <w:proofErr w:type="spellEnd"/>
            <w:r w:rsidRPr="00F043EA">
              <w:rPr>
                <w:rFonts w:eastAsia="Times New Roman" w:cs="Arial"/>
                <w:color w:val="000000"/>
                <w:sz w:val="22"/>
                <w:lang w:eastAsia="en-GB"/>
              </w:rPr>
              <w:t xml:space="preserve"> Lane, </w:t>
            </w:r>
            <w:proofErr w:type="spellStart"/>
            <w:r w:rsidRPr="00F043EA">
              <w:rPr>
                <w:rFonts w:eastAsia="Times New Roman" w:cs="Arial"/>
                <w:color w:val="000000"/>
                <w:sz w:val="22"/>
                <w:lang w:eastAsia="en-GB"/>
              </w:rPr>
              <w:t>Lydd</w:t>
            </w:r>
            <w:proofErr w:type="spellEnd"/>
            <w:r w:rsidRPr="00F043EA">
              <w:rPr>
                <w:rFonts w:eastAsia="Times New Roman" w:cs="Arial"/>
                <w:color w:val="000000"/>
                <w:sz w:val="22"/>
                <w:lang w:eastAsia="en-GB"/>
              </w:rPr>
              <w:t xml:space="preserve"> – 9 dwellings </w:t>
            </w:r>
          </w:p>
          <w:p w:rsidR="009877DD" w:rsidRPr="00F043EA" w:rsidRDefault="009877DD" w:rsidP="00D94775">
            <w:pPr>
              <w:pStyle w:val="ListParagraph"/>
              <w:numPr>
                <w:ilvl w:val="0"/>
                <w:numId w:val="20"/>
              </w:numPr>
              <w:spacing w:after="0" w:line="240" w:lineRule="auto"/>
              <w:ind w:left="188" w:hanging="188"/>
              <w:rPr>
                <w:rFonts w:eastAsia="Times New Roman" w:cs="Arial"/>
                <w:color w:val="000000"/>
                <w:sz w:val="22"/>
                <w:lang w:eastAsia="en-GB"/>
              </w:rPr>
            </w:pPr>
            <w:r w:rsidRPr="00F043EA">
              <w:rPr>
                <w:rFonts w:eastAsia="Times New Roman" w:cs="Arial"/>
                <w:color w:val="000000"/>
                <w:sz w:val="22"/>
                <w:lang w:eastAsia="en-GB"/>
              </w:rPr>
              <w:t xml:space="preserve">Station Yard, Station Road, </w:t>
            </w:r>
            <w:proofErr w:type="spellStart"/>
            <w:r w:rsidRPr="00F043EA">
              <w:rPr>
                <w:rFonts w:eastAsia="Times New Roman" w:cs="Arial"/>
                <w:color w:val="000000"/>
                <w:sz w:val="22"/>
                <w:lang w:eastAsia="en-GB"/>
              </w:rPr>
              <w:t>Lydd</w:t>
            </w:r>
            <w:proofErr w:type="spellEnd"/>
            <w:r w:rsidRPr="00F043EA">
              <w:rPr>
                <w:rFonts w:eastAsia="Times New Roman" w:cs="Arial"/>
                <w:color w:val="000000"/>
                <w:sz w:val="22"/>
                <w:lang w:eastAsia="en-GB"/>
              </w:rPr>
              <w:t xml:space="preserve"> – 30 dwellings </w:t>
            </w:r>
          </w:p>
          <w:p w:rsidR="009877DD" w:rsidRPr="00F043EA" w:rsidRDefault="009877DD" w:rsidP="00D94775">
            <w:pPr>
              <w:pStyle w:val="ListParagraph"/>
              <w:numPr>
                <w:ilvl w:val="0"/>
                <w:numId w:val="20"/>
              </w:numPr>
              <w:spacing w:after="0" w:line="240" w:lineRule="auto"/>
              <w:ind w:left="188" w:hanging="188"/>
              <w:rPr>
                <w:rFonts w:eastAsia="Times New Roman" w:cs="Arial"/>
                <w:color w:val="000000"/>
                <w:sz w:val="22"/>
                <w:lang w:eastAsia="en-GB"/>
              </w:rPr>
            </w:pPr>
            <w:r w:rsidRPr="00F043EA">
              <w:rPr>
                <w:rFonts w:eastAsia="Times New Roman" w:cs="Arial"/>
                <w:color w:val="000000"/>
                <w:sz w:val="22"/>
                <w:lang w:eastAsia="en-GB"/>
              </w:rPr>
              <w:t xml:space="preserve">Peak Welders, </w:t>
            </w:r>
            <w:proofErr w:type="spellStart"/>
            <w:r w:rsidRPr="00F043EA">
              <w:rPr>
                <w:rFonts w:eastAsia="Times New Roman" w:cs="Arial"/>
                <w:color w:val="000000"/>
                <w:sz w:val="22"/>
                <w:lang w:eastAsia="en-GB"/>
              </w:rPr>
              <w:t>Lydd</w:t>
            </w:r>
            <w:proofErr w:type="spellEnd"/>
            <w:r w:rsidRPr="00F043EA">
              <w:rPr>
                <w:rFonts w:eastAsia="Times New Roman" w:cs="Arial"/>
                <w:color w:val="000000"/>
                <w:sz w:val="22"/>
                <w:lang w:eastAsia="en-GB"/>
              </w:rPr>
              <w:t xml:space="preserve"> – 18 dwellings</w:t>
            </w: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lastRenderedPageBreak/>
              <w:t xml:space="preserve">Zone A: </w:t>
            </w:r>
            <w:proofErr w:type="spellStart"/>
            <w:r w:rsidRPr="00F043EA">
              <w:rPr>
                <w:rFonts w:eastAsia="Times New Roman" w:cs="Arial"/>
                <w:color w:val="000000"/>
                <w:sz w:val="22"/>
                <w:lang w:eastAsia="en-GB"/>
              </w:rPr>
              <w:t>Lydd</w:t>
            </w:r>
            <w:proofErr w:type="spellEnd"/>
            <w:r w:rsidRPr="00F043EA">
              <w:rPr>
                <w:rFonts w:eastAsia="Times New Roman" w:cs="Arial"/>
                <w:color w:val="000000"/>
                <w:sz w:val="22"/>
                <w:lang w:eastAsia="en-GB"/>
              </w:rPr>
              <w:t xml:space="preserve"> (£0/m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F043EA">
        <w:trPr>
          <w:trHeight w:val="329"/>
        </w:trPr>
        <w:tc>
          <w:tcPr>
            <w:tcW w:w="10065" w:type="dxa"/>
            <w:gridSpan w:val="5"/>
            <w:shd w:val="clear" w:color="auto" w:fill="E5DFEC" w:themeFill="accent4" w:themeFillTint="33"/>
            <w:noWrap/>
            <w:vAlign w:val="center"/>
            <w:hideMark/>
          </w:tcPr>
          <w:p w:rsidR="009877DD" w:rsidRPr="00F043EA" w:rsidRDefault="009877DD" w:rsidP="00D94775">
            <w:pPr>
              <w:spacing w:after="0" w:line="240" w:lineRule="auto"/>
              <w:ind w:left="188" w:hanging="188"/>
              <w:rPr>
                <w:rFonts w:eastAsia="Times New Roman" w:cs="Arial"/>
                <w:b/>
                <w:color w:val="000000"/>
                <w:sz w:val="22"/>
                <w:lang w:eastAsia="en-GB"/>
              </w:rPr>
            </w:pPr>
            <w:proofErr w:type="spellStart"/>
            <w:r w:rsidRPr="00F043EA">
              <w:rPr>
                <w:rFonts w:eastAsia="Times New Roman" w:cs="Arial"/>
                <w:b/>
                <w:color w:val="000000"/>
                <w:sz w:val="22"/>
                <w:lang w:eastAsia="en-GB"/>
              </w:rPr>
              <w:lastRenderedPageBreak/>
              <w:t>Brookland</w:t>
            </w:r>
            <w:proofErr w:type="spellEnd"/>
          </w:p>
        </w:tc>
      </w:tr>
      <w:tr w:rsidR="009877DD" w:rsidRPr="00F043EA" w:rsidTr="00466ED5">
        <w:trPr>
          <w:trHeight w:val="759"/>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RM11, p.140</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The Old Slaughterhouse, 'Rosemary Corner', </w:t>
            </w:r>
            <w:proofErr w:type="spellStart"/>
            <w:r w:rsidRPr="00F043EA">
              <w:rPr>
                <w:rFonts w:eastAsia="Times New Roman" w:cs="Arial"/>
                <w:color w:val="000000"/>
                <w:sz w:val="22"/>
                <w:lang w:eastAsia="en-GB"/>
              </w:rPr>
              <w:t>Brookland</w:t>
            </w:r>
            <w:proofErr w:type="spellEnd"/>
            <w:r w:rsidRPr="00F043EA">
              <w:rPr>
                <w:rFonts w:eastAsia="Times New Roman" w:cs="Arial"/>
                <w:color w:val="000000"/>
                <w:sz w:val="22"/>
                <w:lang w:eastAsia="en-GB"/>
              </w:rPr>
              <w:t xml:space="preserve"> </w:t>
            </w:r>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5 dwellings</w:t>
            </w:r>
          </w:p>
        </w:tc>
        <w:tc>
          <w:tcPr>
            <w:tcW w:w="2796" w:type="dxa"/>
          </w:tcPr>
          <w:p w:rsidR="009877DD" w:rsidRPr="00F043EA" w:rsidRDefault="009877DD" w:rsidP="00D94775">
            <w:pPr>
              <w:spacing w:after="0" w:line="240" w:lineRule="auto"/>
              <w:ind w:left="188" w:hanging="188"/>
              <w:rPr>
                <w:rFonts w:eastAsia="Times New Roman" w:cs="Arial"/>
                <w:color w:val="000000"/>
                <w:sz w:val="22"/>
                <w:lang w:eastAsia="en-GB"/>
              </w:rPr>
            </w:pP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Zone B: Romney Marsh (£50/m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F043EA">
        <w:trPr>
          <w:trHeight w:val="453"/>
        </w:trPr>
        <w:tc>
          <w:tcPr>
            <w:tcW w:w="10065" w:type="dxa"/>
            <w:gridSpan w:val="5"/>
            <w:shd w:val="clear" w:color="auto" w:fill="E5DFEC" w:themeFill="accent4" w:themeFillTint="33"/>
            <w:noWrap/>
            <w:vAlign w:val="center"/>
            <w:hideMark/>
          </w:tcPr>
          <w:p w:rsidR="009877DD" w:rsidRPr="00F043EA" w:rsidRDefault="009877DD" w:rsidP="00D94775">
            <w:pPr>
              <w:spacing w:after="0" w:line="240" w:lineRule="auto"/>
              <w:ind w:left="188" w:hanging="188"/>
              <w:rPr>
                <w:rFonts w:eastAsia="Times New Roman" w:cs="Arial"/>
                <w:b/>
                <w:color w:val="000000"/>
                <w:sz w:val="22"/>
                <w:lang w:eastAsia="en-GB"/>
              </w:rPr>
            </w:pPr>
            <w:proofErr w:type="spellStart"/>
            <w:r w:rsidRPr="00F043EA">
              <w:rPr>
                <w:rFonts w:eastAsia="Times New Roman" w:cs="Arial"/>
                <w:b/>
                <w:color w:val="000000"/>
                <w:sz w:val="22"/>
                <w:lang w:eastAsia="en-GB"/>
              </w:rPr>
              <w:t>Brenzett</w:t>
            </w:r>
            <w:proofErr w:type="spellEnd"/>
          </w:p>
        </w:tc>
      </w:tr>
      <w:tr w:rsidR="009877DD" w:rsidRPr="00F043EA" w:rsidTr="00466ED5">
        <w:trPr>
          <w:trHeight w:val="625"/>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RM13, p.145</w:t>
            </w:r>
          </w:p>
        </w:tc>
        <w:tc>
          <w:tcPr>
            <w:tcW w:w="2590"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Land adjacent Moore Close, </w:t>
            </w:r>
            <w:proofErr w:type="spellStart"/>
            <w:r w:rsidRPr="00F043EA">
              <w:rPr>
                <w:rFonts w:eastAsia="Times New Roman" w:cs="Arial"/>
                <w:color w:val="000000"/>
                <w:sz w:val="22"/>
                <w:lang w:eastAsia="en-GB"/>
              </w:rPr>
              <w:t>Brenzett</w:t>
            </w:r>
            <w:proofErr w:type="spellEnd"/>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20 dwellings</w:t>
            </w:r>
          </w:p>
        </w:tc>
        <w:tc>
          <w:tcPr>
            <w:tcW w:w="2796" w:type="dxa"/>
          </w:tcPr>
          <w:p w:rsidR="009877DD" w:rsidRPr="00F043EA" w:rsidRDefault="009877DD" w:rsidP="00D94775">
            <w:pPr>
              <w:spacing w:after="0" w:line="240" w:lineRule="auto"/>
              <w:ind w:left="188" w:hanging="188"/>
              <w:rPr>
                <w:rFonts w:eastAsia="Times New Roman" w:cs="Arial"/>
                <w:color w:val="000000"/>
                <w:sz w:val="22"/>
                <w:lang w:eastAsia="en-GB"/>
              </w:rPr>
            </w:pP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Zone B: Romney Marsh (£50/m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F043EA">
        <w:trPr>
          <w:trHeight w:val="422"/>
        </w:trPr>
        <w:tc>
          <w:tcPr>
            <w:tcW w:w="10065" w:type="dxa"/>
            <w:gridSpan w:val="5"/>
            <w:shd w:val="clear" w:color="auto" w:fill="E5DFEC" w:themeFill="accent4" w:themeFillTint="33"/>
            <w:noWrap/>
            <w:vAlign w:val="center"/>
            <w:hideMark/>
          </w:tcPr>
          <w:p w:rsidR="009877DD" w:rsidRPr="00F043EA" w:rsidRDefault="009877DD" w:rsidP="00D94775">
            <w:pPr>
              <w:spacing w:after="0" w:line="240" w:lineRule="auto"/>
              <w:ind w:left="188" w:hanging="188"/>
              <w:jc w:val="center"/>
              <w:rPr>
                <w:rFonts w:eastAsia="Times New Roman" w:cs="Arial"/>
                <w:b/>
                <w:color w:val="000000"/>
                <w:sz w:val="22"/>
                <w:lang w:eastAsia="en-GB"/>
              </w:rPr>
            </w:pPr>
            <w:r w:rsidRPr="00F043EA">
              <w:rPr>
                <w:rFonts w:eastAsia="Times New Roman" w:cs="Arial"/>
                <w:b/>
                <w:color w:val="000000"/>
                <w:sz w:val="22"/>
                <w:lang w:eastAsia="en-GB"/>
              </w:rPr>
              <w:t>North Downs</w:t>
            </w:r>
          </w:p>
        </w:tc>
      </w:tr>
      <w:tr w:rsidR="009877DD" w:rsidRPr="00F043EA" w:rsidTr="00F043EA">
        <w:trPr>
          <w:trHeight w:val="298"/>
        </w:trPr>
        <w:tc>
          <w:tcPr>
            <w:tcW w:w="10065" w:type="dxa"/>
            <w:gridSpan w:val="5"/>
            <w:shd w:val="clear" w:color="auto" w:fill="E5DFEC" w:themeFill="accent4" w:themeFillTint="33"/>
            <w:noWrap/>
            <w:vAlign w:val="center"/>
            <w:hideMark/>
          </w:tcPr>
          <w:p w:rsidR="009877DD" w:rsidRPr="00F043EA" w:rsidRDefault="009877DD" w:rsidP="00D94775">
            <w:pPr>
              <w:spacing w:after="0" w:line="240" w:lineRule="auto"/>
              <w:ind w:left="188" w:hanging="188"/>
              <w:rPr>
                <w:rFonts w:eastAsia="Times New Roman" w:cs="Arial"/>
                <w:b/>
                <w:color w:val="000000"/>
                <w:sz w:val="22"/>
                <w:lang w:eastAsia="en-GB"/>
              </w:rPr>
            </w:pPr>
            <w:proofErr w:type="spellStart"/>
            <w:r w:rsidRPr="00F043EA">
              <w:rPr>
                <w:rFonts w:eastAsia="Times New Roman" w:cs="Arial"/>
                <w:b/>
                <w:color w:val="000000"/>
                <w:sz w:val="22"/>
                <w:lang w:eastAsia="en-GB"/>
              </w:rPr>
              <w:t>Elham</w:t>
            </w:r>
            <w:proofErr w:type="spellEnd"/>
          </w:p>
        </w:tc>
      </w:tr>
      <w:tr w:rsidR="009877DD" w:rsidRPr="00F043EA" w:rsidTr="00466ED5">
        <w:trPr>
          <w:trHeight w:val="659"/>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ND4, p.163</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Land at Duck Street, </w:t>
            </w:r>
            <w:proofErr w:type="spellStart"/>
            <w:r w:rsidRPr="00F043EA">
              <w:rPr>
                <w:rFonts w:eastAsia="Times New Roman" w:cs="Arial"/>
                <w:color w:val="000000"/>
                <w:sz w:val="22"/>
                <w:lang w:eastAsia="en-GB"/>
              </w:rPr>
              <w:t>Elham</w:t>
            </w:r>
            <w:proofErr w:type="spellEnd"/>
            <w:r w:rsidRPr="00F043EA">
              <w:rPr>
                <w:rFonts w:eastAsia="Times New Roman" w:cs="Arial"/>
                <w:color w:val="000000"/>
                <w:sz w:val="22"/>
                <w:lang w:eastAsia="en-GB"/>
              </w:rPr>
              <w:t xml:space="preserve"> </w:t>
            </w:r>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5 dwellings</w:t>
            </w:r>
          </w:p>
        </w:tc>
        <w:tc>
          <w:tcPr>
            <w:tcW w:w="2796" w:type="dxa"/>
          </w:tcPr>
          <w:p w:rsidR="009877DD" w:rsidRPr="00F043EA" w:rsidRDefault="009877DD" w:rsidP="00D94775">
            <w:pPr>
              <w:spacing w:after="0" w:line="240" w:lineRule="auto"/>
              <w:ind w:left="188" w:hanging="188"/>
              <w:rPr>
                <w:rFonts w:eastAsia="Times New Roman" w:cs="Arial"/>
                <w:color w:val="000000"/>
                <w:sz w:val="22"/>
                <w:lang w:eastAsia="en-GB"/>
              </w:rPr>
            </w:pP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Zone D: </w:t>
            </w:r>
            <w:proofErr w:type="spellStart"/>
            <w:r w:rsidRPr="00F043EA">
              <w:rPr>
                <w:rFonts w:eastAsia="Times New Roman" w:cs="Arial"/>
                <w:color w:val="000000"/>
                <w:sz w:val="22"/>
                <w:lang w:eastAsia="en-GB"/>
              </w:rPr>
              <w:t>Elham</w:t>
            </w:r>
            <w:proofErr w:type="spellEnd"/>
            <w:r w:rsidRPr="00F043EA">
              <w:rPr>
                <w:rFonts w:eastAsia="Times New Roman" w:cs="Arial"/>
                <w:color w:val="000000"/>
                <w:sz w:val="22"/>
                <w:lang w:eastAsia="en-GB"/>
              </w:rPr>
              <w:t xml:space="preserve"> (£125/m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F043EA">
        <w:trPr>
          <w:trHeight w:val="376"/>
        </w:trPr>
        <w:tc>
          <w:tcPr>
            <w:tcW w:w="10065" w:type="dxa"/>
            <w:gridSpan w:val="5"/>
            <w:shd w:val="clear" w:color="auto" w:fill="E5DFEC" w:themeFill="accent4" w:themeFillTint="33"/>
            <w:noWrap/>
            <w:vAlign w:val="center"/>
            <w:hideMark/>
          </w:tcPr>
          <w:p w:rsidR="009877DD" w:rsidRPr="00F043EA" w:rsidRDefault="009877DD" w:rsidP="00D94775">
            <w:pPr>
              <w:spacing w:after="0" w:line="240" w:lineRule="auto"/>
              <w:ind w:left="188" w:hanging="188"/>
              <w:rPr>
                <w:rFonts w:eastAsia="Times New Roman" w:cs="Arial"/>
                <w:b/>
                <w:color w:val="000000"/>
                <w:sz w:val="22"/>
                <w:lang w:eastAsia="en-GB"/>
              </w:rPr>
            </w:pPr>
            <w:proofErr w:type="spellStart"/>
            <w:r w:rsidRPr="00F043EA">
              <w:rPr>
                <w:rFonts w:eastAsia="Times New Roman" w:cs="Arial"/>
                <w:b/>
                <w:color w:val="000000"/>
                <w:sz w:val="22"/>
                <w:lang w:eastAsia="en-GB"/>
              </w:rPr>
              <w:t>Lyminge</w:t>
            </w:r>
            <w:proofErr w:type="spellEnd"/>
          </w:p>
        </w:tc>
      </w:tr>
      <w:tr w:rsidR="009877DD" w:rsidRPr="00F043EA" w:rsidTr="00466ED5">
        <w:trPr>
          <w:trHeight w:val="484"/>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ND5, p.166</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Land South of Canterbury Road, </w:t>
            </w:r>
            <w:proofErr w:type="spellStart"/>
            <w:r w:rsidRPr="00F043EA">
              <w:rPr>
                <w:rFonts w:eastAsia="Times New Roman" w:cs="Arial"/>
                <w:color w:val="000000"/>
                <w:sz w:val="22"/>
                <w:lang w:eastAsia="en-GB"/>
              </w:rPr>
              <w:t>Lyminge</w:t>
            </w:r>
            <w:proofErr w:type="spellEnd"/>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30 dwellings</w:t>
            </w:r>
          </w:p>
        </w:tc>
        <w:tc>
          <w:tcPr>
            <w:tcW w:w="2796" w:type="dxa"/>
          </w:tcPr>
          <w:p w:rsidR="009877DD" w:rsidRPr="00F043EA" w:rsidRDefault="009877DD" w:rsidP="00D94775">
            <w:pPr>
              <w:spacing w:after="0" w:line="240" w:lineRule="auto"/>
              <w:ind w:left="188" w:hanging="188"/>
              <w:rPr>
                <w:rFonts w:eastAsia="Times New Roman" w:cs="Arial"/>
                <w:color w:val="000000"/>
                <w:sz w:val="22"/>
                <w:lang w:eastAsia="en-GB"/>
              </w:rPr>
            </w:pP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Zone D: </w:t>
            </w:r>
            <w:proofErr w:type="spellStart"/>
            <w:r w:rsidRPr="00F043EA">
              <w:rPr>
                <w:rFonts w:eastAsia="Times New Roman" w:cs="Arial"/>
                <w:color w:val="000000"/>
                <w:sz w:val="22"/>
                <w:lang w:eastAsia="en-GB"/>
              </w:rPr>
              <w:t>Elham</w:t>
            </w:r>
            <w:proofErr w:type="spellEnd"/>
            <w:r w:rsidRPr="00F043EA">
              <w:rPr>
                <w:rFonts w:eastAsia="Times New Roman" w:cs="Arial"/>
                <w:color w:val="000000"/>
                <w:sz w:val="22"/>
                <w:lang w:eastAsia="en-GB"/>
              </w:rPr>
              <w:t xml:space="preserve"> (£125/m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F043EA">
        <w:trPr>
          <w:trHeight w:val="452"/>
        </w:trPr>
        <w:tc>
          <w:tcPr>
            <w:tcW w:w="10065" w:type="dxa"/>
            <w:gridSpan w:val="5"/>
            <w:shd w:val="clear" w:color="auto" w:fill="E5DFEC" w:themeFill="accent4" w:themeFillTint="33"/>
            <w:noWrap/>
            <w:vAlign w:val="center"/>
            <w:hideMark/>
          </w:tcPr>
          <w:p w:rsidR="009877DD" w:rsidRPr="00F043EA" w:rsidRDefault="009877DD" w:rsidP="00D94775">
            <w:pPr>
              <w:spacing w:after="0" w:line="240" w:lineRule="auto"/>
              <w:ind w:left="188" w:hanging="188"/>
              <w:rPr>
                <w:rFonts w:eastAsia="Times New Roman" w:cs="Arial"/>
                <w:b/>
                <w:color w:val="000000"/>
                <w:sz w:val="22"/>
                <w:lang w:eastAsia="en-GB"/>
              </w:rPr>
            </w:pPr>
            <w:proofErr w:type="spellStart"/>
            <w:r w:rsidRPr="00F043EA">
              <w:rPr>
                <w:rFonts w:eastAsia="Times New Roman" w:cs="Arial"/>
                <w:b/>
                <w:color w:val="000000"/>
                <w:sz w:val="22"/>
                <w:lang w:eastAsia="en-GB"/>
              </w:rPr>
              <w:t>Sellindge</w:t>
            </w:r>
            <w:proofErr w:type="spellEnd"/>
          </w:p>
        </w:tc>
      </w:tr>
      <w:tr w:rsidR="009877DD" w:rsidRPr="00F043EA" w:rsidTr="00466ED5">
        <w:trPr>
          <w:trHeight w:val="692"/>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ND6, p.175</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General </w:t>
            </w:r>
            <w:proofErr w:type="spellStart"/>
            <w:r w:rsidRPr="00F043EA">
              <w:rPr>
                <w:rFonts w:eastAsia="Times New Roman" w:cs="Arial"/>
                <w:color w:val="000000"/>
                <w:sz w:val="22"/>
                <w:lang w:eastAsia="en-GB"/>
              </w:rPr>
              <w:t>Sellindge</w:t>
            </w:r>
            <w:proofErr w:type="spellEnd"/>
            <w:r w:rsidRPr="00F043EA">
              <w:rPr>
                <w:rFonts w:eastAsia="Times New Roman" w:cs="Arial"/>
                <w:color w:val="000000"/>
                <w:sz w:val="22"/>
                <w:lang w:eastAsia="en-GB"/>
              </w:rPr>
              <w:t xml:space="preserve"> policy</w:t>
            </w:r>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54 dwellings total</w:t>
            </w:r>
          </w:p>
        </w:tc>
        <w:tc>
          <w:tcPr>
            <w:tcW w:w="2796" w:type="dxa"/>
          </w:tcPr>
          <w:p w:rsidR="009877DD" w:rsidRPr="00F043EA" w:rsidRDefault="009877DD" w:rsidP="00D94775">
            <w:pPr>
              <w:pStyle w:val="ListParagraph"/>
              <w:numPr>
                <w:ilvl w:val="0"/>
                <w:numId w:val="20"/>
              </w:numPr>
              <w:spacing w:after="0" w:line="240" w:lineRule="auto"/>
              <w:ind w:left="188" w:hanging="188"/>
              <w:rPr>
                <w:rFonts w:eastAsia="Times New Roman" w:cs="Arial"/>
                <w:color w:val="000000"/>
                <w:sz w:val="22"/>
                <w:lang w:eastAsia="en-GB"/>
              </w:rPr>
            </w:pPr>
            <w:r w:rsidRPr="00F043EA">
              <w:rPr>
                <w:rFonts w:eastAsia="Times New Roman" w:cs="Arial"/>
                <w:color w:val="000000"/>
                <w:sz w:val="22"/>
                <w:lang w:eastAsia="en-GB"/>
              </w:rPr>
              <w:t xml:space="preserve">The Piggeries, Main Road, </w:t>
            </w:r>
            <w:proofErr w:type="spellStart"/>
            <w:r w:rsidRPr="00F043EA">
              <w:rPr>
                <w:rFonts w:eastAsia="Times New Roman" w:cs="Arial"/>
                <w:color w:val="000000"/>
                <w:sz w:val="22"/>
                <w:lang w:eastAsia="en-GB"/>
              </w:rPr>
              <w:t>Sellindge</w:t>
            </w:r>
            <w:proofErr w:type="spellEnd"/>
            <w:r w:rsidRPr="00F043EA">
              <w:rPr>
                <w:rFonts w:eastAsia="Times New Roman" w:cs="Arial"/>
                <w:color w:val="000000"/>
                <w:sz w:val="22"/>
                <w:lang w:eastAsia="en-GB"/>
              </w:rPr>
              <w:t xml:space="preserve"> – 8 dwellings </w:t>
            </w:r>
          </w:p>
          <w:p w:rsidR="009877DD" w:rsidRPr="00F043EA" w:rsidRDefault="009877DD" w:rsidP="00D94775">
            <w:pPr>
              <w:pStyle w:val="ListParagraph"/>
              <w:numPr>
                <w:ilvl w:val="0"/>
                <w:numId w:val="20"/>
              </w:numPr>
              <w:spacing w:after="0" w:line="240" w:lineRule="auto"/>
              <w:ind w:left="188" w:hanging="188"/>
              <w:rPr>
                <w:rFonts w:eastAsia="Times New Roman" w:cs="Arial"/>
                <w:color w:val="000000"/>
                <w:sz w:val="22"/>
                <w:lang w:eastAsia="en-GB"/>
              </w:rPr>
            </w:pPr>
            <w:r w:rsidRPr="00F043EA">
              <w:rPr>
                <w:rFonts w:eastAsia="Times New Roman" w:cs="Arial"/>
                <w:color w:val="000000"/>
                <w:sz w:val="22"/>
                <w:lang w:eastAsia="en-GB"/>
              </w:rPr>
              <w:t xml:space="preserve">Land west of Jubilee Cottage, Swan Lane, </w:t>
            </w:r>
            <w:proofErr w:type="spellStart"/>
            <w:r w:rsidRPr="00F043EA">
              <w:rPr>
                <w:rFonts w:eastAsia="Times New Roman" w:cs="Arial"/>
                <w:color w:val="000000"/>
                <w:sz w:val="22"/>
                <w:lang w:eastAsia="en-GB"/>
              </w:rPr>
              <w:t>Sellindge</w:t>
            </w:r>
            <w:proofErr w:type="spellEnd"/>
            <w:r w:rsidRPr="00F043EA">
              <w:rPr>
                <w:rFonts w:eastAsia="Times New Roman" w:cs="Arial"/>
                <w:color w:val="000000"/>
                <w:sz w:val="22"/>
                <w:lang w:eastAsia="en-GB"/>
              </w:rPr>
              <w:t xml:space="preserve"> – 15 dwellings </w:t>
            </w:r>
          </w:p>
          <w:p w:rsidR="009877DD" w:rsidRPr="00F043EA" w:rsidRDefault="009877DD" w:rsidP="00D94775">
            <w:pPr>
              <w:pStyle w:val="ListParagraph"/>
              <w:numPr>
                <w:ilvl w:val="0"/>
                <w:numId w:val="20"/>
              </w:numPr>
              <w:spacing w:after="0" w:line="240" w:lineRule="auto"/>
              <w:ind w:left="188" w:hanging="188"/>
              <w:rPr>
                <w:rFonts w:eastAsia="Times New Roman" w:cs="Arial"/>
                <w:color w:val="000000"/>
                <w:sz w:val="22"/>
                <w:lang w:eastAsia="en-GB"/>
              </w:rPr>
            </w:pPr>
            <w:r w:rsidRPr="00F043EA">
              <w:rPr>
                <w:rFonts w:eastAsia="Times New Roman" w:cs="Arial"/>
                <w:color w:val="000000"/>
                <w:sz w:val="22"/>
                <w:lang w:eastAsia="en-GB"/>
              </w:rPr>
              <w:t xml:space="preserve">Land rear of Brook Lane Cottages, Brook Lane, </w:t>
            </w:r>
            <w:proofErr w:type="spellStart"/>
            <w:r w:rsidRPr="00F043EA">
              <w:rPr>
                <w:rFonts w:eastAsia="Times New Roman" w:cs="Arial"/>
                <w:color w:val="000000"/>
                <w:sz w:val="22"/>
                <w:lang w:eastAsia="en-GB"/>
              </w:rPr>
              <w:t>Sellindge</w:t>
            </w:r>
            <w:proofErr w:type="spellEnd"/>
            <w:r w:rsidRPr="00F043EA">
              <w:rPr>
                <w:rFonts w:eastAsia="Times New Roman" w:cs="Arial"/>
                <w:color w:val="000000"/>
                <w:sz w:val="22"/>
                <w:lang w:eastAsia="en-GB"/>
              </w:rPr>
              <w:t xml:space="preserve"> – 11 dwellings </w:t>
            </w:r>
          </w:p>
          <w:p w:rsidR="009877DD" w:rsidRPr="00F043EA" w:rsidRDefault="009877DD" w:rsidP="00D94775">
            <w:pPr>
              <w:pStyle w:val="ListParagraph"/>
              <w:numPr>
                <w:ilvl w:val="0"/>
                <w:numId w:val="20"/>
              </w:numPr>
              <w:spacing w:after="0" w:line="240" w:lineRule="auto"/>
              <w:ind w:left="188" w:hanging="188"/>
              <w:rPr>
                <w:rFonts w:eastAsia="Times New Roman" w:cs="Arial"/>
                <w:color w:val="000000"/>
                <w:sz w:val="22"/>
                <w:lang w:eastAsia="en-GB"/>
              </w:rPr>
            </w:pPr>
            <w:r w:rsidRPr="00F043EA">
              <w:rPr>
                <w:rFonts w:eastAsia="Times New Roman" w:cs="Arial"/>
                <w:color w:val="000000"/>
                <w:sz w:val="22"/>
                <w:lang w:eastAsia="en-GB"/>
              </w:rPr>
              <w:t xml:space="preserve">Land at Barrow Hill, </w:t>
            </w:r>
            <w:proofErr w:type="spellStart"/>
            <w:r w:rsidRPr="00F043EA">
              <w:rPr>
                <w:rFonts w:eastAsia="Times New Roman" w:cs="Arial"/>
                <w:color w:val="000000"/>
                <w:sz w:val="22"/>
                <w:lang w:eastAsia="en-GB"/>
              </w:rPr>
              <w:t>Sellindge</w:t>
            </w:r>
            <w:proofErr w:type="spellEnd"/>
            <w:r w:rsidRPr="00F043EA">
              <w:rPr>
                <w:rFonts w:eastAsia="Times New Roman" w:cs="Arial"/>
                <w:color w:val="000000"/>
                <w:sz w:val="22"/>
                <w:lang w:eastAsia="en-GB"/>
              </w:rPr>
              <w:t xml:space="preserve"> – 15 dwellings </w:t>
            </w:r>
          </w:p>
          <w:p w:rsidR="009877DD" w:rsidRPr="00F043EA" w:rsidRDefault="009877DD" w:rsidP="00D94775">
            <w:pPr>
              <w:pStyle w:val="ListParagraph"/>
              <w:numPr>
                <w:ilvl w:val="0"/>
                <w:numId w:val="20"/>
              </w:numPr>
              <w:spacing w:after="0" w:line="240" w:lineRule="auto"/>
              <w:ind w:left="188" w:hanging="188"/>
              <w:rPr>
                <w:rFonts w:eastAsia="Times New Roman" w:cs="Arial"/>
                <w:color w:val="000000"/>
                <w:sz w:val="22"/>
                <w:lang w:eastAsia="en-GB"/>
              </w:rPr>
            </w:pPr>
            <w:r w:rsidRPr="00F043EA">
              <w:rPr>
                <w:rFonts w:eastAsia="Times New Roman" w:cs="Arial"/>
                <w:color w:val="000000"/>
                <w:sz w:val="22"/>
                <w:lang w:eastAsia="en-GB"/>
              </w:rPr>
              <w:t xml:space="preserve">Silver Spray, </w:t>
            </w:r>
            <w:proofErr w:type="spellStart"/>
            <w:r w:rsidRPr="00F043EA">
              <w:rPr>
                <w:rFonts w:eastAsia="Times New Roman" w:cs="Arial"/>
                <w:color w:val="000000"/>
                <w:sz w:val="22"/>
                <w:lang w:eastAsia="en-GB"/>
              </w:rPr>
              <w:t>Sellindge</w:t>
            </w:r>
            <w:proofErr w:type="spellEnd"/>
            <w:r w:rsidRPr="00F043EA">
              <w:rPr>
                <w:rFonts w:eastAsia="Times New Roman" w:cs="Arial"/>
                <w:color w:val="000000"/>
                <w:sz w:val="22"/>
                <w:lang w:eastAsia="en-GB"/>
              </w:rPr>
              <w:t xml:space="preserve"> – 5 dwellings </w:t>
            </w: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Zone D: </w:t>
            </w:r>
            <w:proofErr w:type="spellStart"/>
            <w:r w:rsidRPr="00F043EA">
              <w:rPr>
                <w:rFonts w:eastAsia="Times New Roman" w:cs="Arial"/>
                <w:color w:val="000000"/>
                <w:sz w:val="22"/>
                <w:lang w:eastAsia="en-GB"/>
              </w:rPr>
              <w:t>Elham</w:t>
            </w:r>
            <w:proofErr w:type="spellEnd"/>
            <w:r w:rsidRPr="00F043EA">
              <w:rPr>
                <w:rFonts w:eastAsia="Times New Roman" w:cs="Arial"/>
                <w:color w:val="000000"/>
                <w:sz w:val="22"/>
                <w:lang w:eastAsia="en-GB"/>
              </w:rPr>
              <w:t xml:space="preserve"> (£125/m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F043EA">
        <w:trPr>
          <w:trHeight w:val="495"/>
        </w:trPr>
        <w:tc>
          <w:tcPr>
            <w:tcW w:w="10065" w:type="dxa"/>
            <w:gridSpan w:val="5"/>
            <w:shd w:val="clear" w:color="auto" w:fill="E5DFEC" w:themeFill="accent4" w:themeFillTint="33"/>
            <w:noWrap/>
            <w:vAlign w:val="center"/>
            <w:hideMark/>
          </w:tcPr>
          <w:p w:rsidR="009877DD" w:rsidRPr="00F043EA" w:rsidRDefault="009877DD" w:rsidP="00D94775">
            <w:pPr>
              <w:spacing w:after="0" w:line="240" w:lineRule="auto"/>
              <w:ind w:left="188" w:hanging="188"/>
              <w:rPr>
                <w:rFonts w:eastAsia="Times New Roman" w:cs="Arial"/>
                <w:b/>
                <w:color w:val="000000"/>
                <w:sz w:val="22"/>
                <w:lang w:eastAsia="en-GB"/>
              </w:rPr>
            </w:pPr>
            <w:r w:rsidRPr="00F043EA">
              <w:rPr>
                <w:rFonts w:eastAsia="Times New Roman" w:cs="Arial"/>
                <w:b/>
                <w:color w:val="000000"/>
                <w:sz w:val="22"/>
                <w:lang w:eastAsia="en-GB"/>
              </w:rPr>
              <w:lastRenderedPageBreak/>
              <w:t>Stanford</w:t>
            </w:r>
          </w:p>
        </w:tc>
      </w:tr>
      <w:tr w:rsidR="009877DD" w:rsidRPr="00F043EA" w:rsidTr="00466ED5">
        <w:trPr>
          <w:trHeight w:val="659"/>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ND8, p.182</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Land rear Barnstormers, Stone Street, Stanford</w:t>
            </w:r>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5 dwellings</w:t>
            </w:r>
          </w:p>
        </w:tc>
        <w:tc>
          <w:tcPr>
            <w:tcW w:w="2796" w:type="dxa"/>
          </w:tcPr>
          <w:p w:rsidR="009877DD" w:rsidRPr="00F043EA" w:rsidRDefault="009877DD" w:rsidP="00D94775">
            <w:pPr>
              <w:spacing w:after="0" w:line="240" w:lineRule="auto"/>
              <w:ind w:left="188" w:hanging="188"/>
              <w:rPr>
                <w:rFonts w:eastAsia="Times New Roman" w:cs="Arial"/>
                <w:color w:val="000000"/>
                <w:sz w:val="22"/>
                <w:lang w:eastAsia="en-GB"/>
              </w:rPr>
            </w:pP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Zone D: </w:t>
            </w:r>
            <w:proofErr w:type="spellStart"/>
            <w:r w:rsidRPr="00F043EA">
              <w:rPr>
                <w:rFonts w:eastAsia="Times New Roman" w:cs="Arial"/>
                <w:color w:val="000000"/>
                <w:sz w:val="22"/>
                <w:lang w:eastAsia="en-GB"/>
              </w:rPr>
              <w:t>Elham</w:t>
            </w:r>
            <w:proofErr w:type="spellEnd"/>
            <w:r w:rsidRPr="00F043EA">
              <w:rPr>
                <w:rFonts w:eastAsia="Times New Roman" w:cs="Arial"/>
                <w:color w:val="000000"/>
                <w:sz w:val="22"/>
                <w:lang w:eastAsia="en-GB"/>
              </w:rPr>
              <w:t xml:space="preserve"> (£125/m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F043EA">
        <w:trPr>
          <w:trHeight w:val="520"/>
        </w:trPr>
        <w:tc>
          <w:tcPr>
            <w:tcW w:w="10065" w:type="dxa"/>
            <w:gridSpan w:val="5"/>
            <w:shd w:val="clear" w:color="auto" w:fill="E5DFEC" w:themeFill="accent4" w:themeFillTint="33"/>
            <w:noWrap/>
            <w:vAlign w:val="center"/>
            <w:hideMark/>
          </w:tcPr>
          <w:p w:rsidR="009877DD" w:rsidRPr="00F043EA" w:rsidRDefault="009877DD" w:rsidP="00D94775">
            <w:pPr>
              <w:spacing w:after="0" w:line="240" w:lineRule="auto"/>
              <w:ind w:left="188" w:hanging="188"/>
              <w:rPr>
                <w:rFonts w:eastAsia="Times New Roman" w:cs="Arial"/>
                <w:b/>
                <w:color w:val="000000"/>
                <w:sz w:val="22"/>
                <w:lang w:eastAsia="en-GB"/>
              </w:rPr>
            </w:pPr>
            <w:proofErr w:type="spellStart"/>
            <w:r w:rsidRPr="00F043EA">
              <w:rPr>
                <w:rFonts w:eastAsia="Times New Roman" w:cs="Arial"/>
                <w:b/>
                <w:color w:val="000000"/>
                <w:sz w:val="22"/>
                <w:lang w:eastAsia="en-GB"/>
              </w:rPr>
              <w:t>Stelling</w:t>
            </w:r>
            <w:proofErr w:type="spellEnd"/>
            <w:r w:rsidRPr="00F043EA">
              <w:rPr>
                <w:rFonts w:eastAsia="Times New Roman" w:cs="Arial"/>
                <w:b/>
                <w:color w:val="000000"/>
                <w:sz w:val="22"/>
                <w:lang w:eastAsia="en-GB"/>
              </w:rPr>
              <w:t xml:space="preserve"> </w:t>
            </w:r>
            <w:proofErr w:type="spellStart"/>
            <w:r w:rsidRPr="00F043EA">
              <w:rPr>
                <w:rFonts w:eastAsia="Times New Roman" w:cs="Arial"/>
                <w:b/>
                <w:color w:val="000000"/>
                <w:sz w:val="22"/>
                <w:lang w:eastAsia="en-GB"/>
              </w:rPr>
              <w:t>Minnis</w:t>
            </w:r>
            <w:proofErr w:type="spellEnd"/>
          </w:p>
        </w:tc>
      </w:tr>
      <w:tr w:rsidR="009877DD" w:rsidRPr="00F043EA" w:rsidTr="00466ED5">
        <w:trPr>
          <w:trHeight w:val="659"/>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ND10, p.187</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Camping and Caravan Site, </w:t>
            </w:r>
            <w:proofErr w:type="spellStart"/>
            <w:r w:rsidRPr="00F043EA">
              <w:rPr>
                <w:rFonts w:eastAsia="Times New Roman" w:cs="Arial"/>
                <w:color w:val="000000"/>
                <w:sz w:val="22"/>
                <w:lang w:eastAsia="en-GB"/>
              </w:rPr>
              <w:t>Minnis</w:t>
            </w:r>
            <w:proofErr w:type="spellEnd"/>
            <w:r w:rsidRPr="00F043EA">
              <w:rPr>
                <w:rFonts w:eastAsia="Times New Roman" w:cs="Arial"/>
                <w:color w:val="000000"/>
                <w:sz w:val="22"/>
                <w:lang w:eastAsia="en-GB"/>
              </w:rPr>
              <w:t xml:space="preserve"> Lane, </w:t>
            </w:r>
            <w:proofErr w:type="spellStart"/>
            <w:r w:rsidRPr="00F043EA">
              <w:rPr>
                <w:rFonts w:eastAsia="Times New Roman" w:cs="Arial"/>
                <w:color w:val="000000"/>
                <w:sz w:val="22"/>
                <w:lang w:eastAsia="en-GB"/>
              </w:rPr>
              <w:t>Stelling</w:t>
            </w:r>
            <w:proofErr w:type="spellEnd"/>
            <w:r w:rsidRPr="00F043EA">
              <w:rPr>
                <w:rFonts w:eastAsia="Times New Roman" w:cs="Arial"/>
                <w:color w:val="000000"/>
                <w:sz w:val="22"/>
                <w:lang w:eastAsia="en-GB"/>
              </w:rPr>
              <w:t xml:space="preserve"> </w:t>
            </w:r>
            <w:proofErr w:type="spellStart"/>
            <w:r w:rsidRPr="00F043EA">
              <w:rPr>
                <w:rFonts w:eastAsia="Times New Roman" w:cs="Arial"/>
                <w:color w:val="000000"/>
                <w:sz w:val="22"/>
                <w:lang w:eastAsia="en-GB"/>
              </w:rPr>
              <w:t>Minnis</w:t>
            </w:r>
            <w:proofErr w:type="spellEnd"/>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11 dwellings</w:t>
            </w:r>
          </w:p>
        </w:tc>
        <w:tc>
          <w:tcPr>
            <w:tcW w:w="2796" w:type="dxa"/>
          </w:tcPr>
          <w:p w:rsidR="009877DD" w:rsidRPr="00F043EA" w:rsidRDefault="009877DD" w:rsidP="00D94775">
            <w:pPr>
              <w:spacing w:after="0" w:line="240" w:lineRule="auto"/>
              <w:ind w:left="188" w:hanging="188"/>
              <w:rPr>
                <w:rFonts w:eastAsia="Times New Roman" w:cs="Arial"/>
                <w:color w:val="000000"/>
                <w:sz w:val="22"/>
                <w:lang w:eastAsia="en-GB"/>
              </w:rPr>
            </w:pP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Zone D: </w:t>
            </w:r>
            <w:proofErr w:type="spellStart"/>
            <w:r w:rsidRPr="00F043EA">
              <w:rPr>
                <w:rFonts w:eastAsia="Times New Roman" w:cs="Arial"/>
                <w:color w:val="000000"/>
                <w:sz w:val="22"/>
                <w:lang w:eastAsia="en-GB"/>
              </w:rPr>
              <w:t>Elham</w:t>
            </w:r>
            <w:proofErr w:type="spellEnd"/>
            <w:r w:rsidRPr="00F043EA">
              <w:rPr>
                <w:rFonts w:eastAsia="Times New Roman" w:cs="Arial"/>
                <w:color w:val="000000"/>
                <w:sz w:val="22"/>
                <w:lang w:eastAsia="en-GB"/>
              </w:rPr>
              <w:t xml:space="preserve"> (£125/m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F043EA">
        <w:trPr>
          <w:trHeight w:val="470"/>
        </w:trPr>
        <w:tc>
          <w:tcPr>
            <w:tcW w:w="10065" w:type="dxa"/>
            <w:gridSpan w:val="5"/>
            <w:shd w:val="clear" w:color="auto" w:fill="E5DFEC" w:themeFill="accent4" w:themeFillTint="33"/>
            <w:noWrap/>
            <w:vAlign w:val="center"/>
            <w:hideMark/>
          </w:tcPr>
          <w:p w:rsidR="009877DD" w:rsidRPr="00F043EA" w:rsidRDefault="009877DD" w:rsidP="00D94775">
            <w:pPr>
              <w:spacing w:after="0" w:line="240" w:lineRule="auto"/>
              <w:ind w:left="188" w:hanging="188"/>
              <w:rPr>
                <w:rFonts w:eastAsia="Times New Roman" w:cs="Arial"/>
                <w:b/>
                <w:color w:val="000000"/>
                <w:sz w:val="22"/>
                <w:lang w:eastAsia="en-GB"/>
              </w:rPr>
            </w:pPr>
            <w:proofErr w:type="spellStart"/>
            <w:r w:rsidRPr="00F043EA">
              <w:rPr>
                <w:rFonts w:eastAsia="Times New Roman" w:cs="Arial"/>
                <w:b/>
                <w:color w:val="000000"/>
                <w:sz w:val="22"/>
                <w:lang w:eastAsia="en-GB"/>
              </w:rPr>
              <w:t>Densole</w:t>
            </w:r>
            <w:proofErr w:type="spellEnd"/>
          </w:p>
        </w:tc>
      </w:tr>
      <w:tr w:rsidR="009877DD" w:rsidRPr="00F043EA" w:rsidTr="00466ED5">
        <w:trPr>
          <w:trHeight w:val="659"/>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ND11, p.190</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Land adjoining 385 Canterbury Road, </w:t>
            </w:r>
            <w:proofErr w:type="spellStart"/>
            <w:r w:rsidRPr="00F043EA">
              <w:rPr>
                <w:rFonts w:eastAsia="Times New Roman" w:cs="Arial"/>
                <w:color w:val="000000"/>
                <w:sz w:val="22"/>
                <w:lang w:eastAsia="en-GB"/>
              </w:rPr>
              <w:t>Densole</w:t>
            </w:r>
            <w:proofErr w:type="spellEnd"/>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25 dwellings, allotment gardens</w:t>
            </w:r>
          </w:p>
        </w:tc>
        <w:tc>
          <w:tcPr>
            <w:tcW w:w="2796" w:type="dxa"/>
          </w:tcPr>
          <w:p w:rsidR="009877DD" w:rsidRPr="00F043EA" w:rsidRDefault="009877DD" w:rsidP="00D94775">
            <w:pPr>
              <w:spacing w:after="0" w:line="240" w:lineRule="auto"/>
              <w:ind w:left="188" w:hanging="188"/>
              <w:rPr>
                <w:rFonts w:eastAsia="Times New Roman" w:cs="Arial"/>
                <w:color w:val="000000"/>
                <w:sz w:val="22"/>
                <w:lang w:eastAsia="en-GB"/>
              </w:rPr>
            </w:pP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Zone D: </w:t>
            </w:r>
            <w:proofErr w:type="spellStart"/>
            <w:r w:rsidRPr="00F043EA">
              <w:rPr>
                <w:rFonts w:eastAsia="Times New Roman" w:cs="Arial"/>
                <w:color w:val="000000"/>
                <w:sz w:val="22"/>
                <w:lang w:eastAsia="en-GB"/>
              </w:rPr>
              <w:t>Elham</w:t>
            </w:r>
            <w:proofErr w:type="spellEnd"/>
            <w:r w:rsidRPr="00F043EA">
              <w:rPr>
                <w:rFonts w:eastAsia="Times New Roman" w:cs="Arial"/>
                <w:color w:val="000000"/>
                <w:sz w:val="22"/>
                <w:lang w:eastAsia="en-GB"/>
              </w:rPr>
              <w:t xml:space="preserve"> (£125/m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F043EA">
        <w:trPr>
          <w:trHeight w:val="494"/>
        </w:trPr>
        <w:tc>
          <w:tcPr>
            <w:tcW w:w="10065" w:type="dxa"/>
            <w:gridSpan w:val="5"/>
            <w:shd w:val="clear" w:color="auto" w:fill="E5DFEC" w:themeFill="accent4" w:themeFillTint="33"/>
            <w:noWrap/>
            <w:vAlign w:val="center"/>
            <w:hideMark/>
          </w:tcPr>
          <w:p w:rsidR="009877DD" w:rsidRPr="00F043EA" w:rsidRDefault="009877DD" w:rsidP="00D94775">
            <w:pPr>
              <w:spacing w:after="0" w:line="240" w:lineRule="auto"/>
              <w:ind w:left="188" w:hanging="188"/>
              <w:rPr>
                <w:rFonts w:eastAsia="Times New Roman" w:cs="Arial"/>
                <w:b/>
                <w:color w:val="000000"/>
                <w:sz w:val="22"/>
                <w:lang w:eastAsia="en-GB"/>
              </w:rPr>
            </w:pPr>
            <w:proofErr w:type="spellStart"/>
            <w:r w:rsidRPr="00F043EA">
              <w:rPr>
                <w:rFonts w:eastAsia="Times New Roman" w:cs="Arial"/>
                <w:b/>
                <w:color w:val="000000"/>
                <w:sz w:val="22"/>
                <w:lang w:eastAsia="en-GB"/>
              </w:rPr>
              <w:t>Etchinghill</w:t>
            </w:r>
            <w:proofErr w:type="spellEnd"/>
          </w:p>
        </w:tc>
      </w:tr>
      <w:tr w:rsidR="009877DD" w:rsidRPr="00F043EA" w:rsidTr="00466ED5">
        <w:trPr>
          <w:trHeight w:val="545"/>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ND12, p.193</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proofErr w:type="spellStart"/>
            <w:r w:rsidRPr="00F043EA">
              <w:rPr>
                <w:rFonts w:eastAsia="Times New Roman" w:cs="Arial"/>
                <w:color w:val="000000"/>
                <w:sz w:val="22"/>
                <w:lang w:eastAsia="en-GB"/>
              </w:rPr>
              <w:t>Etchinghill</w:t>
            </w:r>
            <w:proofErr w:type="spellEnd"/>
            <w:r w:rsidRPr="00F043EA">
              <w:rPr>
                <w:rFonts w:eastAsia="Times New Roman" w:cs="Arial"/>
                <w:color w:val="000000"/>
                <w:sz w:val="22"/>
                <w:lang w:eastAsia="en-GB"/>
              </w:rPr>
              <w:t xml:space="preserve"> Nursery, </w:t>
            </w:r>
            <w:proofErr w:type="spellStart"/>
            <w:r w:rsidRPr="00F043EA">
              <w:rPr>
                <w:rFonts w:eastAsia="Times New Roman" w:cs="Arial"/>
                <w:color w:val="000000"/>
                <w:sz w:val="22"/>
                <w:lang w:eastAsia="en-GB"/>
              </w:rPr>
              <w:t>Etchinghill</w:t>
            </w:r>
            <w:proofErr w:type="spellEnd"/>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30 dwellings</w:t>
            </w:r>
          </w:p>
        </w:tc>
        <w:tc>
          <w:tcPr>
            <w:tcW w:w="2796" w:type="dxa"/>
          </w:tcPr>
          <w:p w:rsidR="009877DD" w:rsidRPr="00F043EA" w:rsidRDefault="009877DD" w:rsidP="00D94775">
            <w:pPr>
              <w:spacing w:after="0" w:line="240" w:lineRule="auto"/>
              <w:ind w:left="188" w:hanging="188"/>
              <w:rPr>
                <w:rFonts w:eastAsia="Times New Roman" w:cs="Arial"/>
                <w:color w:val="000000"/>
                <w:sz w:val="22"/>
                <w:lang w:eastAsia="en-GB"/>
              </w:rPr>
            </w:pP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Zone D: </w:t>
            </w:r>
            <w:proofErr w:type="spellStart"/>
            <w:r w:rsidRPr="00F043EA">
              <w:rPr>
                <w:rFonts w:eastAsia="Times New Roman" w:cs="Arial"/>
                <w:color w:val="000000"/>
                <w:sz w:val="22"/>
                <w:lang w:eastAsia="en-GB"/>
              </w:rPr>
              <w:t>Elham</w:t>
            </w:r>
            <w:proofErr w:type="spellEnd"/>
            <w:r w:rsidRPr="00F043EA">
              <w:rPr>
                <w:rFonts w:eastAsia="Times New Roman" w:cs="Arial"/>
                <w:color w:val="000000"/>
                <w:sz w:val="22"/>
                <w:lang w:eastAsia="en-GB"/>
              </w:rPr>
              <w:t xml:space="preserve"> (£125/m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r w:rsidR="009877DD" w:rsidRPr="00F043EA" w:rsidTr="00466ED5">
        <w:trPr>
          <w:trHeight w:val="584"/>
        </w:trPr>
        <w:tc>
          <w:tcPr>
            <w:tcW w:w="763" w:type="dxa"/>
            <w:shd w:val="clear" w:color="auto" w:fill="auto"/>
            <w:noWrap/>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ND13, p.195</w:t>
            </w:r>
          </w:p>
        </w:tc>
        <w:tc>
          <w:tcPr>
            <w:tcW w:w="2590" w:type="dxa"/>
            <w:shd w:val="clear" w:color="auto" w:fill="auto"/>
            <w:hideMark/>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Land adjacent the Golf Course, </w:t>
            </w:r>
            <w:proofErr w:type="spellStart"/>
            <w:r w:rsidRPr="00F043EA">
              <w:rPr>
                <w:rFonts w:eastAsia="Times New Roman" w:cs="Arial"/>
                <w:color w:val="000000"/>
                <w:sz w:val="22"/>
                <w:lang w:eastAsia="en-GB"/>
              </w:rPr>
              <w:t>Etchinghill</w:t>
            </w:r>
            <w:proofErr w:type="spellEnd"/>
            <w:r w:rsidRPr="00F043EA">
              <w:rPr>
                <w:rFonts w:eastAsia="Times New Roman" w:cs="Arial"/>
                <w:color w:val="000000"/>
                <w:sz w:val="22"/>
                <w:lang w:eastAsia="en-GB"/>
              </w:rPr>
              <w:t xml:space="preserve"> </w:t>
            </w:r>
          </w:p>
        </w:tc>
        <w:tc>
          <w:tcPr>
            <w:tcW w:w="1559" w:type="dxa"/>
            <w:shd w:val="clear" w:color="auto" w:fill="auto"/>
            <w:noWrap/>
            <w:hideMark/>
          </w:tcPr>
          <w:p w:rsidR="009877DD" w:rsidRPr="00F043EA" w:rsidRDefault="009877DD" w:rsidP="00D94775">
            <w:pPr>
              <w:spacing w:after="0" w:line="240" w:lineRule="auto"/>
              <w:ind w:left="26" w:firstLine="0"/>
              <w:rPr>
                <w:rFonts w:eastAsia="Times New Roman" w:cs="Arial"/>
                <w:color w:val="000000"/>
                <w:sz w:val="22"/>
                <w:lang w:eastAsia="en-GB"/>
              </w:rPr>
            </w:pPr>
            <w:r w:rsidRPr="00F043EA">
              <w:rPr>
                <w:rFonts w:eastAsia="Times New Roman" w:cs="Arial"/>
                <w:color w:val="000000"/>
                <w:sz w:val="22"/>
                <w:lang w:eastAsia="en-GB"/>
              </w:rPr>
              <w:t>11 dwellings</w:t>
            </w:r>
          </w:p>
        </w:tc>
        <w:tc>
          <w:tcPr>
            <w:tcW w:w="2796" w:type="dxa"/>
          </w:tcPr>
          <w:p w:rsidR="009877DD" w:rsidRPr="00F043EA" w:rsidRDefault="009877DD" w:rsidP="00D94775">
            <w:pPr>
              <w:spacing w:after="0" w:line="240" w:lineRule="auto"/>
              <w:ind w:left="188" w:hanging="188"/>
              <w:rPr>
                <w:rFonts w:eastAsia="Times New Roman" w:cs="Arial"/>
                <w:color w:val="000000"/>
                <w:sz w:val="22"/>
                <w:lang w:eastAsia="en-GB"/>
              </w:rPr>
            </w:pPr>
          </w:p>
        </w:tc>
        <w:tc>
          <w:tcPr>
            <w:tcW w:w="2357" w:type="dxa"/>
          </w:tcPr>
          <w:p w:rsidR="009877DD" w:rsidRPr="00F043EA" w:rsidRDefault="009877DD" w:rsidP="00D94775">
            <w:pPr>
              <w:spacing w:after="0" w:line="240" w:lineRule="auto"/>
              <w:ind w:left="0" w:firstLine="0"/>
              <w:rPr>
                <w:rFonts w:eastAsia="Times New Roman" w:cs="Arial"/>
                <w:color w:val="000000"/>
                <w:sz w:val="22"/>
                <w:lang w:eastAsia="en-GB"/>
              </w:rPr>
            </w:pPr>
            <w:r w:rsidRPr="00F043EA">
              <w:rPr>
                <w:rFonts w:eastAsia="Times New Roman" w:cs="Arial"/>
                <w:color w:val="000000"/>
                <w:sz w:val="22"/>
                <w:lang w:eastAsia="en-GB"/>
              </w:rPr>
              <w:t xml:space="preserve">Zone D: </w:t>
            </w:r>
            <w:proofErr w:type="spellStart"/>
            <w:r w:rsidRPr="00F043EA">
              <w:rPr>
                <w:rFonts w:eastAsia="Times New Roman" w:cs="Arial"/>
                <w:color w:val="000000"/>
                <w:sz w:val="22"/>
                <w:lang w:eastAsia="en-GB"/>
              </w:rPr>
              <w:t>Elham</w:t>
            </w:r>
            <w:proofErr w:type="spellEnd"/>
            <w:r w:rsidRPr="00F043EA">
              <w:rPr>
                <w:rFonts w:eastAsia="Times New Roman" w:cs="Arial"/>
                <w:color w:val="000000"/>
                <w:sz w:val="22"/>
                <w:lang w:eastAsia="en-GB"/>
              </w:rPr>
              <w:t xml:space="preserve"> (£125/m</w:t>
            </w:r>
            <w:r w:rsidRPr="00F043EA">
              <w:rPr>
                <w:rFonts w:eastAsia="Times New Roman" w:cs="Arial"/>
                <w:color w:val="000000"/>
                <w:sz w:val="22"/>
                <w:vertAlign w:val="superscript"/>
                <w:lang w:eastAsia="en-GB"/>
              </w:rPr>
              <w:t>2</w:t>
            </w:r>
            <w:r w:rsidRPr="00F043EA">
              <w:rPr>
                <w:rFonts w:eastAsia="Times New Roman" w:cs="Arial"/>
                <w:color w:val="000000"/>
                <w:sz w:val="22"/>
                <w:lang w:eastAsia="en-GB"/>
              </w:rPr>
              <w:t>)</w:t>
            </w:r>
          </w:p>
        </w:tc>
      </w:tr>
    </w:tbl>
    <w:p w:rsidR="00163BE8" w:rsidRDefault="00163BE8" w:rsidP="00163BE8">
      <w:pPr>
        <w:spacing w:after="0" w:line="240" w:lineRule="auto"/>
        <w:rPr>
          <w:sz w:val="22"/>
        </w:rPr>
      </w:pPr>
    </w:p>
    <w:p w:rsidR="00163BE8" w:rsidRDefault="00163BE8" w:rsidP="00163BE8">
      <w:pPr>
        <w:spacing w:after="0" w:line="240" w:lineRule="auto"/>
        <w:rPr>
          <w:sz w:val="22"/>
        </w:rPr>
      </w:pPr>
    </w:p>
    <w:p w:rsidR="003C1017" w:rsidRPr="00163BE8" w:rsidRDefault="003C1017" w:rsidP="00163BE8">
      <w:pPr>
        <w:spacing w:after="0" w:line="240" w:lineRule="auto"/>
        <w:rPr>
          <w:sz w:val="22"/>
        </w:rPr>
      </w:pPr>
    </w:p>
    <w:p w:rsidR="00272EBF" w:rsidRDefault="00272EBF" w:rsidP="00CE2A89">
      <w:pPr>
        <w:ind w:left="0" w:firstLine="0"/>
        <w:rPr>
          <w:sz w:val="22"/>
        </w:rPr>
      </w:pPr>
    </w:p>
    <w:sectPr w:rsidR="00272EBF" w:rsidSect="00934771">
      <w:head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658" w:rsidRDefault="00871658" w:rsidP="003A4CDB">
      <w:pPr>
        <w:spacing w:after="0" w:line="240" w:lineRule="auto"/>
      </w:pPr>
      <w:r>
        <w:separator/>
      </w:r>
    </w:p>
  </w:endnote>
  <w:endnote w:type="continuationSeparator" w:id="0">
    <w:p w:rsidR="00871658" w:rsidRDefault="00871658" w:rsidP="003A4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5327"/>
      <w:docPartObj>
        <w:docPartGallery w:val="Page Numbers (Bottom of Page)"/>
        <w:docPartUnique/>
      </w:docPartObj>
    </w:sdtPr>
    <w:sdtContent>
      <w:p w:rsidR="00871658" w:rsidRDefault="00871658">
        <w:pPr>
          <w:pStyle w:val="Footer"/>
          <w:jc w:val="center"/>
        </w:pPr>
      </w:p>
      <w:p w:rsidR="00871658" w:rsidRDefault="0060686F">
        <w:pPr>
          <w:pStyle w:val="Footer"/>
          <w:jc w:val="center"/>
        </w:pPr>
      </w:p>
    </w:sdtContent>
  </w:sdt>
  <w:p w:rsidR="00871658" w:rsidRPr="009C31E6" w:rsidRDefault="00871658">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71362"/>
      <w:docPartObj>
        <w:docPartGallery w:val="Page Numbers (Bottom of Page)"/>
        <w:docPartUnique/>
      </w:docPartObj>
    </w:sdtPr>
    <w:sdtContent>
      <w:p w:rsidR="00871658" w:rsidRDefault="00871658">
        <w:pPr>
          <w:pStyle w:val="Footer"/>
          <w:jc w:val="center"/>
        </w:pPr>
      </w:p>
      <w:p w:rsidR="00871658" w:rsidRDefault="0060686F">
        <w:pPr>
          <w:pStyle w:val="Footer"/>
          <w:jc w:val="center"/>
        </w:pPr>
        <w:r>
          <w:rPr>
            <w:noProof/>
            <w:lang w:eastAsia="en-GB"/>
          </w:rPr>
          <w:pict>
            <v:shapetype id="_x0000_t32" coordsize="21600,21600" o:spt="32" o:oned="t" path="m,l21600,21600e" filled="f">
              <v:path arrowok="t" fillok="f" o:connecttype="none"/>
              <o:lock v:ext="edit" shapetype="t"/>
            </v:shapetype>
            <v:shape id="_x0000_s2070" type="#_x0000_t32" style="position:absolute;left:0;text-align:left;margin-left:18.45pt;margin-top:-8.5pt;width:411.3pt;height:.65pt;flip:y;z-index:251675648" o:connectortype="straight"/>
          </w:pict>
        </w:r>
        <w:r w:rsidRPr="00F86C52">
          <w:rPr>
            <w:sz w:val="22"/>
          </w:rPr>
          <w:fldChar w:fldCharType="begin"/>
        </w:r>
        <w:r w:rsidR="00871658" w:rsidRPr="00F86C52">
          <w:rPr>
            <w:sz w:val="22"/>
          </w:rPr>
          <w:instrText xml:space="preserve"> PAGE   \* MERGEFORMAT </w:instrText>
        </w:r>
        <w:r w:rsidRPr="00F86C52">
          <w:rPr>
            <w:sz w:val="22"/>
          </w:rPr>
          <w:fldChar w:fldCharType="separate"/>
        </w:r>
        <w:r w:rsidR="00CE2A89">
          <w:rPr>
            <w:noProof/>
            <w:sz w:val="22"/>
          </w:rPr>
          <w:t>9</w:t>
        </w:r>
        <w:r w:rsidRPr="00F86C52">
          <w:rPr>
            <w:sz w:val="22"/>
          </w:rPr>
          <w:fldChar w:fldCharType="end"/>
        </w:r>
      </w:p>
    </w:sdtContent>
  </w:sdt>
  <w:p w:rsidR="00871658" w:rsidRPr="009C31E6" w:rsidRDefault="00871658">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658" w:rsidRPr="009C31E6" w:rsidRDefault="00871658">
    <w:pPr>
      <w:pStyle w:val="Footer"/>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161745376"/>
      <w:docPartObj>
        <w:docPartGallery w:val="Page Numbers (Bottom of Page)"/>
        <w:docPartUnique/>
      </w:docPartObj>
    </w:sdtPr>
    <w:sdtContent>
      <w:p w:rsidR="00871658" w:rsidRDefault="00871658">
        <w:pPr>
          <w:pStyle w:val="Footer"/>
          <w:jc w:val="center"/>
          <w:rPr>
            <w:sz w:val="22"/>
          </w:rPr>
        </w:pPr>
      </w:p>
      <w:p w:rsidR="00871658" w:rsidRDefault="00871658">
        <w:pPr>
          <w:pStyle w:val="Footer"/>
          <w:jc w:val="center"/>
          <w:rPr>
            <w:sz w:val="22"/>
          </w:rPr>
        </w:pPr>
      </w:p>
      <w:p w:rsidR="00871658" w:rsidRPr="00552B11" w:rsidRDefault="0060686F">
        <w:pPr>
          <w:pStyle w:val="Footer"/>
          <w:jc w:val="center"/>
          <w:rPr>
            <w:sz w:val="22"/>
          </w:rPr>
        </w:pPr>
        <w:r>
          <w:rPr>
            <w:noProof/>
            <w:sz w:val="22"/>
            <w:lang w:eastAsia="en-GB"/>
          </w:rPr>
          <w:pict>
            <v:shapetype id="_x0000_t32" coordsize="21600,21600" o:spt="32" o:oned="t" path="m,l21600,21600e" filled="f">
              <v:path arrowok="t" fillok="f" o:connecttype="none"/>
              <o:lock v:ext="edit" shapetype="t"/>
            </v:shapetype>
            <v:shape id="_x0000_s2052" type="#_x0000_t32" style="position:absolute;left:0;text-align:left;margin-left:-12.5pt;margin-top:-12.9pt;width:10in;height:0;z-index:251660288" o:connectortype="straight"/>
          </w:pict>
        </w:r>
        <w:r w:rsidR="00871658" w:rsidRPr="00552B11">
          <w:rPr>
            <w:sz w:val="22"/>
          </w:rPr>
          <w:t>A</w:t>
        </w:r>
        <w:r w:rsidR="00871658">
          <w:rPr>
            <w:sz w:val="22"/>
          </w:rPr>
          <w:t>1</w:t>
        </w:r>
        <w:r w:rsidR="00871658" w:rsidRPr="00552B11">
          <w:rPr>
            <w:sz w:val="22"/>
          </w:rPr>
          <w:t xml:space="preserve"> - </w:t>
        </w:r>
        <w:r w:rsidRPr="00552B11">
          <w:rPr>
            <w:sz w:val="22"/>
          </w:rPr>
          <w:fldChar w:fldCharType="begin"/>
        </w:r>
        <w:r w:rsidR="00871658" w:rsidRPr="00552B11">
          <w:rPr>
            <w:sz w:val="22"/>
          </w:rPr>
          <w:instrText xml:space="preserve"> PAGE   \* MERGEFORMAT </w:instrText>
        </w:r>
        <w:r w:rsidRPr="00552B11">
          <w:rPr>
            <w:sz w:val="22"/>
          </w:rPr>
          <w:fldChar w:fldCharType="separate"/>
        </w:r>
        <w:r w:rsidR="00CE2A89">
          <w:rPr>
            <w:noProof/>
            <w:sz w:val="22"/>
          </w:rPr>
          <w:t>8</w:t>
        </w:r>
        <w:r w:rsidRPr="00552B11">
          <w:rPr>
            <w:sz w:val="22"/>
          </w:rPr>
          <w:fldChar w:fldCharType="end"/>
        </w:r>
      </w:p>
    </w:sdtContent>
  </w:sdt>
  <w:p w:rsidR="00871658" w:rsidRPr="009C31E6" w:rsidRDefault="00871658">
    <w:pPr>
      <w:pStyle w:val="Footer"/>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658" w:rsidRPr="009C31E6" w:rsidRDefault="00871658">
    <w:pPr>
      <w:pStyle w:val="Footer"/>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1745387"/>
      <w:docPartObj>
        <w:docPartGallery w:val="Page Numbers (Bottom of Page)"/>
        <w:docPartUnique/>
      </w:docPartObj>
    </w:sdtPr>
    <w:sdtContent>
      <w:p w:rsidR="00871658" w:rsidRDefault="00871658">
        <w:pPr>
          <w:pStyle w:val="Footer"/>
          <w:jc w:val="center"/>
          <w:rPr>
            <w:sz w:val="20"/>
            <w:szCs w:val="20"/>
          </w:rPr>
        </w:pPr>
      </w:p>
      <w:p w:rsidR="00871658" w:rsidRDefault="00871658">
        <w:pPr>
          <w:pStyle w:val="Footer"/>
          <w:jc w:val="center"/>
          <w:rPr>
            <w:sz w:val="20"/>
            <w:szCs w:val="20"/>
          </w:rPr>
        </w:pPr>
      </w:p>
      <w:p w:rsidR="00871658" w:rsidRPr="00547B21" w:rsidRDefault="0060686F">
        <w:pPr>
          <w:pStyle w:val="Footer"/>
          <w:jc w:val="center"/>
          <w:rPr>
            <w:sz w:val="20"/>
            <w:szCs w:val="20"/>
          </w:rPr>
        </w:pPr>
        <w:r>
          <w:rPr>
            <w:noProof/>
            <w:sz w:val="20"/>
            <w:szCs w:val="20"/>
            <w:lang w:eastAsia="en-GB"/>
          </w:rPr>
          <w:pict>
            <v:shapetype id="_x0000_t32" coordsize="21600,21600" o:spt="32" o:oned="t" path="m,l21600,21600e" filled="f">
              <v:path arrowok="t" fillok="f" o:connecttype="none"/>
              <o:lock v:ext="edit" shapetype="t"/>
            </v:shapetype>
            <v:shape id="_x0000_s2054" type="#_x0000_t32" style="position:absolute;left:0;text-align:left;margin-left:-11.05pt;margin-top:-9.15pt;width:10in;height:0;z-index:251662336" o:connectortype="straight"/>
          </w:pict>
        </w:r>
        <w:r w:rsidR="00871658">
          <w:rPr>
            <w:sz w:val="22"/>
          </w:rPr>
          <w:t>A2</w:t>
        </w:r>
        <w:r w:rsidR="00871658" w:rsidRPr="00547B21">
          <w:rPr>
            <w:sz w:val="22"/>
          </w:rPr>
          <w:t xml:space="preserve"> - </w:t>
        </w:r>
        <w:r w:rsidRPr="00547B21">
          <w:rPr>
            <w:sz w:val="22"/>
          </w:rPr>
          <w:fldChar w:fldCharType="begin"/>
        </w:r>
        <w:r w:rsidR="00871658" w:rsidRPr="00547B21">
          <w:rPr>
            <w:sz w:val="22"/>
          </w:rPr>
          <w:instrText xml:space="preserve"> PAGE   \* MERGEFORMAT </w:instrText>
        </w:r>
        <w:r w:rsidRPr="00547B21">
          <w:rPr>
            <w:sz w:val="22"/>
          </w:rPr>
          <w:fldChar w:fldCharType="separate"/>
        </w:r>
        <w:r w:rsidR="00CE2A89">
          <w:rPr>
            <w:noProof/>
            <w:sz w:val="22"/>
          </w:rPr>
          <w:t>10</w:t>
        </w:r>
        <w:r w:rsidRPr="00547B21">
          <w:rPr>
            <w:sz w:val="22"/>
          </w:rPr>
          <w:fldChar w:fldCharType="end"/>
        </w:r>
      </w:p>
    </w:sdtContent>
  </w:sdt>
  <w:p w:rsidR="00871658" w:rsidRPr="009C31E6" w:rsidRDefault="00871658">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658" w:rsidRDefault="00871658" w:rsidP="003A4CDB">
      <w:pPr>
        <w:spacing w:after="0" w:line="240" w:lineRule="auto"/>
      </w:pPr>
      <w:r>
        <w:separator/>
      </w:r>
    </w:p>
  </w:footnote>
  <w:footnote w:type="continuationSeparator" w:id="0">
    <w:p w:rsidR="00871658" w:rsidRDefault="00871658" w:rsidP="003A4CDB">
      <w:pPr>
        <w:spacing w:after="0" w:line="240" w:lineRule="auto"/>
      </w:pPr>
      <w:r>
        <w:continuationSeparator/>
      </w:r>
    </w:p>
  </w:footnote>
  <w:footnote w:id="1">
    <w:p w:rsidR="00871658" w:rsidRPr="00AB2420" w:rsidRDefault="00871658" w:rsidP="00F86210">
      <w:pPr>
        <w:spacing w:after="0" w:line="240" w:lineRule="auto"/>
        <w:ind w:left="284"/>
        <w:rPr>
          <w:rFonts w:cs="Arial"/>
          <w:sz w:val="20"/>
          <w:szCs w:val="20"/>
        </w:rPr>
      </w:pPr>
      <w:r w:rsidRPr="00AB2420">
        <w:rPr>
          <w:rStyle w:val="FootnoteReference"/>
          <w:sz w:val="20"/>
          <w:szCs w:val="20"/>
        </w:rPr>
        <w:footnoteRef/>
      </w:r>
      <w:r w:rsidRPr="00AB2420">
        <w:rPr>
          <w:sz w:val="20"/>
          <w:szCs w:val="20"/>
        </w:rPr>
        <w:t xml:space="preserve">    </w:t>
      </w:r>
      <w:hyperlink r:id="rId1" w:history="1">
        <w:r w:rsidRPr="00AB2420">
          <w:rPr>
            <w:rStyle w:val="Hyperlink"/>
            <w:rFonts w:cs="Arial"/>
            <w:sz w:val="20"/>
            <w:szCs w:val="20"/>
          </w:rPr>
          <w:t>http://www.shepway.gov.uk/media/1811/Core-Strategy-Local-Plan-2013/pdf/Core_Strategy_Local_Plan_2013_v2.pdf</w:t>
        </w:r>
      </w:hyperlink>
    </w:p>
    <w:p w:rsidR="00871658" w:rsidRDefault="00871658" w:rsidP="00832C3C">
      <w:pPr>
        <w:pStyle w:val="FootnoteText"/>
      </w:pPr>
    </w:p>
  </w:footnote>
  <w:footnote w:id="2">
    <w:p w:rsidR="00871658" w:rsidRPr="00AB2420" w:rsidRDefault="00871658" w:rsidP="00EB1F1E">
      <w:pPr>
        <w:pStyle w:val="FootnoteText"/>
        <w:ind w:left="284"/>
        <w:rPr>
          <w:rFonts w:ascii="Arial" w:hAnsi="Arial" w:cs="Arial"/>
        </w:rPr>
      </w:pPr>
      <w:r w:rsidRPr="00AB2420">
        <w:rPr>
          <w:rStyle w:val="FootnoteReference"/>
          <w:rFonts w:ascii="Arial" w:hAnsi="Arial" w:cs="Arial"/>
        </w:rPr>
        <w:footnoteRef/>
      </w:r>
      <w:r w:rsidRPr="00AB2420">
        <w:rPr>
          <w:rFonts w:ascii="Arial" w:hAnsi="Arial" w:cs="Arial"/>
        </w:rPr>
        <w:t xml:space="preserve">   </w:t>
      </w:r>
      <w:r>
        <w:rPr>
          <w:rFonts w:ascii="Arial" w:hAnsi="Arial" w:cs="Arial"/>
        </w:rPr>
        <w:tab/>
        <w:t>See</w:t>
      </w:r>
      <w:r w:rsidRPr="00AB2420">
        <w:rPr>
          <w:rFonts w:ascii="Arial" w:hAnsi="Arial" w:cs="Arial"/>
        </w:rPr>
        <w:t xml:space="preserve">: </w:t>
      </w:r>
      <w:hyperlink r:id="rId2" w:history="1">
        <w:r w:rsidRPr="00FC6296">
          <w:rPr>
            <w:rStyle w:val="Hyperlink"/>
            <w:rFonts w:ascii="Arial" w:hAnsi="Arial" w:cs="Arial"/>
          </w:rPr>
          <w:t>http://consult.shepway.gov.uk/portal</w:t>
        </w:r>
      </w:hyperlink>
    </w:p>
  </w:footnote>
  <w:footnote w:id="3">
    <w:p w:rsidR="00871658" w:rsidRPr="006B2DA5" w:rsidRDefault="00871658" w:rsidP="006B2DA5">
      <w:pPr>
        <w:pStyle w:val="FootnoteText"/>
        <w:ind w:left="284"/>
        <w:rPr>
          <w:rFonts w:ascii="Arial" w:hAnsi="Arial" w:cs="Arial"/>
        </w:rPr>
      </w:pPr>
      <w:r w:rsidRPr="006B2DA5">
        <w:rPr>
          <w:rStyle w:val="FootnoteReference"/>
          <w:rFonts w:ascii="Arial" w:hAnsi="Arial" w:cs="Arial"/>
        </w:rPr>
        <w:footnoteRef/>
      </w:r>
      <w:r w:rsidRPr="006B2DA5">
        <w:rPr>
          <w:rFonts w:ascii="Arial" w:hAnsi="Arial" w:cs="Arial"/>
        </w:rPr>
        <w:t xml:space="preserve"> </w:t>
      </w:r>
      <w:r>
        <w:rPr>
          <w:rFonts w:ascii="Arial" w:hAnsi="Arial" w:cs="Arial"/>
        </w:rPr>
        <w:tab/>
      </w:r>
      <w:r w:rsidRPr="006B2DA5">
        <w:rPr>
          <w:rFonts w:ascii="Arial" w:hAnsi="Arial" w:cs="Arial"/>
        </w:rPr>
        <w:t xml:space="preserve">See: </w:t>
      </w:r>
      <w:hyperlink r:id="rId3" w:history="1">
        <w:r w:rsidRPr="006B2DA5">
          <w:rPr>
            <w:rStyle w:val="Hyperlink"/>
            <w:rFonts w:ascii="Arial" w:hAnsi="Arial" w:cs="Arial"/>
          </w:rPr>
          <w:t>http://www.shepway.gov.uk/media/3897/Places-and-Policies-Local-Plan-Oct-2016/pdf/Places_and_Policies_Local_Plan__Final_Plan_2.pdf</w:t>
        </w:r>
      </w:hyperlink>
    </w:p>
    <w:p w:rsidR="00871658" w:rsidRDefault="00871658">
      <w:pPr>
        <w:pStyle w:val="FootnoteText"/>
      </w:pPr>
    </w:p>
  </w:footnote>
  <w:footnote w:id="4">
    <w:p w:rsidR="00871658" w:rsidRPr="00756C5F" w:rsidRDefault="00871658" w:rsidP="00756C5F">
      <w:pPr>
        <w:pStyle w:val="FootnoteText"/>
        <w:ind w:left="284"/>
        <w:rPr>
          <w:rFonts w:ascii="Arial" w:hAnsi="Arial" w:cs="Arial"/>
        </w:rPr>
      </w:pPr>
      <w:r w:rsidRPr="00756C5F">
        <w:rPr>
          <w:rStyle w:val="FootnoteReference"/>
          <w:rFonts w:ascii="Arial" w:hAnsi="Arial" w:cs="Arial"/>
        </w:rPr>
        <w:footnoteRef/>
      </w:r>
      <w:r w:rsidRPr="00756C5F">
        <w:rPr>
          <w:rFonts w:ascii="Arial" w:hAnsi="Arial" w:cs="Arial"/>
        </w:rPr>
        <w:t xml:space="preserve"> </w:t>
      </w:r>
      <w:r>
        <w:rPr>
          <w:rFonts w:ascii="Arial" w:hAnsi="Arial" w:cs="Arial"/>
        </w:rPr>
        <w:tab/>
      </w:r>
      <w:r w:rsidRPr="00756C5F">
        <w:rPr>
          <w:rFonts w:ascii="Arial" w:hAnsi="Arial" w:cs="Arial"/>
        </w:rPr>
        <w:t>Planning Practice Guidance Reference ID: 10-005-20140306</w:t>
      </w:r>
    </w:p>
  </w:footnote>
  <w:footnote w:id="5">
    <w:p w:rsidR="00871658" w:rsidRPr="001E1CF6" w:rsidRDefault="00871658" w:rsidP="001E1CF6">
      <w:pPr>
        <w:pStyle w:val="FootnoteText"/>
        <w:ind w:left="284"/>
        <w:rPr>
          <w:rFonts w:ascii="Arial" w:hAnsi="Arial" w:cs="Arial"/>
        </w:rPr>
      </w:pPr>
      <w:r>
        <w:rPr>
          <w:rStyle w:val="FootnoteReference"/>
        </w:rPr>
        <w:footnoteRef/>
      </w:r>
      <w:r>
        <w:t xml:space="preserve">  </w:t>
      </w:r>
      <w:r>
        <w:tab/>
      </w:r>
      <w:r w:rsidRPr="00EB1F1E">
        <w:rPr>
          <w:rFonts w:ascii="Arial" w:hAnsi="Arial" w:cs="Arial"/>
        </w:rPr>
        <w:t xml:space="preserve">See: </w:t>
      </w:r>
      <w:hyperlink r:id="rId4" w:history="1">
        <w:r w:rsidRPr="00EB1F1E">
          <w:rPr>
            <w:rStyle w:val="Hyperlink"/>
            <w:rFonts w:ascii="Arial" w:hAnsi="Arial" w:cs="Arial"/>
          </w:rPr>
          <w:t>https://www.gov.uk/government/uploads/system/uploads/attachment_data/file/6077/2116950.pdf</w:t>
        </w:r>
      </w:hyperlink>
    </w:p>
  </w:footnote>
  <w:footnote w:id="6">
    <w:p w:rsidR="00871658" w:rsidRPr="006250EE" w:rsidRDefault="00871658" w:rsidP="00152269">
      <w:pPr>
        <w:pStyle w:val="FootnoteText"/>
        <w:ind w:left="284"/>
        <w:rPr>
          <w:rFonts w:ascii="Arial" w:hAnsi="Arial" w:cs="Arial"/>
        </w:rPr>
      </w:pPr>
      <w:r w:rsidRPr="006250EE">
        <w:rPr>
          <w:rStyle w:val="FootnoteReference"/>
          <w:rFonts w:ascii="Arial" w:hAnsi="Arial" w:cs="Arial"/>
        </w:rPr>
        <w:footnoteRef/>
      </w:r>
      <w:r w:rsidRPr="006250EE">
        <w:rPr>
          <w:rFonts w:ascii="Arial" w:hAnsi="Arial" w:cs="Arial"/>
        </w:rPr>
        <w:t xml:space="preserve">   </w:t>
      </w:r>
      <w:r w:rsidRPr="006250EE">
        <w:rPr>
          <w:rFonts w:ascii="Arial" w:hAnsi="Arial" w:cs="Arial"/>
        </w:rPr>
        <w:tab/>
        <w:t xml:space="preserve">See: </w:t>
      </w:r>
      <w:hyperlink r:id="rId5" w:history="1">
        <w:r w:rsidRPr="006250EE">
          <w:rPr>
            <w:rStyle w:val="Hyperlink"/>
            <w:rFonts w:ascii="Arial" w:hAnsi="Arial" w:cs="Arial"/>
          </w:rPr>
          <w:t>https://www.gov.uk/guidance/viability</w:t>
        </w:r>
      </w:hyperlink>
    </w:p>
  </w:footnote>
  <w:footnote w:id="7">
    <w:p w:rsidR="00871658" w:rsidRPr="006250EE" w:rsidRDefault="00871658" w:rsidP="00FB7038">
      <w:pPr>
        <w:pStyle w:val="FootnoteText"/>
        <w:ind w:left="284"/>
        <w:rPr>
          <w:rFonts w:ascii="Arial" w:hAnsi="Arial" w:cs="Arial"/>
        </w:rPr>
      </w:pPr>
      <w:r w:rsidRPr="006250EE">
        <w:rPr>
          <w:rStyle w:val="FootnoteReference"/>
          <w:rFonts w:ascii="Arial" w:hAnsi="Arial" w:cs="Arial"/>
        </w:rPr>
        <w:footnoteRef/>
      </w:r>
      <w:r w:rsidRPr="006250EE">
        <w:rPr>
          <w:rFonts w:ascii="Arial" w:hAnsi="Arial" w:cs="Arial"/>
        </w:rPr>
        <w:t xml:space="preserve">   </w:t>
      </w:r>
      <w:r w:rsidRPr="006250EE">
        <w:rPr>
          <w:rFonts w:ascii="Arial" w:hAnsi="Arial" w:cs="Arial"/>
        </w:rPr>
        <w:tab/>
        <w:t xml:space="preserve">See: </w:t>
      </w:r>
      <w:hyperlink r:id="rId6" w:history="1">
        <w:r w:rsidRPr="006250EE">
          <w:rPr>
            <w:rStyle w:val="Hyperlink"/>
            <w:rFonts w:ascii="Arial" w:hAnsi="Arial" w:cs="Arial"/>
          </w:rPr>
          <w:t>https://www.gov.uk/guidance/viability</w:t>
        </w:r>
      </w:hyperlink>
    </w:p>
  </w:footnote>
  <w:footnote w:id="8">
    <w:p w:rsidR="00871658" w:rsidRPr="006250EE" w:rsidRDefault="00871658" w:rsidP="00DF3F6E">
      <w:pPr>
        <w:pStyle w:val="FootnoteText"/>
        <w:ind w:left="284"/>
        <w:rPr>
          <w:rFonts w:ascii="Arial" w:hAnsi="Arial" w:cs="Arial"/>
        </w:rPr>
      </w:pPr>
      <w:r w:rsidRPr="006250EE">
        <w:rPr>
          <w:rStyle w:val="FootnoteReference"/>
          <w:rFonts w:ascii="Arial" w:hAnsi="Arial" w:cs="Arial"/>
        </w:rPr>
        <w:footnoteRef/>
      </w:r>
      <w:r w:rsidRPr="006250EE">
        <w:rPr>
          <w:rFonts w:ascii="Arial" w:hAnsi="Arial" w:cs="Arial"/>
        </w:rPr>
        <w:t xml:space="preserve">   </w:t>
      </w:r>
      <w:r w:rsidRPr="006250EE">
        <w:rPr>
          <w:rFonts w:ascii="Arial" w:hAnsi="Arial" w:cs="Arial"/>
        </w:rPr>
        <w:tab/>
        <w:t>PPG Reference ID: 10-012-20140306</w:t>
      </w:r>
      <w:r>
        <w:rPr>
          <w:rFonts w:ascii="Arial" w:hAnsi="Arial" w:cs="Arial"/>
        </w:rPr>
        <w:t xml:space="preserve"> - </w:t>
      </w:r>
      <w:r w:rsidRPr="006250EE">
        <w:rPr>
          <w:rFonts w:ascii="Arial" w:hAnsi="Arial" w:cs="Arial"/>
        </w:rPr>
        <w:t>10-015-20140306</w:t>
      </w:r>
    </w:p>
  </w:footnote>
  <w:footnote w:id="9">
    <w:p w:rsidR="00871658" w:rsidRPr="006250EE" w:rsidRDefault="00871658" w:rsidP="005857B4">
      <w:pPr>
        <w:pStyle w:val="FootnoteText"/>
        <w:ind w:left="284"/>
        <w:rPr>
          <w:rFonts w:ascii="Arial" w:hAnsi="Arial" w:cs="Arial"/>
        </w:rPr>
      </w:pPr>
      <w:r w:rsidRPr="006250EE">
        <w:rPr>
          <w:rStyle w:val="FootnoteReference"/>
          <w:rFonts w:ascii="Arial" w:hAnsi="Arial" w:cs="Arial"/>
        </w:rPr>
        <w:footnoteRef/>
      </w:r>
      <w:r w:rsidRPr="006250EE">
        <w:rPr>
          <w:rFonts w:ascii="Arial" w:hAnsi="Arial" w:cs="Arial"/>
        </w:rPr>
        <w:t xml:space="preserve">  </w:t>
      </w:r>
      <w:r w:rsidRPr="006250EE">
        <w:rPr>
          <w:rFonts w:ascii="Arial" w:hAnsi="Arial" w:cs="Arial"/>
        </w:rPr>
        <w:tab/>
        <w:t>PPG Reference ID: 10-006-20140306</w:t>
      </w:r>
    </w:p>
  </w:footnote>
  <w:footnote w:id="10">
    <w:p w:rsidR="00871658" w:rsidRPr="006250EE" w:rsidRDefault="00871658" w:rsidP="005F1E0C">
      <w:pPr>
        <w:pStyle w:val="FootnoteText"/>
        <w:ind w:left="284"/>
        <w:rPr>
          <w:rFonts w:ascii="Arial" w:hAnsi="Arial" w:cs="Arial"/>
        </w:rPr>
      </w:pPr>
      <w:r w:rsidRPr="006250EE">
        <w:rPr>
          <w:rStyle w:val="FootnoteReference"/>
          <w:rFonts w:ascii="Arial" w:hAnsi="Arial" w:cs="Arial"/>
        </w:rPr>
        <w:footnoteRef/>
      </w:r>
      <w:r w:rsidRPr="006250EE">
        <w:rPr>
          <w:rFonts w:ascii="Arial" w:hAnsi="Arial" w:cs="Arial"/>
        </w:rPr>
        <w:t xml:space="preserve">   NPPF, paragraph 174</w:t>
      </w:r>
    </w:p>
  </w:footnote>
  <w:footnote w:id="11">
    <w:p w:rsidR="00871658" w:rsidRPr="00272EBF" w:rsidRDefault="00871658" w:rsidP="00272EBF">
      <w:pPr>
        <w:pStyle w:val="FootnoteText"/>
        <w:ind w:left="284"/>
        <w:rPr>
          <w:rFonts w:ascii="Arial" w:hAnsi="Arial" w:cs="Arial"/>
        </w:rPr>
      </w:pPr>
      <w:r w:rsidRPr="006250EE">
        <w:rPr>
          <w:rStyle w:val="FootnoteReference"/>
          <w:rFonts w:ascii="Arial" w:hAnsi="Arial" w:cs="Arial"/>
        </w:rPr>
        <w:footnoteRef/>
      </w:r>
      <w:r w:rsidRPr="006250EE">
        <w:rPr>
          <w:rFonts w:ascii="Arial" w:hAnsi="Arial" w:cs="Arial"/>
        </w:rPr>
        <w:t xml:space="preserve">   </w:t>
      </w:r>
      <w:r w:rsidRPr="005F1E0C">
        <w:rPr>
          <w:rFonts w:ascii="Arial" w:hAnsi="Arial" w:cs="Arial"/>
        </w:rPr>
        <w:t>See</w:t>
      </w:r>
      <w:r w:rsidRPr="006250EE">
        <w:rPr>
          <w:rFonts w:ascii="Arial" w:hAnsi="Arial" w:cs="Arial"/>
        </w:rPr>
        <w:t xml:space="preserve">: </w:t>
      </w:r>
      <w:hyperlink r:id="rId7" w:history="1">
        <w:r w:rsidRPr="006250EE">
          <w:rPr>
            <w:rStyle w:val="Hyperlink"/>
            <w:rFonts w:ascii="Arial" w:hAnsi="Arial" w:cs="Arial"/>
          </w:rPr>
          <w:t>http://www.shepway.gov.uk/planning-policy/planning-applications-and-CIL</w:t>
        </w:r>
      </w:hyperlink>
    </w:p>
  </w:footnote>
  <w:footnote w:id="12">
    <w:p w:rsidR="00871658" w:rsidRPr="00255A22" w:rsidRDefault="00871658" w:rsidP="00255A22">
      <w:pPr>
        <w:pStyle w:val="FootnoteText"/>
        <w:rPr>
          <w:rFonts w:ascii="Arial" w:hAnsi="Arial" w:cs="Arial"/>
        </w:rPr>
      </w:pPr>
      <w:r w:rsidRPr="00255A22">
        <w:rPr>
          <w:rStyle w:val="FootnoteReference"/>
          <w:rFonts w:ascii="Arial" w:hAnsi="Arial" w:cs="Arial"/>
        </w:rPr>
        <w:footnoteRef/>
      </w:r>
      <w:r w:rsidRPr="00255A22">
        <w:rPr>
          <w:rFonts w:ascii="Arial" w:hAnsi="Arial" w:cs="Arial"/>
        </w:rPr>
        <w:t xml:space="preserve">   See: </w:t>
      </w:r>
      <w:hyperlink r:id="rId8" w:history="1">
        <w:r w:rsidRPr="00255A22">
          <w:rPr>
            <w:rStyle w:val="Hyperlink"/>
            <w:rFonts w:ascii="Arial" w:hAnsi="Arial" w:cs="Arial"/>
          </w:rPr>
          <w:t>http://www.shepway.gov.uk/media/2906/Economic-Viability-Assessment--Doc-Ref-A5/pdf/Economic_Viability_Assessment__(Doc_Ref_A5).pdf</w:t>
        </w:r>
      </w:hyperlink>
    </w:p>
  </w:footnote>
  <w:footnote w:id="13">
    <w:p w:rsidR="00871658" w:rsidRPr="005748FC" w:rsidRDefault="00871658" w:rsidP="005748FC">
      <w:pPr>
        <w:pStyle w:val="FootnoteText"/>
        <w:rPr>
          <w:rFonts w:ascii="Arial" w:hAnsi="Arial" w:cs="Arial"/>
        </w:rPr>
      </w:pPr>
      <w:r w:rsidRPr="00255A22">
        <w:rPr>
          <w:rStyle w:val="FootnoteReference"/>
          <w:rFonts w:ascii="Arial" w:hAnsi="Arial" w:cs="Arial"/>
        </w:rPr>
        <w:footnoteRef/>
      </w:r>
      <w:r w:rsidRPr="00255A22">
        <w:rPr>
          <w:rFonts w:ascii="Arial" w:hAnsi="Arial" w:cs="Arial"/>
        </w:rPr>
        <w:t xml:space="preserve">   See: </w:t>
      </w:r>
      <w:hyperlink r:id="rId9" w:history="1">
        <w:r w:rsidRPr="00255A22">
          <w:rPr>
            <w:rStyle w:val="Hyperlink"/>
            <w:rFonts w:ascii="Arial" w:hAnsi="Arial" w:cs="Arial"/>
          </w:rPr>
          <w:t>http://www.shepway.gov.uk/media/3045/Shepway-CILWPVS-July14/pdf/Shepway_CIL_WPVS_(July14).pdf</w:t>
        </w:r>
      </w:hyperlink>
    </w:p>
  </w:footnote>
  <w:footnote w:id="14">
    <w:p w:rsidR="00871658" w:rsidRPr="001E31B2" w:rsidRDefault="00871658" w:rsidP="001E31B2">
      <w:pPr>
        <w:pStyle w:val="FootnoteText"/>
        <w:rPr>
          <w:rFonts w:ascii="Arial" w:hAnsi="Arial" w:cs="Arial"/>
        </w:rPr>
      </w:pPr>
      <w:r w:rsidRPr="005748FC">
        <w:rPr>
          <w:rStyle w:val="FootnoteReference"/>
          <w:rFonts w:ascii="Arial" w:hAnsi="Arial" w:cs="Arial"/>
        </w:rPr>
        <w:footnoteRef/>
      </w:r>
      <w:r w:rsidRPr="005748FC">
        <w:rPr>
          <w:rFonts w:ascii="Arial" w:hAnsi="Arial" w:cs="Arial"/>
        </w:rPr>
        <w:t xml:space="preserve">   See: </w:t>
      </w:r>
      <w:hyperlink r:id="rId10" w:history="1">
        <w:r w:rsidRPr="005748FC">
          <w:rPr>
            <w:rStyle w:val="Hyperlink"/>
            <w:rFonts w:ascii="Arial" w:hAnsi="Arial" w:cs="Arial"/>
          </w:rPr>
          <w:t>http://www.shepway.gov.uk/media/1736/Shepway-CILWPVS-appends-July14/pdf/Shepway_CIL_WPVS_appends_(July14).pdf</w:t>
        </w:r>
      </w:hyperlink>
    </w:p>
  </w:footnote>
  <w:footnote w:id="15">
    <w:p w:rsidR="00871658" w:rsidRPr="001E31B2" w:rsidRDefault="00871658">
      <w:pPr>
        <w:pStyle w:val="FootnoteText"/>
        <w:rPr>
          <w:rFonts w:ascii="Arial" w:hAnsi="Arial" w:cs="Arial"/>
        </w:rPr>
      </w:pPr>
      <w:r w:rsidRPr="001E31B2">
        <w:rPr>
          <w:rStyle w:val="FootnoteReference"/>
          <w:rFonts w:ascii="Arial" w:hAnsi="Arial" w:cs="Arial"/>
        </w:rPr>
        <w:footnoteRef/>
      </w:r>
      <w:r w:rsidRPr="001E31B2">
        <w:rPr>
          <w:rFonts w:ascii="Arial" w:hAnsi="Arial" w:cs="Arial"/>
        </w:rPr>
        <w:t xml:space="preserve">   See: </w:t>
      </w:r>
      <w:hyperlink r:id="rId11" w:history="1">
        <w:r w:rsidRPr="001E31B2">
          <w:rPr>
            <w:rStyle w:val="Hyperlink"/>
            <w:rFonts w:ascii="Arial" w:hAnsi="Arial" w:cs="Arial"/>
          </w:rPr>
          <w:t>http://www.shepway.gov.uk/media/3051/Shepway-DC-draft-IDP-June15/pdf/Shepway_DC_draft_IDP_(June15).pdf</w:t>
        </w:r>
      </w:hyperlink>
    </w:p>
    <w:p w:rsidR="00871658" w:rsidRDefault="0087165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658" w:rsidRPr="00F85A5F" w:rsidRDefault="00871658" w:rsidP="005E497C">
    <w:pPr>
      <w:pStyle w:val="Header"/>
      <w:tabs>
        <w:tab w:val="clear" w:pos="4513"/>
        <w:tab w:val="clear" w:pos="9026"/>
        <w:tab w:val="left" w:pos="326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658" w:rsidRPr="00F85A5F" w:rsidRDefault="00871658" w:rsidP="00F85A5F">
    <w:pPr>
      <w:pStyle w:val="Header"/>
      <w:jc w:val="center"/>
      <w:rPr>
        <w:sz w:val="22"/>
      </w:rPr>
    </w:pPr>
    <w:r>
      <w:rPr>
        <w:sz w:val="22"/>
      </w:rPr>
      <w:t>Appendix A - Specification</w:t>
    </w:r>
  </w:p>
  <w:p w:rsidR="00871658" w:rsidRPr="00F85A5F" w:rsidRDefault="0060686F" w:rsidP="005E497C">
    <w:pPr>
      <w:pStyle w:val="Header"/>
      <w:tabs>
        <w:tab w:val="clear" w:pos="4513"/>
        <w:tab w:val="clear" w:pos="9026"/>
        <w:tab w:val="left" w:pos="3268"/>
      </w:tabs>
    </w:pPr>
    <w:r>
      <w:rPr>
        <w:noProof/>
        <w:lang w:eastAsia="en-GB"/>
      </w:rPr>
      <w:pict>
        <v:shapetype id="_x0000_t32" coordsize="21600,21600" o:spt="32" o:oned="t" path="m,l21600,21600e" filled="f">
          <v:path arrowok="t" fillok="f" o:connecttype="none"/>
          <o:lock v:ext="edit" shapetype="t"/>
        </v:shapetype>
        <v:shape id="_x0000_s2069" type="#_x0000_t32" style="position:absolute;left:0;text-align:left;margin-left:29.45pt;margin-top:10.8pt;width:411.3pt;height:.65pt;flip:y;z-index:251674624" o:connectortype="straight"/>
      </w:pict>
    </w:r>
    <w:r w:rsidR="00871658">
      <w:tab/>
    </w:r>
    <w:r w:rsidR="00871658">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658" w:rsidRPr="00F85A5F" w:rsidRDefault="00871658" w:rsidP="00F85A5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658" w:rsidRPr="00FA452D" w:rsidRDefault="0060686F" w:rsidP="00547B21">
    <w:pPr>
      <w:pStyle w:val="Header"/>
      <w:tabs>
        <w:tab w:val="clear" w:pos="4513"/>
        <w:tab w:val="clear" w:pos="9026"/>
        <w:tab w:val="left" w:pos="567"/>
      </w:tabs>
      <w:ind w:left="567" w:firstLine="0"/>
      <w:jc w:val="center"/>
      <w:rPr>
        <w:sz w:val="22"/>
      </w:rPr>
    </w:pPr>
    <w:r>
      <w:rPr>
        <w:noProof/>
        <w:sz w:val="22"/>
        <w:lang w:eastAsia="en-GB"/>
      </w:rPr>
      <w:pict>
        <v:shapetype id="_x0000_t32" coordsize="21600,21600" o:spt="32" o:oned="t" path="m,l21600,21600e" filled="f">
          <v:path arrowok="t" fillok="f" o:connecttype="none"/>
          <o:lock v:ext="edit" shapetype="t"/>
        </v:shapetype>
        <v:shape id="_x0000_s2050" type="#_x0000_t32" style="position:absolute;left:0;text-align:left;margin-left:-12.5pt;margin-top:24.65pt;width:10in;height:0;z-index:251658240" o:connectortype="straight"/>
      </w:pict>
    </w:r>
    <w:r w:rsidR="00871658" w:rsidRPr="00FA452D">
      <w:rPr>
        <w:sz w:val="22"/>
      </w:rPr>
      <w:t>Appendix A</w:t>
    </w:r>
    <w:r w:rsidR="00871658">
      <w:rPr>
        <w:sz w:val="22"/>
      </w:rPr>
      <w:t>1</w:t>
    </w:r>
    <w:r w:rsidR="00871658" w:rsidRPr="00FA452D">
      <w:rPr>
        <w:sz w:val="22"/>
      </w:rPr>
      <w:t>: Places and Policies Local Plan Preferred Options - Residential Site Allocations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658" w:rsidRPr="00F85A5F" w:rsidRDefault="00871658" w:rsidP="00552B11">
    <w:pPr>
      <w:pStyle w:val="Header"/>
      <w:tabs>
        <w:tab w:val="clear" w:pos="4513"/>
        <w:tab w:val="clear" w:pos="9026"/>
        <w:tab w:val="left" w:pos="567"/>
      </w:tabs>
      <w:ind w:left="567" w:firstLine="0"/>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658" w:rsidRPr="00FA452D" w:rsidRDefault="00871658" w:rsidP="00547B21">
    <w:pPr>
      <w:pStyle w:val="Header"/>
      <w:tabs>
        <w:tab w:val="clear" w:pos="4513"/>
        <w:tab w:val="clear" w:pos="9026"/>
        <w:tab w:val="left" w:pos="567"/>
      </w:tabs>
      <w:ind w:left="567" w:firstLine="0"/>
      <w:jc w:val="center"/>
      <w:rPr>
        <w:sz w:val="22"/>
      </w:rPr>
    </w:pPr>
    <w:r w:rsidRPr="00FA452D">
      <w:rPr>
        <w:sz w:val="22"/>
      </w:rPr>
      <w:t xml:space="preserve">Appendix </w:t>
    </w:r>
    <w:r>
      <w:rPr>
        <w:sz w:val="22"/>
      </w:rPr>
      <w:t>A2</w:t>
    </w:r>
    <w:r w:rsidRPr="00FA452D">
      <w:rPr>
        <w:sz w:val="22"/>
      </w:rPr>
      <w:t>: Places and Policies Local Plan Preferred Options – Development Management Policies</w:t>
    </w:r>
  </w:p>
  <w:p w:rsidR="00871658" w:rsidRPr="00F85A5F" w:rsidRDefault="0060686F" w:rsidP="00081A2F">
    <w:pPr>
      <w:pStyle w:val="Header"/>
      <w:jc w:val="center"/>
    </w:pPr>
    <w:r>
      <w:rPr>
        <w:noProof/>
        <w:lang w:eastAsia="en-GB"/>
      </w:rPr>
      <w:pict>
        <v:shapetype id="_x0000_t32" coordsize="21600,21600" o:spt="32" o:oned="t" path="m,l21600,21600e" filled="f">
          <v:path arrowok="t" fillok="f" o:connecttype="none"/>
          <o:lock v:ext="edit" shapetype="t"/>
        </v:shapetype>
        <v:shape id="_x0000_s2053" type="#_x0000_t32" style="position:absolute;left:0;text-align:left;margin-left:-5.5pt;margin-top:10.15pt;width:10in;height:0;z-index:251661312" o:connectortype="straigh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658" w:rsidRPr="00F85A5F" w:rsidRDefault="00871658" w:rsidP="00081A2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789"/>
    <w:multiLevelType w:val="hybridMultilevel"/>
    <w:tmpl w:val="C934739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14324"/>
    <w:multiLevelType w:val="multilevel"/>
    <w:tmpl w:val="1690F65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DB11FE"/>
    <w:multiLevelType w:val="multilevel"/>
    <w:tmpl w:val="72A6E6A2"/>
    <w:numStyleLink w:val="Style1"/>
  </w:abstractNum>
  <w:abstractNum w:abstractNumId="3">
    <w:nsid w:val="102F0930"/>
    <w:multiLevelType w:val="multilevel"/>
    <w:tmpl w:val="72A6E6A2"/>
    <w:styleLink w:val="Style2"/>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3200E0"/>
    <w:multiLevelType w:val="multilevel"/>
    <w:tmpl w:val="1690F656"/>
    <w:numStyleLink w:val="Style3"/>
  </w:abstractNum>
  <w:abstractNum w:abstractNumId="5">
    <w:nsid w:val="19656254"/>
    <w:multiLevelType w:val="multilevel"/>
    <w:tmpl w:val="0DD29C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EA0F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B02AA4"/>
    <w:multiLevelType w:val="multilevel"/>
    <w:tmpl w:val="67988F42"/>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0D6906"/>
    <w:multiLevelType w:val="hybridMultilevel"/>
    <w:tmpl w:val="980A223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nsid w:val="1FF0008E"/>
    <w:multiLevelType w:val="multilevel"/>
    <w:tmpl w:val="72A6E6A2"/>
    <w:styleLink w:val="Style1"/>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32D2230"/>
    <w:multiLevelType w:val="multilevel"/>
    <w:tmpl w:val="67988F42"/>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747FB4"/>
    <w:multiLevelType w:val="multilevel"/>
    <w:tmpl w:val="BFD28338"/>
    <w:lvl w:ilvl="0">
      <w:start w:val="1"/>
      <w:numFmt w:val="decimal"/>
      <w:lvlText w:val="%1."/>
      <w:lvlJc w:val="left"/>
      <w:pPr>
        <w:ind w:left="360" w:hanging="360"/>
      </w:pPr>
      <w:rPr>
        <w:rFonts w:hint="default"/>
      </w:rPr>
    </w:lvl>
    <w:lvl w:ilvl="1">
      <w:start w:val="1"/>
      <w:numFmt w:val="decimal"/>
      <w:lvlText w:val="3.%2."/>
      <w:lvlJc w:val="left"/>
      <w:pPr>
        <w:ind w:left="716"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EA45C65"/>
    <w:multiLevelType w:val="hybridMultilevel"/>
    <w:tmpl w:val="9F74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7486BDA"/>
    <w:multiLevelType w:val="multilevel"/>
    <w:tmpl w:val="1690F656"/>
    <w:styleLink w:val="Style3"/>
    <w:lvl w:ilvl="0">
      <w:start w:val="4"/>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603C25"/>
    <w:multiLevelType w:val="multilevel"/>
    <w:tmpl w:val="72A6E6A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CF50E1F"/>
    <w:multiLevelType w:val="hybridMultilevel"/>
    <w:tmpl w:val="EC4E24EA"/>
    <w:lvl w:ilvl="0" w:tplc="B86EF6F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A1524F"/>
    <w:multiLevelType w:val="hybridMultilevel"/>
    <w:tmpl w:val="B372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89068C"/>
    <w:multiLevelType w:val="multilevel"/>
    <w:tmpl w:val="0DD29C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D9656C4"/>
    <w:multiLevelType w:val="hybridMultilevel"/>
    <w:tmpl w:val="13A06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A178D9"/>
    <w:multiLevelType w:val="multilevel"/>
    <w:tmpl w:val="1190024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F26581D"/>
    <w:multiLevelType w:val="multilevel"/>
    <w:tmpl w:val="C13244B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9"/>
  </w:num>
  <w:num w:numId="4">
    <w:abstractNumId w:val="8"/>
  </w:num>
  <w:num w:numId="5">
    <w:abstractNumId w:val="0"/>
  </w:num>
  <w:num w:numId="6">
    <w:abstractNumId w:val="5"/>
  </w:num>
  <w:num w:numId="7">
    <w:abstractNumId w:val="16"/>
  </w:num>
  <w:num w:numId="8">
    <w:abstractNumId w:val="9"/>
  </w:num>
  <w:num w:numId="9">
    <w:abstractNumId w:val="2"/>
  </w:num>
  <w:num w:numId="10">
    <w:abstractNumId w:val="3"/>
  </w:num>
  <w:num w:numId="11">
    <w:abstractNumId w:val="22"/>
  </w:num>
  <w:num w:numId="12">
    <w:abstractNumId w:val="1"/>
  </w:num>
  <w:num w:numId="13">
    <w:abstractNumId w:val="10"/>
  </w:num>
  <w:num w:numId="14">
    <w:abstractNumId w:val="7"/>
  </w:num>
  <w:num w:numId="15">
    <w:abstractNumId w:val="11"/>
  </w:num>
  <w:num w:numId="16">
    <w:abstractNumId w:val="21"/>
  </w:num>
  <w:num w:numId="17">
    <w:abstractNumId w:val="15"/>
  </w:num>
  <w:num w:numId="18">
    <w:abstractNumId w:val="4"/>
  </w:num>
  <w:num w:numId="19">
    <w:abstractNumId w:val="17"/>
  </w:num>
  <w:num w:numId="20">
    <w:abstractNumId w:val="13"/>
  </w:num>
  <w:num w:numId="21">
    <w:abstractNumId w:val="18"/>
  </w:num>
  <w:num w:numId="22">
    <w:abstractNumId w:val="12"/>
  </w:num>
  <w:num w:numId="23">
    <w:abstractNumId w:val="1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2071"/>
    <o:shapelayout v:ext="edit">
      <o:idmap v:ext="edit" data="2"/>
      <o:rules v:ext="edit">
        <o:r id="V:Rule11" type="connector" idref="#_x0000_s2069"/>
        <o:r id="V:Rule12" type="connector" idref="#_x0000_s2061"/>
        <o:r id="V:Rule13" type="connector" idref="#_x0000_s2070"/>
        <o:r id="V:Rule14" type="connector" idref="#_x0000_s2053"/>
        <o:r id="V:Rule15" type="connector" idref="#_x0000_s2050"/>
        <o:r id="V:Rule16" type="connector" idref="#_x0000_s2063"/>
        <o:r id="V:Rule17" type="connector" idref="#_x0000_s2052"/>
        <o:r id="V:Rule18" type="connector" idref="#_x0000_s2054"/>
        <o:r id="V:Rule19" type="connector" idref="#_x0000_s2058"/>
        <o:r id="V:Rule20" type="connector" idref="#_x0000_s2057"/>
      </o:rules>
    </o:shapelayout>
  </w:hdrShapeDefaults>
  <w:footnotePr>
    <w:footnote w:id="-1"/>
    <w:footnote w:id="0"/>
  </w:footnotePr>
  <w:endnotePr>
    <w:endnote w:id="-1"/>
    <w:endnote w:id="0"/>
  </w:endnotePr>
  <w:compat/>
  <w:rsids>
    <w:rsidRoot w:val="00EF46DE"/>
    <w:rsid w:val="000237FD"/>
    <w:rsid w:val="00033575"/>
    <w:rsid w:val="00052672"/>
    <w:rsid w:val="0006061B"/>
    <w:rsid w:val="00067F9F"/>
    <w:rsid w:val="00076572"/>
    <w:rsid w:val="00080323"/>
    <w:rsid w:val="00081A2F"/>
    <w:rsid w:val="00081AAE"/>
    <w:rsid w:val="00087D86"/>
    <w:rsid w:val="000912B5"/>
    <w:rsid w:val="000C6235"/>
    <w:rsid w:val="000D062E"/>
    <w:rsid w:val="000D7FD8"/>
    <w:rsid w:val="000F0927"/>
    <w:rsid w:val="000F2136"/>
    <w:rsid w:val="000F7639"/>
    <w:rsid w:val="001053DA"/>
    <w:rsid w:val="0011378E"/>
    <w:rsid w:val="00125F46"/>
    <w:rsid w:val="0014366B"/>
    <w:rsid w:val="00144F50"/>
    <w:rsid w:val="00152269"/>
    <w:rsid w:val="00155822"/>
    <w:rsid w:val="00157FFC"/>
    <w:rsid w:val="00163BE8"/>
    <w:rsid w:val="0017417B"/>
    <w:rsid w:val="00183113"/>
    <w:rsid w:val="00185BB7"/>
    <w:rsid w:val="00193FCA"/>
    <w:rsid w:val="001C7B59"/>
    <w:rsid w:val="001E0F8F"/>
    <w:rsid w:val="001E1CF6"/>
    <w:rsid w:val="001E31B2"/>
    <w:rsid w:val="001F1BA5"/>
    <w:rsid w:val="002106ED"/>
    <w:rsid w:val="00255A22"/>
    <w:rsid w:val="00272EBF"/>
    <w:rsid w:val="002A2FF1"/>
    <w:rsid w:val="002A3E00"/>
    <w:rsid w:val="002B6CD9"/>
    <w:rsid w:val="002B7638"/>
    <w:rsid w:val="002E0D70"/>
    <w:rsid w:val="002F712E"/>
    <w:rsid w:val="0031008E"/>
    <w:rsid w:val="003178BF"/>
    <w:rsid w:val="00317935"/>
    <w:rsid w:val="00327FCA"/>
    <w:rsid w:val="00336EC3"/>
    <w:rsid w:val="00365157"/>
    <w:rsid w:val="00381A38"/>
    <w:rsid w:val="003A4CDB"/>
    <w:rsid w:val="003C1017"/>
    <w:rsid w:val="00410515"/>
    <w:rsid w:val="004131F5"/>
    <w:rsid w:val="00413B7C"/>
    <w:rsid w:val="004253E3"/>
    <w:rsid w:val="004322DC"/>
    <w:rsid w:val="0044621B"/>
    <w:rsid w:val="00466ED5"/>
    <w:rsid w:val="0046742F"/>
    <w:rsid w:val="0047759E"/>
    <w:rsid w:val="004810FE"/>
    <w:rsid w:val="004A06D6"/>
    <w:rsid w:val="004B33EA"/>
    <w:rsid w:val="004C6ED9"/>
    <w:rsid w:val="004E26B6"/>
    <w:rsid w:val="004F280B"/>
    <w:rsid w:val="00527E7E"/>
    <w:rsid w:val="00547B21"/>
    <w:rsid w:val="00552B11"/>
    <w:rsid w:val="005748FC"/>
    <w:rsid w:val="005844F8"/>
    <w:rsid w:val="005857B4"/>
    <w:rsid w:val="00597BDA"/>
    <w:rsid w:val="005A1E5A"/>
    <w:rsid w:val="005D02A3"/>
    <w:rsid w:val="005E497C"/>
    <w:rsid w:val="005E7100"/>
    <w:rsid w:val="005F1E0C"/>
    <w:rsid w:val="005F49C9"/>
    <w:rsid w:val="005F4B14"/>
    <w:rsid w:val="0060234B"/>
    <w:rsid w:val="0060686F"/>
    <w:rsid w:val="00613D8C"/>
    <w:rsid w:val="006158BE"/>
    <w:rsid w:val="006250EE"/>
    <w:rsid w:val="0062705B"/>
    <w:rsid w:val="00645C3E"/>
    <w:rsid w:val="006466DD"/>
    <w:rsid w:val="00680B15"/>
    <w:rsid w:val="00686326"/>
    <w:rsid w:val="006903C1"/>
    <w:rsid w:val="006B0EC5"/>
    <w:rsid w:val="006B2DA5"/>
    <w:rsid w:val="006D5A1A"/>
    <w:rsid w:val="006E750B"/>
    <w:rsid w:val="00703E29"/>
    <w:rsid w:val="00706CA4"/>
    <w:rsid w:val="00713D27"/>
    <w:rsid w:val="007226F7"/>
    <w:rsid w:val="007359D2"/>
    <w:rsid w:val="007462C5"/>
    <w:rsid w:val="00746D82"/>
    <w:rsid w:val="00756C5F"/>
    <w:rsid w:val="0077774A"/>
    <w:rsid w:val="00781950"/>
    <w:rsid w:val="00783907"/>
    <w:rsid w:val="007A0966"/>
    <w:rsid w:val="007B202E"/>
    <w:rsid w:val="008022FD"/>
    <w:rsid w:val="008102DE"/>
    <w:rsid w:val="00812953"/>
    <w:rsid w:val="00830743"/>
    <w:rsid w:val="00832C3C"/>
    <w:rsid w:val="0084423F"/>
    <w:rsid w:val="00860872"/>
    <w:rsid w:val="00871658"/>
    <w:rsid w:val="00872318"/>
    <w:rsid w:val="008758D2"/>
    <w:rsid w:val="00890525"/>
    <w:rsid w:val="00892AE9"/>
    <w:rsid w:val="00895AA8"/>
    <w:rsid w:val="008A7481"/>
    <w:rsid w:val="008C4703"/>
    <w:rsid w:val="008C4F9C"/>
    <w:rsid w:val="008C58E0"/>
    <w:rsid w:val="008F7D16"/>
    <w:rsid w:val="00904C08"/>
    <w:rsid w:val="0090718C"/>
    <w:rsid w:val="00923D55"/>
    <w:rsid w:val="00934771"/>
    <w:rsid w:val="00944F64"/>
    <w:rsid w:val="00947BE1"/>
    <w:rsid w:val="009637FF"/>
    <w:rsid w:val="00970B61"/>
    <w:rsid w:val="009877DD"/>
    <w:rsid w:val="009A427F"/>
    <w:rsid w:val="009B7CC9"/>
    <w:rsid w:val="009C31E6"/>
    <w:rsid w:val="009F1A6F"/>
    <w:rsid w:val="009F2B39"/>
    <w:rsid w:val="00A0612B"/>
    <w:rsid w:val="00A1403E"/>
    <w:rsid w:val="00A14AC0"/>
    <w:rsid w:val="00A227B5"/>
    <w:rsid w:val="00A2411D"/>
    <w:rsid w:val="00A26FAB"/>
    <w:rsid w:val="00A33D74"/>
    <w:rsid w:val="00A36F39"/>
    <w:rsid w:val="00A42A89"/>
    <w:rsid w:val="00A51C94"/>
    <w:rsid w:val="00A54E37"/>
    <w:rsid w:val="00A61BBA"/>
    <w:rsid w:val="00A64298"/>
    <w:rsid w:val="00A677C0"/>
    <w:rsid w:val="00A71331"/>
    <w:rsid w:val="00A8317F"/>
    <w:rsid w:val="00AA29F6"/>
    <w:rsid w:val="00AB2420"/>
    <w:rsid w:val="00AD6C7E"/>
    <w:rsid w:val="00AE6E20"/>
    <w:rsid w:val="00B103F2"/>
    <w:rsid w:val="00B17058"/>
    <w:rsid w:val="00B4035A"/>
    <w:rsid w:val="00B4737F"/>
    <w:rsid w:val="00B64C25"/>
    <w:rsid w:val="00B95480"/>
    <w:rsid w:val="00BC7135"/>
    <w:rsid w:val="00BD3827"/>
    <w:rsid w:val="00C05C9A"/>
    <w:rsid w:val="00C16A72"/>
    <w:rsid w:val="00C2681E"/>
    <w:rsid w:val="00C5045A"/>
    <w:rsid w:val="00CA5376"/>
    <w:rsid w:val="00CA58EA"/>
    <w:rsid w:val="00CA701E"/>
    <w:rsid w:val="00CD2E70"/>
    <w:rsid w:val="00CD6B28"/>
    <w:rsid w:val="00CD7C0F"/>
    <w:rsid w:val="00CE2A89"/>
    <w:rsid w:val="00D006FF"/>
    <w:rsid w:val="00D331EA"/>
    <w:rsid w:val="00D346D5"/>
    <w:rsid w:val="00D5613A"/>
    <w:rsid w:val="00D64304"/>
    <w:rsid w:val="00D73F24"/>
    <w:rsid w:val="00D813F9"/>
    <w:rsid w:val="00D8229D"/>
    <w:rsid w:val="00D91387"/>
    <w:rsid w:val="00D94775"/>
    <w:rsid w:val="00DF3F6E"/>
    <w:rsid w:val="00E310B9"/>
    <w:rsid w:val="00E31983"/>
    <w:rsid w:val="00E51322"/>
    <w:rsid w:val="00E66F30"/>
    <w:rsid w:val="00E761FA"/>
    <w:rsid w:val="00E90B38"/>
    <w:rsid w:val="00EB0222"/>
    <w:rsid w:val="00EB1F1E"/>
    <w:rsid w:val="00EC7554"/>
    <w:rsid w:val="00ED7286"/>
    <w:rsid w:val="00EE742A"/>
    <w:rsid w:val="00EF33F8"/>
    <w:rsid w:val="00EF46DE"/>
    <w:rsid w:val="00F043EA"/>
    <w:rsid w:val="00F05F60"/>
    <w:rsid w:val="00F1217B"/>
    <w:rsid w:val="00F233CF"/>
    <w:rsid w:val="00F33201"/>
    <w:rsid w:val="00F4440D"/>
    <w:rsid w:val="00F67EB3"/>
    <w:rsid w:val="00F74D04"/>
    <w:rsid w:val="00F85A5F"/>
    <w:rsid w:val="00F86210"/>
    <w:rsid w:val="00F86C52"/>
    <w:rsid w:val="00FA452D"/>
    <w:rsid w:val="00FB7038"/>
    <w:rsid w:val="00FC24C9"/>
    <w:rsid w:val="00FC6296"/>
    <w:rsid w:val="00FC7772"/>
    <w:rsid w:val="00FE48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40" w:line="276" w:lineRule="auto"/>
        <w:ind w:left="851"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66"/>
  </w:style>
  <w:style w:type="paragraph" w:styleId="Heading1">
    <w:name w:val="heading 1"/>
    <w:aliases w:val="ccc doc. heading 1"/>
    <w:basedOn w:val="Normal"/>
    <w:next w:val="Normal"/>
    <w:link w:val="Heading1Char"/>
    <w:qFormat/>
    <w:rsid w:val="005844F8"/>
    <w:pPr>
      <w:pBdr>
        <w:top w:val="single" w:sz="24" w:space="0" w:color="4F81BD"/>
        <w:left w:val="single" w:sz="24" w:space="0" w:color="4F81BD"/>
        <w:bottom w:val="single" w:sz="24" w:space="0" w:color="4F81BD"/>
        <w:right w:val="single" w:sz="24" w:space="0" w:color="4F81BD"/>
      </w:pBdr>
      <w:shd w:val="clear" w:color="auto" w:fill="4F81BD"/>
      <w:spacing w:before="200" w:after="0"/>
      <w:ind w:left="0" w:firstLine="0"/>
      <w:outlineLvl w:val="0"/>
    </w:pPr>
    <w:rPr>
      <w:rFonts w:ascii="Calibri" w:eastAsia="Times New Roman" w:hAnsi="Calibri" w:cs="Times New Roman"/>
      <w:b/>
      <w:bCs/>
      <w:caps/>
      <w:color w:val="FFFFFF"/>
      <w:spacing w:val="15"/>
      <w:sz w:val="22"/>
      <w:lang w:val="en-US"/>
    </w:rPr>
  </w:style>
  <w:style w:type="paragraph" w:styleId="Heading2">
    <w:name w:val="heading 2"/>
    <w:aliases w:val="QG Heading 2"/>
    <w:basedOn w:val="Normal"/>
    <w:next w:val="Normal"/>
    <w:link w:val="Heading2Char"/>
    <w:qFormat/>
    <w:rsid w:val="005844F8"/>
    <w:pPr>
      <w:pBdr>
        <w:top w:val="single" w:sz="24" w:space="0" w:color="DBE5F1"/>
        <w:left w:val="single" w:sz="24" w:space="0" w:color="DBE5F1"/>
        <w:bottom w:val="single" w:sz="24" w:space="0" w:color="DBE5F1"/>
        <w:right w:val="single" w:sz="24" w:space="0" w:color="DBE5F1"/>
      </w:pBdr>
      <w:shd w:val="clear" w:color="auto" w:fill="DBE5F1"/>
      <w:spacing w:before="200" w:after="0"/>
      <w:ind w:left="0" w:firstLine="0"/>
      <w:outlineLvl w:val="1"/>
    </w:pPr>
    <w:rPr>
      <w:rFonts w:ascii="Calibri" w:eastAsia="Times New Roman" w:hAnsi="Calibri" w:cs="Times New Roman"/>
      <w:caps/>
      <w:spacing w:val="15"/>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74A"/>
    <w:pPr>
      <w:ind w:left="720"/>
      <w:contextualSpacing/>
    </w:pPr>
  </w:style>
  <w:style w:type="paragraph" w:styleId="BalloonText">
    <w:name w:val="Balloon Text"/>
    <w:basedOn w:val="Normal"/>
    <w:link w:val="BalloonTextChar"/>
    <w:uiPriority w:val="99"/>
    <w:semiHidden/>
    <w:unhideWhenUsed/>
    <w:rsid w:val="00AE6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20"/>
    <w:rPr>
      <w:rFonts w:ascii="Tahoma" w:hAnsi="Tahoma" w:cs="Tahoma"/>
      <w:sz w:val="16"/>
      <w:szCs w:val="16"/>
    </w:rPr>
  </w:style>
  <w:style w:type="paragraph" w:styleId="Header">
    <w:name w:val="header"/>
    <w:basedOn w:val="Normal"/>
    <w:link w:val="HeaderChar"/>
    <w:uiPriority w:val="99"/>
    <w:semiHidden/>
    <w:unhideWhenUsed/>
    <w:rsid w:val="003A4C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4CDB"/>
  </w:style>
  <w:style w:type="paragraph" w:styleId="Footer">
    <w:name w:val="footer"/>
    <w:basedOn w:val="Normal"/>
    <w:link w:val="FooterChar"/>
    <w:uiPriority w:val="99"/>
    <w:unhideWhenUsed/>
    <w:rsid w:val="003A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CDB"/>
  </w:style>
  <w:style w:type="character" w:styleId="Hyperlink">
    <w:name w:val="Hyperlink"/>
    <w:basedOn w:val="DefaultParagraphFont"/>
    <w:uiPriority w:val="99"/>
    <w:unhideWhenUsed/>
    <w:rsid w:val="00832C3C"/>
    <w:rPr>
      <w:color w:val="0000FF" w:themeColor="hyperlink"/>
      <w:u w:val="single"/>
    </w:rPr>
  </w:style>
  <w:style w:type="paragraph" w:styleId="FootnoteText">
    <w:name w:val="footnote text"/>
    <w:basedOn w:val="Normal"/>
    <w:link w:val="FootnoteTextChar"/>
    <w:uiPriority w:val="99"/>
    <w:semiHidden/>
    <w:unhideWhenUsed/>
    <w:rsid w:val="00832C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32C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2C3C"/>
    <w:rPr>
      <w:vertAlign w:val="superscript"/>
    </w:rPr>
  </w:style>
  <w:style w:type="numbering" w:customStyle="1" w:styleId="Style1">
    <w:name w:val="Style1"/>
    <w:uiPriority w:val="99"/>
    <w:rsid w:val="00157FFC"/>
    <w:pPr>
      <w:numPr>
        <w:numId w:val="8"/>
      </w:numPr>
    </w:pPr>
  </w:style>
  <w:style w:type="numbering" w:customStyle="1" w:styleId="Style2">
    <w:name w:val="Style2"/>
    <w:uiPriority w:val="99"/>
    <w:rsid w:val="00157FFC"/>
    <w:pPr>
      <w:numPr>
        <w:numId w:val="10"/>
      </w:numPr>
    </w:pPr>
  </w:style>
  <w:style w:type="numbering" w:customStyle="1" w:styleId="Style3">
    <w:name w:val="Style3"/>
    <w:uiPriority w:val="99"/>
    <w:rsid w:val="00CA58EA"/>
    <w:pPr>
      <w:numPr>
        <w:numId w:val="17"/>
      </w:numPr>
    </w:pPr>
  </w:style>
  <w:style w:type="paragraph" w:styleId="EndnoteText">
    <w:name w:val="endnote text"/>
    <w:basedOn w:val="Normal"/>
    <w:link w:val="EndnoteTextChar"/>
    <w:semiHidden/>
    <w:unhideWhenUsed/>
    <w:rsid w:val="005857B4"/>
    <w:pPr>
      <w:spacing w:after="0" w:line="240" w:lineRule="auto"/>
    </w:pPr>
    <w:rPr>
      <w:sz w:val="20"/>
      <w:szCs w:val="20"/>
    </w:rPr>
  </w:style>
  <w:style w:type="character" w:customStyle="1" w:styleId="EndnoteTextChar">
    <w:name w:val="Endnote Text Char"/>
    <w:basedOn w:val="DefaultParagraphFont"/>
    <w:link w:val="EndnoteText"/>
    <w:semiHidden/>
    <w:rsid w:val="005857B4"/>
    <w:rPr>
      <w:sz w:val="20"/>
      <w:szCs w:val="20"/>
    </w:rPr>
  </w:style>
  <w:style w:type="character" w:styleId="EndnoteReference">
    <w:name w:val="endnote reference"/>
    <w:basedOn w:val="DefaultParagraphFont"/>
    <w:uiPriority w:val="99"/>
    <w:semiHidden/>
    <w:unhideWhenUsed/>
    <w:rsid w:val="005857B4"/>
    <w:rPr>
      <w:vertAlign w:val="superscript"/>
    </w:rPr>
  </w:style>
  <w:style w:type="table" w:styleId="TableGrid">
    <w:name w:val="Table Grid"/>
    <w:basedOn w:val="TableNormal"/>
    <w:uiPriority w:val="59"/>
    <w:rsid w:val="00272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ccc doc. heading 1 Char"/>
    <w:basedOn w:val="DefaultParagraphFont"/>
    <w:link w:val="Heading1"/>
    <w:rsid w:val="005844F8"/>
    <w:rPr>
      <w:rFonts w:ascii="Calibri" w:eastAsia="Times New Roman" w:hAnsi="Calibri" w:cs="Times New Roman"/>
      <w:b/>
      <w:bCs/>
      <w:caps/>
      <w:color w:val="FFFFFF"/>
      <w:spacing w:val="15"/>
      <w:sz w:val="22"/>
      <w:shd w:val="clear" w:color="auto" w:fill="4F81BD"/>
      <w:lang w:val="en-US"/>
    </w:rPr>
  </w:style>
  <w:style w:type="character" w:customStyle="1" w:styleId="Heading2Char">
    <w:name w:val="Heading 2 Char"/>
    <w:aliases w:val="QG Heading 2 Char"/>
    <w:basedOn w:val="DefaultParagraphFont"/>
    <w:link w:val="Heading2"/>
    <w:rsid w:val="005844F8"/>
    <w:rPr>
      <w:rFonts w:ascii="Calibri" w:eastAsia="Times New Roman" w:hAnsi="Calibri" w:cs="Times New Roman"/>
      <w:caps/>
      <w:spacing w:val="15"/>
      <w:sz w:val="22"/>
      <w:shd w:val="clear" w:color="auto" w:fill="DBE5F1"/>
      <w:lang w:val="en-US"/>
    </w:rPr>
  </w:style>
  <w:style w:type="paragraph" w:customStyle="1" w:styleId="TableText">
    <w:name w:val="Table Text"/>
    <w:autoRedefine/>
    <w:rsid w:val="005844F8"/>
    <w:pPr>
      <w:spacing w:before="200" w:after="200"/>
      <w:ind w:left="0" w:firstLine="0"/>
      <w:jc w:val="both"/>
    </w:pPr>
    <w:rPr>
      <w:rFonts w:ascii="Calibri" w:eastAsia="Times New Roman" w:hAnsi="Calibri" w:cs="Times New Roman"/>
      <w:lang w:eastAsia="en-GB"/>
    </w:rPr>
  </w:style>
  <w:style w:type="character" w:customStyle="1" w:styleId="NoHeading3Text">
    <w:name w:val="No Heading 3 Text"/>
    <w:rsid w:val="005844F8"/>
    <w:rPr>
      <w:rFonts w:ascii="Arial" w:hAnsi="Arial" w:cs="Arial"/>
      <w:color w:val="auto"/>
      <w:sz w:val="21"/>
      <w:szCs w:val="21"/>
      <w:u w:val="none"/>
    </w:rPr>
  </w:style>
  <w:style w:type="paragraph" w:styleId="NoSpacing">
    <w:name w:val="No Spacing"/>
    <w:basedOn w:val="Normal"/>
    <w:qFormat/>
    <w:rsid w:val="005844F8"/>
    <w:pPr>
      <w:spacing w:after="0" w:line="240" w:lineRule="auto"/>
      <w:ind w:left="0" w:firstLine="0"/>
    </w:pPr>
    <w:rPr>
      <w:rFonts w:ascii="Calibri" w:eastAsia="Times New Roman"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shepway.gov.uk/media/2906/Economic-Viability-Assessment--Doc-Ref-A5/pdf/Economic_Viability_Assessment__(Doc_Ref_A5).pdf" TargetMode="External"/><Relationship Id="rId3" Type="http://schemas.openxmlformats.org/officeDocument/2006/relationships/hyperlink" Target="http://www.shepway.gov.uk/media/3897/Places-and-Policies-Local-Plan-Oct-2016/pdf/Places_and_Policies_Local_Plan__Final_Plan_2.pdf" TargetMode="External"/><Relationship Id="rId7" Type="http://schemas.openxmlformats.org/officeDocument/2006/relationships/hyperlink" Target="http://www.shepway.gov.uk/planning-policy/planning-applications-and-CIL" TargetMode="External"/><Relationship Id="rId2" Type="http://schemas.openxmlformats.org/officeDocument/2006/relationships/hyperlink" Target="http://consult.shepway.gov.uk/portal" TargetMode="External"/><Relationship Id="rId1" Type="http://schemas.openxmlformats.org/officeDocument/2006/relationships/hyperlink" Target="http://www.shepway.gov.uk/media/1811/Core-Strategy-Local-Plan-2013/pdf/Core_Strategy_Local_Plan_2013_v2.pdf" TargetMode="External"/><Relationship Id="rId6" Type="http://schemas.openxmlformats.org/officeDocument/2006/relationships/hyperlink" Target="https://www.gov.uk/guidance/viability" TargetMode="External"/><Relationship Id="rId11" Type="http://schemas.openxmlformats.org/officeDocument/2006/relationships/hyperlink" Target="http://www.shepway.gov.uk/media/3051/Shepway-DC-draft-IDP-June15/pdf/Shepway_DC_draft_IDP_(June15).pdf" TargetMode="External"/><Relationship Id="rId5" Type="http://schemas.openxmlformats.org/officeDocument/2006/relationships/hyperlink" Target="https://www.gov.uk/guidance/viability" TargetMode="External"/><Relationship Id="rId10" Type="http://schemas.openxmlformats.org/officeDocument/2006/relationships/hyperlink" Target="http://www.shepway.gov.uk/media/1736/Shepway-CILWPVS-appends-July14/pdf/Shepway_CIL_WPVS_appends_(July14).pdf" TargetMode="External"/><Relationship Id="rId4" Type="http://schemas.openxmlformats.org/officeDocument/2006/relationships/hyperlink" Target="https://www.gov.uk/government/uploads/system/uploads/attachment_data/file/6077/2116950.pdf" TargetMode="External"/><Relationship Id="rId9" Type="http://schemas.openxmlformats.org/officeDocument/2006/relationships/hyperlink" Target="http://www.shepway.gov.uk/media/3045/Shepway-CILWPVS-July14/pdf/Shepway_CIL_WPVS_(July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39344-C5F0-40B2-A364-2CAD2855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31</Pages>
  <Words>5061</Words>
  <Characters>28850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dc:creator>
  <cp:lastModifiedBy>SDC</cp:lastModifiedBy>
  <cp:revision>124</cp:revision>
  <cp:lastPrinted>2017-02-22T11:49:00Z</cp:lastPrinted>
  <dcterms:created xsi:type="dcterms:W3CDTF">2017-01-19T13:26:00Z</dcterms:created>
  <dcterms:modified xsi:type="dcterms:W3CDTF">2017-02-24T12:32:00Z</dcterms:modified>
</cp:coreProperties>
</file>