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3C7DA516" w:rsidR="00EE16FA" w:rsidRPr="00DF1107" w:rsidRDefault="006830BD" w:rsidP="00C178DF">
            <w:pPr>
              <w:pStyle w:val="Version"/>
            </w:pPr>
            <w:r w:rsidRPr="00866D56">
              <w:rPr>
                <w:sz w:val="48"/>
                <w:szCs w:val="48"/>
              </w:rPr>
              <w:t>1</w:t>
            </w:r>
            <w:r w:rsidR="00866D56" w:rsidRPr="00866D56">
              <w:rPr>
                <w:sz w:val="48"/>
                <w:szCs w:val="48"/>
              </w:rPr>
              <w:t>8</w:t>
            </w:r>
            <w:r w:rsidRPr="00866D56">
              <w:rPr>
                <w:sz w:val="48"/>
                <w:szCs w:val="48"/>
                <w:vertAlign w:val="superscript"/>
              </w:rPr>
              <w:t>th</w:t>
            </w:r>
            <w:r w:rsidRPr="00866D56">
              <w:rPr>
                <w:sz w:val="48"/>
                <w:szCs w:val="48"/>
              </w:rPr>
              <w:t xml:space="preserve"> </w:t>
            </w:r>
            <w:r w:rsidR="00866D56" w:rsidRPr="00866D56">
              <w:rPr>
                <w:sz w:val="48"/>
                <w:szCs w:val="48"/>
              </w:rPr>
              <w:t xml:space="preserve">June </w:t>
            </w:r>
            <w:r w:rsidR="00073291" w:rsidRPr="00866D56">
              <w:rPr>
                <w:sz w:val="48"/>
                <w:szCs w:val="48"/>
              </w:rPr>
              <w:t>202</w:t>
            </w:r>
            <w:r w:rsidR="00866D56" w:rsidRPr="00866D56">
              <w:rPr>
                <w:sz w:val="48"/>
                <w:szCs w:val="48"/>
              </w:rPr>
              <w:t>4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32141E17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="007E2AC7">
              <w:rPr>
                <w:rFonts w:cs="Arial"/>
              </w:rPr>
              <w:t>:</w:t>
            </w:r>
            <w:r w:rsidR="00D562AB">
              <w:rPr>
                <w:rFonts w:cs="Arial"/>
              </w:rPr>
              <w:t xml:space="preserve"> </w:t>
            </w:r>
          </w:p>
          <w:p w14:paraId="3FB2A5E3" w14:textId="3003950D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Date:</w:t>
            </w:r>
            <w:r w:rsidR="00D562AB">
              <w:rPr>
                <w:rFonts w:cs="Arial"/>
                <w:b/>
                <w:bCs/>
              </w:rPr>
              <w:t xml:space="preserve"> </w:t>
            </w:r>
            <w:r w:rsidR="00D562AB" w:rsidRPr="00770140">
              <w:rPr>
                <w:rFonts w:cs="Arial"/>
              </w:rPr>
              <w:t>18</w:t>
            </w:r>
            <w:r w:rsidR="00D562AB" w:rsidRPr="00770140">
              <w:rPr>
                <w:rFonts w:cs="Arial"/>
                <w:vertAlign w:val="superscript"/>
              </w:rPr>
              <w:t>th</w:t>
            </w:r>
            <w:r w:rsidR="00D562AB" w:rsidRPr="00770140">
              <w:rPr>
                <w:rFonts w:cs="Arial"/>
              </w:rPr>
              <w:t xml:space="preserve"> June </w:t>
            </w:r>
            <w:r w:rsidR="00770140" w:rsidRPr="00770140">
              <w:rPr>
                <w:rFonts w:cs="Arial"/>
              </w:rPr>
              <w:t>2024</w:t>
            </w:r>
            <w:r w:rsidRPr="00F77481">
              <w:rPr>
                <w:rFonts w:cs="Arial"/>
                <w:b/>
                <w:bCs/>
              </w:rPr>
              <w:t xml:space="preserve"> </w:t>
            </w:r>
            <w:r w:rsidRPr="00F77481">
              <w:rPr>
                <w:rFonts w:cs="Arial"/>
                <w:bCs/>
              </w:rPr>
              <w:t xml:space="preserve"> 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34CE67F9" w14:textId="77777777" w:rsidR="00770140" w:rsidRDefault="00EE16FA" w:rsidP="00770140">
            <w:pPr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  <w:p w14:paraId="4C87EC3D" w14:textId="48D324EF" w:rsidR="00F77481" w:rsidRPr="00F77481" w:rsidRDefault="00F77481" w:rsidP="00862B2B">
            <w:pPr>
              <w:rPr>
                <w:rFonts w:cs="Arial"/>
                <w:b/>
                <w:bCs/>
              </w:rPr>
            </w:pP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69FB54ED" w14:textId="77777777" w:rsidR="00862B2B" w:rsidRPr="00862B2B" w:rsidRDefault="007944CF" w:rsidP="00862B2B">
            <w:pPr>
              <w:rPr>
                <w:rFonts w:cs="Arial"/>
                <w:b/>
                <w:bCs/>
                <w:iCs/>
              </w:rPr>
            </w:pPr>
            <w:r w:rsidRPr="00862B2B">
              <w:rPr>
                <w:rFonts w:cs="Arial"/>
                <w:b/>
                <w:bCs/>
                <w:iCs/>
              </w:rPr>
              <w:t xml:space="preserve"> </w:t>
            </w:r>
          </w:p>
          <w:p w14:paraId="39B263AC" w14:textId="53972F38" w:rsidR="00EE16FA" w:rsidRPr="00F77481" w:rsidRDefault="00EE16FA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3F888EEB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</w:t>
            </w:r>
            <w:r w:rsidR="006C4D1A">
              <w:rPr>
                <w:rFonts w:cs="Arial"/>
                <w:bCs/>
                <w:iCs/>
              </w:rPr>
              <w:t xml:space="preserve">reporting </w:t>
            </w:r>
            <w:r w:rsidR="00B21498">
              <w:rPr>
                <w:rFonts w:cs="Arial"/>
                <w:bCs/>
                <w:iCs/>
              </w:rPr>
              <w:t xml:space="preserve">and </w:t>
            </w:r>
            <w:r w:rsidR="00B919D7">
              <w:rPr>
                <w:rFonts w:cs="Arial"/>
                <w:bCs/>
                <w:iCs/>
              </w:rPr>
              <w:t>(</w:t>
            </w:r>
            <w:r w:rsidR="00B919D7" w:rsidRPr="006C4D1A">
              <w:rPr>
                <w:rFonts w:cs="Arial"/>
                <w:bCs/>
                <w:i/>
              </w:rPr>
              <w:t xml:space="preserve">subject to </w:t>
            </w:r>
            <w:r w:rsidR="001A56C3">
              <w:rPr>
                <w:rFonts w:cs="Arial"/>
                <w:bCs/>
                <w:i/>
              </w:rPr>
              <w:t xml:space="preserve">subsequent </w:t>
            </w:r>
            <w:r w:rsidR="00B919D7" w:rsidRPr="006C4D1A">
              <w:rPr>
                <w:rFonts w:cs="Arial"/>
                <w:bCs/>
                <w:i/>
              </w:rPr>
              <w:t>funding approval</w:t>
            </w:r>
            <w:r w:rsidR="00B919D7">
              <w:rPr>
                <w:rFonts w:cs="Arial"/>
                <w:bCs/>
                <w:iCs/>
              </w:rPr>
              <w:t xml:space="preserve">) </w:t>
            </w:r>
            <w:r w:rsidR="00B21498">
              <w:rPr>
                <w:rFonts w:cs="Arial"/>
                <w:bCs/>
                <w:iCs/>
              </w:rPr>
              <w:t xml:space="preserve">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B257EB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B257EB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6429962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52FB5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6557BA6F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673CB0B9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02E0A34C" w:rsidR="005D484F" w:rsidRPr="00F77481" w:rsidRDefault="001101F1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</w:t>
                  </w:r>
                  <w:r w:rsidR="001F1530">
                    <w:rPr>
                      <w:rFonts w:cs="Arial"/>
                    </w:rPr>
                    <w:t>x</w:t>
                  </w:r>
                  <w:r>
                    <w:rPr>
                      <w:rFonts w:cs="Arial"/>
                    </w:rPr>
                    <w:t xml:space="preserve"> Residential + 2</w:t>
                  </w:r>
                  <w:r w:rsidR="001F1530">
                    <w:rPr>
                      <w:rFonts w:cs="Arial"/>
                    </w:rPr>
                    <w:t>x</w:t>
                  </w:r>
                  <w:r w:rsidR="00BE3A19">
                    <w:rPr>
                      <w:rFonts w:cs="Arial"/>
                    </w:rPr>
                    <w:t xml:space="preserve"> </w:t>
                  </w:r>
                  <w:r w:rsidR="00030E5C">
                    <w:rPr>
                      <w:rFonts w:cs="Arial"/>
                    </w:rPr>
                    <w:t xml:space="preserve">Ground Floor </w:t>
                  </w:r>
                  <w:r w:rsidR="00BE3A19">
                    <w:rPr>
                      <w:rFonts w:cs="Arial"/>
                    </w:rPr>
                    <w:t xml:space="preserve">Commercial/Retail units </w:t>
                  </w: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6851D4A0" w:rsidR="005D484F" w:rsidRDefault="00030E5C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Pr="00CB65EE">
                    <w:rPr>
                      <w:rFonts w:cs="Arial"/>
                      <w:sz w:val="20"/>
                      <w:szCs w:val="20"/>
                    </w:rPr>
                    <w:t>predominantly</w:t>
                  </w:r>
                  <w:r>
                    <w:rPr>
                      <w:rFonts w:cs="Arial"/>
                    </w:rPr>
                    <w:t xml:space="preserve">) </w:t>
                  </w:r>
                  <w:r w:rsidR="005D484F"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</w:rPr>
                    <w:t xml:space="preserve"> consisting of both conversion works and new build. 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1E54A97D" w:rsidR="00626A83" w:rsidRPr="00F77481" w:rsidRDefault="00626A83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30F6D2B0" w:rsidR="000E5749" w:rsidRPr="000E5749" w:rsidRDefault="000E5749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i/>
                      <w:iCs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437ED003" w:rsidR="00346D38" w:rsidRPr="00F77481" w:rsidRDefault="00A07B50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AA7000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07FD7F36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556408C3" w:rsidR="00346D38" w:rsidRDefault="00921AB4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18-months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2305E2DB" w:rsidR="00346D38" w:rsidRPr="00F77481" w:rsidRDefault="00346D3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3DCB3CA" w:rsidR="007B156E" w:rsidRPr="00F77481" w:rsidRDefault="007B156E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EA647A" w:rsidRPr="00F77481" w14:paraId="6D2E44B3" w14:textId="77777777" w:rsidTr="007E15BC">
              <w:tc>
                <w:tcPr>
                  <w:tcW w:w="2518" w:type="dxa"/>
                </w:tcPr>
                <w:p w14:paraId="71BD7C53" w14:textId="5842A820" w:rsidR="00EA647A" w:rsidRPr="00F77481" w:rsidRDefault="00EA647A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Additional Considerations</w:t>
                  </w:r>
                  <w:r w:rsidR="009B74C0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65149A1" w14:textId="77777777" w:rsidR="00EA647A" w:rsidRDefault="00EA647A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1297D982" w14:textId="77777777" w:rsidR="00422958" w:rsidRDefault="00422958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3074F107" w14:textId="77777777" w:rsidR="007F793D" w:rsidRDefault="007F793D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0D57679A" w14:textId="77777777" w:rsidR="002C0D49" w:rsidRPr="00F77481" w:rsidRDefault="002C0D49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1028205C" w14:textId="77777777" w:rsidR="00862B2B" w:rsidRDefault="00862B2B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20962205" w14:textId="5543412C" w:rsidR="00322B97" w:rsidRPr="00F77481" w:rsidRDefault="003C6D1B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Reporting / 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 w:rsidR="00322B97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303C1F6" w14:textId="77777777" w:rsidR="00862B2B" w:rsidRDefault="00862B2B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  <w:bCs/>
                    </w:rPr>
                  </w:pPr>
                </w:p>
                <w:p w14:paraId="22D9446D" w14:textId="456AC1A7" w:rsidR="009B74C0" w:rsidRDefault="0030411E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 w:rsidR="00653EA3">
                    <w:rPr>
                      <w:rFonts w:cs="Arial"/>
                      <w:b/>
                      <w:bCs/>
                    </w:rPr>
                    <w:t>x</w:t>
                  </w:r>
                  <w:r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 xml:space="preserve">Initial </w:t>
                  </w:r>
                  <w:r w:rsidR="003C6D1B">
                    <w:rPr>
                      <w:rFonts w:cs="Arial"/>
                    </w:rPr>
                    <w:t xml:space="preserve">MS </w:t>
                  </w:r>
                  <w:r w:rsidR="00E308D0">
                    <w:rPr>
                      <w:rFonts w:cs="Arial"/>
                    </w:rPr>
                    <w:t>Report</w:t>
                  </w:r>
                  <w:r w:rsidR="00524A5F">
                    <w:rPr>
                      <w:rFonts w:cs="Arial"/>
                    </w:rPr>
                    <w:t xml:space="preserve"> </w:t>
                  </w:r>
                </w:p>
                <w:p w14:paraId="4517385A" w14:textId="37B48183" w:rsidR="00653EA3" w:rsidRDefault="003C6D1B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to help with </w:t>
                  </w:r>
                  <w:r w:rsidR="004E0F5A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>preliminary due diligence</w:t>
                  </w:r>
                  <w:r w:rsidR="004E0F5A">
                    <w:rPr>
                      <w:rFonts w:cs="Arial"/>
                    </w:rPr>
                    <w:t>)</w:t>
                  </w:r>
                </w:p>
                <w:p w14:paraId="442FD0F6" w14:textId="77777777" w:rsidR="004E0F5A" w:rsidRDefault="004E0F5A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14:paraId="651EA421" w14:textId="77777777" w:rsidR="009B74C0" w:rsidRDefault="00524A5F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+</w:t>
                  </w:r>
                  <w:r w:rsidR="004E0F5A">
                    <w:rPr>
                      <w:rFonts w:cs="Arial"/>
                    </w:rPr>
                    <w:t xml:space="preserve"> then (</w:t>
                  </w:r>
                  <w:r w:rsidR="004E0F5A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>i</w:t>
                  </w:r>
                  <w:r w:rsidR="005D53B7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>f</w:t>
                  </w:r>
                  <w:r w:rsidR="004E0F5A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scheme approved/pro</w:t>
                  </w:r>
                  <w:r w:rsidR="005D53B7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>gressed</w:t>
                  </w:r>
                  <w:r w:rsidR="004E0F5A">
                    <w:rPr>
                      <w:rFonts w:cs="Arial"/>
                    </w:rPr>
                    <w:t>)</w:t>
                  </w:r>
                  <w:r w:rsidR="005D53B7">
                    <w:rPr>
                      <w:rFonts w:cs="Arial"/>
                    </w:rPr>
                    <w:t xml:space="preserve"> </w:t>
                  </w:r>
                  <w:r w:rsidR="005D53B7" w:rsidRPr="009B74C0">
                    <w:rPr>
                      <w:rFonts w:cs="Arial"/>
                      <w:b/>
                      <w:bCs/>
                    </w:rPr>
                    <w:t>18x</w:t>
                  </w:r>
                  <w:r w:rsidR="005D53B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Monthly Progress Reports </w:t>
                  </w:r>
                </w:p>
                <w:p w14:paraId="09E70A2E" w14:textId="77777777" w:rsidR="00322B97" w:rsidRDefault="00E308D0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="00524A5F"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or </w:t>
                  </w:r>
                  <w:r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until </w:t>
                  </w:r>
                  <w:r w:rsidR="00A07B50" w:rsidRPr="009B74C0">
                    <w:rPr>
                      <w:rFonts w:cs="Arial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Homes England </w:t>
                  </w:r>
                  <w:r w:rsidRPr="009B74C0">
                    <w:rPr>
                      <w:rFonts w:cs="Arial"/>
                      <w:i/>
                      <w:iCs/>
                      <w:sz w:val="20"/>
                      <w:szCs w:val="20"/>
                    </w:rPr>
                    <w:t>repayment</w:t>
                  </w:r>
                  <w:r>
                    <w:rPr>
                      <w:rFonts w:cs="Arial"/>
                    </w:rPr>
                    <w:t>)</w:t>
                  </w:r>
                </w:p>
                <w:p w14:paraId="3AA3D529" w14:textId="50A500DB" w:rsidR="00862B2B" w:rsidRDefault="00862B2B" w:rsidP="00B24D29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3ACF39FE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</w:t>
            </w:r>
            <w:r w:rsidR="005A5730">
              <w:rPr>
                <w:rFonts w:cs="Arial"/>
                <w:bCs/>
                <w:iCs/>
              </w:rPr>
              <w:t xml:space="preserve">an </w:t>
            </w:r>
            <w:r w:rsidR="000F0634">
              <w:rPr>
                <w:rFonts w:cs="Arial"/>
                <w:bCs/>
                <w:iCs/>
              </w:rPr>
              <w:t xml:space="preserve">initial MS Report, after which </w:t>
            </w:r>
            <w:r w:rsidRPr="00F77481">
              <w:rPr>
                <w:rFonts w:cs="Arial"/>
                <w:bCs/>
                <w:iCs/>
              </w:rPr>
              <w:t xml:space="preserve">the Monitoring Surveyor </w:t>
            </w:r>
            <w:r w:rsidR="00413466">
              <w:rPr>
                <w:rFonts w:cs="Arial"/>
                <w:bCs/>
                <w:iCs/>
              </w:rPr>
              <w:t xml:space="preserve">would </w:t>
            </w:r>
            <w:r w:rsidRPr="00F77481">
              <w:rPr>
                <w:rFonts w:cs="Arial"/>
                <w:bCs/>
                <w:iCs/>
              </w:rPr>
              <w:t xml:space="preserve">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lastRenderedPageBreak/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25C2BB47" w14:textId="77777777" w:rsidR="0049709B" w:rsidRDefault="0049709B" w:rsidP="0049709B">
            <w:pPr>
              <w:jc w:val="both"/>
              <w:rPr>
                <w:rFonts w:cs="Arial"/>
                <w:b/>
                <w:bCs/>
              </w:rPr>
            </w:pPr>
          </w:p>
          <w:p w14:paraId="05EC0E86" w14:textId="77777777" w:rsidR="0049709B" w:rsidRDefault="0049709B" w:rsidP="0049709B">
            <w:pPr>
              <w:jc w:val="both"/>
              <w:rPr>
                <w:rFonts w:cs="Arial"/>
                <w:b/>
                <w:bCs/>
              </w:rPr>
            </w:pPr>
          </w:p>
          <w:p w14:paraId="1129748C" w14:textId="452A6185" w:rsidR="000060CD" w:rsidRPr="000060CD" w:rsidRDefault="000060CD" w:rsidP="0049709B">
            <w:pPr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798A627A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64BDA96E" w14:textId="77777777" w:rsidR="00B631FA" w:rsidRDefault="00B631FA" w:rsidP="00EE16FA">
            <w:pPr>
              <w:rPr>
                <w:rFonts w:cs="Arial"/>
                <w:b/>
                <w:bCs/>
                <w:iCs/>
              </w:rPr>
            </w:pPr>
          </w:p>
          <w:p w14:paraId="2BFCE6F5" w14:textId="6E9BA960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516D8CEC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</w:t>
            </w:r>
            <w:r w:rsidRPr="009238DB">
              <w:rPr>
                <w:rFonts w:cs="Arial"/>
                <w:bCs/>
                <w:iCs/>
              </w:rPr>
              <w:t xml:space="preserve">than </w:t>
            </w:r>
            <w:r w:rsidR="00F97D0A" w:rsidRPr="009238DB">
              <w:rPr>
                <w:rFonts w:cs="Arial"/>
                <w:b/>
                <w:bCs/>
                <w:iCs/>
              </w:rPr>
              <w:t>5</w:t>
            </w:r>
            <w:r w:rsidR="009238DB" w:rsidRPr="009238DB">
              <w:rPr>
                <w:rFonts w:cs="Arial"/>
                <w:b/>
                <w:bCs/>
                <w:iCs/>
              </w:rPr>
              <w:t>:</w:t>
            </w:r>
            <w:r w:rsidR="002A1C03" w:rsidRPr="009238DB">
              <w:rPr>
                <w:rFonts w:cs="Arial"/>
                <w:b/>
                <w:bCs/>
                <w:iCs/>
              </w:rPr>
              <w:t>00</w:t>
            </w:r>
            <w:r w:rsidR="00F97D0A" w:rsidRPr="009238DB">
              <w:rPr>
                <w:rFonts w:cs="Arial"/>
                <w:b/>
                <w:bCs/>
                <w:iCs/>
              </w:rPr>
              <w:t xml:space="preserve"> </w:t>
            </w:r>
            <w:r w:rsidR="002C4DDA" w:rsidRPr="009238DB">
              <w:rPr>
                <w:rFonts w:cs="Arial"/>
                <w:b/>
                <w:bCs/>
                <w:iCs/>
              </w:rPr>
              <w:t xml:space="preserve">pm, </w:t>
            </w:r>
            <w:r w:rsidR="009238DB">
              <w:rPr>
                <w:rFonts w:cs="Arial"/>
                <w:b/>
                <w:bCs/>
                <w:iCs/>
              </w:rPr>
              <w:t xml:space="preserve">Friday </w:t>
            </w:r>
            <w:r w:rsidR="00996409" w:rsidRPr="009238DB">
              <w:rPr>
                <w:rFonts w:cs="Arial"/>
                <w:b/>
                <w:bCs/>
                <w:iCs/>
              </w:rPr>
              <w:t>21</w:t>
            </w:r>
            <w:r w:rsidR="00996409" w:rsidRPr="009238DB">
              <w:rPr>
                <w:rFonts w:cs="Arial"/>
                <w:b/>
                <w:bCs/>
                <w:iCs/>
                <w:vertAlign w:val="superscript"/>
              </w:rPr>
              <w:t>st</w:t>
            </w:r>
            <w:r w:rsidR="00996409" w:rsidRPr="009238DB">
              <w:rPr>
                <w:rFonts w:cs="Arial"/>
                <w:b/>
                <w:bCs/>
                <w:iCs/>
              </w:rPr>
              <w:t xml:space="preserve"> </w:t>
            </w:r>
            <w:r w:rsidR="00FF3BC6" w:rsidRPr="009238DB">
              <w:rPr>
                <w:rFonts w:cs="Arial"/>
                <w:b/>
                <w:bCs/>
                <w:iCs/>
              </w:rPr>
              <w:t>June 2024</w:t>
            </w:r>
            <w:r w:rsidR="002C4DDA" w:rsidRPr="009238DB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14ACFD19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</w:t>
            </w:r>
            <w:r w:rsidR="00EE16FA" w:rsidRPr="009238DB">
              <w:rPr>
                <w:rFonts w:cs="Arial"/>
                <w:b/>
                <w:i w:val="0"/>
                <w:sz w:val="22"/>
              </w:rPr>
              <w:t xml:space="preserve">required: </w:t>
            </w:r>
            <w:r w:rsidR="009238DB">
              <w:rPr>
                <w:rFonts w:cs="Arial"/>
                <w:b/>
                <w:i w:val="0"/>
                <w:sz w:val="22"/>
              </w:rPr>
              <w:t xml:space="preserve">Friday </w:t>
            </w:r>
            <w:r w:rsidR="002C3A8E" w:rsidRPr="009238DB">
              <w:rPr>
                <w:rFonts w:cs="Arial"/>
                <w:b/>
                <w:bCs w:val="0"/>
                <w:iCs w:val="0"/>
              </w:rPr>
              <w:t>2</w:t>
            </w:r>
            <w:r w:rsidR="00996409" w:rsidRPr="009238DB">
              <w:rPr>
                <w:rFonts w:cs="Arial"/>
                <w:b/>
                <w:bCs w:val="0"/>
                <w:iCs w:val="0"/>
              </w:rPr>
              <w:t>1</w:t>
            </w:r>
            <w:r w:rsidR="00996409" w:rsidRPr="009238DB">
              <w:rPr>
                <w:rFonts w:cs="Arial"/>
                <w:b/>
                <w:bCs w:val="0"/>
                <w:iCs w:val="0"/>
                <w:vertAlign w:val="superscript"/>
              </w:rPr>
              <w:t>st</w:t>
            </w:r>
            <w:r w:rsidR="00996409" w:rsidRPr="009238DB">
              <w:rPr>
                <w:rFonts w:cs="Arial"/>
                <w:b/>
                <w:bCs w:val="0"/>
                <w:iCs w:val="0"/>
              </w:rPr>
              <w:t xml:space="preserve"> </w:t>
            </w:r>
            <w:r w:rsidR="002C3A8E" w:rsidRPr="009238DB">
              <w:rPr>
                <w:rFonts w:cs="Arial"/>
                <w:b/>
                <w:bCs w:val="0"/>
                <w:iCs w:val="0"/>
              </w:rPr>
              <w:t>June 2024</w:t>
            </w:r>
            <w:r w:rsidR="00DD4F46" w:rsidRPr="009238DB">
              <w:rPr>
                <w:rFonts w:cs="Arial"/>
                <w:b/>
                <w:bCs w:val="0"/>
                <w:iCs w:val="0"/>
              </w:rPr>
              <w:t>, by 5</w:t>
            </w:r>
            <w:r w:rsidR="009238DB" w:rsidRPr="009238DB">
              <w:rPr>
                <w:rFonts w:cs="Arial"/>
                <w:b/>
                <w:bCs w:val="0"/>
                <w:iCs w:val="0"/>
              </w:rPr>
              <w:t>:</w:t>
            </w:r>
            <w:r w:rsidR="00DD4F46" w:rsidRPr="009238DB">
              <w:rPr>
                <w:rFonts w:cs="Arial"/>
                <w:b/>
                <w:bCs w:val="0"/>
                <w:iCs w:val="0"/>
              </w:rPr>
              <w:t>00 pm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33827B8C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the following:</w:t>
            </w:r>
          </w:p>
          <w:p w14:paraId="44E30D7A" w14:textId="34EA2A1E" w:rsidR="002A1C03" w:rsidRDefault="006A4DA6" w:rsidP="005413C9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>:</w:t>
            </w:r>
            <w:r w:rsidR="005413C9">
              <w:rPr>
                <w:rFonts w:cs="Arial"/>
              </w:rPr>
              <w:t xml:space="preserve"> </w:t>
            </w:r>
          </w:p>
          <w:p w14:paraId="7A2D5806" w14:textId="77932255" w:rsidR="005413C9" w:rsidRPr="005413C9" w:rsidRDefault="005413C9" w:rsidP="005413C9">
            <w:pPr>
              <w:rPr>
                <w:rFonts w:cs="Arial"/>
                <w:b/>
                <w:bCs/>
              </w:rPr>
            </w:pPr>
            <w:r w:rsidRPr="005413C9">
              <w:rPr>
                <w:rFonts w:cs="Arial"/>
                <w:b/>
                <w:bCs/>
              </w:rPr>
              <w:t>Senior Transaction Manager</w:t>
            </w:r>
          </w:p>
          <w:p w14:paraId="525E2843" w14:textId="77777777" w:rsidR="005413C9" w:rsidRDefault="005413C9" w:rsidP="005413C9">
            <w:pPr>
              <w:rPr>
                <w:rFonts w:cs="Arial"/>
              </w:rPr>
            </w:pPr>
          </w:p>
          <w:p w14:paraId="3CEF8AF9" w14:textId="165EA3A8" w:rsidR="005413C9" w:rsidRDefault="00EE16FA" w:rsidP="005413C9">
            <w:pPr>
              <w:rPr>
                <w:rFonts w:cs="Arial"/>
              </w:rPr>
            </w:pPr>
            <w:r w:rsidRPr="00976722">
              <w:rPr>
                <w:rFonts w:cs="Arial"/>
              </w:rPr>
              <w:lastRenderedPageBreak/>
              <w:t>Email</w:t>
            </w:r>
            <w:r w:rsidR="005413C9">
              <w:rPr>
                <w:rFonts w:cs="Arial"/>
              </w:rPr>
              <w:t xml:space="preserve">: </w:t>
            </w:r>
          </w:p>
          <w:p w14:paraId="37AE2084" w14:textId="47B926F1" w:rsidR="006A4DA6" w:rsidRDefault="006A4DA6" w:rsidP="005413C9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  <w:r w:rsidR="00EE16FA" w:rsidRPr="00976722">
              <w:rPr>
                <w:rFonts w:cs="Arial"/>
              </w:rPr>
              <w:t>:</w:t>
            </w:r>
            <w:r w:rsidR="00EE16FA" w:rsidRPr="00976722">
              <w:rPr>
                <w:rFonts w:cs="Arial"/>
              </w:rPr>
              <w:tab/>
            </w:r>
            <w:r w:rsidR="005413C9">
              <w:rPr>
                <w:rFonts w:cs="Arial"/>
              </w:rPr>
              <w:t xml:space="preserve"> </w:t>
            </w:r>
          </w:p>
          <w:p w14:paraId="3521DD02" w14:textId="1D7DA832" w:rsidR="00CD2DC0" w:rsidRPr="006A4DA6" w:rsidRDefault="00CD2DC0" w:rsidP="005413C9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CCC27" w14:textId="77777777" w:rsidR="001A5EFA" w:rsidRDefault="001A5EFA" w:rsidP="00F92391">
      <w:r>
        <w:separator/>
      </w:r>
    </w:p>
  </w:endnote>
  <w:endnote w:type="continuationSeparator" w:id="0">
    <w:p w14:paraId="47CB35E1" w14:textId="77777777" w:rsidR="001A5EFA" w:rsidRDefault="001A5EFA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08CCA" w14:textId="77777777" w:rsidR="001A5EFA" w:rsidRPr="001C6B18" w:rsidRDefault="001A5EFA" w:rsidP="001C6B18">
      <w:pPr>
        <w:pStyle w:val="Footer"/>
      </w:pPr>
    </w:p>
  </w:footnote>
  <w:footnote w:type="continuationSeparator" w:id="0">
    <w:p w14:paraId="0D0F76B1" w14:textId="77777777" w:rsidR="001A5EFA" w:rsidRPr="001C6B18" w:rsidRDefault="001A5EFA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6A30E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EBA38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12205"/>
    <w:rsid w:val="00023759"/>
    <w:rsid w:val="00024D71"/>
    <w:rsid w:val="00030E5C"/>
    <w:rsid w:val="00031EC7"/>
    <w:rsid w:val="00044264"/>
    <w:rsid w:val="00047650"/>
    <w:rsid w:val="00051EE3"/>
    <w:rsid w:val="00053B2C"/>
    <w:rsid w:val="00053F3A"/>
    <w:rsid w:val="00055F79"/>
    <w:rsid w:val="00061DFC"/>
    <w:rsid w:val="00067BC4"/>
    <w:rsid w:val="000714B2"/>
    <w:rsid w:val="00071A13"/>
    <w:rsid w:val="00073291"/>
    <w:rsid w:val="00077C1C"/>
    <w:rsid w:val="0008410D"/>
    <w:rsid w:val="00091030"/>
    <w:rsid w:val="000B1FEF"/>
    <w:rsid w:val="000B6991"/>
    <w:rsid w:val="000C2CBC"/>
    <w:rsid w:val="000D184D"/>
    <w:rsid w:val="000D313D"/>
    <w:rsid w:val="000E0999"/>
    <w:rsid w:val="000E398D"/>
    <w:rsid w:val="000E5749"/>
    <w:rsid w:val="000E59C2"/>
    <w:rsid w:val="000F0634"/>
    <w:rsid w:val="000F1657"/>
    <w:rsid w:val="000F6D79"/>
    <w:rsid w:val="001101F1"/>
    <w:rsid w:val="0011226F"/>
    <w:rsid w:val="00121090"/>
    <w:rsid w:val="001321B1"/>
    <w:rsid w:val="00133231"/>
    <w:rsid w:val="00141619"/>
    <w:rsid w:val="0014602B"/>
    <w:rsid w:val="00146852"/>
    <w:rsid w:val="001521FF"/>
    <w:rsid w:val="00174604"/>
    <w:rsid w:val="001756EF"/>
    <w:rsid w:val="001955FB"/>
    <w:rsid w:val="001A56C3"/>
    <w:rsid w:val="001A5EFA"/>
    <w:rsid w:val="001A7343"/>
    <w:rsid w:val="001A761C"/>
    <w:rsid w:val="001C6B18"/>
    <w:rsid w:val="001D36AE"/>
    <w:rsid w:val="001D49A0"/>
    <w:rsid w:val="001D56EF"/>
    <w:rsid w:val="001E0D65"/>
    <w:rsid w:val="001E44BB"/>
    <w:rsid w:val="001F1530"/>
    <w:rsid w:val="001F29ED"/>
    <w:rsid w:val="001F5BD8"/>
    <w:rsid w:val="002000F6"/>
    <w:rsid w:val="002102E1"/>
    <w:rsid w:val="00212479"/>
    <w:rsid w:val="00212D6A"/>
    <w:rsid w:val="00227A11"/>
    <w:rsid w:val="00234715"/>
    <w:rsid w:val="00242A1A"/>
    <w:rsid w:val="002463BE"/>
    <w:rsid w:val="00253A45"/>
    <w:rsid w:val="00253FF0"/>
    <w:rsid w:val="00255B93"/>
    <w:rsid w:val="002825FE"/>
    <w:rsid w:val="00282EBA"/>
    <w:rsid w:val="00283F0D"/>
    <w:rsid w:val="002900F0"/>
    <w:rsid w:val="002A12B4"/>
    <w:rsid w:val="002A1C03"/>
    <w:rsid w:val="002A33C2"/>
    <w:rsid w:val="002B354B"/>
    <w:rsid w:val="002C077D"/>
    <w:rsid w:val="002C0D49"/>
    <w:rsid w:val="002C3A8E"/>
    <w:rsid w:val="002C4DDA"/>
    <w:rsid w:val="0030411E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94688"/>
    <w:rsid w:val="003C1B61"/>
    <w:rsid w:val="003C46E6"/>
    <w:rsid w:val="003C6D1B"/>
    <w:rsid w:val="003C7E04"/>
    <w:rsid w:val="003D06DA"/>
    <w:rsid w:val="003F7E26"/>
    <w:rsid w:val="00401FD1"/>
    <w:rsid w:val="00413466"/>
    <w:rsid w:val="00420B23"/>
    <w:rsid w:val="004215A3"/>
    <w:rsid w:val="00422958"/>
    <w:rsid w:val="00440349"/>
    <w:rsid w:val="00443B3F"/>
    <w:rsid w:val="004545E3"/>
    <w:rsid w:val="004564DC"/>
    <w:rsid w:val="00457D3C"/>
    <w:rsid w:val="004676AE"/>
    <w:rsid w:val="00483AEE"/>
    <w:rsid w:val="0048777D"/>
    <w:rsid w:val="00495514"/>
    <w:rsid w:val="0049709B"/>
    <w:rsid w:val="004A0AB1"/>
    <w:rsid w:val="004A361B"/>
    <w:rsid w:val="004A69E8"/>
    <w:rsid w:val="004C06A0"/>
    <w:rsid w:val="004D181E"/>
    <w:rsid w:val="004E0F5A"/>
    <w:rsid w:val="004E3F90"/>
    <w:rsid w:val="004F7A39"/>
    <w:rsid w:val="00507904"/>
    <w:rsid w:val="0052219F"/>
    <w:rsid w:val="0052233B"/>
    <w:rsid w:val="00524A5F"/>
    <w:rsid w:val="005304D0"/>
    <w:rsid w:val="0054069D"/>
    <w:rsid w:val="005413C9"/>
    <w:rsid w:val="00545304"/>
    <w:rsid w:val="00551146"/>
    <w:rsid w:val="0056003D"/>
    <w:rsid w:val="005719E0"/>
    <w:rsid w:val="00586953"/>
    <w:rsid w:val="00590C4A"/>
    <w:rsid w:val="005A504A"/>
    <w:rsid w:val="005A5730"/>
    <w:rsid w:val="005A58F4"/>
    <w:rsid w:val="005B17D3"/>
    <w:rsid w:val="005C14EA"/>
    <w:rsid w:val="005C322F"/>
    <w:rsid w:val="005C5343"/>
    <w:rsid w:val="005D36E0"/>
    <w:rsid w:val="005D484F"/>
    <w:rsid w:val="005D53B7"/>
    <w:rsid w:val="005D6650"/>
    <w:rsid w:val="00626A83"/>
    <w:rsid w:val="00634EE4"/>
    <w:rsid w:val="006365E8"/>
    <w:rsid w:val="0064063D"/>
    <w:rsid w:val="00645A97"/>
    <w:rsid w:val="00653EA3"/>
    <w:rsid w:val="006753F6"/>
    <w:rsid w:val="00682AA2"/>
    <w:rsid w:val="006830BD"/>
    <w:rsid w:val="00684FE5"/>
    <w:rsid w:val="00687951"/>
    <w:rsid w:val="00687DB8"/>
    <w:rsid w:val="00696C2B"/>
    <w:rsid w:val="006A4DA6"/>
    <w:rsid w:val="006B2F9B"/>
    <w:rsid w:val="006B4443"/>
    <w:rsid w:val="006C4D1A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0140"/>
    <w:rsid w:val="007728AB"/>
    <w:rsid w:val="0077382A"/>
    <w:rsid w:val="00777FB9"/>
    <w:rsid w:val="007944CF"/>
    <w:rsid w:val="007A77D3"/>
    <w:rsid w:val="007B156E"/>
    <w:rsid w:val="007B5B93"/>
    <w:rsid w:val="007C5951"/>
    <w:rsid w:val="007D2786"/>
    <w:rsid w:val="007D7D89"/>
    <w:rsid w:val="007E15BC"/>
    <w:rsid w:val="007E2AC7"/>
    <w:rsid w:val="007F793D"/>
    <w:rsid w:val="008270E0"/>
    <w:rsid w:val="00830735"/>
    <w:rsid w:val="00830C49"/>
    <w:rsid w:val="00832825"/>
    <w:rsid w:val="00835040"/>
    <w:rsid w:val="008428FE"/>
    <w:rsid w:val="00862B2B"/>
    <w:rsid w:val="00864275"/>
    <w:rsid w:val="00866D56"/>
    <w:rsid w:val="00867D6F"/>
    <w:rsid w:val="00872492"/>
    <w:rsid w:val="0088042D"/>
    <w:rsid w:val="00883DF4"/>
    <w:rsid w:val="008A430A"/>
    <w:rsid w:val="008C49B6"/>
    <w:rsid w:val="008D5F73"/>
    <w:rsid w:val="008E012A"/>
    <w:rsid w:val="008E2B47"/>
    <w:rsid w:val="008F4310"/>
    <w:rsid w:val="008F5DF8"/>
    <w:rsid w:val="0090540A"/>
    <w:rsid w:val="00912602"/>
    <w:rsid w:val="00914A9D"/>
    <w:rsid w:val="00921AB4"/>
    <w:rsid w:val="009238DB"/>
    <w:rsid w:val="00926B61"/>
    <w:rsid w:val="00952FB5"/>
    <w:rsid w:val="009532F8"/>
    <w:rsid w:val="00954EA6"/>
    <w:rsid w:val="00957788"/>
    <w:rsid w:val="00973637"/>
    <w:rsid w:val="00974C1E"/>
    <w:rsid w:val="00976722"/>
    <w:rsid w:val="00982976"/>
    <w:rsid w:val="00983E06"/>
    <w:rsid w:val="00986C65"/>
    <w:rsid w:val="00996409"/>
    <w:rsid w:val="009A33D1"/>
    <w:rsid w:val="009A477A"/>
    <w:rsid w:val="009A5E72"/>
    <w:rsid w:val="009A716D"/>
    <w:rsid w:val="009B5DC3"/>
    <w:rsid w:val="009B74C0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DE"/>
    <w:rsid w:val="00A63EF0"/>
    <w:rsid w:val="00A64AF4"/>
    <w:rsid w:val="00A704F6"/>
    <w:rsid w:val="00A839EC"/>
    <w:rsid w:val="00AA2A4B"/>
    <w:rsid w:val="00AA409C"/>
    <w:rsid w:val="00AA7000"/>
    <w:rsid w:val="00AB7BE3"/>
    <w:rsid w:val="00AD3B9C"/>
    <w:rsid w:val="00AE752E"/>
    <w:rsid w:val="00AF026A"/>
    <w:rsid w:val="00AF4EAB"/>
    <w:rsid w:val="00B11B30"/>
    <w:rsid w:val="00B11C1A"/>
    <w:rsid w:val="00B11C1E"/>
    <w:rsid w:val="00B1324E"/>
    <w:rsid w:val="00B168CB"/>
    <w:rsid w:val="00B172B5"/>
    <w:rsid w:val="00B21498"/>
    <w:rsid w:val="00B24CFF"/>
    <w:rsid w:val="00B24D29"/>
    <w:rsid w:val="00B257EB"/>
    <w:rsid w:val="00B36F67"/>
    <w:rsid w:val="00B37748"/>
    <w:rsid w:val="00B46551"/>
    <w:rsid w:val="00B5202C"/>
    <w:rsid w:val="00B5467C"/>
    <w:rsid w:val="00B55A74"/>
    <w:rsid w:val="00B56320"/>
    <w:rsid w:val="00B61FC0"/>
    <w:rsid w:val="00B631FA"/>
    <w:rsid w:val="00B76752"/>
    <w:rsid w:val="00B919D7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E3A19"/>
    <w:rsid w:val="00BE6D63"/>
    <w:rsid w:val="00BF2BB8"/>
    <w:rsid w:val="00C178DF"/>
    <w:rsid w:val="00C34342"/>
    <w:rsid w:val="00C37C24"/>
    <w:rsid w:val="00C41384"/>
    <w:rsid w:val="00C51753"/>
    <w:rsid w:val="00C54479"/>
    <w:rsid w:val="00C66DAC"/>
    <w:rsid w:val="00C72FB6"/>
    <w:rsid w:val="00C8206D"/>
    <w:rsid w:val="00C83A91"/>
    <w:rsid w:val="00C93124"/>
    <w:rsid w:val="00CA3EA3"/>
    <w:rsid w:val="00CA4653"/>
    <w:rsid w:val="00CA5C7E"/>
    <w:rsid w:val="00CB2389"/>
    <w:rsid w:val="00CB65EE"/>
    <w:rsid w:val="00CD26C3"/>
    <w:rsid w:val="00CD2DC0"/>
    <w:rsid w:val="00CD6B75"/>
    <w:rsid w:val="00CF5ED3"/>
    <w:rsid w:val="00D110FB"/>
    <w:rsid w:val="00D13C44"/>
    <w:rsid w:val="00D20484"/>
    <w:rsid w:val="00D24605"/>
    <w:rsid w:val="00D25E02"/>
    <w:rsid w:val="00D41CF5"/>
    <w:rsid w:val="00D50836"/>
    <w:rsid w:val="00D522AF"/>
    <w:rsid w:val="00D562AB"/>
    <w:rsid w:val="00D63428"/>
    <w:rsid w:val="00D9064A"/>
    <w:rsid w:val="00D90965"/>
    <w:rsid w:val="00DA00FD"/>
    <w:rsid w:val="00DA3FFF"/>
    <w:rsid w:val="00DA7512"/>
    <w:rsid w:val="00DD3C37"/>
    <w:rsid w:val="00DD4F46"/>
    <w:rsid w:val="00DD7EE3"/>
    <w:rsid w:val="00DE31A9"/>
    <w:rsid w:val="00DE50D7"/>
    <w:rsid w:val="00DF1107"/>
    <w:rsid w:val="00DF5F9A"/>
    <w:rsid w:val="00DF65F5"/>
    <w:rsid w:val="00DF7315"/>
    <w:rsid w:val="00DF76DB"/>
    <w:rsid w:val="00E00345"/>
    <w:rsid w:val="00E22BBA"/>
    <w:rsid w:val="00E255F1"/>
    <w:rsid w:val="00E308D0"/>
    <w:rsid w:val="00E31CA5"/>
    <w:rsid w:val="00E465C1"/>
    <w:rsid w:val="00E6663D"/>
    <w:rsid w:val="00E72825"/>
    <w:rsid w:val="00E737F6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3999"/>
    <w:rsid w:val="00F34AD7"/>
    <w:rsid w:val="00F36388"/>
    <w:rsid w:val="00F417A9"/>
    <w:rsid w:val="00F50783"/>
    <w:rsid w:val="00F52C9F"/>
    <w:rsid w:val="00F53783"/>
    <w:rsid w:val="00F53B0E"/>
    <w:rsid w:val="00F77481"/>
    <w:rsid w:val="00F80D53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3</cp:revision>
  <cp:lastPrinted>2011-08-01T16:19:00Z</cp:lastPrinted>
  <dcterms:created xsi:type="dcterms:W3CDTF">2024-07-15T09:29:00Z</dcterms:created>
  <dcterms:modified xsi:type="dcterms:W3CDTF">2024-07-15T09:30:00Z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