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1FBD7384" wp14:editId="42054128">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D4C" w:rsidRPr="006D4F71" w:rsidRDefault="00B57D4C" w:rsidP="006D4F71">
                            <w:pPr>
                              <w:pStyle w:val="swmaintitle"/>
                            </w:pP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7384"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rsidR="00B57D4C" w:rsidRPr="006D4F71" w:rsidRDefault="00B57D4C" w:rsidP="006D4F71">
                      <w:pPr>
                        <w:pStyle w:val="swmaintitle"/>
                      </w:pPr>
                      <w:r w:rsidRPr="006D4F71">
                        <w:t>Standard Selection Questionnaire (SQ)</w:t>
                      </w:r>
                    </w:p>
                  </w:txbxContent>
                </v:textbox>
                <w10:wrap type="square" anchorx="page" anchory="page"/>
              </v:shape>
            </w:pict>
          </mc:Fallback>
        </mc:AlternateContent>
      </w:r>
    </w:p>
    <w:p w:rsidR="006D4F71" w:rsidRPr="006D4F71" w:rsidRDefault="006D4F71" w:rsidP="006D4F71">
      <w:pPr>
        <w:pStyle w:val="Title"/>
        <w:rPr>
          <w:rStyle w:val="Strong"/>
          <w:rFonts w:ascii="Arial" w:hAnsi="Arial" w:cs="Arial"/>
        </w:rPr>
      </w:pPr>
      <w:r w:rsidRPr="005B53FC">
        <w:rPr>
          <w:rStyle w:val="Strong"/>
        </w:rPr>
        <w:t xml:space="preserve"> </w:t>
      </w:r>
    </w:p>
    <w:p w:rsidR="006D4F71" w:rsidRDefault="006D4F71" w:rsidP="006D4F71">
      <w:pPr>
        <w:pStyle w:val="swtextintro"/>
      </w:pP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63"/>
      </w:tblGrid>
      <w:tr w:rsidR="00706631" w:rsidRPr="00706631" w:rsidTr="00563C9A">
        <w:trPr>
          <w:trHeight w:val="679"/>
        </w:trPr>
        <w:tc>
          <w:tcPr>
            <w:tcW w:w="4253" w:type="dxa"/>
            <w:shd w:val="clear" w:color="auto" w:fill="auto"/>
          </w:tcPr>
          <w:p w:rsidR="00706631" w:rsidRPr="00706631" w:rsidRDefault="00F53D1A" w:rsidP="00F53D1A">
            <w:pPr>
              <w:pStyle w:val="swtextintro"/>
              <w:rPr>
                <w:b/>
                <w:lang w:val="en-GB"/>
              </w:rPr>
            </w:pPr>
            <w:r>
              <w:rPr>
                <w:b/>
                <w:lang w:val="en-GB"/>
              </w:rPr>
              <w:t>Project</w:t>
            </w:r>
            <w:r w:rsidR="00706631">
              <w:rPr>
                <w:b/>
                <w:lang w:val="en-GB"/>
              </w:rPr>
              <w:t xml:space="preserve"> title</w:t>
            </w:r>
          </w:p>
        </w:tc>
        <w:tc>
          <w:tcPr>
            <w:tcW w:w="4263" w:type="dxa"/>
            <w:shd w:val="clear" w:color="auto" w:fill="auto"/>
          </w:tcPr>
          <w:p w:rsidR="00706631" w:rsidRPr="00706631" w:rsidRDefault="009022DC" w:rsidP="00706631">
            <w:pPr>
              <w:pStyle w:val="swtextintro"/>
              <w:rPr>
                <w:b/>
                <w:lang w:val="en-GB"/>
              </w:rPr>
            </w:pPr>
            <w:r>
              <w:rPr>
                <w:b/>
                <w:lang w:val="en-GB"/>
              </w:rPr>
              <w:t>Free Standing Advertisements and Operations Contract</w:t>
            </w:r>
          </w:p>
        </w:tc>
      </w:tr>
      <w:tr w:rsidR="00706631" w:rsidRPr="00706631" w:rsidTr="00563C9A">
        <w:trPr>
          <w:trHeight w:val="649"/>
        </w:trPr>
        <w:tc>
          <w:tcPr>
            <w:tcW w:w="4253" w:type="dxa"/>
            <w:shd w:val="clear" w:color="auto" w:fill="auto"/>
          </w:tcPr>
          <w:p w:rsidR="00706631" w:rsidRPr="00706631" w:rsidRDefault="00F53D1A" w:rsidP="00706631">
            <w:pPr>
              <w:pStyle w:val="swtextintro"/>
              <w:rPr>
                <w:b/>
                <w:lang w:val="en-GB"/>
              </w:rPr>
            </w:pPr>
            <w:r>
              <w:rPr>
                <w:b/>
                <w:lang w:val="en-GB"/>
              </w:rPr>
              <w:t>Project r</w:t>
            </w:r>
            <w:r w:rsidR="00706631" w:rsidRPr="00706631">
              <w:rPr>
                <w:b/>
                <w:lang w:val="en-GB"/>
              </w:rPr>
              <w:t>eference</w:t>
            </w:r>
          </w:p>
        </w:tc>
        <w:tc>
          <w:tcPr>
            <w:tcW w:w="4263" w:type="dxa"/>
            <w:shd w:val="clear" w:color="auto" w:fill="auto"/>
          </w:tcPr>
          <w:p w:rsidR="00706631" w:rsidRPr="00706631" w:rsidRDefault="00B57D4C" w:rsidP="00706631">
            <w:pPr>
              <w:pStyle w:val="swtextintro"/>
              <w:rPr>
                <w:b/>
                <w:lang w:val="en-GB"/>
              </w:rPr>
            </w:pPr>
            <w:r>
              <w:rPr>
                <w:b/>
                <w:lang w:val="en-GB"/>
              </w:rPr>
              <w:t>DN566320</w:t>
            </w:r>
          </w:p>
        </w:tc>
      </w:tr>
      <w:tr w:rsidR="00706631" w:rsidRPr="00706631" w:rsidTr="00563C9A">
        <w:trPr>
          <w:trHeight w:val="708"/>
        </w:trPr>
        <w:tc>
          <w:tcPr>
            <w:tcW w:w="4253" w:type="dxa"/>
            <w:shd w:val="clear" w:color="auto" w:fill="auto"/>
          </w:tcPr>
          <w:p w:rsidR="00706631" w:rsidRPr="00706631" w:rsidRDefault="00706631" w:rsidP="00706631">
            <w:pPr>
              <w:pStyle w:val="swtextintro"/>
              <w:rPr>
                <w:b/>
                <w:lang w:val="en-GB"/>
              </w:rPr>
            </w:pPr>
            <w:r>
              <w:rPr>
                <w:b/>
                <w:lang w:val="en-GB"/>
              </w:rPr>
              <w:t>SQ submission</w:t>
            </w:r>
            <w:r w:rsidRPr="00706631">
              <w:rPr>
                <w:b/>
                <w:lang w:val="en-GB"/>
              </w:rPr>
              <w:t xml:space="preserve"> </w:t>
            </w:r>
            <w:r w:rsidR="00F53D1A">
              <w:rPr>
                <w:b/>
                <w:lang w:val="en-GB"/>
              </w:rPr>
              <w:t>d</w:t>
            </w:r>
            <w:r w:rsidRPr="00706631">
              <w:rPr>
                <w:b/>
                <w:lang w:val="en-GB"/>
              </w:rPr>
              <w:t>eadline</w:t>
            </w:r>
          </w:p>
        </w:tc>
        <w:tc>
          <w:tcPr>
            <w:tcW w:w="4263" w:type="dxa"/>
            <w:shd w:val="clear" w:color="auto" w:fill="auto"/>
          </w:tcPr>
          <w:p w:rsidR="00706631" w:rsidRPr="00706631" w:rsidRDefault="009316A2" w:rsidP="00706631">
            <w:pPr>
              <w:pStyle w:val="swtextintro"/>
              <w:rPr>
                <w:b/>
                <w:lang w:val="en-GB"/>
              </w:rPr>
            </w:pPr>
            <w:r>
              <w:rPr>
                <w:b/>
                <w:lang w:val="en-GB"/>
              </w:rPr>
              <w:t>30</w:t>
            </w:r>
            <w:bookmarkStart w:id="0" w:name="_GoBack"/>
            <w:bookmarkEnd w:id="0"/>
            <w:r w:rsidR="00B57D4C">
              <w:rPr>
                <w:b/>
                <w:lang w:val="en-GB"/>
              </w:rPr>
              <w:t xml:space="preserve"> September 2021</w:t>
            </w:r>
          </w:p>
        </w:tc>
      </w:tr>
      <w:tr w:rsidR="00706631" w:rsidRPr="00706631" w:rsidTr="00563C9A">
        <w:trPr>
          <w:trHeight w:val="708"/>
        </w:trPr>
        <w:tc>
          <w:tcPr>
            <w:tcW w:w="4253" w:type="dxa"/>
            <w:shd w:val="clear" w:color="auto" w:fill="auto"/>
          </w:tcPr>
          <w:p w:rsidR="00706631" w:rsidRPr="00706631" w:rsidDel="00706631" w:rsidRDefault="00706631" w:rsidP="00706631">
            <w:pPr>
              <w:pStyle w:val="swtextintro"/>
              <w:rPr>
                <w:b/>
                <w:lang w:val="en-GB"/>
              </w:rPr>
            </w:pPr>
            <w:r>
              <w:rPr>
                <w:b/>
                <w:lang w:val="en-GB"/>
              </w:rPr>
              <w:t>Contact</w:t>
            </w:r>
          </w:p>
        </w:tc>
        <w:tc>
          <w:tcPr>
            <w:tcW w:w="4263" w:type="dxa"/>
            <w:shd w:val="clear" w:color="auto" w:fill="auto"/>
          </w:tcPr>
          <w:p w:rsidR="00706631" w:rsidRPr="00706631" w:rsidRDefault="00B57D4C" w:rsidP="00706631">
            <w:pPr>
              <w:pStyle w:val="swtextintro"/>
              <w:rPr>
                <w:b/>
                <w:lang w:val="en-GB"/>
              </w:rPr>
            </w:pPr>
            <w:r>
              <w:rPr>
                <w:b/>
                <w:lang w:val="en-GB"/>
              </w:rPr>
              <w:t>Ola Ohwesi</w:t>
            </w:r>
          </w:p>
        </w:tc>
      </w:tr>
    </w:tbl>
    <w:p w:rsidR="006D4F71" w:rsidRDefault="006D4F71" w:rsidP="006D4F71">
      <w:pPr>
        <w:pStyle w:val="swtextintro"/>
      </w:pPr>
      <w:r>
        <w:rPr>
          <w:noProof/>
          <w:lang w:val="en-GB" w:eastAsia="en-GB"/>
        </w:rPr>
        <mc:AlternateContent>
          <mc:Choice Requires="wps">
            <w:drawing>
              <wp:anchor distT="0" distB="0" distL="114300" distR="114300" simplePos="0" relativeHeight="251662336" behindDoc="0" locked="0" layoutInCell="1" allowOverlap="1" wp14:anchorId="1800FF00" wp14:editId="79435127">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D4C" w:rsidRPr="00C17789" w:rsidRDefault="00B57D4C" w:rsidP="006D4F71">
                            <w:pPr>
                              <w:pStyle w:val="swbartext"/>
                            </w:pPr>
                            <w:r>
                              <w:t>Over EU services or supplies</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FF00" id="Text Box 5" o:spid="_x0000_s1027" type="#_x0000_t202" style="position:absolute;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rsidR="00B57D4C" w:rsidRPr="00C17789" w:rsidRDefault="00B57D4C" w:rsidP="006D4F71">
                      <w:pPr>
                        <w:pStyle w:val="swbartext"/>
                      </w:pPr>
                      <w:r>
                        <w:t>Over EU services or supplies</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68D412D" wp14:editId="140A2681">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D4C" w:rsidRPr="00B80C13" w:rsidRDefault="00B57D4C"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412D" id="Text Box 3" o:spid="_x0000_s1028" type="#_x0000_t202" style="position:absolute;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rsidR="00B57D4C" w:rsidRPr="00B80C13" w:rsidRDefault="00B57D4C" w:rsidP="006D4F71">
                      <w:pPr>
                        <w:pStyle w:val="swbarwebaddress"/>
                      </w:pPr>
                      <w:r w:rsidRPr="00B80C13">
                        <w:t>www.southwark.gov</w:t>
                      </w:r>
                      <w:r>
                        <w:t>.uk</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473DD75" wp14:editId="4C03ACFE">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D2A0"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p>
    <w:p w:rsidR="006D4F71" w:rsidRDefault="006D4F71" w:rsidP="006D4F71">
      <w:pPr>
        <w:pStyle w:val="swtextsubhead"/>
      </w:pPr>
    </w:p>
    <w:p w:rsidR="006D4F71" w:rsidRPr="00375A3A" w:rsidRDefault="006D4F71" w:rsidP="006D4F71">
      <w:pPr>
        <w:pStyle w:val="swtext"/>
      </w:pPr>
    </w:p>
    <w:p w:rsidR="006D4F71" w:rsidRDefault="006D4F71">
      <w:pPr>
        <w:rPr>
          <w:rFonts w:ascii="Arial" w:hAnsi="Arial" w:cs="Arial"/>
          <w:color w:val="auto"/>
          <w:sz w:val="22"/>
          <w:szCs w:val="22"/>
        </w:rPr>
      </w:pPr>
      <w:r>
        <w:br w:type="page"/>
      </w:r>
    </w:p>
    <w:p w:rsidR="00745BA4" w:rsidRPr="004633E1" w:rsidRDefault="00745BA4" w:rsidP="00745BA4">
      <w:pPr>
        <w:pStyle w:val="Heading1"/>
        <w:contextualSpacing w:val="0"/>
        <w:rPr>
          <w:sz w:val="28"/>
          <w:szCs w:val="28"/>
        </w:rPr>
      </w:pPr>
      <w:r w:rsidRPr="004633E1">
        <w:rPr>
          <w:sz w:val="28"/>
          <w:szCs w:val="28"/>
        </w:rPr>
        <w:lastRenderedPageBreak/>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rsidR="00745BA4" w:rsidRPr="004C1DF5" w:rsidRDefault="00745BA4" w:rsidP="00745BA4">
      <w:pPr>
        <w:pStyle w:val="Normal1"/>
        <w:spacing w:after="150"/>
        <w:jc w:val="both"/>
        <w:rPr>
          <w:sz w:val="22"/>
          <w:szCs w:val="22"/>
        </w:rPr>
      </w:pPr>
      <w:proofErr w:type="gramStart"/>
      <w:r w:rsidRPr="001552A8">
        <w:rPr>
          <w:rFonts w:ascii="Arial" w:eastAsia="Arial" w:hAnsi="Arial" w:cs="Arial"/>
          <w:sz w:val="22"/>
          <w:szCs w:val="22"/>
        </w:rPr>
        <w:t>Alternatively</w:t>
      </w:r>
      <w:proofErr w:type="gramEnd"/>
      <w:r w:rsidRPr="001552A8">
        <w:rPr>
          <w:rFonts w:ascii="Arial" w:eastAsia="Arial" w:hAnsi="Arial" w:cs="Arial"/>
          <w:sz w:val="22"/>
          <w:szCs w:val="22"/>
        </w:rPr>
        <w:t xml:space="preserve"> you can submit the completed Exclusion Grounds of the </w:t>
      </w:r>
      <w:hyperlink r:id="rId8">
        <w:r w:rsidRPr="001552A8">
          <w:rPr>
            <w:rFonts w:ascii="Arial" w:eastAsia="Arial" w:hAnsi="Arial" w:cs="Arial"/>
            <w:color w:val="1155CC"/>
            <w:sz w:val="22"/>
            <w:szCs w:val="22"/>
            <w:u w:val="single"/>
          </w:rPr>
          <w:t>EU ESPD</w:t>
        </w:r>
      </w:hyperlink>
      <w:r w:rsidRPr="001552A8">
        <w:rPr>
          <w:rFonts w:ascii="Arial" w:eastAsia="Arial" w:hAnsi="Arial" w:cs="Arial"/>
          <w:sz w:val="22"/>
          <w:szCs w:val="22"/>
        </w:rPr>
        <w:t xml:space="preserve"> </w:t>
      </w:r>
      <w:r w:rsidRPr="001552A8">
        <w:rPr>
          <w:rFonts w:ascii="Arial" w:eastAsia="Arial" w:hAnsi="Arial" w:cs="Arial"/>
          <w:color w:val="1C4587"/>
          <w:sz w:val="22"/>
          <w:szCs w:val="22"/>
        </w:rPr>
        <w:t xml:space="preserve">(Part III) </w:t>
      </w:r>
      <w:r w:rsidRPr="001552A8">
        <w:rPr>
          <w:rFonts w:ascii="Arial" w:eastAsia="Arial" w:hAnsi="Arial" w:cs="Arial"/>
          <w:sz w:val="22"/>
          <w:szCs w:val="22"/>
        </w:rPr>
        <w:t>as a downloaded XML file to the buyer contact point along with the selection information requested in the procurement documentation.</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745BA4" w:rsidRPr="009022DC" w:rsidRDefault="009022DC" w:rsidP="00745BA4">
      <w:pPr>
        <w:pStyle w:val="Normal1"/>
        <w:spacing w:after="160" w:line="259" w:lineRule="auto"/>
        <w:jc w:val="center"/>
        <w:rPr>
          <w:rFonts w:ascii="Arial" w:hAnsi="Arial" w:cs="Arial"/>
          <w:sz w:val="28"/>
          <w:szCs w:val="28"/>
        </w:rPr>
      </w:pPr>
      <w:r w:rsidRPr="009022DC">
        <w:rPr>
          <w:rFonts w:ascii="Arial" w:hAnsi="Arial" w:cs="Arial"/>
          <w:b/>
          <w:sz w:val="28"/>
          <w:szCs w:val="28"/>
        </w:rPr>
        <w:t>Free Standing Advertisements and Operations Contract</w:t>
      </w:r>
    </w:p>
    <w:p w:rsidR="00745BA4" w:rsidRDefault="00B57D4C" w:rsidP="00745BA4">
      <w:pPr>
        <w:pStyle w:val="Normal1"/>
        <w:spacing w:before="120" w:after="120"/>
        <w:jc w:val="center"/>
      </w:pPr>
      <w:r>
        <w:t>Project ref:  DN566320</w:t>
      </w:r>
    </w:p>
    <w:p w:rsidR="00745BA4" w:rsidRDefault="00B57D4C" w:rsidP="00745BA4">
      <w:pPr>
        <w:pStyle w:val="Normal1"/>
        <w:spacing w:before="120" w:after="120"/>
        <w:jc w:val="center"/>
      </w:pPr>
      <w:r>
        <w:rPr>
          <w:rFonts w:ascii="Arial" w:eastAsia="Arial" w:hAnsi="Arial" w:cs="Arial"/>
          <w:b/>
          <w:sz w:val="22"/>
          <w:szCs w:val="22"/>
        </w:rPr>
        <w:t>Procurement process: Open T</w:t>
      </w:r>
      <w:r w:rsidR="009022DC">
        <w:rPr>
          <w:rFonts w:ascii="Arial" w:eastAsia="Arial" w:hAnsi="Arial" w:cs="Arial"/>
          <w:b/>
          <w:sz w:val="22"/>
          <w:szCs w:val="22"/>
        </w:rPr>
        <w:t>ender</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Pr="00563C9A" w:rsidRDefault="004C1DF5" w:rsidP="00745BA4">
      <w:pPr>
        <w:pStyle w:val="Normal1"/>
        <w:numPr>
          <w:ilvl w:val="0"/>
          <w:numId w:val="11"/>
        </w:numPr>
        <w:spacing w:after="200"/>
        <w:ind w:hanging="360"/>
        <w:jc w:val="both"/>
        <w:rPr>
          <w:rFonts w:ascii="Arial" w:eastAsia="Arial" w:hAnsi="Arial" w:cs="Arial"/>
          <w:sz w:val="22"/>
          <w:szCs w:val="22"/>
        </w:rPr>
      </w:pPr>
      <w:r w:rsidRPr="00563C9A">
        <w:rPr>
          <w:rFonts w:ascii="Arial" w:eastAsia="Arial" w:hAnsi="Arial" w:cs="Arial"/>
          <w:sz w:val="22"/>
          <w:szCs w:val="22"/>
        </w:rPr>
        <w:t>[</w:t>
      </w:r>
      <w:r w:rsidR="00745BA4" w:rsidRPr="00563C9A">
        <w:rPr>
          <w:rFonts w:ascii="Arial" w:eastAsia="Arial" w:hAnsi="Arial" w:cs="Arial"/>
          <w:sz w:val="22"/>
          <w:szCs w:val="22"/>
        </w:rPr>
        <w:t>All sub-contractors are required to complete Part 1 and Part 2</w:t>
      </w:r>
      <w:r w:rsidR="00745BA4" w:rsidRPr="00563C9A">
        <w:rPr>
          <w:rFonts w:ascii="Arial" w:eastAsia="Arial" w:hAnsi="Arial" w:cs="Arial"/>
          <w:sz w:val="22"/>
          <w:szCs w:val="22"/>
          <w:vertAlign w:val="superscript"/>
        </w:rPr>
        <w:footnoteReference w:id="2"/>
      </w:r>
      <w:r w:rsidR="00745BA4" w:rsidRPr="00563C9A">
        <w:rPr>
          <w:rFonts w:ascii="Arial" w:eastAsia="Arial" w:hAnsi="Arial" w:cs="Arial"/>
          <w:sz w:val="22"/>
          <w:szCs w:val="22"/>
        </w:rPr>
        <w:t>.</w:t>
      </w:r>
      <w:r w:rsidRPr="00563C9A">
        <w:rPr>
          <w:rFonts w:ascii="Arial" w:eastAsia="Arial" w:hAnsi="Arial" w:cs="Arial"/>
          <w:sz w:val="22"/>
          <w:szCs w:val="22"/>
        </w:rPr>
        <w:t>]</w:t>
      </w:r>
      <w:r w:rsidR="00745BA4" w:rsidRPr="00563C9A">
        <w:rPr>
          <w:rFonts w:ascii="Arial" w:eastAsia="Arial" w:hAnsi="Arial" w:cs="Arial"/>
          <w:sz w:val="22"/>
          <w:szCs w:val="22"/>
        </w:rPr>
        <w:t xml:space="preserve">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02074">
      <w:pPr>
        <w:pStyle w:val="Normal1"/>
        <w:jc w:val="both"/>
      </w:pPr>
      <w:proofErr w:type="gramStart"/>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roofErr w:type="gramEnd"/>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702074" w:rsidRDefault="00702074" w:rsidP="00745BA4">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RPr="00702074" w:rsidTr="006D4F71">
        <w:tc>
          <w:tcPr>
            <w:tcW w:w="1668" w:type="dxa"/>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rsidTr="006D4F71">
        <w:tc>
          <w:tcPr>
            <w:tcW w:w="166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6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Full name of the potential supplier submitting the information</w:t>
            </w:r>
          </w:p>
          <w:p w:rsidR="00745BA4" w:rsidRDefault="00745BA4" w:rsidP="006D4F71">
            <w:pPr>
              <w:pStyle w:val="Normal1"/>
              <w:spacing w:before="100"/>
              <w:jc w:val="both"/>
            </w:pPr>
          </w:p>
        </w:tc>
        <w:tc>
          <w:tcPr>
            <w:tcW w:w="2410" w:type="dxa"/>
            <w:tcBorders>
              <w:top w:val="single" w:sz="6" w:space="0" w:color="000000"/>
            </w:tcBorders>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1.1(b) – (ii)</w:t>
            </w:r>
          </w:p>
        </w:tc>
        <w:tc>
          <w:tcPr>
            <w:tcW w:w="5244" w:type="dxa"/>
          </w:tcPr>
          <w:p w:rsidR="00745BA4" w:rsidRDefault="00745BA4" w:rsidP="006D4F71">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1.1(c)</w:t>
            </w:r>
          </w:p>
        </w:tc>
        <w:tc>
          <w:tcPr>
            <w:tcW w:w="5244" w:type="dxa"/>
          </w:tcPr>
          <w:p w:rsidR="00745BA4" w:rsidRDefault="00745BA4" w:rsidP="006D4F71">
            <w:pPr>
              <w:pStyle w:val="Normal1"/>
              <w:spacing w:before="100"/>
              <w:jc w:val="both"/>
            </w:pPr>
            <w:r>
              <w:rPr>
                <w:rFonts w:ascii="Arial" w:eastAsia="Arial" w:hAnsi="Arial" w:cs="Arial"/>
                <w:sz w:val="22"/>
                <w:szCs w:val="22"/>
              </w:rPr>
              <w:t xml:space="preserve">Trading status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1.1(d)</w:t>
            </w:r>
          </w:p>
        </w:tc>
        <w:tc>
          <w:tcPr>
            <w:tcW w:w="5244" w:type="dxa"/>
          </w:tcPr>
          <w:p w:rsidR="00745BA4" w:rsidRDefault="00745BA4" w:rsidP="006D4F71">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1.1(e)</w:t>
            </w:r>
          </w:p>
        </w:tc>
        <w:tc>
          <w:tcPr>
            <w:tcW w:w="5244" w:type="dxa"/>
          </w:tcPr>
          <w:p w:rsidR="00745BA4" w:rsidRDefault="00745BA4" w:rsidP="006D4F71">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1.1(f)</w:t>
            </w:r>
          </w:p>
        </w:tc>
        <w:tc>
          <w:tcPr>
            <w:tcW w:w="5244" w:type="dxa"/>
          </w:tcPr>
          <w:p w:rsidR="00745BA4" w:rsidRDefault="00745BA4" w:rsidP="006D4F71">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1.1(g)</w:t>
            </w:r>
          </w:p>
        </w:tc>
        <w:tc>
          <w:tcPr>
            <w:tcW w:w="5244" w:type="dxa"/>
          </w:tcPr>
          <w:p w:rsidR="00745BA4" w:rsidRDefault="00745BA4" w:rsidP="006D4F71">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1.1(h)</w:t>
            </w:r>
          </w:p>
        </w:tc>
        <w:tc>
          <w:tcPr>
            <w:tcW w:w="5244" w:type="dxa"/>
          </w:tcPr>
          <w:p w:rsidR="00745BA4" w:rsidRDefault="00745BA4" w:rsidP="006D4F71">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6D4F71">
            <w:pPr>
              <w:pStyle w:val="Normal1"/>
              <w:tabs>
                <w:tab w:val="center" w:pos="4513"/>
                <w:tab w:val="right" w:pos="9026"/>
              </w:tabs>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rsidR="00745BA4" w:rsidRDefault="00745BA4" w:rsidP="006D4F71">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6D4F71">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6D4F71">
            <w:pPr>
              <w:pStyle w:val="Normal1"/>
              <w:tabs>
                <w:tab w:val="center" w:pos="4513"/>
                <w:tab w:val="right" w:pos="9026"/>
              </w:tabs>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6D4F71">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1.1(j) - (ii)</w:t>
            </w:r>
          </w:p>
        </w:tc>
        <w:tc>
          <w:tcPr>
            <w:tcW w:w="5244" w:type="dxa"/>
          </w:tcPr>
          <w:p w:rsidR="00745BA4" w:rsidRDefault="00745BA4" w:rsidP="006D4F71">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1.1(k)</w:t>
            </w:r>
          </w:p>
        </w:tc>
        <w:tc>
          <w:tcPr>
            <w:tcW w:w="5244" w:type="dxa"/>
          </w:tcPr>
          <w:p w:rsidR="00745BA4" w:rsidRDefault="00745BA4" w:rsidP="006D4F71">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1.1(l)</w:t>
            </w:r>
          </w:p>
        </w:tc>
        <w:tc>
          <w:tcPr>
            <w:tcW w:w="5244" w:type="dxa"/>
          </w:tcPr>
          <w:p w:rsidR="00745BA4" w:rsidRDefault="00745BA4" w:rsidP="006D4F71">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1.1(m)</w:t>
            </w:r>
          </w:p>
        </w:tc>
        <w:tc>
          <w:tcPr>
            <w:tcW w:w="5244" w:type="dxa"/>
          </w:tcPr>
          <w:p w:rsidR="00745BA4" w:rsidRDefault="00745BA4" w:rsidP="006D4F71">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745BA4" w:rsidRDefault="00745BA4" w:rsidP="006D4F71">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1.1(n)</w:t>
            </w:r>
          </w:p>
        </w:tc>
        <w:tc>
          <w:tcPr>
            <w:tcW w:w="5244" w:type="dxa"/>
          </w:tcPr>
          <w:p w:rsidR="00745BA4" w:rsidRDefault="00745BA4" w:rsidP="006D4F71">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745BA4" w:rsidRDefault="00745BA4" w:rsidP="006D4F71">
            <w:pPr>
              <w:pStyle w:val="Normal1"/>
              <w:jc w:val="both"/>
            </w:pPr>
            <w:r>
              <w:rPr>
                <w:rFonts w:ascii="Arial" w:eastAsia="Arial" w:hAnsi="Arial" w:cs="Arial"/>
                <w:sz w:val="22"/>
                <w:szCs w:val="22"/>
              </w:rPr>
              <w:t xml:space="preserve">- Name; </w:t>
            </w:r>
          </w:p>
          <w:p w:rsidR="00745BA4" w:rsidRDefault="00745BA4" w:rsidP="006D4F71">
            <w:pPr>
              <w:pStyle w:val="Normal1"/>
              <w:jc w:val="both"/>
            </w:pPr>
            <w:r>
              <w:rPr>
                <w:rFonts w:ascii="Arial" w:eastAsia="Arial" w:hAnsi="Arial" w:cs="Arial"/>
                <w:sz w:val="22"/>
                <w:szCs w:val="22"/>
              </w:rPr>
              <w:t xml:space="preserve">- Date of birth; </w:t>
            </w:r>
          </w:p>
          <w:p w:rsidR="00745BA4" w:rsidRDefault="00745BA4" w:rsidP="006D4F71">
            <w:pPr>
              <w:pStyle w:val="Normal1"/>
              <w:jc w:val="both"/>
            </w:pPr>
            <w:r>
              <w:rPr>
                <w:rFonts w:ascii="Arial" w:eastAsia="Arial" w:hAnsi="Arial" w:cs="Arial"/>
                <w:sz w:val="22"/>
                <w:szCs w:val="22"/>
              </w:rPr>
              <w:t xml:space="preserve">- Nationality; </w:t>
            </w:r>
          </w:p>
          <w:p w:rsidR="00745BA4" w:rsidRDefault="00745BA4" w:rsidP="006D4F71">
            <w:pPr>
              <w:pStyle w:val="Normal1"/>
              <w:jc w:val="both"/>
            </w:pPr>
            <w:r>
              <w:rPr>
                <w:rFonts w:ascii="Arial" w:eastAsia="Arial" w:hAnsi="Arial" w:cs="Arial"/>
                <w:sz w:val="22"/>
                <w:szCs w:val="22"/>
              </w:rPr>
              <w:t xml:space="preserve">- Country, state or part of the UK where the PSC usually lives; </w:t>
            </w:r>
          </w:p>
          <w:p w:rsidR="00745BA4" w:rsidRDefault="00745BA4" w:rsidP="006D4F71">
            <w:pPr>
              <w:pStyle w:val="Normal1"/>
              <w:jc w:val="both"/>
            </w:pPr>
            <w:r>
              <w:rPr>
                <w:rFonts w:ascii="Arial" w:eastAsia="Arial" w:hAnsi="Arial" w:cs="Arial"/>
                <w:sz w:val="22"/>
                <w:szCs w:val="22"/>
              </w:rPr>
              <w:t xml:space="preserve">- Service address; </w:t>
            </w:r>
          </w:p>
          <w:p w:rsidR="00745BA4" w:rsidRDefault="00745BA4" w:rsidP="006D4F71">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6D4F71">
            <w:pPr>
              <w:pStyle w:val="Normal1"/>
              <w:jc w:val="both"/>
            </w:pPr>
            <w:r>
              <w:rPr>
                <w:rFonts w:ascii="Arial" w:eastAsia="Arial" w:hAnsi="Arial" w:cs="Arial"/>
                <w:sz w:val="22"/>
                <w:szCs w:val="22"/>
              </w:rPr>
              <w:t xml:space="preserve">- Which conditions for being a PSC are met; </w:t>
            </w:r>
          </w:p>
          <w:p w:rsidR="00745BA4" w:rsidRDefault="00745BA4" w:rsidP="006D4F71">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6D4F71">
            <w:pPr>
              <w:pStyle w:val="Normal1"/>
              <w:jc w:val="both"/>
            </w:pPr>
            <w:r>
              <w:rPr>
                <w:rFonts w:ascii="Arial" w:eastAsia="Arial" w:hAnsi="Arial" w:cs="Arial"/>
                <w:sz w:val="22"/>
                <w:szCs w:val="22"/>
              </w:rPr>
              <w:tab/>
              <w:t xml:space="preserve">- More than 50% and less than 75%, </w:t>
            </w:r>
          </w:p>
          <w:p w:rsidR="00745BA4" w:rsidRDefault="00745BA4" w:rsidP="006D4F71">
            <w:pPr>
              <w:pStyle w:val="Normal1"/>
              <w:jc w:val="both"/>
            </w:pPr>
            <w:r>
              <w:rPr>
                <w:rFonts w:ascii="Arial" w:eastAsia="Arial" w:hAnsi="Arial" w:cs="Arial"/>
                <w:sz w:val="22"/>
                <w:szCs w:val="22"/>
              </w:rPr>
              <w:tab/>
              <w:t xml:space="preserve">- 75% or more. </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1.1(o)</w:t>
            </w:r>
          </w:p>
        </w:tc>
        <w:tc>
          <w:tcPr>
            <w:tcW w:w="5244" w:type="dxa"/>
          </w:tcPr>
          <w:p w:rsidR="00745BA4" w:rsidRDefault="00745BA4" w:rsidP="006D4F71">
            <w:pPr>
              <w:pStyle w:val="Normal1"/>
              <w:spacing w:before="100"/>
              <w:jc w:val="both"/>
            </w:pPr>
            <w:r>
              <w:rPr>
                <w:rFonts w:ascii="Arial" w:eastAsia="Arial" w:hAnsi="Arial" w:cs="Arial"/>
                <w:sz w:val="22"/>
                <w:szCs w:val="22"/>
              </w:rPr>
              <w:t>Details of immediate parent company:</w:t>
            </w:r>
          </w:p>
          <w:p w:rsidR="00745BA4" w:rsidRDefault="00745BA4" w:rsidP="006D4F71">
            <w:pPr>
              <w:pStyle w:val="Normal1"/>
              <w:jc w:val="both"/>
            </w:pPr>
            <w:r>
              <w:rPr>
                <w:rFonts w:ascii="Arial" w:eastAsia="Arial" w:hAnsi="Arial" w:cs="Arial"/>
                <w:sz w:val="22"/>
                <w:szCs w:val="22"/>
              </w:rPr>
              <w:t xml:space="preserve"> </w:t>
            </w:r>
          </w:p>
          <w:p w:rsidR="00745BA4" w:rsidRDefault="00745BA4" w:rsidP="006D4F71">
            <w:pPr>
              <w:pStyle w:val="Normal1"/>
              <w:jc w:val="both"/>
            </w:pPr>
            <w:r>
              <w:rPr>
                <w:rFonts w:ascii="Arial" w:eastAsia="Arial" w:hAnsi="Arial" w:cs="Arial"/>
                <w:sz w:val="22"/>
                <w:szCs w:val="22"/>
              </w:rPr>
              <w:t>- Full name of the immediate parent company</w:t>
            </w:r>
          </w:p>
          <w:p w:rsidR="00745BA4" w:rsidRDefault="00745BA4" w:rsidP="006D4F71">
            <w:pPr>
              <w:pStyle w:val="Normal1"/>
              <w:jc w:val="both"/>
            </w:pPr>
            <w:r>
              <w:rPr>
                <w:rFonts w:ascii="Arial" w:eastAsia="Arial" w:hAnsi="Arial" w:cs="Arial"/>
                <w:sz w:val="22"/>
                <w:szCs w:val="22"/>
              </w:rPr>
              <w:t>- Registered office address (if applicable)</w:t>
            </w:r>
          </w:p>
          <w:p w:rsidR="00745BA4" w:rsidRDefault="00745BA4" w:rsidP="006D4F71">
            <w:pPr>
              <w:pStyle w:val="Normal1"/>
              <w:jc w:val="both"/>
            </w:pPr>
            <w:r>
              <w:rPr>
                <w:rFonts w:ascii="Arial" w:eastAsia="Arial" w:hAnsi="Arial" w:cs="Arial"/>
                <w:sz w:val="22"/>
                <w:szCs w:val="22"/>
              </w:rPr>
              <w:t>- Registration number (if applicable)</w:t>
            </w:r>
          </w:p>
          <w:p w:rsidR="00745BA4" w:rsidRDefault="00745BA4" w:rsidP="006D4F71">
            <w:pPr>
              <w:pStyle w:val="Normal1"/>
              <w:jc w:val="both"/>
            </w:pPr>
            <w:r>
              <w:rPr>
                <w:rFonts w:ascii="Arial" w:eastAsia="Arial" w:hAnsi="Arial" w:cs="Arial"/>
                <w:sz w:val="22"/>
                <w:szCs w:val="22"/>
              </w:rPr>
              <w:t>- Head office DUNS number (if applicable)</w:t>
            </w:r>
          </w:p>
          <w:p w:rsidR="00745BA4" w:rsidRDefault="00745BA4" w:rsidP="006D4F71">
            <w:pPr>
              <w:pStyle w:val="Normal1"/>
              <w:jc w:val="both"/>
            </w:pPr>
            <w:r>
              <w:rPr>
                <w:rFonts w:ascii="Arial" w:eastAsia="Arial" w:hAnsi="Arial" w:cs="Arial"/>
                <w:sz w:val="22"/>
                <w:szCs w:val="22"/>
              </w:rPr>
              <w:t>- Head office VAT number (if applicable)</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1.1(p)</w:t>
            </w:r>
          </w:p>
        </w:tc>
        <w:tc>
          <w:tcPr>
            <w:tcW w:w="5244" w:type="dxa"/>
          </w:tcPr>
          <w:p w:rsidR="00745BA4" w:rsidRDefault="00745BA4" w:rsidP="006D4F71">
            <w:pPr>
              <w:pStyle w:val="Normal1"/>
              <w:spacing w:before="100"/>
              <w:jc w:val="both"/>
            </w:pPr>
            <w:r>
              <w:rPr>
                <w:rFonts w:ascii="Arial" w:eastAsia="Arial" w:hAnsi="Arial" w:cs="Arial"/>
                <w:sz w:val="22"/>
                <w:szCs w:val="22"/>
              </w:rPr>
              <w:t>Details of ultimate parent company:</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Full name of the ultimate parent company</w:t>
            </w:r>
          </w:p>
          <w:p w:rsidR="00745BA4" w:rsidRDefault="00745BA4" w:rsidP="006D4F71">
            <w:pPr>
              <w:pStyle w:val="Normal1"/>
              <w:jc w:val="both"/>
            </w:pPr>
            <w:r>
              <w:rPr>
                <w:rFonts w:ascii="Arial" w:eastAsia="Arial" w:hAnsi="Arial" w:cs="Arial"/>
                <w:sz w:val="22"/>
                <w:szCs w:val="22"/>
              </w:rPr>
              <w:t>- Registered office address (if applicable)</w:t>
            </w:r>
          </w:p>
          <w:p w:rsidR="00745BA4" w:rsidRDefault="00745BA4" w:rsidP="006D4F71">
            <w:pPr>
              <w:pStyle w:val="Normal1"/>
              <w:jc w:val="both"/>
            </w:pPr>
            <w:r>
              <w:rPr>
                <w:rFonts w:ascii="Arial" w:eastAsia="Arial" w:hAnsi="Arial" w:cs="Arial"/>
                <w:sz w:val="22"/>
                <w:szCs w:val="22"/>
              </w:rPr>
              <w:t>- Registration number (if applicable)</w:t>
            </w:r>
          </w:p>
          <w:p w:rsidR="00745BA4" w:rsidRDefault="00745BA4" w:rsidP="006D4F71">
            <w:pPr>
              <w:pStyle w:val="Normal1"/>
              <w:jc w:val="both"/>
            </w:pPr>
            <w:r>
              <w:rPr>
                <w:rFonts w:ascii="Arial" w:eastAsia="Arial" w:hAnsi="Arial" w:cs="Arial"/>
                <w:sz w:val="22"/>
                <w:szCs w:val="22"/>
              </w:rPr>
              <w:t>- Head office DUNS number (if applicable)</w:t>
            </w:r>
          </w:p>
          <w:p w:rsidR="00745BA4" w:rsidRDefault="00745BA4" w:rsidP="006D4F71">
            <w:pPr>
              <w:pStyle w:val="Normal1"/>
              <w:jc w:val="both"/>
            </w:pPr>
            <w:r>
              <w:rPr>
                <w:rFonts w:ascii="Arial" w:eastAsia="Arial" w:hAnsi="Arial" w:cs="Arial"/>
                <w:sz w:val="22"/>
                <w:szCs w:val="22"/>
              </w:rPr>
              <w:t>- Head office VAT number (if applicable)</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bl>
    <w:p w:rsidR="00745BA4" w:rsidRDefault="00745BA4" w:rsidP="00745BA4">
      <w:pPr>
        <w:pStyle w:val="Normal1"/>
        <w:spacing w:after="160" w:line="259" w:lineRule="auto"/>
      </w:pPr>
    </w:p>
    <w:p w:rsidR="00745BA4" w:rsidRPr="00702074" w:rsidRDefault="00745BA4" w:rsidP="00702074">
      <w:pPr>
        <w:pStyle w:val="Normal1"/>
        <w:jc w:val="both"/>
      </w:pPr>
      <w:r w:rsidRPr="00702074">
        <w:rPr>
          <w:rFonts w:ascii="Arial" w:eastAsia="Arial" w:hAnsi="Arial" w:cs="Arial"/>
          <w:color w:val="222222"/>
          <w:sz w:val="22"/>
          <w:szCs w:val="22"/>
          <w:highlight w:val="white"/>
        </w:rPr>
        <w:t xml:space="preserve">Please note: A criminal record check for relevant convictions </w:t>
      </w:r>
      <w:proofErr w:type="gramStart"/>
      <w:r w:rsidRPr="00702074">
        <w:rPr>
          <w:rFonts w:ascii="Arial" w:eastAsia="Arial" w:hAnsi="Arial" w:cs="Arial"/>
          <w:color w:val="222222"/>
          <w:sz w:val="22"/>
          <w:szCs w:val="22"/>
          <w:highlight w:val="white"/>
        </w:rPr>
        <w:t>may be undertaken</w:t>
      </w:r>
      <w:proofErr w:type="gramEnd"/>
      <w:r w:rsidRPr="00702074">
        <w:rPr>
          <w:rFonts w:ascii="Arial" w:eastAsia="Arial" w:hAnsi="Arial" w:cs="Arial"/>
          <w:color w:val="222222"/>
          <w:sz w:val="22"/>
          <w:szCs w:val="22"/>
          <w:highlight w:val="white"/>
        </w:rPr>
        <w:t xml:space="preserve"> for </w:t>
      </w:r>
      <w:r w:rsidR="00702074">
        <w:rPr>
          <w:rFonts w:ascii="Arial" w:eastAsia="Arial" w:hAnsi="Arial" w:cs="Arial"/>
          <w:color w:val="222222"/>
          <w:sz w:val="22"/>
          <w:szCs w:val="22"/>
          <w:highlight w:val="white"/>
        </w:rPr>
        <w:t>t</w:t>
      </w:r>
      <w:r w:rsidRPr="00702074">
        <w:rPr>
          <w:rFonts w:ascii="Arial" w:eastAsia="Arial" w:hAnsi="Arial" w:cs="Arial"/>
          <w:color w:val="222222"/>
          <w:sz w:val="22"/>
          <w:szCs w:val="22"/>
          <w:highlight w:val="white"/>
        </w:rPr>
        <w:t>he preferred suppliers and the persons of significant in control of them.</w:t>
      </w:r>
      <w:r w:rsidRPr="00702074">
        <w:br w:type="page"/>
      </w:r>
    </w:p>
    <w:p w:rsidR="00745BA4" w:rsidRDefault="00745BA4" w:rsidP="00745BA4">
      <w:pPr>
        <w:pStyle w:val="Normal1"/>
        <w:spacing w:after="160" w:line="259" w:lineRule="auto"/>
      </w:pPr>
    </w:p>
    <w:p w:rsidR="00745BA4" w:rsidRPr="00702074" w:rsidRDefault="00745BA4" w:rsidP="00745BA4">
      <w:pPr>
        <w:pStyle w:val="Normal1"/>
        <w:spacing w:before="100"/>
        <w:ind w:left="-525"/>
        <w:jc w:val="both"/>
        <w:rPr>
          <w:sz w:val="22"/>
          <w:szCs w:val="22"/>
        </w:rPr>
      </w:pPr>
      <w:r w:rsidRPr="00702074">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rsidTr="006D4F71">
        <w:tc>
          <w:tcPr>
            <w:tcW w:w="1268"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rsidTr="006D4F71">
        <w:tc>
          <w:tcPr>
            <w:tcW w:w="1268"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2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6D4F71">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w:t>
            </w:r>
          </w:p>
        </w:tc>
        <w:tc>
          <w:tcPr>
            <w:tcW w:w="4007" w:type="dxa"/>
          </w:tcPr>
          <w:p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6D4F71">
            <w:pPr>
              <w:pStyle w:val="Normal1"/>
              <w:tabs>
                <w:tab w:val="center" w:pos="4513"/>
                <w:tab w:val="right" w:pos="9026"/>
              </w:tabs>
              <w:spacing w:before="100"/>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(iii)</w:t>
            </w:r>
          </w:p>
        </w:tc>
        <w:tc>
          <w:tcPr>
            <w:tcW w:w="4007" w:type="dxa"/>
          </w:tcPr>
          <w:p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6D4F71">
            <w:pPr>
              <w:pStyle w:val="Normal1"/>
              <w:tabs>
                <w:tab w:val="center" w:pos="4513"/>
                <w:tab w:val="right" w:pos="9026"/>
              </w:tabs>
              <w:spacing w:before="100"/>
              <w:jc w:val="both"/>
            </w:pPr>
          </w:p>
        </w:tc>
      </w:tr>
      <w:tr w:rsidR="00745BA4" w:rsidTr="006D4F71">
        <w:trPr>
          <w:trHeight w:val="260"/>
        </w:trPr>
        <w:tc>
          <w:tcPr>
            <w:tcW w:w="1268" w:type="dxa"/>
          </w:tcPr>
          <w:p w:rsidR="00745BA4" w:rsidRDefault="00745BA4" w:rsidP="006D4F71">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6D4F71">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6D4F71">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6D4F71">
              <w:trPr>
                <w:trHeight w:val="400"/>
              </w:trPr>
              <w:tc>
                <w:tcPr>
                  <w:tcW w:w="1814" w:type="dxa"/>
                </w:tcPr>
                <w:p w:rsidR="00745BA4" w:rsidRDefault="00745BA4" w:rsidP="006D4F71">
                  <w:pPr>
                    <w:pStyle w:val="Normal1"/>
                    <w:jc w:val="both"/>
                  </w:pPr>
                  <w:r>
                    <w:rPr>
                      <w:rFonts w:ascii="Arial" w:eastAsia="Arial" w:hAnsi="Arial" w:cs="Arial"/>
                      <w:sz w:val="16"/>
                      <w:szCs w:val="16"/>
                    </w:rPr>
                    <w:t>Name</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address</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Trading status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Company registration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VAT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Type of organisation</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SME (Yes/No)</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bl>
          <w:p w:rsidR="00745BA4" w:rsidRDefault="00745BA4" w:rsidP="006D4F71">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RPr="00702074" w:rsidTr="006D4F71">
        <w:trPr>
          <w:trHeight w:val="540"/>
        </w:trPr>
        <w:tc>
          <w:tcPr>
            <w:tcW w:w="1703"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rsidTr="006D4F71">
        <w:trPr>
          <w:trHeight w:val="540"/>
        </w:trPr>
        <w:tc>
          <w:tcPr>
            <w:tcW w:w="1703"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rPr>
          <w:trHeight w:val="300"/>
        </w:trPr>
        <w:tc>
          <w:tcPr>
            <w:tcW w:w="1703"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6D4F71">
            <w:pPr>
              <w:pStyle w:val="Normal1"/>
              <w:spacing w:before="100"/>
              <w:jc w:val="both"/>
            </w:pPr>
          </w:p>
        </w:tc>
      </w:tr>
      <w:tr w:rsidR="00745BA4" w:rsidTr="006D4F71">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1.3(b)</w:t>
            </w:r>
          </w:p>
        </w:tc>
        <w:tc>
          <w:tcPr>
            <w:tcW w:w="2545" w:type="dxa"/>
          </w:tcPr>
          <w:p w:rsidR="00745BA4" w:rsidRDefault="00745BA4" w:rsidP="006D4F71">
            <w:pPr>
              <w:pStyle w:val="Normal1"/>
              <w:spacing w:before="100"/>
              <w:jc w:val="both"/>
            </w:pPr>
            <w:r>
              <w:rPr>
                <w:rFonts w:ascii="Arial" w:eastAsia="Arial" w:hAnsi="Arial" w:cs="Arial"/>
                <w:sz w:val="22"/>
                <w:szCs w:val="22"/>
              </w:rPr>
              <w:t>Name of organisation</w:t>
            </w:r>
          </w:p>
        </w:tc>
        <w:tc>
          <w:tcPr>
            <w:tcW w:w="5641" w:type="dxa"/>
          </w:tcPr>
          <w:p w:rsidR="00745BA4" w:rsidRDefault="00745BA4" w:rsidP="006D4F71">
            <w:pPr>
              <w:pStyle w:val="Normal1"/>
              <w:spacing w:before="100"/>
              <w:jc w:val="both"/>
            </w:pPr>
          </w:p>
        </w:tc>
      </w:tr>
      <w:tr w:rsidR="00745BA4" w:rsidTr="006D4F71">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1.3(c)</w:t>
            </w:r>
          </w:p>
        </w:tc>
        <w:tc>
          <w:tcPr>
            <w:tcW w:w="2545" w:type="dxa"/>
          </w:tcPr>
          <w:p w:rsidR="00745BA4" w:rsidRDefault="00745BA4" w:rsidP="006D4F71">
            <w:pPr>
              <w:pStyle w:val="Normal1"/>
              <w:spacing w:before="100"/>
              <w:jc w:val="both"/>
            </w:pPr>
            <w:r>
              <w:rPr>
                <w:rFonts w:ascii="Arial" w:eastAsia="Arial" w:hAnsi="Arial" w:cs="Arial"/>
                <w:sz w:val="22"/>
                <w:szCs w:val="22"/>
              </w:rPr>
              <w:t>Role in organisation</w:t>
            </w:r>
          </w:p>
        </w:tc>
        <w:tc>
          <w:tcPr>
            <w:tcW w:w="5641" w:type="dxa"/>
          </w:tcPr>
          <w:p w:rsidR="00745BA4" w:rsidRDefault="00745BA4" w:rsidP="006D4F71">
            <w:pPr>
              <w:pStyle w:val="Normal1"/>
              <w:spacing w:before="100"/>
              <w:jc w:val="both"/>
            </w:pPr>
          </w:p>
        </w:tc>
      </w:tr>
      <w:tr w:rsidR="00745BA4" w:rsidTr="006D4F71">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1.3(d)</w:t>
            </w:r>
          </w:p>
        </w:tc>
        <w:tc>
          <w:tcPr>
            <w:tcW w:w="2545" w:type="dxa"/>
          </w:tcPr>
          <w:p w:rsidR="00745BA4" w:rsidRDefault="00745BA4" w:rsidP="006D4F71">
            <w:pPr>
              <w:pStyle w:val="Normal1"/>
              <w:spacing w:before="100"/>
              <w:jc w:val="both"/>
            </w:pPr>
            <w:r>
              <w:rPr>
                <w:rFonts w:ascii="Arial" w:eastAsia="Arial" w:hAnsi="Arial" w:cs="Arial"/>
                <w:sz w:val="22"/>
                <w:szCs w:val="22"/>
              </w:rPr>
              <w:t>Phone number</w:t>
            </w:r>
          </w:p>
        </w:tc>
        <w:tc>
          <w:tcPr>
            <w:tcW w:w="5641" w:type="dxa"/>
          </w:tcPr>
          <w:p w:rsidR="00745BA4" w:rsidRDefault="00745BA4" w:rsidP="006D4F71">
            <w:pPr>
              <w:pStyle w:val="Normal1"/>
              <w:spacing w:before="100"/>
              <w:jc w:val="both"/>
            </w:pPr>
          </w:p>
        </w:tc>
      </w:tr>
      <w:tr w:rsidR="00745BA4" w:rsidTr="006D4F71">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1.3(e)</w:t>
            </w:r>
          </w:p>
        </w:tc>
        <w:tc>
          <w:tcPr>
            <w:tcW w:w="2545" w:type="dxa"/>
          </w:tcPr>
          <w:p w:rsidR="00745BA4" w:rsidRDefault="00745BA4" w:rsidP="006D4F71">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6D4F71">
            <w:pPr>
              <w:pStyle w:val="Normal1"/>
              <w:spacing w:before="100"/>
              <w:jc w:val="both"/>
            </w:pPr>
          </w:p>
        </w:tc>
      </w:tr>
      <w:tr w:rsidR="00745BA4" w:rsidTr="006D4F71">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1.3(f)</w:t>
            </w:r>
          </w:p>
        </w:tc>
        <w:tc>
          <w:tcPr>
            <w:tcW w:w="2545" w:type="dxa"/>
          </w:tcPr>
          <w:p w:rsidR="00745BA4" w:rsidRDefault="00745BA4" w:rsidP="006D4F71">
            <w:pPr>
              <w:pStyle w:val="Normal1"/>
              <w:spacing w:before="100"/>
              <w:jc w:val="both"/>
            </w:pPr>
            <w:r>
              <w:rPr>
                <w:rFonts w:ascii="Arial" w:eastAsia="Arial" w:hAnsi="Arial" w:cs="Arial"/>
                <w:sz w:val="22"/>
                <w:szCs w:val="22"/>
              </w:rPr>
              <w:t>Postal address</w:t>
            </w:r>
          </w:p>
        </w:tc>
        <w:tc>
          <w:tcPr>
            <w:tcW w:w="5641" w:type="dxa"/>
          </w:tcPr>
          <w:p w:rsidR="00745BA4" w:rsidRDefault="00745BA4" w:rsidP="006D4F71">
            <w:pPr>
              <w:pStyle w:val="Normal1"/>
              <w:spacing w:before="100"/>
              <w:jc w:val="both"/>
            </w:pPr>
          </w:p>
        </w:tc>
      </w:tr>
      <w:tr w:rsidR="00745BA4" w:rsidTr="006D4F71">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1.3(g)</w:t>
            </w:r>
          </w:p>
        </w:tc>
        <w:tc>
          <w:tcPr>
            <w:tcW w:w="2545" w:type="dxa"/>
          </w:tcPr>
          <w:p w:rsidR="00745BA4" w:rsidRDefault="00745BA4" w:rsidP="006D4F71">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6D4F71">
            <w:pPr>
              <w:pStyle w:val="Normal1"/>
              <w:spacing w:before="100"/>
              <w:jc w:val="both"/>
            </w:pPr>
          </w:p>
        </w:tc>
      </w:tr>
      <w:tr w:rsidR="00745BA4" w:rsidTr="006D4F71">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1.3(h)</w:t>
            </w:r>
          </w:p>
        </w:tc>
        <w:tc>
          <w:tcPr>
            <w:tcW w:w="2545" w:type="dxa"/>
          </w:tcPr>
          <w:p w:rsidR="00745BA4" w:rsidRDefault="00745BA4" w:rsidP="006D4F71">
            <w:pPr>
              <w:pStyle w:val="Normal1"/>
              <w:spacing w:before="100"/>
              <w:jc w:val="both"/>
            </w:pPr>
            <w:r>
              <w:rPr>
                <w:rFonts w:ascii="Arial" w:eastAsia="Arial" w:hAnsi="Arial" w:cs="Arial"/>
                <w:sz w:val="22"/>
                <w:szCs w:val="22"/>
              </w:rPr>
              <w:t>Date</w:t>
            </w:r>
          </w:p>
        </w:tc>
        <w:tc>
          <w:tcPr>
            <w:tcW w:w="5641" w:type="dxa"/>
          </w:tcPr>
          <w:p w:rsidR="00745BA4" w:rsidRDefault="00745BA4" w:rsidP="006D4F71">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702074" w:rsidRDefault="00702074" w:rsidP="00745BA4">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RPr="00702074" w:rsidTr="006D4F71">
        <w:trPr>
          <w:trHeight w:val="500"/>
        </w:trPr>
        <w:tc>
          <w:tcPr>
            <w:tcW w:w="1364"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rsidTr="006D4F71">
        <w:trPr>
          <w:trHeight w:val="40"/>
        </w:trPr>
        <w:tc>
          <w:tcPr>
            <w:tcW w:w="136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0"/>
                <w:szCs w:val="20"/>
              </w:rPr>
              <w:t>Response</w:t>
            </w:r>
          </w:p>
        </w:tc>
      </w:tr>
      <w:tr w:rsidR="00745BA4" w:rsidTr="006D4F71">
        <w:trPr>
          <w:trHeight w:val="1340"/>
        </w:trPr>
        <w:tc>
          <w:tcPr>
            <w:tcW w:w="136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6D4F71">
            <w:pPr>
              <w:pStyle w:val="Normal1"/>
              <w:jc w:val="both"/>
            </w:pPr>
            <w:r>
              <w:rPr>
                <w:rFonts w:ascii="Arial" w:eastAsia="Arial" w:hAnsi="Arial" w:cs="Arial"/>
                <w:b/>
                <w:sz w:val="22"/>
                <w:szCs w:val="22"/>
              </w:rPr>
              <w:t xml:space="preserve">Regulations 57(1) and (2) </w:t>
            </w:r>
          </w:p>
          <w:p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6D4F71">
        <w:tc>
          <w:tcPr>
            <w:tcW w:w="1364" w:type="dxa"/>
          </w:tcPr>
          <w:p w:rsidR="00745BA4" w:rsidRDefault="00745BA4" w:rsidP="006D4F71">
            <w:pPr>
              <w:pStyle w:val="Normal1"/>
              <w:tabs>
                <w:tab w:val="left" w:pos="0"/>
              </w:tabs>
              <w:spacing w:before="100"/>
              <w:jc w:val="both"/>
            </w:pPr>
          </w:p>
        </w:tc>
        <w:tc>
          <w:tcPr>
            <w:tcW w:w="4444" w:type="dxa"/>
          </w:tcPr>
          <w:p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6D4F71">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tabs>
                <w:tab w:val="left" w:pos="743"/>
              </w:tabs>
              <w:spacing w:before="100"/>
              <w:jc w:val="both"/>
            </w:pPr>
          </w:p>
        </w:tc>
        <w:tc>
          <w:tcPr>
            <w:tcW w:w="4444" w:type="dxa"/>
          </w:tcPr>
          <w:p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6D4F71">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rPr>
          <w:trHeight w:val="240"/>
        </w:trPr>
        <w:tc>
          <w:tcPr>
            <w:tcW w:w="1364" w:type="dxa"/>
          </w:tcPr>
          <w:p w:rsidR="00745BA4" w:rsidRDefault="00745BA4" w:rsidP="006D4F71">
            <w:pPr>
              <w:pStyle w:val="Normal1"/>
              <w:tabs>
                <w:tab w:val="left" w:pos="34"/>
              </w:tabs>
              <w:spacing w:before="100"/>
              <w:jc w:val="both"/>
            </w:pPr>
          </w:p>
        </w:tc>
        <w:tc>
          <w:tcPr>
            <w:tcW w:w="4444" w:type="dxa"/>
          </w:tcPr>
          <w:p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6D4F71">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spacing w:before="100"/>
              <w:jc w:val="both"/>
            </w:pPr>
          </w:p>
        </w:tc>
        <w:tc>
          <w:tcPr>
            <w:tcW w:w="4444" w:type="dxa"/>
          </w:tcPr>
          <w:p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6D4F71">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jc w:val="both"/>
            </w:pPr>
          </w:p>
        </w:tc>
        <w:tc>
          <w:tcPr>
            <w:tcW w:w="4444" w:type="dxa"/>
          </w:tcPr>
          <w:p w:rsidR="00745BA4" w:rsidRDefault="00745BA4" w:rsidP="006D4F71">
            <w:pPr>
              <w:pStyle w:val="Normal1"/>
              <w:jc w:val="both"/>
            </w:pPr>
            <w:r>
              <w:rPr>
                <w:rFonts w:ascii="Arial" w:eastAsia="Arial" w:hAnsi="Arial" w:cs="Arial"/>
                <w:sz w:val="22"/>
                <w:szCs w:val="22"/>
              </w:rPr>
              <w:t>Money laundering or terrorist financing</w:t>
            </w:r>
          </w:p>
        </w:tc>
        <w:tc>
          <w:tcPr>
            <w:tcW w:w="3548" w:type="dxa"/>
          </w:tcPr>
          <w:p w:rsidR="00745BA4" w:rsidRDefault="00745BA4" w:rsidP="006D4F71">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rPr>
          <w:trHeight w:val="560"/>
        </w:trPr>
        <w:tc>
          <w:tcPr>
            <w:tcW w:w="1364" w:type="dxa"/>
          </w:tcPr>
          <w:p w:rsidR="00745BA4" w:rsidRDefault="00745BA4" w:rsidP="006D4F71">
            <w:pPr>
              <w:pStyle w:val="Normal1"/>
              <w:spacing w:before="100"/>
              <w:ind w:right="317"/>
              <w:jc w:val="both"/>
            </w:pPr>
          </w:p>
        </w:tc>
        <w:tc>
          <w:tcPr>
            <w:tcW w:w="4444" w:type="dxa"/>
          </w:tcPr>
          <w:p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6D4F71">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6D4F7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6D4F71">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rsidR="00745BA4" w:rsidRDefault="00745BA4" w:rsidP="006D4F71">
            <w:pPr>
              <w:pStyle w:val="Normal1"/>
              <w:keepLines/>
              <w:widowControl w:val="0"/>
              <w:jc w:val="both"/>
            </w:pPr>
          </w:p>
        </w:tc>
      </w:tr>
      <w:tr w:rsidR="00745BA4" w:rsidTr="006D4F7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w:t>
            </w:r>
            <w:proofErr w:type="gramStart"/>
            <w:r>
              <w:rPr>
                <w:rFonts w:ascii="Arial" w:eastAsia="Arial" w:hAnsi="Arial" w:cs="Arial"/>
                <w:sz w:val="22"/>
                <w:szCs w:val="22"/>
              </w:rPr>
              <w:t>above</w:t>
            </w:r>
            <w:proofErr w:type="gramEnd"/>
            <w:r>
              <w:rPr>
                <w:rFonts w:ascii="Arial" w:eastAsia="Arial" w:hAnsi="Arial" w:cs="Arial"/>
                <w:sz w:val="22"/>
                <w:szCs w:val="22"/>
              </w:rPr>
              <w:t xml:space="preser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745BA4" w:rsidRDefault="00745BA4" w:rsidP="006D4F71">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6D4F71">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6D4F71">
            <w:pPr>
              <w:pStyle w:val="Normal1"/>
              <w:keepLines/>
              <w:widowControl w:val="0"/>
              <w:jc w:val="both"/>
            </w:pPr>
          </w:p>
        </w:tc>
      </w:tr>
      <w:tr w:rsidR="00745BA4" w:rsidTr="006D4F71">
        <w:tc>
          <w:tcPr>
            <w:tcW w:w="1364" w:type="dxa"/>
          </w:tcPr>
          <w:p w:rsidR="00745BA4" w:rsidRDefault="00745BA4" w:rsidP="006D4F71">
            <w:pPr>
              <w:pStyle w:val="Normal1"/>
              <w:spacing w:before="100"/>
              <w:jc w:val="both"/>
            </w:pPr>
            <w:r>
              <w:rPr>
                <w:rFonts w:ascii="Arial" w:eastAsia="Arial" w:hAnsi="Arial" w:cs="Arial"/>
                <w:sz w:val="22"/>
                <w:szCs w:val="22"/>
              </w:rPr>
              <w:t>2.3(a)</w:t>
            </w:r>
          </w:p>
        </w:tc>
        <w:tc>
          <w:tcPr>
            <w:tcW w:w="4444" w:type="dxa"/>
          </w:tcPr>
          <w:p w:rsidR="00745BA4" w:rsidRDefault="00745BA4" w:rsidP="006D4F71">
            <w:pPr>
              <w:pStyle w:val="Normal1"/>
              <w:spacing w:before="100"/>
              <w:jc w:val="both"/>
            </w:pPr>
            <w:r>
              <w:rPr>
                <w:rFonts w:ascii="Arial" w:eastAsia="Arial" w:hAnsi="Arial" w:cs="Arial"/>
                <w:b/>
                <w:sz w:val="22"/>
                <w:szCs w:val="22"/>
              </w:rPr>
              <w:t>Regulation 57(3)</w:t>
            </w:r>
          </w:p>
          <w:p w:rsidR="00745BA4" w:rsidRDefault="00745BA4" w:rsidP="006D4F71">
            <w:pPr>
              <w:pStyle w:val="Normal1"/>
              <w:spacing w:before="100"/>
              <w:jc w:val="both"/>
            </w:pPr>
            <w:proofErr w:type="gramStart"/>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roofErr w:type="gramEnd"/>
          </w:p>
          <w:p w:rsidR="00745BA4" w:rsidRDefault="00745BA4" w:rsidP="006D4F71">
            <w:pPr>
              <w:pStyle w:val="Normal1"/>
              <w:spacing w:before="100"/>
              <w:jc w:val="both"/>
            </w:pPr>
          </w:p>
        </w:tc>
        <w:tc>
          <w:tcPr>
            <w:tcW w:w="3548" w:type="dxa"/>
          </w:tcPr>
          <w:p w:rsidR="00745BA4" w:rsidRDefault="00745BA4" w:rsidP="006D4F71">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p>
        </w:tc>
      </w:tr>
      <w:tr w:rsidR="00745BA4" w:rsidTr="006D4F71">
        <w:tc>
          <w:tcPr>
            <w:tcW w:w="1364" w:type="dxa"/>
          </w:tcPr>
          <w:p w:rsidR="00745BA4" w:rsidRDefault="00745BA4" w:rsidP="006D4F71">
            <w:pPr>
              <w:pStyle w:val="Normal1"/>
              <w:spacing w:before="100"/>
              <w:jc w:val="both"/>
            </w:pPr>
            <w:r>
              <w:rPr>
                <w:rFonts w:ascii="Arial" w:eastAsia="Arial" w:hAnsi="Arial" w:cs="Arial"/>
                <w:sz w:val="22"/>
                <w:szCs w:val="22"/>
              </w:rPr>
              <w:lastRenderedPageBreak/>
              <w:t>2.3(b)</w:t>
            </w:r>
          </w:p>
        </w:tc>
        <w:tc>
          <w:tcPr>
            <w:tcW w:w="4444" w:type="dxa"/>
          </w:tcPr>
          <w:p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6D4F71">
            <w:pPr>
              <w:pStyle w:val="Normal1"/>
              <w:spacing w:before="100"/>
              <w:jc w:val="both"/>
            </w:pPr>
          </w:p>
        </w:tc>
      </w:tr>
    </w:tbl>
    <w:p w:rsidR="00702074" w:rsidRDefault="00702074" w:rsidP="00745BA4">
      <w:pPr>
        <w:pStyle w:val="Normal1"/>
        <w:spacing w:after="160" w:line="259" w:lineRule="auto"/>
        <w:rPr>
          <w:rFonts w:ascii="Arial" w:eastAsia="Arial" w:hAnsi="Arial" w:cs="Arial"/>
          <w:sz w:val="22"/>
          <w:szCs w:val="22"/>
        </w:rPr>
      </w:pPr>
    </w:p>
    <w:p w:rsidR="00745BA4" w:rsidRDefault="00745BA4" w:rsidP="00702074">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RPr="00702074" w:rsidTr="006D4F71">
        <w:trPr>
          <w:trHeight w:val="400"/>
        </w:trPr>
        <w:tc>
          <w:tcPr>
            <w:tcW w:w="1230"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rsidTr="006D4F71">
        <w:trPr>
          <w:trHeight w:val="400"/>
        </w:trPr>
        <w:tc>
          <w:tcPr>
            <w:tcW w:w="1230"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rsidTr="006D4F71">
        <w:trPr>
          <w:trHeight w:val="400"/>
        </w:trPr>
        <w:tc>
          <w:tcPr>
            <w:tcW w:w="1230"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6D4F71">
            <w:pPr>
              <w:pStyle w:val="Normal1"/>
              <w:spacing w:before="100"/>
              <w:jc w:val="both"/>
            </w:pPr>
            <w:r>
              <w:rPr>
                <w:rFonts w:ascii="Arial" w:eastAsia="Arial" w:hAnsi="Arial" w:cs="Arial"/>
                <w:b/>
                <w:sz w:val="22"/>
                <w:szCs w:val="22"/>
              </w:rPr>
              <w:t>Regulation 57 (8)</w:t>
            </w:r>
          </w:p>
          <w:p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3.1(a)</w:t>
            </w:r>
          </w:p>
          <w:p w:rsidR="00745BA4" w:rsidRDefault="00745BA4" w:rsidP="006D4F71">
            <w:pPr>
              <w:pStyle w:val="Normal1"/>
              <w:tabs>
                <w:tab w:val="left" w:pos="0"/>
              </w:tabs>
              <w:jc w:val="both"/>
            </w:pPr>
          </w:p>
          <w:p w:rsidR="00745BA4" w:rsidRDefault="00745BA4" w:rsidP="006D4F71">
            <w:pPr>
              <w:pStyle w:val="Normal1"/>
              <w:tabs>
                <w:tab w:val="left" w:pos="0"/>
              </w:tabs>
              <w:jc w:val="both"/>
            </w:pPr>
          </w:p>
        </w:tc>
        <w:tc>
          <w:tcPr>
            <w:tcW w:w="4575" w:type="dxa"/>
          </w:tcPr>
          <w:p w:rsidR="00745BA4" w:rsidRDefault="00745BA4" w:rsidP="006D4F71">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6D4F71">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rsidR="00745BA4" w:rsidRDefault="00745BA4" w:rsidP="006D4F71">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6D4F71">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rsidR="00745BA4" w:rsidRDefault="00745BA4" w:rsidP="006D4F71">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7" w:type="dxa"/>
          </w:tcPr>
          <w:p w:rsidR="00745BA4" w:rsidRDefault="00745BA4" w:rsidP="006D4F71">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6D4F71">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p w:rsidR="00745BA4" w:rsidRDefault="00745BA4" w:rsidP="006D4F71">
            <w:pPr>
              <w:pStyle w:val="Normal1"/>
              <w:spacing w:before="100"/>
              <w:jc w:val="both"/>
            </w:pPr>
          </w:p>
          <w:p w:rsidR="00745BA4" w:rsidRDefault="00745BA4" w:rsidP="006D4F71">
            <w:pPr>
              <w:pStyle w:val="Normal1"/>
              <w:spacing w:before="100"/>
              <w:jc w:val="both"/>
            </w:pPr>
          </w:p>
        </w:tc>
      </w:tr>
      <w:tr w:rsidR="00745BA4" w:rsidTr="006D4F71">
        <w:trPr>
          <w:trHeight w:val="240"/>
        </w:trPr>
        <w:tc>
          <w:tcPr>
            <w:tcW w:w="1230" w:type="dxa"/>
          </w:tcPr>
          <w:p w:rsidR="00745BA4" w:rsidRDefault="00745BA4" w:rsidP="006D4F71">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6D4F71">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6D4F71">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3.1(f)</w:t>
            </w:r>
          </w:p>
        </w:tc>
        <w:tc>
          <w:tcPr>
            <w:tcW w:w="4575" w:type="dxa"/>
          </w:tcPr>
          <w:p w:rsidR="00745BA4" w:rsidRDefault="00745BA4" w:rsidP="006D4F71">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7" w:type="dxa"/>
          </w:tcPr>
          <w:p w:rsidR="00745BA4" w:rsidRDefault="00745BA4" w:rsidP="006D4F71">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3.1(g)</w:t>
            </w:r>
          </w:p>
        </w:tc>
        <w:tc>
          <w:tcPr>
            <w:tcW w:w="4575" w:type="dxa"/>
          </w:tcPr>
          <w:p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6D4F71">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3.1(h)</w:t>
            </w:r>
          </w:p>
        </w:tc>
        <w:tc>
          <w:tcPr>
            <w:tcW w:w="4575" w:type="dxa"/>
          </w:tcPr>
          <w:p w:rsidR="00745BA4" w:rsidRDefault="00745BA4" w:rsidP="006D4F71">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7" w:type="dxa"/>
          </w:tcPr>
          <w:p w:rsidR="00745BA4" w:rsidRDefault="00745BA4" w:rsidP="006D4F71">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6D4F71">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6D4F71">
        <w:trPr>
          <w:trHeight w:val="580"/>
        </w:trPr>
        <w:tc>
          <w:tcPr>
            <w:tcW w:w="1230" w:type="dxa"/>
          </w:tcPr>
          <w:p w:rsidR="00745BA4" w:rsidRDefault="00745BA4" w:rsidP="006D4F71">
            <w:pPr>
              <w:pStyle w:val="Normal1"/>
              <w:jc w:val="both"/>
            </w:pPr>
            <w:r>
              <w:rPr>
                <w:rFonts w:ascii="Arial" w:eastAsia="Arial" w:hAnsi="Arial" w:cs="Arial"/>
                <w:sz w:val="22"/>
                <w:szCs w:val="22"/>
              </w:rPr>
              <w:t>3.1(j)</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–(iii)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3.1(j)-(iv)</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c>
          <w:tcPr>
            <w:tcW w:w="4575" w:type="dxa"/>
          </w:tcPr>
          <w:p w:rsidR="00745BA4" w:rsidRDefault="00745BA4" w:rsidP="006D4F71">
            <w:pPr>
              <w:pStyle w:val="Normal1"/>
              <w:jc w:val="both"/>
            </w:pPr>
            <w:r>
              <w:rPr>
                <w:rFonts w:ascii="Arial" w:eastAsia="Arial" w:hAnsi="Arial" w:cs="Arial"/>
                <w:sz w:val="22"/>
                <w:szCs w:val="22"/>
              </w:rPr>
              <w:lastRenderedPageBreak/>
              <w:t>Please answer the following statements</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lastRenderedPageBreak/>
              <w:t>The organisation has withheld such information.</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6D4F71">
            <w:pPr>
              <w:pStyle w:val="Normal1"/>
              <w:spacing w:before="100"/>
              <w:jc w:val="both"/>
            </w:pPr>
          </w:p>
          <w:p w:rsidR="00745BA4" w:rsidRDefault="00745BA4" w:rsidP="006D4F71">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7" w:name="_nmf14n" w:colFirst="0" w:colLast="0"/>
            <w:bookmarkEnd w:id="47"/>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6D4F71">
        <w:tc>
          <w:tcPr>
            <w:tcW w:w="1257" w:type="dxa"/>
          </w:tcPr>
          <w:p w:rsidR="00745BA4" w:rsidRDefault="00745BA4" w:rsidP="006D4F71">
            <w:pPr>
              <w:pStyle w:val="Normal1"/>
              <w:spacing w:before="100"/>
              <w:jc w:val="both"/>
            </w:pPr>
            <w:r>
              <w:rPr>
                <w:rFonts w:ascii="Arial" w:eastAsia="Arial" w:hAnsi="Arial" w:cs="Arial"/>
                <w:sz w:val="22"/>
                <w:szCs w:val="22"/>
              </w:rPr>
              <w:t>3.2</w:t>
            </w:r>
          </w:p>
        </w:tc>
        <w:tc>
          <w:tcPr>
            <w:tcW w:w="4521" w:type="dxa"/>
          </w:tcPr>
          <w:p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6D4F71">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6D4F71">
        <w:trPr>
          <w:trHeight w:val="400"/>
        </w:trPr>
        <w:tc>
          <w:tcPr>
            <w:tcW w:w="1257" w:type="dxa"/>
            <w:tcBorders>
              <w:top w:val="single" w:sz="6" w:space="0" w:color="000000"/>
              <w:bottom w:val="single" w:sz="6" w:space="0" w:color="000000"/>
            </w:tcBorders>
            <w:shd w:val="clear" w:color="auto" w:fill="CCFFFF"/>
          </w:tcPr>
          <w:p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blPrEx>
          <w:tblLook w:val="0600" w:firstRow="0" w:lastRow="0" w:firstColumn="0" w:lastColumn="0" w:noHBand="1" w:noVBand="1"/>
        </w:tblPrEx>
        <w:trPr>
          <w:trHeight w:val="1020"/>
        </w:trPr>
        <w:tc>
          <w:tcPr>
            <w:tcW w:w="1257" w:type="dxa"/>
            <w:vMerge w:val="restart"/>
          </w:tcPr>
          <w:p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rsidR="00745BA4" w:rsidRDefault="00745BA4" w:rsidP="006D4F71">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6D4F71">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r w:rsidR="009022DC">
              <w:rPr>
                <w:rFonts w:ascii="Arial" w:eastAsia="Arial" w:hAnsi="Arial" w:cs="Arial"/>
                <w:sz w:val="22"/>
                <w:szCs w:val="22"/>
              </w:rPr>
              <w:t>box?</w:t>
            </w:r>
          </w:p>
          <w:p w:rsidR="00745BA4" w:rsidRDefault="00745BA4" w:rsidP="006D4F71">
            <w:pPr>
              <w:pStyle w:val="Normal1"/>
              <w:spacing w:line="276" w:lineRule="auto"/>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102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6D4F71">
            <w:pPr>
              <w:pStyle w:val="Normal1"/>
              <w:widowControl w:val="0"/>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70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1500"/>
        </w:trPr>
        <w:tc>
          <w:tcPr>
            <w:tcW w:w="1257" w:type="dxa"/>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6D4F71">
            <w:pPr>
              <w:pStyle w:val="Normal1"/>
              <w:widowControl w:val="0"/>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6D4F71">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6D4F71">
            <w:pPr>
              <w:pStyle w:val="Normal1"/>
              <w:widowControl w:val="0"/>
              <w:jc w:val="both"/>
            </w:pPr>
          </w:p>
        </w:tc>
      </w:tr>
      <w:tr w:rsidR="00745BA4" w:rsidTr="006D4F71">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6D4F71">
        <w:trPr>
          <w:trHeight w:val="700"/>
        </w:trPr>
        <w:tc>
          <w:tcPr>
            <w:tcW w:w="1257" w:type="dxa"/>
          </w:tcPr>
          <w:p w:rsidR="00745BA4" w:rsidRDefault="00745BA4" w:rsidP="006D4F71">
            <w:pPr>
              <w:pStyle w:val="Normal1"/>
              <w:widowControl w:val="0"/>
              <w:jc w:val="both"/>
            </w:pPr>
            <w:r>
              <w:rPr>
                <w:rFonts w:ascii="Arial" w:eastAsia="Arial" w:hAnsi="Arial" w:cs="Arial"/>
                <w:b/>
                <w:sz w:val="22"/>
                <w:szCs w:val="22"/>
              </w:rPr>
              <w:t>5.1</w:t>
            </w:r>
          </w:p>
        </w:tc>
        <w:tc>
          <w:tcPr>
            <w:tcW w:w="5529" w:type="dxa"/>
          </w:tcPr>
          <w:p w:rsidR="00745BA4" w:rsidRDefault="00745BA4" w:rsidP="006D4F71">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257" w:type="dxa"/>
          </w:tcPr>
          <w:p w:rsidR="00745BA4" w:rsidRDefault="00745BA4" w:rsidP="006D4F71">
            <w:pPr>
              <w:pStyle w:val="Normal1"/>
              <w:widowControl w:val="0"/>
              <w:jc w:val="both"/>
            </w:pPr>
            <w:r>
              <w:rPr>
                <w:rFonts w:ascii="Arial" w:eastAsia="Arial" w:hAnsi="Arial" w:cs="Arial"/>
                <w:b/>
                <w:sz w:val="22"/>
                <w:szCs w:val="22"/>
              </w:rPr>
              <w:t>5.2</w:t>
            </w:r>
          </w:p>
        </w:tc>
        <w:tc>
          <w:tcPr>
            <w:tcW w:w="5529" w:type="dxa"/>
          </w:tcPr>
          <w:p w:rsidR="00745BA4" w:rsidRDefault="00745BA4" w:rsidP="006D4F71">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257" w:type="dxa"/>
          </w:tcPr>
          <w:p w:rsidR="00745BA4" w:rsidRDefault="00745BA4" w:rsidP="006D4F71">
            <w:pPr>
              <w:pStyle w:val="Normal1"/>
              <w:widowControl w:val="0"/>
              <w:jc w:val="both"/>
            </w:pPr>
            <w:r>
              <w:rPr>
                <w:rFonts w:ascii="Arial" w:eastAsia="Arial" w:hAnsi="Arial" w:cs="Arial"/>
                <w:b/>
                <w:sz w:val="22"/>
                <w:szCs w:val="22"/>
              </w:rPr>
              <w:t>5.3</w:t>
            </w:r>
          </w:p>
        </w:tc>
        <w:tc>
          <w:tcPr>
            <w:tcW w:w="5529" w:type="dxa"/>
          </w:tcPr>
          <w:p w:rsidR="00745BA4" w:rsidRDefault="00745BA4" w:rsidP="006D4F71">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 xml:space="preserve">Technical and Professional Ability </w:t>
            </w:r>
          </w:p>
        </w:tc>
      </w:tr>
      <w:tr w:rsidR="00745BA4" w:rsidTr="006D4F71">
        <w:tblPrEx>
          <w:tblLook w:val="0600" w:firstRow="0" w:lastRow="0" w:firstColumn="0" w:lastColumn="0" w:noHBand="1" w:noVBand="1"/>
        </w:tblPrEx>
        <w:trPr>
          <w:trHeight w:val="5700"/>
        </w:trPr>
        <w:tc>
          <w:tcPr>
            <w:tcW w:w="1257" w:type="dxa"/>
          </w:tcPr>
          <w:p w:rsidR="00745BA4" w:rsidRDefault="00745BA4" w:rsidP="006D4F71">
            <w:pPr>
              <w:pStyle w:val="Normal1"/>
              <w:widowControl w:val="0"/>
              <w:jc w:val="both"/>
            </w:pPr>
            <w:r>
              <w:rPr>
                <w:rFonts w:ascii="Arial" w:eastAsia="Arial" w:hAnsi="Arial" w:cs="Arial"/>
                <w:b/>
                <w:sz w:val="22"/>
                <w:szCs w:val="22"/>
              </w:rPr>
              <w:t>6.1</w:t>
            </w:r>
          </w:p>
        </w:tc>
        <w:tc>
          <w:tcPr>
            <w:tcW w:w="8080" w:type="dxa"/>
          </w:tcPr>
          <w:p w:rsidR="00745BA4" w:rsidRDefault="00745BA4" w:rsidP="006D4F71">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w:t>
            </w:r>
            <w:proofErr w:type="gramStart"/>
            <w:r>
              <w:rPr>
                <w:rFonts w:ascii="Arial" w:eastAsia="Arial" w:hAnsi="Arial" w:cs="Arial"/>
                <w:sz w:val="22"/>
                <w:szCs w:val="22"/>
              </w:rPr>
              <w:t>should have been performed</w:t>
            </w:r>
            <w:proofErr w:type="gramEnd"/>
            <w:r>
              <w:rPr>
                <w:rFonts w:ascii="Arial" w:eastAsia="Arial" w:hAnsi="Arial" w:cs="Arial"/>
                <w:sz w:val="22"/>
                <w:szCs w:val="22"/>
              </w:rPr>
              <w:t xml:space="preserve">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6D4F71">
            <w:pPr>
              <w:pStyle w:val="Normal1"/>
              <w:widowControl w:val="0"/>
            </w:pPr>
          </w:p>
          <w:p w:rsidR="00745BA4" w:rsidRDefault="00745BA4" w:rsidP="006D4F71">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6D4F71">
        <w:trPr>
          <w:trHeight w:val="420"/>
        </w:trPr>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r>
              <w:rPr>
                <w:rFonts w:ascii="Arial" w:eastAsia="Arial" w:hAnsi="Arial" w:cs="Arial"/>
                <w:b/>
                <w:sz w:val="22"/>
                <w:szCs w:val="22"/>
              </w:rPr>
              <w:t>Contract 1</w:t>
            </w:r>
          </w:p>
        </w:tc>
        <w:tc>
          <w:tcPr>
            <w:tcW w:w="2334" w:type="dxa"/>
          </w:tcPr>
          <w:p w:rsidR="00745BA4" w:rsidRDefault="00745BA4" w:rsidP="006D4F71">
            <w:pPr>
              <w:pStyle w:val="Normal1"/>
              <w:widowControl w:val="0"/>
              <w:jc w:val="both"/>
            </w:pPr>
            <w:r>
              <w:rPr>
                <w:rFonts w:ascii="Arial" w:eastAsia="Arial" w:hAnsi="Arial" w:cs="Arial"/>
                <w:b/>
                <w:sz w:val="22"/>
                <w:szCs w:val="22"/>
              </w:rPr>
              <w:t>Contract 2</w:t>
            </w:r>
          </w:p>
        </w:tc>
        <w:tc>
          <w:tcPr>
            <w:tcW w:w="2335" w:type="dxa"/>
          </w:tcPr>
          <w:p w:rsidR="00745BA4" w:rsidRDefault="00745BA4" w:rsidP="006D4F71">
            <w:pPr>
              <w:pStyle w:val="Normal1"/>
              <w:widowControl w:val="0"/>
              <w:jc w:val="both"/>
            </w:pPr>
            <w:r>
              <w:rPr>
                <w:rFonts w:ascii="Arial" w:eastAsia="Arial" w:hAnsi="Arial" w:cs="Arial"/>
                <w:b/>
                <w:sz w:val="22"/>
                <w:szCs w:val="22"/>
              </w:rPr>
              <w:t>Contract 3</w:t>
            </w:r>
          </w:p>
        </w:tc>
      </w:tr>
      <w:tr w:rsidR="00745BA4" w:rsidTr="006D4F71">
        <w:trPr>
          <w:trHeight w:val="840"/>
        </w:trPr>
        <w:tc>
          <w:tcPr>
            <w:tcW w:w="2334" w:type="dxa"/>
          </w:tcPr>
          <w:p w:rsidR="00745BA4" w:rsidRDefault="00745BA4" w:rsidP="006D4F71">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6D4F71">
        <w:trPr>
          <w:trHeight w:val="2100"/>
        </w:trPr>
        <w:tc>
          <w:tcPr>
            <w:tcW w:w="1257" w:type="dxa"/>
          </w:tcPr>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b/>
                <w:sz w:val="22"/>
                <w:szCs w:val="22"/>
              </w:rPr>
              <w:t>6.2</w:t>
            </w:r>
          </w:p>
          <w:p w:rsidR="00745BA4" w:rsidRDefault="00745BA4" w:rsidP="006D4F71">
            <w:pPr>
              <w:pStyle w:val="Normal1"/>
              <w:widowControl w:val="0"/>
              <w:jc w:val="both"/>
            </w:pPr>
          </w:p>
          <w:p w:rsidR="00745BA4" w:rsidRDefault="00745BA4" w:rsidP="006D4F71">
            <w:pPr>
              <w:pStyle w:val="Normal1"/>
              <w:widowControl w:val="0"/>
              <w:jc w:val="both"/>
            </w:pPr>
          </w:p>
        </w:tc>
        <w:tc>
          <w:tcPr>
            <w:tcW w:w="8080" w:type="dxa"/>
          </w:tcPr>
          <w:p w:rsidR="00745BA4" w:rsidRDefault="00745BA4"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6D4F71">
        <w:trPr>
          <w:trHeight w:val="2560"/>
        </w:trPr>
        <w:tc>
          <w:tcPr>
            <w:tcW w:w="1257" w:type="dxa"/>
          </w:tcPr>
          <w:p w:rsidR="00745BA4" w:rsidRDefault="00745BA4" w:rsidP="006D4F71">
            <w:pPr>
              <w:pStyle w:val="Normal1"/>
              <w:widowControl w:val="0"/>
              <w:jc w:val="both"/>
            </w:pPr>
          </w:p>
        </w:tc>
        <w:tc>
          <w:tcPr>
            <w:tcW w:w="8080" w:type="dxa"/>
          </w:tcPr>
          <w:p w:rsidR="00745BA4" w:rsidRDefault="00745BA4" w:rsidP="006D4F71">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rsidTr="006D4F71">
        <w:tc>
          <w:tcPr>
            <w:tcW w:w="681" w:type="pct"/>
          </w:tcPr>
          <w:p w:rsidR="00745BA4" w:rsidRDefault="00745BA4" w:rsidP="006D4F71">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6D4F71">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6D4F71">
        <w:tc>
          <w:tcPr>
            <w:tcW w:w="681" w:type="pct"/>
          </w:tcPr>
          <w:p w:rsidR="00745BA4" w:rsidRDefault="00745BA4" w:rsidP="006D4F71">
            <w:pPr>
              <w:pStyle w:val="Normal1"/>
              <w:jc w:val="both"/>
            </w:pPr>
          </w:p>
        </w:tc>
        <w:tc>
          <w:tcPr>
            <w:tcW w:w="4319" w:type="pct"/>
          </w:tcPr>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r>
    </w:tbl>
    <w:p w:rsidR="007545CD" w:rsidRDefault="007545CD"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545CD" w:rsidRPr="007545CD" w:rsidTr="001552A8">
        <w:tc>
          <w:tcPr>
            <w:tcW w:w="681" w:type="pct"/>
          </w:tcPr>
          <w:p w:rsidR="007545CD" w:rsidRPr="007545CD" w:rsidRDefault="007545CD" w:rsidP="001552A8">
            <w:pPr>
              <w:pStyle w:val="Normal1"/>
              <w:jc w:val="both"/>
              <w:rPr>
                <w:rFonts w:ascii="Arial" w:eastAsia="Arial" w:hAnsi="Arial" w:cs="Arial"/>
                <w:b/>
                <w:sz w:val="22"/>
                <w:szCs w:val="22"/>
              </w:rPr>
            </w:pPr>
            <w:r w:rsidRPr="007545CD">
              <w:rPr>
                <w:rFonts w:ascii="Arial" w:eastAsia="Arial" w:hAnsi="Arial" w:cs="Arial"/>
                <w:b/>
                <w:sz w:val="22"/>
                <w:szCs w:val="22"/>
              </w:rPr>
              <w:t xml:space="preserve">6.4  </w:t>
            </w:r>
          </w:p>
        </w:tc>
        <w:tc>
          <w:tcPr>
            <w:tcW w:w="4319" w:type="pct"/>
            <w:vAlign w:val="center"/>
          </w:tcPr>
          <w:p w:rsidR="007545CD" w:rsidRPr="007545CD" w:rsidRDefault="007545CD" w:rsidP="007545CD">
            <w:pPr>
              <w:pStyle w:val="Normal1"/>
              <w:jc w:val="both"/>
              <w:rPr>
                <w:b/>
              </w:rPr>
            </w:pPr>
            <w:r w:rsidRPr="007545CD">
              <w:rPr>
                <w:rFonts w:ascii="Arial" w:eastAsia="Arial" w:hAnsi="Arial" w:cs="Arial"/>
                <w:b/>
                <w:sz w:val="22"/>
                <w:szCs w:val="22"/>
              </w:rPr>
              <w:t xml:space="preserve">Technical and Professional Ability – Project Specific </w:t>
            </w:r>
          </w:p>
        </w:tc>
      </w:tr>
      <w:tr w:rsidR="007545CD" w:rsidTr="001552A8">
        <w:tc>
          <w:tcPr>
            <w:tcW w:w="681" w:type="pct"/>
          </w:tcPr>
          <w:p w:rsidR="007545CD" w:rsidRDefault="007545CD" w:rsidP="001552A8">
            <w:pPr>
              <w:pStyle w:val="Normal1"/>
              <w:jc w:val="both"/>
            </w:pPr>
          </w:p>
        </w:tc>
        <w:tc>
          <w:tcPr>
            <w:tcW w:w="4319" w:type="pct"/>
          </w:tcPr>
          <w:p w:rsidR="00B57D4C" w:rsidRDefault="001C4B27" w:rsidP="00B57D4C">
            <w:pPr>
              <w:pStyle w:val="Normal1"/>
              <w:jc w:val="both"/>
              <w:rPr>
                <w:rFonts w:ascii="Arial" w:eastAsia="Arial" w:hAnsi="Arial" w:cs="Arial"/>
                <w:sz w:val="22"/>
                <w:szCs w:val="22"/>
              </w:rPr>
            </w:pPr>
            <w:r>
              <w:rPr>
                <w:rFonts w:ascii="Arial" w:eastAsia="Arial" w:hAnsi="Arial" w:cs="Arial"/>
                <w:sz w:val="22"/>
                <w:szCs w:val="22"/>
              </w:rPr>
              <w:t xml:space="preserve">Please provide details of your experience in providing and selling digital </w:t>
            </w:r>
            <w:proofErr w:type="gramStart"/>
            <w:r>
              <w:rPr>
                <w:rFonts w:ascii="Arial" w:eastAsia="Arial" w:hAnsi="Arial" w:cs="Arial"/>
                <w:sz w:val="22"/>
                <w:szCs w:val="22"/>
              </w:rPr>
              <w:t>6 sheet</w:t>
            </w:r>
            <w:proofErr w:type="gramEnd"/>
            <w:r>
              <w:rPr>
                <w:rFonts w:ascii="Arial" w:eastAsia="Arial" w:hAnsi="Arial" w:cs="Arial"/>
                <w:sz w:val="22"/>
                <w:szCs w:val="22"/>
              </w:rPr>
              <w:t xml:space="preserve"> poster advertising to the out of home market.</w:t>
            </w:r>
            <w:r w:rsidR="00B57D4C">
              <w:rPr>
                <w:rFonts w:ascii="Arial" w:eastAsia="Arial" w:hAnsi="Arial" w:cs="Arial"/>
                <w:sz w:val="22"/>
                <w:szCs w:val="22"/>
              </w:rPr>
              <w:t xml:space="preserve"> Your response should include ( but not be limited to):</w:t>
            </w:r>
          </w:p>
          <w:p w:rsidR="00B57D4C" w:rsidRDefault="00B57D4C" w:rsidP="00B57D4C">
            <w:pPr>
              <w:pStyle w:val="Normal1"/>
              <w:numPr>
                <w:ilvl w:val="0"/>
                <w:numId w:val="21"/>
              </w:numPr>
              <w:jc w:val="both"/>
              <w:rPr>
                <w:rFonts w:ascii="Arial" w:eastAsia="Arial" w:hAnsi="Arial" w:cs="Arial"/>
                <w:sz w:val="22"/>
                <w:szCs w:val="22"/>
              </w:rPr>
            </w:pPr>
            <w:r>
              <w:rPr>
                <w:rFonts w:ascii="Arial" w:eastAsia="Arial" w:hAnsi="Arial" w:cs="Arial"/>
                <w:sz w:val="22"/>
                <w:szCs w:val="22"/>
              </w:rPr>
              <w:t>Siting and providing digital advertising sites</w:t>
            </w:r>
            <w:r w:rsidR="005D0BAE">
              <w:rPr>
                <w:rFonts w:ascii="Arial" w:eastAsia="Arial" w:hAnsi="Arial" w:cs="Arial"/>
                <w:sz w:val="22"/>
                <w:szCs w:val="22"/>
              </w:rPr>
              <w:t xml:space="preserve"> (including obtain planning permissions)</w:t>
            </w:r>
          </w:p>
          <w:p w:rsidR="00B57D4C" w:rsidRDefault="00B57D4C" w:rsidP="00B57D4C">
            <w:pPr>
              <w:pStyle w:val="Normal1"/>
              <w:numPr>
                <w:ilvl w:val="0"/>
                <w:numId w:val="21"/>
              </w:numPr>
              <w:jc w:val="both"/>
              <w:rPr>
                <w:rFonts w:ascii="Arial" w:eastAsia="Arial" w:hAnsi="Arial" w:cs="Arial"/>
                <w:sz w:val="22"/>
                <w:szCs w:val="22"/>
              </w:rPr>
            </w:pPr>
            <w:r>
              <w:rPr>
                <w:rFonts w:ascii="Arial" w:eastAsia="Arial" w:hAnsi="Arial" w:cs="Arial"/>
                <w:sz w:val="22"/>
                <w:szCs w:val="22"/>
              </w:rPr>
              <w:t>Selling and maximising advertising revenue</w:t>
            </w:r>
          </w:p>
          <w:p w:rsidR="00B57D4C" w:rsidRDefault="00B57D4C" w:rsidP="00B57D4C">
            <w:pPr>
              <w:pStyle w:val="Normal1"/>
              <w:numPr>
                <w:ilvl w:val="0"/>
                <w:numId w:val="21"/>
              </w:numPr>
              <w:jc w:val="both"/>
              <w:rPr>
                <w:rFonts w:ascii="Arial" w:eastAsia="Arial" w:hAnsi="Arial" w:cs="Arial"/>
                <w:sz w:val="22"/>
                <w:szCs w:val="22"/>
              </w:rPr>
            </w:pPr>
            <w:r>
              <w:rPr>
                <w:rFonts w:ascii="Arial" w:eastAsia="Arial" w:hAnsi="Arial" w:cs="Arial"/>
                <w:sz w:val="22"/>
                <w:szCs w:val="22"/>
              </w:rPr>
              <w:t>Innovation and climate change/carbon</w:t>
            </w:r>
          </w:p>
          <w:p w:rsidR="005D0BAE" w:rsidRPr="005D0BAE" w:rsidRDefault="00B57D4C" w:rsidP="005D0BAE">
            <w:pPr>
              <w:pStyle w:val="Normal1"/>
              <w:numPr>
                <w:ilvl w:val="0"/>
                <w:numId w:val="21"/>
              </w:numPr>
              <w:jc w:val="both"/>
              <w:rPr>
                <w:rFonts w:ascii="Arial" w:eastAsia="Arial" w:hAnsi="Arial" w:cs="Arial"/>
                <w:sz w:val="22"/>
                <w:szCs w:val="22"/>
              </w:rPr>
            </w:pPr>
            <w:r w:rsidRPr="00B57D4C">
              <w:rPr>
                <w:rFonts w:ascii="Arial" w:eastAsia="Arial" w:hAnsi="Arial" w:cs="Arial"/>
                <w:sz w:val="22"/>
                <w:szCs w:val="22"/>
              </w:rPr>
              <w:t xml:space="preserve">CVs of </w:t>
            </w:r>
            <w:r w:rsidR="005D0BAE">
              <w:rPr>
                <w:rFonts w:ascii="Arial" w:eastAsia="Arial" w:hAnsi="Arial" w:cs="Arial"/>
                <w:sz w:val="22"/>
                <w:szCs w:val="22"/>
              </w:rPr>
              <w:t>relevant staff</w:t>
            </w:r>
          </w:p>
          <w:p w:rsidR="007545CD" w:rsidRDefault="00B57D4C" w:rsidP="00B57D4C">
            <w:pPr>
              <w:pStyle w:val="Normal1"/>
              <w:jc w:val="both"/>
            </w:pPr>
            <w:r>
              <w:rPr>
                <w:rFonts w:ascii="Arial" w:eastAsia="Arial" w:hAnsi="Arial" w:cs="Arial"/>
                <w:sz w:val="22"/>
                <w:szCs w:val="22"/>
              </w:rPr>
              <w:t xml:space="preserve"> </w:t>
            </w:r>
          </w:p>
        </w:tc>
      </w:tr>
      <w:tr w:rsidR="007545CD" w:rsidTr="001552A8">
        <w:tc>
          <w:tcPr>
            <w:tcW w:w="681" w:type="pct"/>
          </w:tcPr>
          <w:p w:rsidR="007545CD" w:rsidRDefault="007545CD" w:rsidP="001552A8">
            <w:pPr>
              <w:pStyle w:val="Normal1"/>
              <w:jc w:val="both"/>
            </w:pPr>
          </w:p>
        </w:tc>
        <w:tc>
          <w:tcPr>
            <w:tcW w:w="4319" w:type="pct"/>
          </w:tcPr>
          <w:p w:rsidR="007545CD" w:rsidRDefault="007545CD" w:rsidP="001552A8">
            <w:pPr>
              <w:pStyle w:val="Normal1"/>
              <w:jc w:val="both"/>
            </w:pPr>
          </w:p>
        </w:tc>
      </w:tr>
      <w:tr w:rsidR="007545CD" w:rsidTr="001552A8">
        <w:tc>
          <w:tcPr>
            <w:tcW w:w="681" w:type="pct"/>
          </w:tcPr>
          <w:p w:rsidR="007545CD" w:rsidRDefault="007545CD" w:rsidP="001552A8">
            <w:pPr>
              <w:pStyle w:val="Normal1"/>
              <w:jc w:val="both"/>
            </w:pPr>
          </w:p>
        </w:tc>
        <w:tc>
          <w:tcPr>
            <w:tcW w:w="4319" w:type="pct"/>
          </w:tcPr>
          <w:p w:rsidR="007545CD" w:rsidRDefault="007545CD" w:rsidP="001552A8">
            <w:pPr>
              <w:pStyle w:val="Normal1"/>
              <w:jc w:val="both"/>
            </w:pPr>
          </w:p>
          <w:p w:rsidR="007545CD" w:rsidRDefault="007545CD" w:rsidP="001552A8">
            <w:pPr>
              <w:pStyle w:val="Normal1"/>
              <w:jc w:val="both"/>
            </w:pPr>
          </w:p>
          <w:p w:rsidR="007545CD" w:rsidRDefault="007545CD" w:rsidP="001552A8">
            <w:pPr>
              <w:pStyle w:val="Normal1"/>
              <w:jc w:val="both"/>
            </w:pPr>
          </w:p>
          <w:p w:rsidR="007545CD" w:rsidRDefault="007545CD" w:rsidP="001552A8">
            <w:pPr>
              <w:pStyle w:val="Normal1"/>
              <w:jc w:val="both"/>
            </w:pPr>
          </w:p>
          <w:p w:rsidR="007545CD" w:rsidRDefault="007545CD" w:rsidP="001552A8">
            <w:pPr>
              <w:pStyle w:val="Normal1"/>
              <w:jc w:val="both"/>
            </w:pPr>
          </w:p>
          <w:p w:rsidR="007545CD" w:rsidRDefault="007545CD" w:rsidP="001552A8">
            <w:pPr>
              <w:pStyle w:val="Normal1"/>
              <w:jc w:val="both"/>
            </w:pPr>
          </w:p>
          <w:p w:rsidR="007545CD" w:rsidRDefault="007545CD" w:rsidP="001552A8">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6D4F71">
        <w:trPr>
          <w:trHeight w:val="400"/>
        </w:trPr>
        <w:tc>
          <w:tcPr>
            <w:tcW w:w="1276" w:type="dxa"/>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gridSpan w:val="2"/>
            <w:shd w:val="clear" w:color="auto" w:fill="CCFFFF"/>
          </w:tcPr>
          <w:p w:rsidR="00745BA4" w:rsidRDefault="00745BA4" w:rsidP="006D4F71">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6D4F71">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6D4F71">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6D4F7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6D4F71">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rsidR="00745BA4" w:rsidRDefault="00745BA4" w:rsidP="006D4F71">
            <w:pPr>
              <w:pStyle w:val="Normal1"/>
              <w:spacing w:after="160" w:line="259" w:lineRule="auto"/>
              <w:jc w:val="both"/>
            </w:pPr>
          </w:p>
        </w:tc>
        <w:tc>
          <w:tcPr>
            <w:tcW w:w="2406" w:type="dxa"/>
            <w:tcMar>
              <w:left w:w="120" w:type="dxa"/>
              <w:right w:w="120" w:type="dxa"/>
            </w:tcMar>
          </w:tcPr>
          <w:p w:rsidR="00745BA4" w:rsidRPr="00454434" w:rsidRDefault="00745BA4" w:rsidP="006D4F7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6D4F7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00702074">
              <w:rPr>
                <w:rFonts w:ascii="Arial" w:eastAsia="Menlo Regular" w:hAnsi="Arial" w:cs="Arial"/>
              </w:rPr>
              <w:t>url</w:t>
            </w:r>
            <w:proofErr w:type="spellEnd"/>
          </w:p>
          <w:p w:rsidR="00745BA4" w:rsidRPr="00454434" w:rsidRDefault="00745BA4" w:rsidP="006D4F71">
            <w:pPr>
              <w:pStyle w:val="Normal1"/>
              <w:rPr>
                <w:rFonts w:ascii="Arial" w:hAnsi="Arial" w:cs="Arial"/>
              </w:rPr>
            </w:pPr>
          </w:p>
          <w:p w:rsidR="00745BA4" w:rsidRPr="00FF029F" w:rsidRDefault="00745BA4" w:rsidP="006D4F7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6D4F7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745BA4" w:rsidTr="006D4F71">
        <w:tblPrEx>
          <w:tblLook w:val="0600" w:firstRow="0" w:lastRow="0" w:firstColumn="0" w:lastColumn="0" w:noHBand="1" w:noVBand="1"/>
        </w:tblPrEx>
        <w:tc>
          <w:tcPr>
            <w:tcW w:w="1257" w:type="dxa"/>
          </w:tcPr>
          <w:p w:rsidR="00745BA4" w:rsidRPr="00454434" w:rsidRDefault="00745BA4" w:rsidP="006D4F71">
            <w:pPr>
              <w:pStyle w:val="Normal1"/>
              <w:widowControl w:val="0"/>
              <w:jc w:val="both"/>
              <w:rPr>
                <w:rFonts w:ascii="Arial" w:hAnsi="Arial" w:cs="Arial"/>
              </w:rPr>
            </w:pPr>
            <w:r>
              <w:rPr>
                <w:rFonts w:ascii="Arial" w:hAnsi="Arial" w:cs="Arial"/>
              </w:rPr>
              <w:t>a.</w:t>
            </w:r>
          </w:p>
        </w:tc>
        <w:tc>
          <w:tcPr>
            <w:tcW w:w="8080" w:type="dxa"/>
          </w:tcPr>
          <w:p w:rsidR="00745BA4" w:rsidRDefault="00745BA4" w:rsidP="006D4F71">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6D4F71">
            <w:pPr>
              <w:pStyle w:val="Normal1"/>
              <w:widowControl w:val="0"/>
              <w:jc w:val="both"/>
            </w:pPr>
            <w:r>
              <w:rPr>
                <w:rFonts w:ascii="Arial" w:eastAsia="Arial" w:hAnsi="Arial" w:cs="Arial"/>
                <w:sz w:val="22"/>
                <w:szCs w:val="22"/>
              </w:rPr>
              <w:t xml:space="preserve">Y/N  </w:t>
            </w:r>
          </w:p>
          <w:p w:rsidR="00745BA4" w:rsidRPr="00563C9A" w:rsidRDefault="00745BA4" w:rsidP="006D4F71">
            <w:pPr>
              <w:pStyle w:val="Normal1"/>
              <w:widowControl w:val="0"/>
              <w:jc w:val="both"/>
            </w:pPr>
            <w:r>
              <w:rPr>
                <w:rFonts w:ascii="Arial" w:eastAsia="Arial" w:hAnsi="Arial" w:cs="Arial"/>
                <w:sz w:val="22"/>
                <w:szCs w:val="22"/>
              </w:rPr>
              <w:br/>
            </w:r>
            <w:r w:rsidRPr="00563C9A">
              <w:rPr>
                <w:rFonts w:ascii="Arial" w:eastAsia="Arial" w:hAnsi="Arial" w:cs="Arial"/>
                <w:sz w:val="22"/>
                <w:szCs w:val="22"/>
              </w:rPr>
              <w:t>Employer’s (Compulsory) Liability Insurance =</w:t>
            </w:r>
            <w:r w:rsidR="00702074" w:rsidRPr="00563C9A">
              <w:rPr>
                <w:rFonts w:ascii="Arial" w:eastAsia="Arial" w:hAnsi="Arial" w:cs="Arial"/>
                <w:sz w:val="22"/>
                <w:szCs w:val="22"/>
              </w:rPr>
              <w:t>[</w:t>
            </w:r>
            <w:r w:rsidRPr="00563C9A">
              <w:rPr>
                <w:rFonts w:ascii="Arial" w:eastAsia="Arial" w:hAnsi="Arial" w:cs="Arial"/>
                <w:sz w:val="22"/>
                <w:szCs w:val="22"/>
              </w:rPr>
              <w:t xml:space="preserve"> £</w:t>
            </w:r>
            <w:r w:rsidR="00702074" w:rsidRPr="00563C9A">
              <w:rPr>
                <w:rFonts w:ascii="Arial" w:eastAsia="Arial" w:hAnsi="Arial" w:cs="Arial"/>
                <w:sz w:val="22"/>
                <w:szCs w:val="22"/>
              </w:rPr>
              <w:t>10,000,000]</w:t>
            </w:r>
          </w:p>
          <w:p w:rsidR="00702074" w:rsidRPr="00563C9A" w:rsidRDefault="00745BA4" w:rsidP="006D4F71">
            <w:pPr>
              <w:pStyle w:val="Normal1"/>
              <w:widowControl w:val="0"/>
              <w:rPr>
                <w:rFonts w:ascii="Arial" w:eastAsia="Arial" w:hAnsi="Arial" w:cs="Arial"/>
                <w:sz w:val="22"/>
                <w:szCs w:val="22"/>
              </w:rPr>
            </w:pPr>
            <w:r w:rsidRPr="00563C9A">
              <w:rPr>
                <w:rFonts w:ascii="Arial" w:eastAsia="Arial" w:hAnsi="Arial" w:cs="Arial"/>
                <w:sz w:val="22"/>
                <w:szCs w:val="22"/>
              </w:rPr>
              <w:br/>
              <w:t xml:space="preserve">Public Liability Insurance = </w:t>
            </w:r>
            <w:r w:rsidR="00702074" w:rsidRPr="00563C9A">
              <w:rPr>
                <w:rFonts w:ascii="Arial" w:eastAsia="Arial" w:hAnsi="Arial" w:cs="Arial"/>
                <w:sz w:val="22"/>
                <w:szCs w:val="22"/>
              </w:rPr>
              <w:t>[</w:t>
            </w:r>
            <w:r w:rsidRPr="00563C9A">
              <w:rPr>
                <w:rFonts w:ascii="Arial" w:eastAsia="Arial" w:hAnsi="Arial" w:cs="Arial"/>
                <w:sz w:val="22"/>
                <w:szCs w:val="22"/>
              </w:rPr>
              <w:t>£</w:t>
            </w:r>
            <w:r w:rsidR="00702074" w:rsidRPr="00563C9A">
              <w:rPr>
                <w:rFonts w:ascii="Arial" w:eastAsia="Arial" w:hAnsi="Arial" w:cs="Arial"/>
                <w:sz w:val="22"/>
                <w:szCs w:val="22"/>
              </w:rPr>
              <w:t>10,000,000]</w:t>
            </w:r>
            <w:r w:rsidRPr="00563C9A">
              <w:rPr>
                <w:rFonts w:ascii="Arial" w:eastAsia="Arial" w:hAnsi="Arial" w:cs="Arial"/>
                <w:sz w:val="22"/>
                <w:szCs w:val="22"/>
              </w:rPr>
              <w:br/>
            </w:r>
          </w:p>
          <w:p w:rsidR="00745BA4" w:rsidRPr="00563C9A" w:rsidRDefault="00702074" w:rsidP="006D4F71">
            <w:pPr>
              <w:pStyle w:val="Normal1"/>
              <w:widowControl w:val="0"/>
            </w:pPr>
            <w:r w:rsidRPr="00563C9A">
              <w:rPr>
                <w:rFonts w:ascii="Arial" w:eastAsia="Arial" w:hAnsi="Arial" w:cs="Arial"/>
                <w:sz w:val="22"/>
                <w:szCs w:val="22"/>
              </w:rPr>
              <w:t>[</w:t>
            </w:r>
            <w:r w:rsidR="00745BA4" w:rsidRPr="00563C9A">
              <w:rPr>
                <w:rFonts w:ascii="Arial" w:eastAsia="Arial" w:hAnsi="Arial" w:cs="Arial"/>
                <w:sz w:val="22"/>
                <w:szCs w:val="22"/>
              </w:rPr>
              <w:t>Professional Indemnity Insurance = £</w:t>
            </w:r>
            <w:r w:rsidRPr="00563C9A">
              <w:rPr>
                <w:rFonts w:ascii="Arial" w:eastAsia="Arial" w:hAnsi="Arial" w:cs="Arial"/>
                <w:sz w:val="22"/>
                <w:szCs w:val="22"/>
              </w:rPr>
              <w:t>2,000,000]</w:t>
            </w:r>
          </w:p>
          <w:p w:rsidR="00745BA4" w:rsidRDefault="00745BA4" w:rsidP="00702074">
            <w:pPr>
              <w:pStyle w:val="Normal1"/>
              <w:widowControl w:val="0"/>
            </w:pPr>
            <w:r w:rsidRPr="00563C9A">
              <w:rPr>
                <w:rFonts w:ascii="Arial" w:eastAsia="Arial" w:hAnsi="Arial" w:cs="Arial"/>
                <w:sz w:val="22"/>
                <w:szCs w:val="22"/>
              </w:rPr>
              <w:br/>
              <w:t xml:space="preserve">Product Liability Insurance = </w:t>
            </w:r>
            <w:r w:rsidR="00702074" w:rsidRPr="00563C9A">
              <w:rPr>
                <w:rFonts w:ascii="Arial" w:eastAsia="Arial" w:hAnsi="Arial" w:cs="Arial"/>
                <w:sz w:val="22"/>
                <w:szCs w:val="22"/>
              </w:rPr>
              <w:t>[</w:t>
            </w:r>
            <w:r w:rsidRPr="00563C9A">
              <w:rPr>
                <w:rFonts w:ascii="Arial" w:eastAsia="Arial" w:hAnsi="Arial" w:cs="Arial"/>
                <w:sz w:val="22"/>
                <w:szCs w:val="22"/>
              </w:rPr>
              <w:t>£</w:t>
            </w:r>
            <w:r w:rsidR="00702074" w:rsidRPr="00563C9A">
              <w:rPr>
                <w:rFonts w:ascii="Arial" w:eastAsia="Arial" w:hAnsi="Arial" w:cs="Arial"/>
                <w:sz w:val="22"/>
                <w:szCs w:val="22"/>
              </w:rPr>
              <w:t>10,000,000]</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745BA4" w:rsidTr="006D4F71">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a.</w:t>
            </w:r>
          </w:p>
        </w:tc>
        <w:tc>
          <w:tcPr>
            <w:tcW w:w="5954" w:type="dxa"/>
          </w:tcPr>
          <w:p w:rsidR="00745BA4" w:rsidRDefault="00745BA4" w:rsidP="006D4F71">
            <w:pPr>
              <w:pStyle w:val="Normal1"/>
              <w:widowControl w:val="0"/>
              <w:jc w:val="both"/>
            </w:pPr>
            <w:r>
              <w:rPr>
                <w:rFonts w:ascii="Arial" w:eastAsia="Arial" w:hAnsi="Arial" w:cs="Arial"/>
                <w:sz w:val="22"/>
                <w:szCs w:val="22"/>
              </w:rPr>
              <w:t xml:space="preserve">Public procurement of contracts with a full life value of £10 million and above and duration of 12 months and above </w:t>
            </w:r>
            <w:proofErr w:type="gramStart"/>
            <w:r>
              <w:rPr>
                <w:rFonts w:ascii="Arial" w:eastAsia="Arial" w:hAnsi="Arial" w:cs="Arial"/>
                <w:sz w:val="22"/>
                <w:szCs w:val="22"/>
              </w:rPr>
              <w:t>should be used</w:t>
            </w:r>
            <w:proofErr w:type="gramEnd"/>
            <w:r>
              <w:rPr>
                <w:rFonts w:ascii="Arial" w:eastAsia="Arial" w:hAnsi="Arial" w:cs="Arial"/>
                <w:sz w:val="22"/>
                <w:szCs w:val="22"/>
              </w:rPr>
              <w:t xml:space="preserve">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widowControl w:val="0"/>
              <w:jc w:val="both"/>
            </w:pPr>
          </w:p>
        </w:tc>
      </w:tr>
      <w:tr w:rsidR="00745BA4" w:rsidTr="006D4F71">
        <w:tblPrEx>
          <w:tblLook w:val="0600" w:firstRow="0" w:lastRow="0" w:firstColumn="0" w:lastColumn="0" w:noHBand="1" w:noVBand="1"/>
        </w:tblPrEx>
        <w:tc>
          <w:tcPr>
            <w:tcW w:w="1257" w:type="dxa"/>
          </w:tcPr>
          <w:p w:rsidR="00745BA4" w:rsidRDefault="00745BA4" w:rsidP="006D4F71">
            <w:pPr>
              <w:pStyle w:val="Normal1"/>
              <w:widowControl w:val="0"/>
              <w:ind w:right="-100"/>
              <w:jc w:val="both"/>
            </w:pPr>
            <w:r>
              <w:rPr>
                <w:rFonts w:ascii="Arial" w:eastAsia="Arial" w:hAnsi="Arial" w:cs="Arial"/>
                <w:b/>
                <w:sz w:val="22"/>
                <w:szCs w:val="22"/>
              </w:rPr>
              <w:t>b.</w:t>
            </w:r>
          </w:p>
        </w:tc>
        <w:tc>
          <w:tcPr>
            <w:tcW w:w="5954" w:type="dxa"/>
          </w:tcPr>
          <w:p w:rsidR="00745BA4" w:rsidRDefault="00745BA4" w:rsidP="006D4F71">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c.</w:t>
            </w:r>
          </w:p>
        </w:tc>
        <w:tc>
          <w:tcPr>
            <w:tcW w:w="5954" w:type="dxa"/>
          </w:tcPr>
          <w:p w:rsidR="00745BA4" w:rsidRDefault="00745BA4" w:rsidP="006D4F71">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 offence under section 4 of the Asylum and Immigration (Treatment of Claimants etc.)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Breach of obligations relating to the payment of taxes or social security contributions that </w:t>
      </w:r>
      <w:proofErr w:type="gramStart"/>
      <w:r>
        <w:rPr>
          <w:rFonts w:ascii="Arial" w:eastAsia="Arial" w:hAnsi="Arial" w:cs="Arial"/>
        </w:rPr>
        <w:t>has been established</w:t>
      </w:r>
      <w:proofErr w:type="gramEnd"/>
      <w:r>
        <w:rPr>
          <w:rFonts w:ascii="Arial" w:eastAsia="Arial" w:hAnsi="Arial" w:cs="Arial"/>
        </w:rPr>
        <w:t xml:space="preserve"> by a judicial or administrative decision.</w:t>
      </w:r>
    </w:p>
    <w:p w:rsidR="00745BA4" w:rsidRDefault="00745BA4" w:rsidP="00745BA4">
      <w:pPr>
        <w:pStyle w:val="Normal1"/>
        <w:jc w:val="both"/>
      </w:pPr>
      <w:r>
        <w:rPr>
          <w:rFonts w:ascii="Arial" w:eastAsia="Arial" w:hAnsi="Arial" w:cs="Arial"/>
        </w:rPr>
        <w:t xml:space="preserve">Where any tax returns submitted on or after 1 October 2012 have been found to be incorrect </w:t>
      </w:r>
      <w:proofErr w:type="gramStart"/>
      <w:r>
        <w:rPr>
          <w:rFonts w:ascii="Arial" w:eastAsia="Arial" w:hAnsi="Arial" w:cs="Arial"/>
        </w:rPr>
        <w:t>as a result</w:t>
      </w:r>
      <w:proofErr w:type="gramEnd"/>
      <w:r>
        <w:rPr>
          <w:rFonts w:ascii="Arial" w:eastAsia="Arial" w:hAnsi="Arial" w:cs="Arial"/>
        </w:rPr>
        <w:t xml:space="preserve"> of:</w:t>
      </w:r>
    </w:p>
    <w:p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pP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r>
        <w:rPr>
          <w:rFonts w:ascii="Arial" w:eastAsia="Arial" w:hAnsi="Arial" w:cs="Arial"/>
          <w:b/>
        </w:rPr>
        <w:t>Obligations in the field of environment, social and labour law.</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lastRenderedPageBreak/>
        <w:t>Aware of any conflict of interest within the meaning of regulation 24 due to the participation in the procurement procedure</w:t>
      </w:r>
    </w:p>
    <w:p w:rsidR="00745BA4" w:rsidRDefault="00745BA4" w:rsidP="00745BA4">
      <w:pPr>
        <w:pStyle w:val="Normal1"/>
        <w:spacing w:after="160"/>
        <w:jc w:val="both"/>
      </w:pPr>
      <w:r>
        <w:rPr>
          <w:rFonts w:ascii="Arial" w:eastAsia="Arial" w:hAnsi="Arial" w:cs="Arial"/>
          <w:b/>
        </w:rPr>
        <w:t>Been involved in the preparation of the procurement procedure.</w:t>
      </w:r>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b/>
        </w:rPr>
        <w:t xml:space="preserve">Breach of obligations relating to the payment of taxes or social security contributions. </w:t>
      </w:r>
    </w:p>
    <w:p w:rsidR="00745BA4" w:rsidRDefault="00745BA4" w:rsidP="00745BA4">
      <w:pPr>
        <w:pStyle w:val="Normal1"/>
        <w:spacing w:before="240" w:after="120"/>
        <w:jc w:val="both"/>
      </w:pPr>
      <w:r>
        <w:rPr>
          <w:rFonts w:ascii="Arial" w:eastAsia="Arial" w:hAnsi="Arial" w:cs="Arial"/>
          <w:b/>
        </w:rPr>
        <w:t>ANNEX 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(UNEP/FAO) (The PIC Convention) Rotterdam, 10 September 1998, and its </w:t>
      </w:r>
      <w:proofErr w:type="gramStart"/>
      <w:r>
        <w:rPr>
          <w:rFonts w:ascii="Arial" w:eastAsia="Arial" w:hAnsi="Arial" w:cs="Arial"/>
          <w:sz w:val="22"/>
          <w:szCs w:val="22"/>
        </w:rPr>
        <w:t>3</w:t>
      </w:r>
      <w:proofErr w:type="gramEnd"/>
      <w:r>
        <w:rPr>
          <w:rFonts w:ascii="Arial" w:eastAsia="Arial" w:hAnsi="Arial" w:cs="Arial"/>
          <w:sz w:val="22"/>
          <w:szCs w:val="22"/>
        </w:rPr>
        <w:t xml:space="preserve"> regional Protocols.</w:t>
      </w: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contextualSpacing/>
        <w:jc w:val="both"/>
      </w:pPr>
    </w:p>
    <w:p w:rsidR="00745BA4" w:rsidRDefault="00745BA4" w:rsidP="00745BA4">
      <w:pPr>
        <w:pStyle w:val="Normal1"/>
        <w:ind w:left="714"/>
        <w:jc w:val="both"/>
      </w:pPr>
    </w:p>
    <w:p w:rsidR="00745BA4" w:rsidRDefault="00745BA4" w:rsidP="00745BA4">
      <w:pPr>
        <w:pStyle w:val="Normal1"/>
        <w:ind w:left="714"/>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t xml:space="preserve">A serious </w:t>
      </w:r>
      <w:proofErr w:type="gramStart"/>
      <w:r>
        <w:rPr>
          <w:rFonts w:ascii="Arial" w:eastAsia="Arial" w:hAnsi="Arial" w:cs="Arial"/>
          <w:color w:val="222222"/>
        </w:rPr>
        <w:t>misrepresentation which induces a contracting authority to enter into a contract</w:t>
      </w:r>
      <w:proofErr w:type="gramEnd"/>
      <w:r>
        <w:rPr>
          <w:rFonts w:ascii="Arial" w:eastAsia="Arial" w:hAnsi="Arial" w:cs="Arial"/>
          <w:color w:val="222222"/>
        </w:rPr>
        <w:t xml:space="preserve">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w:t>
      </w:r>
      <w:proofErr w:type="gramStart"/>
      <w:r>
        <w:rPr>
          <w:rFonts w:ascii="Arial" w:eastAsia="Arial" w:hAnsi="Arial" w:cs="Arial"/>
          <w:color w:val="222222"/>
        </w:rPr>
        <w:t>can be proved</w:t>
      </w:r>
      <w:proofErr w:type="gramEnd"/>
      <w:r>
        <w:rPr>
          <w:rFonts w:ascii="Arial" w:eastAsia="Arial" w:hAnsi="Arial" w:cs="Arial"/>
          <w:color w:val="222222"/>
        </w:rPr>
        <w:t xml:space="preserve">,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 xml:space="preserve">If there is a conviction, then the company </w:t>
      </w:r>
      <w:proofErr w:type="gramStart"/>
      <w:r>
        <w:rPr>
          <w:rFonts w:ascii="Arial" w:eastAsia="Arial" w:hAnsi="Arial" w:cs="Arial"/>
          <w:color w:val="222222"/>
        </w:rPr>
        <w:t>must be excluded</w:t>
      </w:r>
      <w:proofErr w:type="gramEnd"/>
      <w:r>
        <w:rPr>
          <w:rFonts w:ascii="Arial" w:eastAsia="Arial" w:hAnsi="Arial" w:cs="Arial"/>
          <w:color w:val="222222"/>
        </w:rPr>
        <w:t xml:space="preserve"> from procurement for five years under reg. 57(1) of the PCR (subject to self-cleaning).</w:t>
      </w:r>
    </w:p>
    <w:p w:rsidR="00316365" w:rsidRDefault="00316365" w:rsidP="00956483"/>
    <w:sectPr w:rsidR="00316365">
      <w:headerReference w:type="default" r:id="rId12"/>
      <w:footerReference w:type="even" r:id="rId13"/>
      <w:footerReference w:type="default" r:id="rId14"/>
      <w:headerReference w:type="first" r:id="rId1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35" w:rsidRDefault="00AE2A35" w:rsidP="00745BA4">
      <w:r>
        <w:separator/>
      </w:r>
    </w:p>
  </w:endnote>
  <w:endnote w:type="continuationSeparator" w:id="0">
    <w:p w:rsidR="00AE2A35" w:rsidRDefault="00AE2A35"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C" w:rsidRDefault="00B57D4C"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D4C" w:rsidRDefault="00B57D4C" w:rsidP="006D4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C" w:rsidRDefault="00B57D4C"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6A2">
      <w:rPr>
        <w:rStyle w:val="PageNumber"/>
        <w:noProof/>
      </w:rPr>
      <w:t>1</w:t>
    </w:r>
    <w:r>
      <w:rPr>
        <w:rStyle w:val="PageNumber"/>
      </w:rPr>
      <w:fldChar w:fldCharType="end"/>
    </w:r>
  </w:p>
  <w:p w:rsidR="00B57D4C" w:rsidRPr="004C1DF5" w:rsidRDefault="00B57D4C" w:rsidP="006D4F71">
    <w:pPr>
      <w:pStyle w:val="Footer"/>
      <w:ind w:right="360"/>
      <w:rPr>
        <w:rFonts w:ascii="Arial" w:hAnsi="Arial" w:cs="Arial"/>
        <w:sz w:val="20"/>
        <w:szCs w:val="20"/>
      </w:rPr>
    </w:pPr>
    <w:r w:rsidRPr="004C1DF5">
      <w:rPr>
        <w:rFonts w:ascii="Arial" w:hAnsi="Arial" w:cs="Arial"/>
        <w:sz w:val="20"/>
        <w:szCs w:val="20"/>
      </w:rPr>
      <w:t>Standard Selection Questionnaire</w:t>
    </w:r>
    <w:r>
      <w:rPr>
        <w:rFonts w:ascii="Arial" w:hAnsi="Arial" w:cs="Arial"/>
        <w:sz w:val="20"/>
        <w:szCs w:val="20"/>
      </w:rPr>
      <w:tab/>
      <w:t xml:space="preserve">                              Free standing Advertisements and </w:t>
    </w:r>
  </w:p>
  <w:p w:rsidR="00B57D4C" w:rsidRPr="004C1DF5" w:rsidRDefault="00B57D4C" w:rsidP="006D4F71">
    <w:pPr>
      <w:pStyle w:val="Footer"/>
      <w:ind w:right="360"/>
      <w:rPr>
        <w:rFonts w:ascii="Arial" w:hAnsi="Arial" w:cs="Arial"/>
        <w:sz w:val="20"/>
        <w:szCs w:val="20"/>
      </w:rPr>
    </w:pPr>
    <w:r>
      <w:rPr>
        <w:rFonts w:ascii="Arial" w:hAnsi="Arial" w:cs="Arial"/>
        <w:sz w:val="20"/>
        <w:szCs w:val="20"/>
      </w:rPr>
      <w:t>June 2018                                                                   Operations 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35" w:rsidRDefault="00AE2A35" w:rsidP="00745BA4">
      <w:r>
        <w:separator/>
      </w:r>
    </w:p>
  </w:footnote>
  <w:footnote w:type="continuationSeparator" w:id="0">
    <w:p w:rsidR="00AE2A35" w:rsidRDefault="00AE2A35" w:rsidP="00745BA4">
      <w:r>
        <w:continuationSeparator/>
      </w:r>
    </w:p>
  </w:footnote>
  <w:footnote w:id="1">
    <w:p w:rsidR="00B57D4C" w:rsidRDefault="00B57D4C"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rsidR="00B57D4C" w:rsidRPr="00FF029F" w:rsidRDefault="00B57D4C" w:rsidP="00745BA4">
      <w:pPr>
        <w:pStyle w:val="FootnoteText"/>
        <w:rPr>
          <w:rFonts w:ascii="Arial" w:hAnsi="Arial" w:cs="Arial"/>
          <w:sz w:val="20"/>
          <w:szCs w:val="20"/>
          <w:lang w:val="en-US"/>
        </w:rPr>
      </w:pPr>
    </w:p>
  </w:footnote>
  <w:footnote w:id="2">
    <w:p w:rsidR="00B57D4C" w:rsidRDefault="00B57D4C"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rsidR="00B57D4C" w:rsidRPr="003A3D39" w:rsidRDefault="00B57D4C"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2" w:history="1">
        <w:r w:rsidRPr="00C86815">
          <w:rPr>
            <w:rStyle w:val="Hyperlink"/>
            <w:rFonts w:ascii="Arial" w:eastAsia="Arial" w:hAnsi="Arial" w:cs="Arial"/>
            <w:sz w:val="20"/>
            <w:szCs w:val="20"/>
          </w:rPr>
          <w:t>http://ec.europa.eu/enterprise/policies/sme/facts-figures-analysis/sme-definition/</w:t>
        </w:r>
      </w:hyperlink>
    </w:p>
  </w:footnote>
  <w:footnote w:id="4">
    <w:p w:rsidR="00B57D4C" w:rsidRPr="003A3D39" w:rsidRDefault="00B57D4C"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B57D4C" w:rsidRPr="003A3D39" w:rsidRDefault="00B57D4C"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57D4C" w:rsidRDefault="00B57D4C" w:rsidP="00745BA4">
      <w:pPr>
        <w:pStyle w:val="Normal1"/>
        <w:spacing w:after="160" w:line="259" w:lineRule="auto"/>
      </w:pPr>
    </w:p>
  </w:footnote>
  <w:footnote w:id="6">
    <w:p w:rsidR="00B57D4C" w:rsidRPr="006431DF" w:rsidRDefault="00B57D4C"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 w:id="7">
    <w:p w:rsidR="00B57D4C" w:rsidRPr="006431DF" w:rsidRDefault="00B57D4C"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C" w:rsidRDefault="00B57D4C" w:rsidP="006D4F71">
    <w:pPr>
      <w:pStyle w:val="Header"/>
      <w:ind w:right="-1056" w:hanging="85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C" w:rsidRDefault="00B57D4C" w:rsidP="006D4F71">
    <w:pPr>
      <w:pStyle w:val="Header"/>
      <w:ind w:right="-914"/>
      <w:jc w:val="right"/>
    </w:pPr>
    <w:r>
      <w:rPr>
        <w:noProof/>
        <w:lang w:eastAsia="en-GB"/>
      </w:rPr>
      <w:drawing>
        <wp:inline distT="0" distB="0" distL="0" distR="0" wp14:anchorId="5B51224A" wp14:editId="529D489F">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9133C20"/>
    <w:multiLevelType w:val="hybridMultilevel"/>
    <w:tmpl w:val="C588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18"/>
  </w:num>
  <w:num w:numId="4">
    <w:abstractNumId w:val="9"/>
  </w:num>
  <w:num w:numId="5">
    <w:abstractNumId w:val="8"/>
  </w:num>
  <w:num w:numId="6">
    <w:abstractNumId w:val="14"/>
  </w:num>
  <w:num w:numId="7">
    <w:abstractNumId w:val="5"/>
  </w:num>
  <w:num w:numId="8">
    <w:abstractNumId w:val="11"/>
  </w:num>
  <w:num w:numId="9">
    <w:abstractNumId w:val="1"/>
  </w:num>
  <w:num w:numId="10">
    <w:abstractNumId w:val="20"/>
  </w:num>
  <w:num w:numId="11">
    <w:abstractNumId w:val="4"/>
  </w:num>
  <w:num w:numId="12">
    <w:abstractNumId w:val="3"/>
  </w:num>
  <w:num w:numId="13">
    <w:abstractNumId w:val="0"/>
  </w:num>
  <w:num w:numId="14">
    <w:abstractNumId w:val="17"/>
  </w:num>
  <w:num w:numId="15">
    <w:abstractNumId w:val="13"/>
  </w:num>
  <w:num w:numId="16">
    <w:abstractNumId w:val="15"/>
  </w:num>
  <w:num w:numId="17">
    <w:abstractNumId w:val="12"/>
  </w:num>
  <w:num w:numId="18">
    <w:abstractNumId w:val="10"/>
  </w:num>
  <w:num w:numId="19">
    <w:abstractNumId w:val="1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6098F"/>
    <w:rsid w:val="001552A8"/>
    <w:rsid w:val="001C4B27"/>
    <w:rsid w:val="001D06CA"/>
    <w:rsid w:val="00316365"/>
    <w:rsid w:val="0035478B"/>
    <w:rsid w:val="004100BA"/>
    <w:rsid w:val="004B57EC"/>
    <w:rsid w:val="004C1DF5"/>
    <w:rsid w:val="00520079"/>
    <w:rsid w:val="00563C9A"/>
    <w:rsid w:val="005D0BAE"/>
    <w:rsid w:val="005F345E"/>
    <w:rsid w:val="006525BD"/>
    <w:rsid w:val="006D4F71"/>
    <w:rsid w:val="00702074"/>
    <w:rsid w:val="00706631"/>
    <w:rsid w:val="00712CC1"/>
    <w:rsid w:val="007179F2"/>
    <w:rsid w:val="007321E0"/>
    <w:rsid w:val="00745BA4"/>
    <w:rsid w:val="007545CD"/>
    <w:rsid w:val="008320B5"/>
    <w:rsid w:val="008A6B58"/>
    <w:rsid w:val="009022DC"/>
    <w:rsid w:val="00913C32"/>
    <w:rsid w:val="009316A2"/>
    <w:rsid w:val="00956483"/>
    <w:rsid w:val="00AA7F83"/>
    <w:rsid w:val="00AE2A35"/>
    <w:rsid w:val="00B57D4C"/>
    <w:rsid w:val="00B9568B"/>
    <w:rsid w:val="00F53D1A"/>
    <w:rsid w:val="00FC4F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DE2B1"/>
  <w14:defaultImageDpi w14:val="300"/>
  <w15:docId w15:val="{F7232928-E802-4DD1-92BC-196468E0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70663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character" w:customStyle="1" w:styleId="Heading7Char">
    <w:name w:val="Heading 7 Char"/>
    <w:basedOn w:val="DefaultParagraphFont"/>
    <w:link w:val="Heading7"/>
    <w:uiPriority w:val="9"/>
    <w:semiHidden/>
    <w:rsid w:val="0070663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ec.europa.eu/enterprise/policies/sme/facts-figures-analysis/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3515-A25C-446A-9C40-456FDCAF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Lake, Graeme</dc:creator>
  <cp:lastModifiedBy>Ohwesi, Ola</cp:lastModifiedBy>
  <cp:revision>2</cp:revision>
  <dcterms:created xsi:type="dcterms:W3CDTF">2021-08-31T09:38:00Z</dcterms:created>
  <dcterms:modified xsi:type="dcterms:W3CDTF">2021-08-31T09:38:00Z</dcterms:modified>
</cp:coreProperties>
</file>