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8D7" w:rsidRPr="004648D7" w:rsidRDefault="001344B8" w:rsidP="00A373F8">
      <w:pPr>
        <w:keepNext/>
        <w:shd w:val="clear" w:color="auto" w:fill="FFF2CC" w:themeFill="accent4" w:themeFillTint="33"/>
        <w:spacing w:before="360" w:after="120"/>
        <w:ind w:left="709"/>
        <w:outlineLvl w:val="0"/>
        <w:rPr>
          <w:rFonts w:ascii="Arial" w:eastAsia="Arial" w:hAnsi="Arial"/>
          <w:b/>
          <w:caps/>
          <w:lang w:eastAsia="en-GB"/>
        </w:rPr>
      </w:pPr>
      <w:bookmarkStart w:id="0" w:name="_Toc8651903"/>
      <w:r>
        <w:rPr>
          <w:rFonts w:ascii="Arial" w:eastAsia="Arial" w:hAnsi="Arial"/>
          <w:b/>
          <w:caps/>
          <w:lang w:eastAsia="en-GB"/>
        </w:rPr>
        <w:t xml:space="preserve">Appendix J - </w:t>
      </w:r>
      <w:r w:rsidR="004648D7" w:rsidRPr="004648D7">
        <w:rPr>
          <w:rFonts w:ascii="Arial" w:eastAsia="Arial" w:hAnsi="Arial"/>
          <w:b/>
          <w:caps/>
          <w:lang w:eastAsia="en-GB"/>
        </w:rPr>
        <w:t>Key performance indicators (KPIs) and benchmarks</w:t>
      </w:r>
      <w:bookmarkEnd w:id="0"/>
    </w:p>
    <w:p w:rsidR="004648D7" w:rsidRPr="004648D7" w:rsidRDefault="004648D7" w:rsidP="00A373F8">
      <w:pPr>
        <w:shd w:val="clear" w:color="auto" w:fill="FFF2CC" w:themeFill="accent4" w:themeFillTint="33"/>
        <w:spacing w:before="120" w:after="240"/>
        <w:ind w:left="709"/>
        <w:jc w:val="both"/>
        <w:rPr>
          <w:rFonts w:ascii="Arial" w:hAnsi="Arial" w:cs="Arial"/>
        </w:rPr>
      </w:pPr>
      <w:r w:rsidRPr="004648D7">
        <w:rPr>
          <w:rFonts w:ascii="Arial" w:hAnsi="Arial" w:cs="Arial"/>
        </w:rPr>
        <w:t>Swindon Borough Council is required to report against and comply with national Best Value KPIs and will work with the Contractor to improve performance against the KPI’s.   The areas to be covered are:</w:t>
      </w:r>
    </w:p>
    <w:tbl>
      <w:tblPr>
        <w:tblW w:w="7919" w:type="dxa"/>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4"/>
        <w:gridCol w:w="2655"/>
      </w:tblGrid>
      <w:tr w:rsidR="00A373F8" w:rsidRPr="004648D7" w:rsidTr="00A373F8">
        <w:tc>
          <w:tcPr>
            <w:tcW w:w="5264" w:type="dxa"/>
            <w:shd w:val="clear" w:color="auto" w:fill="5B9BD5"/>
          </w:tcPr>
          <w:p w:rsidR="00A373F8" w:rsidRPr="00DD52AB" w:rsidRDefault="00A373F8" w:rsidP="00A373F8">
            <w:pPr>
              <w:shd w:val="clear" w:color="auto" w:fill="FFF2CC" w:themeFill="accent4" w:themeFillTint="33"/>
              <w:rPr>
                <w:rFonts w:ascii="Arial" w:hAnsi="Arial" w:cs="Arial"/>
                <w:b/>
              </w:rPr>
            </w:pPr>
            <w:r w:rsidRPr="00DD52AB">
              <w:rPr>
                <w:rFonts w:ascii="Arial" w:hAnsi="Arial" w:cs="Arial"/>
                <w:b/>
              </w:rPr>
              <w:t>Performance Indicator</w:t>
            </w:r>
          </w:p>
        </w:tc>
        <w:tc>
          <w:tcPr>
            <w:tcW w:w="2655" w:type="dxa"/>
            <w:shd w:val="clear" w:color="auto" w:fill="5B9BD5"/>
          </w:tcPr>
          <w:p w:rsidR="00A373F8" w:rsidRPr="00DD52AB" w:rsidRDefault="00A373F8" w:rsidP="00A373F8">
            <w:pPr>
              <w:shd w:val="clear" w:color="auto" w:fill="FFF2CC" w:themeFill="accent4" w:themeFillTint="33"/>
              <w:rPr>
                <w:rFonts w:ascii="Arial" w:hAnsi="Arial" w:cs="Arial"/>
                <w:b/>
              </w:rPr>
            </w:pPr>
            <w:r w:rsidRPr="00DD52AB">
              <w:rPr>
                <w:rFonts w:ascii="Arial" w:hAnsi="Arial" w:cs="Arial"/>
                <w:b/>
              </w:rPr>
              <w:t>Minimum Threshold</w:t>
            </w:r>
          </w:p>
        </w:tc>
      </w:tr>
      <w:tr w:rsidR="00A373F8" w:rsidRPr="004648D7" w:rsidTr="00A373F8">
        <w:tc>
          <w:tcPr>
            <w:tcW w:w="5264" w:type="dxa"/>
            <w:shd w:val="clear" w:color="auto" w:fill="FFFFFF"/>
          </w:tcPr>
          <w:p w:rsidR="00A373F8" w:rsidRPr="00DD52AB" w:rsidRDefault="00A373F8" w:rsidP="00A373F8">
            <w:pPr>
              <w:keepLines/>
              <w:shd w:val="clear" w:color="auto" w:fill="FFF2CC" w:themeFill="accent4" w:themeFillTint="33"/>
              <w:spacing w:before="120" w:after="120"/>
              <w:ind w:right="317"/>
              <w:rPr>
                <w:rFonts w:ascii="Arial" w:hAnsi="Arial" w:cs="Arial"/>
                <w:b/>
                <w:bCs/>
              </w:rPr>
            </w:pPr>
            <w:r w:rsidRPr="00DD52AB">
              <w:rPr>
                <w:rFonts w:ascii="Arial" w:hAnsi="Arial" w:cs="Arial"/>
                <w:b/>
                <w:bCs/>
              </w:rPr>
              <w:t>Tenant satisfaction with the process of the works</w:t>
            </w:r>
          </w:p>
        </w:tc>
        <w:tc>
          <w:tcPr>
            <w:tcW w:w="2655" w:type="dxa"/>
            <w:shd w:val="clear" w:color="auto" w:fill="FFFFFF"/>
          </w:tcPr>
          <w:p w:rsidR="00A373F8" w:rsidRPr="00DD52AB" w:rsidRDefault="00A373F8" w:rsidP="00A373F8">
            <w:pPr>
              <w:keepLines/>
              <w:shd w:val="clear" w:color="auto" w:fill="FFF2CC" w:themeFill="accent4" w:themeFillTint="33"/>
              <w:spacing w:before="120" w:after="120"/>
              <w:ind w:right="1958"/>
              <w:rPr>
                <w:rFonts w:ascii="Arial" w:hAnsi="Arial" w:cs="Arial"/>
              </w:rPr>
            </w:pPr>
            <w:r w:rsidRPr="00DD52AB">
              <w:rPr>
                <w:rFonts w:ascii="Arial" w:hAnsi="Arial" w:cs="Arial"/>
              </w:rPr>
              <w:t>90%</w:t>
            </w:r>
          </w:p>
        </w:tc>
      </w:tr>
      <w:tr w:rsidR="00A373F8" w:rsidRPr="004648D7" w:rsidTr="00A373F8">
        <w:tc>
          <w:tcPr>
            <w:tcW w:w="5264" w:type="dxa"/>
            <w:shd w:val="clear" w:color="auto" w:fill="FFFFFF"/>
          </w:tcPr>
          <w:p w:rsidR="00A373F8" w:rsidRPr="00DD52AB" w:rsidRDefault="00A373F8" w:rsidP="00A373F8">
            <w:pPr>
              <w:shd w:val="clear" w:color="auto" w:fill="FFF2CC" w:themeFill="accent4" w:themeFillTint="33"/>
              <w:rPr>
                <w:rFonts w:ascii="Arial" w:hAnsi="Arial" w:cs="Arial"/>
                <w:b/>
              </w:rPr>
            </w:pPr>
            <w:r w:rsidRPr="00DD52AB">
              <w:rPr>
                <w:rFonts w:ascii="Arial" w:hAnsi="Arial" w:cs="Arial"/>
                <w:b/>
              </w:rPr>
              <w:t>Properties handed over within priority timescale</w:t>
            </w:r>
          </w:p>
        </w:tc>
        <w:tc>
          <w:tcPr>
            <w:tcW w:w="2655" w:type="dxa"/>
            <w:shd w:val="clear" w:color="auto" w:fill="FFFFFF"/>
          </w:tcPr>
          <w:p w:rsidR="00A373F8" w:rsidRPr="00DD52AB" w:rsidRDefault="00A373F8" w:rsidP="00A373F8">
            <w:pPr>
              <w:keepLines/>
              <w:shd w:val="clear" w:color="auto" w:fill="FFF2CC" w:themeFill="accent4" w:themeFillTint="33"/>
              <w:spacing w:before="120" w:after="120"/>
              <w:ind w:right="176"/>
              <w:rPr>
                <w:rFonts w:ascii="Arial" w:hAnsi="Arial" w:cs="Arial"/>
              </w:rPr>
            </w:pPr>
            <w:r w:rsidRPr="00DD52AB">
              <w:rPr>
                <w:rFonts w:ascii="Arial" w:hAnsi="Arial" w:cs="Arial"/>
              </w:rPr>
              <w:t>90%</w:t>
            </w:r>
          </w:p>
        </w:tc>
      </w:tr>
      <w:tr w:rsidR="00A373F8" w:rsidRPr="004648D7" w:rsidTr="00A373F8">
        <w:tc>
          <w:tcPr>
            <w:tcW w:w="5264" w:type="dxa"/>
            <w:shd w:val="clear" w:color="auto" w:fill="FFFFFF"/>
          </w:tcPr>
          <w:p w:rsidR="00A373F8" w:rsidRPr="00DD52AB" w:rsidRDefault="00A373F8" w:rsidP="00A373F8">
            <w:pPr>
              <w:keepLines/>
              <w:shd w:val="clear" w:color="auto" w:fill="FFF2CC" w:themeFill="accent4" w:themeFillTint="33"/>
              <w:spacing w:before="120" w:after="120"/>
              <w:ind w:right="317"/>
              <w:rPr>
                <w:rFonts w:ascii="Arial" w:hAnsi="Arial" w:cs="Arial"/>
                <w:b/>
                <w:bCs/>
              </w:rPr>
            </w:pPr>
            <w:r w:rsidRPr="00DD52AB">
              <w:rPr>
                <w:rFonts w:ascii="Arial" w:hAnsi="Arial" w:cs="Arial"/>
                <w:b/>
                <w:bCs/>
              </w:rPr>
              <w:t>Average defects score</w:t>
            </w:r>
          </w:p>
        </w:tc>
        <w:tc>
          <w:tcPr>
            <w:tcW w:w="2655" w:type="dxa"/>
            <w:shd w:val="clear" w:color="auto" w:fill="FFFFFF"/>
          </w:tcPr>
          <w:p w:rsidR="00A373F8" w:rsidRPr="00DD52AB" w:rsidRDefault="00A373F8" w:rsidP="00A373F8">
            <w:pPr>
              <w:keepLines/>
              <w:shd w:val="clear" w:color="auto" w:fill="FFF2CC" w:themeFill="accent4" w:themeFillTint="33"/>
              <w:spacing w:before="120" w:after="120"/>
              <w:ind w:right="176"/>
              <w:rPr>
                <w:rFonts w:ascii="Arial" w:hAnsi="Arial" w:cs="Arial"/>
              </w:rPr>
            </w:pPr>
            <w:r w:rsidRPr="00DD52AB">
              <w:rPr>
                <w:rFonts w:ascii="Arial" w:hAnsi="Arial" w:cs="Arial"/>
              </w:rPr>
              <w:t>8 out of 10</w:t>
            </w:r>
          </w:p>
        </w:tc>
      </w:tr>
      <w:tr w:rsidR="00A373F8" w:rsidRPr="004648D7" w:rsidTr="00A373F8">
        <w:tc>
          <w:tcPr>
            <w:tcW w:w="5264" w:type="dxa"/>
            <w:shd w:val="clear" w:color="auto" w:fill="FFFFFF"/>
          </w:tcPr>
          <w:p w:rsidR="00A373F8" w:rsidRPr="00DD52AB" w:rsidRDefault="00A373F8" w:rsidP="00A373F8">
            <w:pPr>
              <w:shd w:val="clear" w:color="auto" w:fill="FFF2CC" w:themeFill="accent4" w:themeFillTint="33"/>
              <w:rPr>
                <w:rFonts w:ascii="Arial" w:hAnsi="Arial" w:cs="Arial"/>
                <w:b/>
              </w:rPr>
            </w:pPr>
            <w:r w:rsidRPr="00DD52AB">
              <w:rPr>
                <w:rFonts w:ascii="Arial" w:hAnsi="Arial" w:cs="Arial"/>
                <w:b/>
              </w:rPr>
              <w:t>Average health and safety and cleanliness score</w:t>
            </w:r>
          </w:p>
        </w:tc>
        <w:tc>
          <w:tcPr>
            <w:tcW w:w="2655" w:type="dxa"/>
            <w:shd w:val="clear" w:color="auto" w:fill="FFFFFF"/>
          </w:tcPr>
          <w:p w:rsidR="00A373F8" w:rsidRPr="00DD52AB" w:rsidRDefault="00A373F8" w:rsidP="00A373F8">
            <w:pPr>
              <w:keepLines/>
              <w:shd w:val="clear" w:color="auto" w:fill="FFF2CC" w:themeFill="accent4" w:themeFillTint="33"/>
              <w:spacing w:before="120" w:after="120"/>
              <w:ind w:right="176"/>
              <w:rPr>
                <w:rFonts w:ascii="Arial" w:hAnsi="Arial" w:cs="Arial"/>
              </w:rPr>
            </w:pPr>
            <w:r w:rsidRPr="00DD52AB">
              <w:rPr>
                <w:rFonts w:ascii="Arial" w:hAnsi="Arial" w:cs="Arial"/>
              </w:rPr>
              <w:t>8 out of 10</w:t>
            </w:r>
          </w:p>
        </w:tc>
      </w:tr>
    </w:tbl>
    <w:p w:rsidR="004648D7" w:rsidRPr="004648D7" w:rsidRDefault="004648D7" w:rsidP="00A373F8">
      <w:pPr>
        <w:shd w:val="clear" w:color="auto" w:fill="FFF2CC" w:themeFill="accent4" w:themeFillTint="33"/>
        <w:spacing w:before="120" w:after="240"/>
        <w:ind w:left="709"/>
        <w:jc w:val="both"/>
        <w:rPr>
          <w:rFonts w:ascii="Arial" w:hAnsi="Arial" w:cs="Arial"/>
        </w:rPr>
      </w:pPr>
      <w:r w:rsidRPr="004648D7">
        <w:rPr>
          <w:rFonts w:ascii="Arial" w:hAnsi="Arial" w:cs="Arial"/>
        </w:rPr>
        <w:t>Swindon Borough Council will also expect to work with the Contractor as an integral part of the pre-start processes to develop a set of mutually acceptable project KPIs against which the contract will be assessed.</w:t>
      </w:r>
    </w:p>
    <w:p w:rsidR="00BD214B" w:rsidRPr="004648D7" w:rsidRDefault="00BD214B" w:rsidP="00A373F8">
      <w:pPr>
        <w:shd w:val="clear" w:color="auto" w:fill="FFF2CC" w:themeFill="accent4" w:themeFillTint="33"/>
        <w:rPr>
          <w:rFonts w:ascii="Arial" w:hAnsi="Arial" w:cs="Arial"/>
        </w:rPr>
      </w:pPr>
      <w:bookmarkStart w:id="1" w:name="_GoBack"/>
      <w:bookmarkEnd w:id="1"/>
    </w:p>
    <w:sectPr w:rsidR="00BD214B" w:rsidRPr="004648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8D7"/>
    <w:rsid w:val="001344B8"/>
    <w:rsid w:val="004648D7"/>
    <w:rsid w:val="00A373F8"/>
    <w:rsid w:val="00AF5A30"/>
    <w:rsid w:val="00B375FB"/>
    <w:rsid w:val="00BD214B"/>
    <w:rsid w:val="00D72CD9"/>
    <w:rsid w:val="00F86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AD6A1F-F637-42C1-B092-4E3311237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8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108</Words>
  <Characters>617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Bishop-Smith</dc:creator>
  <cp:keywords/>
  <dc:description/>
  <cp:lastModifiedBy>Lisa Bishop-Smith</cp:lastModifiedBy>
  <cp:revision>4</cp:revision>
  <dcterms:created xsi:type="dcterms:W3CDTF">2019-08-07T09:26:00Z</dcterms:created>
  <dcterms:modified xsi:type="dcterms:W3CDTF">2019-08-09T11:04:00Z</dcterms:modified>
</cp:coreProperties>
</file>