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E6" w:rsidRDefault="00C003E6" w:rsidP="00C003E6">
      <w:pPr>
        <w:jc w:val="center"/>
        <w:rPr>
          <w:b/>
          <w:sz w:val="72"/>
          <w:szCs w:val="72"/>
        </w:rPr>
      </w:pPr>
      <w:bookmarkStart w:id="0" w:name="_GoBack"/>
      <w:bookmarkEnd w:id="0"/>
    </w:p>
    <w:p w:rsidR="00C003E6" w:rsidRDefault="00C003E6" w:rsidP="00C003E6">
      <w:pPr>
        <w:jc w:val="center"/>
        <w:rPr>
          <w:b/>
          <w:sz w:val="72"/>
          <w:szCs w:val="72"/>
        </w:rPr>
      </w:pPr>
      <w:r>
        <w:rPr>
          <w:b/>
          <w:noProof/>
          <w:sz w:val="72"/>
          <w:szCs w:val="72"/>
          <w:lang w:eastAsia="en-GB"/>
        </w:rPr>
        <w:drawing>
          <wp:inline distT="0" distB="0" distL="0" distR="0" wp14:anchorId="700AF993">
            <wp:extent cx="284099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0990" cy="1304925"/>
                    </a:xfrm>
                    <a:prstGeom prst="rect">
                      <a:avLst/>
                    </a:prstGeom>
                    <a:noFill/>
                  </pic:spPr>
                </pic:pic>
              </a:graphicData>
            </a:graphic>
          </wp:inline>
        </w:drawing>
      </w:r>
    </w:p>
    <w:p w:rsidR="00C003E6" w:rsidRDefault="00C003E6" w:rsidP="00C003E6">
      <w:pPr>
        <w:jc w:val="center"/>
        <w:rPr>
          <w:b/>
          <w:sz w:val="72"/>
          <w:szCs w:val="72"/>
        </w:rPr>
      </w:pPr>
    </w:p>
    <w:p w:rsidR="00C003E6" w:rsidRPr="00C003E6" w:rsidRDefault="00C003E6" w:rsidP="00C003E6">
      <w:pPr>
        <w:jc w:val="center"/>
        <w:rPr>
          <w:b/>
          <w:sz w:val="56"/>
          <w:szCs w:val="56"/>
        </w:rPr>
      </w:pPr>
      <w:r w:rsidRPr="00C003E6">
        <w:rPr>
          <w:b/>
          <w:sz w:val="56"/>
          <w:szCs w:val="56"/>
        </w:rPr>
        <w:t>Cheshire East</w:t>
      </w:r>
      <w:r>
        <w:rPr>
          <w:b/>
          <w:sz w:val="56"/>
          <w:szCs w:val="56"/>
        </w:rPr>
        <w:t xml:space="preserve"> </w:t>
      </w:r>
      <w:r w:rsidRPr="00C003E6">
        <w:rPr>
          <w:b/>
          <w:sz w:val="56"/>
          <w:szCs w:val="56"/>
        </w:rPr>
        <w:t>Recovery Oriented,</w:t>
      </w:r>
    </w:p>
    <w:p w:rsidR="00C003E6" w:rsidRPr="00C003E6" w:rsidRDefault="00C003E6" w:rsidP="00C003E6">
      <w:pPr>
        <w:jc w:val="center"/>
        <w:rPr>
          <w:b/>
          <w:sz w:val="56"/>
          <w:szCs w:val="56"/>
        </w:rPr>
      </w:pPr>
      <w:r w:rsidRPr="00C003E6">
        <w:rPr>
          <w:b/>
          <w:sz w:val="56"/>
          <w:szCs w:val="56"/>
        </w:rPr>
        <w:t>Substance Misuse Service</w:t>
      </w:r>
    </w:p>
    <w:p w:rsidR="00C003E6" w:rsidRPr="00C003E6" w:rsidRDefault="00C003E6" w:rsidP="00C003E6">
      <w:pPr>
        <w:jc w:val="center"/>
        <w:rPr>
          <w:b/>
          <w:sz w:val="56"/>
          <w:szCs w:val="56"/>
        </w:rPr>
      </w:pPr>
      <w:r w:rsidRPr="00C003E6">
        <w:rPr>
          <w:b/>
          <w:sz w:val="56"/>
          <w:szCs w:val="56"/>
        </w:rPr>
        <w:t>Performance Management Framework</w:t>
      </w:r>
    </w:p>
    <w:p w:rsidR="00C003E6" w:rsidRDefault="00C003E6">
      <w:pPr>
        <w:rPr>
          <w:b/>
        </w:rPr>
      </w:pPr>
    </w:p>
    <w:p w:rsidR="00C003E6" w:rsidRDefault="00C003E6" w:rsidP="009E7CB2">
      <w:pPr>
        <w:rPr>
          <w:b/>
        </w:rPr>
      </w:pPr>
    </w:p>
    <w:p w:rsidR="009E7CB2" w:rsidRPr="00A21C31" w:rsidRDefault="009E7CB2" w:rsidP="009E7CB2">
      <w:pPr>
        <w:rPr>
          <w:b/>
        </w:rPr>
      </w:pPr>
      <w:r w:rsidRPr="00A21C31">
        <w:rPr>
          <w:b/>
        </w:rPr>
        <w:lastRenderedPageBreak/>
        <w:t>Substance Misuse Performance Management</w:t>
      </w:r>
      <w:r w:rsidR="00EA792F" w:rsidRPr="00A21C31">
        <w:rPr>
          <w:b/>
        </w:rPr>
        <w:t xml:space="preserve"> Framework</w:t>
      </w:r>
    </w:p>
    <w:p w:rsidR="0049788F" w:rsidRDefault="00A21C31" w:rsidP="00A21C31">
      <w:pPr>
        <w:pStyle w:val="ListParagraph"/>
        <w:numPr>
          <w:ilvl w:val="0"/>
          <w:numId w:val="6"/>
        </w:numPr>
        <w:spacing w:after="0" w:line="240" w:lineRule="auto"/>
        <w:rPr>
          <w:rFonts w:cstheme="minorHAnsi"/>
          <w:b/>
          <w:sz w:val="24"/>
          <w:szCs w:val="24"/>
        </w:rPr>
      </w:pPr>
      <w:r w:rsidRPr="0049788F">
        <w:rPr>
          <w:rFonts w:cstheme="minorHAnsi"/>
          <w:b/>
          <w:sz w:val="24"/>
          <w:szCs w:val="24"/>
        </w:rPr>
        <w:t>Introduction</w:t>
      </w:r>
    </w:p>
    <w:p w:rsidR="0049788F" w:rsidRDefault="0049788F" w:rsidP="0049788F">
      <w:pPr>
        <w:spacing w:after="0" w:line="240" w:lineRule="auto"/>
        <w:ind w:left="360"/>
        <w:rPr>
          <w:rFonts w:cstheme="minorHAnsi"/>
          <w:sz w:val="24"/>
          <w:szCs w:val="24"/>
        </w:rPr>
      </w:pPr>
    </w:p>
    <w:p w:rsidR="0049788F" w:rsidRPr="0049788F" w:rsidRDefault="00A21C31" w:rsidP="0049788F">
      <w:pPr>
        <w:pStyle w:val="ListParagraph"/>
        <w:numPr>
          <w:ilvl w:val="1"/>
          <w:numId w:val="6"/>
        </w:numPr>
        <w:spacing w:after="0" w:line="240" w:lineRule="auto"/>
        <w:rPr>
          <w:rFonts w:cstheme="minorHAnsi"/>
          <w:b/>
          <w:sz w:val="24"/>
          <w:szCs w:val="24"/>
        </w:rPr>
      </w:pPr>
      <w:r w:rsidRPr="0049788F">
        <w:rPr>
          <w:rFonts w:cstheme="minorHAnsi"/>
          <w:sz w:val="24"/>
          <w:szCs w:val="24"/>
        </w:rPr>
        <w:t>This document details the Performance Management Framework for the Substance Misuse Service. The Provider[s] is expected to maintain the Service to the highest standards; achieving continuous improvement, best value and a high level of service user satisfaction</w:t>
      </w:r>
      <w:r w:rsidR="0049788F">
        <w:rPr>
          <w:rFonts w:cstheme="minorHAnsi"/>
          <w:sz w:val="24"/>
          <w:szCs w:val="24"/>
        </w:rPr>
        <w:t>.</w:t>
      </w:r>
    </w:p>
    <w:p w:rsidR="0049788F" w:rsidRPr="0049788F" w:rsidRDefault="0049788F" w:rsidP="0049788F">
      <w:pPr>
        <w:pStyle w:val="ListParagraph"/>
        <w:numPr>
          <w:ilvl w:val="1"/>
          <w:numId w:val="6"/>
        </w:numPr>
        <w:spacing w:after="0" w:line="240" w:lineRule="auto"/>
        <w:rPr>
          <w:rFonts w:cstheme="minorHAnsi"/>
          <w:b/>
          <w:sz w:val="24"/>
          <w:szCs w:val="24"/>
        </w:rPr>
      </w:pPr>
      <w:r w:rsidRPr="0049788F">
        <w:rPr>
          <w:rFonts w:cstheme="minorHAnsi"/>
          <w:sz w:val="24"/>
          <w:szCs w:val="24"/>
        </w:rPr>
        <w:t>Commissioners have produced a suite of performance ind</w:t>
      </w:r>
      <w:r>
        <w:rPr>
          <w:rFonts w:cstheme="minorHAnsi"/>
          <w:sz w:val="24"/>
          <w:szCs w:val="24"/>
        </w:rPr>
        <w:t>icators based on nationally set indicators and local priorities. It is envisaged that the Provider[s] will work with Commissioners and C</w:t>
      </w:r>
      <w:r w:rsidR="00381765">
        <w:rPr>
          <w:rFonts w:cstheme="minorHAnsi"/>
          <w:sz w:val="24"/>
          <w:szCs w:val="24"/>
        </w:rPr>
        <w:t>ontract Managers to co-produce</w:t>
      </w:r>
      <w:r>
        <w:rPr>
          <w:rFonts w:cstheme="minorHAnsi"/>
          <w:sz w:val="24"/>
          <w:szCs w:val="24"/>
        </w:rPr>
        <w:t xml:space="preserve"> further indicators. Performance measures will be subject to annual review.</w:t>
      </w:r>
    </w:p>
    <w:p w:rsidR="0049788F" w:rsidRPr="0049788F" w:rsidRDefault="0049788F" w:rsidP="0049788F">
      <w:pPr>
        <w:pStyle w:val="ListParagraph"/>
        <w:numPr>
          <w:ilvl w:val="1"/>
          <w:numId w:val="6"/>
        </w:numPr>
        <w:spacing w:after="0" w:line="240" w:lineRule="auto"/>
        <w:rPr>
          <w:rFonts w:cstheme="minorHAnsi"/>
          <w:b/>
          <w:sz w:val="24"/>
          <w:szCs w:val="24"/>
        </w:rPr>
      </w:pPr>
      <w:r>
        <w:rPr>
          <w:rFonts w:cstheme="minorHAnsi"/>
          <w:sz w:val="24"/>
          <w:szCs w:val="24"/>
        </w:rPr>
        <w:t>Contractual performance will be managed through quarterly meetings. The Provider[s] will be expected to submit completed P</w:t>
      </w:r>
      <w:r w:rsidR="00381765">
        <w:rPr>
          <w:rFonts w:cstheme="minorHAnsi"/>
          <w:sz w:val="24"/>
          <w:szCs w:val="24"/>
        </w:rPr>
        <w:t>erformance Management Framework and Q</w:t>
      </w:r>
      <w:r>
        <w:rPr>
          <w:rFonts w:cstheme="minorHAnsi"/>
          <w:sz w:val="24"/>
          <w:szCs w:val="24"/>
        </w:rPr>
        <w:t xml:space="preserve">uality </w:t>
      </w:r>
      <w:r w:rsidR="00381765">
        <w:rPr>
          <w:rFonts w:cstheme="minorHAnsi"/>
          <w:sz w:val="24"/>
          <w:szCs w:val="24"/>
        </w:rPr>
        <w:t>Monitoring R</w:t>
      </w:r>
      <w:r>
        <w:rPr>
          <w:rFonts w:cstheme="minorHAnsi"/>
          <w:sz w:val="24"/>
          <w:szCs w:val="24"/>
        </w:rPr>
        <w:t>eports.</w:t>
      </w:r>
    </w:p>
    <w:p w:rsidR="0049788F" w:rsidRPr="0049788F" w:rsidRDefault="0049788F" w:rsidP="0049788F">
      <w:pPr>
        <w:pStyle w:val="ListParagraph"/>
        <w:spacing w:after="0" w:line="240" w:lineRule="auto"/>
        <w:rPr>
          <w:rFonts w:cstheme="minorHAnsi"/>
          <w:b/>
          <w:sz w:val="24"/>
          <w:szCs w:val="24"/>
        </w:rPr>
      </w:pPr>
    </w:p>
    <w:p w:rsidR="0049788F" w:rsidRPr="0049788F" w:rsidRDefault="0049788F" w:rsidP="0049788F">
      <w:pPr>
        <w:pStyle w:val="ListParagraph"/>
        <w:numPr>
          <w:ilvl w:val="0"/>
          <w:numId w:val="6"/>
        </w:numPr>
        <w:spacing w:after="0" w:line="240" w:lineRule="auto"/>
        <w:rPr>
          <w:rFonts w:cstheme="minorHAnsi"/>
          <w:b/>
          <w:sz w:val="24"/>
          <w:szCs w:val="24"/>
        </w:rPr>
      </w:pPr>
      <w:r>
        <w:rPr>
          <w:rFonts w:cstheme="minorHAnsi"/>
          <w:b/>
          <w:sz w:val="24"/>
          <w:szCs w:val="24"/>
        </w:rPr>
        <w:t>Reporting Requirements</w:t>
      </w:r>
    </w:p>
    <w:p w:rsidR="00A21C31" w:rsidRPr="00A21C31" w:rsidRDefault="00A21C31" w:rsidP="00A21C31">
      <w:pPr>
        <w:spacing w:after="0" w:line="240" w:lineRule="auto"/>
        <w:ind w:left="360"/>
        <w:rPr>
          <w:rFonts w:cstheme="minorHAnsi"/>
          <w:sz w:val="24"/>
          <w:szCs w:val="24"/>
        </w:rPr>
      </w:pPr>
    </w:p>
    <w:p w:rsidR="00381765" w:rsidRDefault="009E7CB2" w:rsidP="00381765">
      <w:pPr>
        <w:pStyle w:val="ListParagraph"/>
        <w:numPr>
          <w:ilvl w:val="1"/>
          <w:numId w:val="6"/>
        </w:numPr>
        <w:spacing w:after="0" w:line="240" w:lineRule="auto"/>
        <w:rPr>
          <w:rFonts w:cstheme="minorHAnsi"/>
          <w:sz w:val="24"/>
          <w:szCs w:val="24"/>
        </w:rPr>
      </w:pPr>
      <w:r w:rsidRPr="00381765">
        <w:rPr>
          <w:rFonts w:cstheme="minorHAnsi"/>
          <w:sz w:val="24"/>
          <w:szCs w:val="24"/>
        </w:rPr>
        <w:t>Reporting requirements may change over the lifetime of this contract to embrace wider governance reporting structure requirements e.g. the Health and Wellbeing Board, as well as meeting national reporting requirements via NDTMS.  The Commissioner will hold quarterly contract monitoring meetings with annual performance reviews.  The Provider[s] will also be required to attend provider forums and work in partnership with service user forums. The Commissioner</w:t>
      </w:r>
      <w:r w:rsidR="00381765" w:rsidRPr="00381765">
        <w:rPr>
          <w:rFonts w:cstheme="minorHAnsi"/>
          <w:sz w:val="24"/>
          <w:szCs w:val="24"/>
        </w:rPr>
        <w:t xml:space="preserve"> and Contract Manager</w:t>
      </w:r>
      <w:r w:rsidRPr="00381765">
        <w:rPr>
          <w:rFonts w:cstheme="minorHAnsi"/>
          <w:sz w:val="24"/>
          <w:szCs w:val="24"/>
        </w:rPr>
        <w:t xml:space="preserve"> will co-produce contract metrics with the Provider[s]. </w:t>
      </w:r>
    </w:p>
    <w:p w:rsidR="00381765" w:rsidRPr="00381765" w:rsidRDefault="00381765" w:rsidP="00381765">
      <w:pPr>
        <w:pStyle w:val="ListParagraph"/>
        <w:spacing w:after="0" w:line="240" w:lineRule="auto"/>
        <w:rPr>
          <w:rFonts w:cstheme="minorHAnsi"/>
          <w:sz w:val="24"/>
          <w:szCs w:val="24"/>
        </w:rPr>
      </w:pPr>
    </w:p>
    <w:p w:rsidR="009E7CB2" w:rsidRPr="00381765" w:rsidRDefault="009E7CB2" w:rsidP="00381765">
      <w:pPr>
        <w:pStyle w:val="ListParagraph"/>
        <w:numPr>
          <w:ilvl w:val="1"/>
          <w:numId w:val="6"/>
        </w:numPr>
        <w:spacing w:after="0" w:line="240" w:lineRule="auto"/>
        <w:rPr>
          <w:rFonts w:cstheme="minorHAnsi"/>
          <w:sz w:val="24"/>
          <w:szCs w:val="24"/>
        </w:rPr>
      </w:pPr>
      <w:r w:rsidRPr="00381765">
        <w:rPr>
          <w:rFonts w:cstheme="minorHAnsi"/>
          <w:sz w:val="24"/>
          <w:szCs w:val="24"/>
        </w:rPr>
        <w:t>Performance reporti</w:t>
      </w:r>
      <w:r w:rsidR="00381765" w:rsidRPr="00381765">
        <w:rPr>
          <w:rFonts w:cstheme="minorHAnsi"/>
          <w:sz w:val="24"/>
          <w:szCs w:val="24"/>
        </w:rPr>
        <w:t>ng requirements include</w:t>
      </w:r>
      <w:r w:rsidRPr="00381765">
        <w:rPr>
          <w:rFonts w:cstheme="minorHAnsi"/>
          <w:sz w:val="24"/>
          <w:szCs w:val="24"/>
        </w:rPr>
        <w:t>:</w:t>
      </w:r>
    </w:p>
    <w:p w:rsidR="00EA792F" w:rsidRPr="009E7CB2" w:rsidRDefault="00EA792F" w:rsidP="009E7CB2">
      <w:pPr>
        <w:spacing w:after="0" w:line="240" w:lineRule="auto"/>
        <w:rPr>
          <w:rFonts w:cstheme="minorHAnsi"/>
          <w:color w:val="FF0000"/>
          <w:sz w:val="24"/>
          <w:szCs w:val="24"/>
        </w:rPr>
      </w:pPr>
    </w:p>
    <w:p w:rsidR="009E7CB2" w:rsidRPr="009E7CB2" w:rsidRDefault="009E7CB2" w:rsidP="009E7CB2">
      <w:pPr>
        <w:numPr>
          <w:ilvl w:val="0"/>
          <w:numId w:val="1"/>
        </w:numPr>
        <w:spacing w:after="0" w:line="240" w:lineRule="auto"/>
        <w:contextualSpacing/>
        <w:rPr>
          <w:rFonts w:cstheme="minorHAnsi"/>
          <w:sz w:val="24"/>
          <w:szCs w:val="24"/>
        </w:rPr>
      </w:pPr>
      <w:r w:rsidRPr="009E7CB2">
        <w:rPr>
          <w:rFonts w:cstheme="minorHAnsi"/>
          <w:sz w:val="24"/>
          <w:szCs w:val="24"/>
        </w:rPr>
        <w:t>A quarterly performance report (activity, qualitative and quantitative);</w:t>
      </w:r>
    </w:p>
    <w:p w:rsidR="009E7CB2" w:rsidRPr="009E7CB2" w:rsidRDefault="009E7CB2" w:rsidP="009E7CB2">
      <w:pPr>
        <w:numPr>
          <w:ilvl w:val="0"/>
          <w:numId w:val="1"/>
        </w:numPr>
        <w:spacing w:after="0" w:line="240" w:lineRule="auto"/>
        <w:contextualSpacing/>
        <w:rPr>
          <w:rFonts w:cstheme="minorHAnsi"/>
          <w:sz w:val="24"/>
          <w:szCs w:val="24"/>
        </w:rPr>
      </w:pPr>
      <w:r w:rsidRPr="009E7CB2">
        <w:rPr>
          <w:rFonts w:cstheme="minorHAnsi"/>
          <w:sz w:val="24"/>
          <w:szCs w:val="24"/>
        </w:rPr>
        <w:t xml:space="preserve">Quality &amp; Performance Monitoring Framework (QPMF) </w:t>
      </w:r>
    </w:p>
    <w:p w:rsidR="009E7CB2" w:rsidRPr="009E7CB2" w:rsidRDefault="009E7CB2" w:rsidP="009E7CB2">
      <w:pPr>
        <w:numPr>
          <w:ilvl w:val="0"/>
          <w:numId w:val="1"/>
        </w:numPr>
        <w:spacing w:after="0" w:line="240" w:lineRule="auto"/>
        <w:contextualSpacing/>
        <w:rPr>
          <w:rFonts w:cstheme="minorHAnsi"/>
          <w:sz w:val="24"/>
          <w:szCs w:val="24"/>
        </w:rPr>
      </w:pPr>
      <w:r w:rsidRPr="009E7CB2">
        <w:rPr>
          <w:rFonts w:cstheme="minorHAnsi"/>
          <w:sz w:val="24"/>
          <w:szCs w:val="24"/>
        </w:rPr>
        <w:t>NDTMS exceptions report;</w:t>
      </w:r>
    </w:p>
    <w:p w:rsidR="009E7CB2" w:rsidRPr="009E7CB2" w:rsidRDefault="009E7CB2" w:rsidP="009E7CB2">
      <w:pPr>
        <w:numPr>
          <w:ilvl w:val="0"/>
          <w:numId w:val="1"/>
        </w:numPr>
        <w:spacing w:after="0" w:line="240" w:lineRule="auto"/>
        <w:contextualSpacing/>
        <w:rPr>
          <w:rFonts w:cstheme="minorHAnsi"/>
          <w:sz w:val="24"/>
          <w:szCs w:val="24"/>
        </w:rPr>
      </w:pPr>
      <w:r w:rsidRPr="009E7CB2">
        <w:rPr>
          <w:rFonts w:cstheme="minorHAnsi"/>
          <w:sz w:val="24"/>
          <w:szCs w:val="24"/>
        </w:rPr>
        <w:t>Budget review;</w:t>
      </w:r>
    </w:p>
    <w:p w:rsidR="009E7CB2" w:rsidRPr="009E7CB2" w:rsidRDefault="009E7CB2" w:rsidP="009E7CB2">
      <w:pPr>
        <w:numPr>
          <w:ilvl w:val="0"/>
          <w:numId w:val="1"/>
        </w:numPr>
        <w:spacing w:after="0" w:line="240" w:lineRule="auto"/>
        <w:contextualSpacing/>
        <w:rPr>
          <w:rFonts w:cstheme="minorHAnsi"/>
          <w:sz w:val="24"/>
          <w:szCs w:val="24"/>
        </w:rPr>
      </w:pPr>
      <w:r w:rsidRPr="009E7CB2">
        <w:rPr>
          <w:rFonts w:cstheme="minorHAnsi"/>
          <w:sz w:val="24"/>
          <w:szCs w:val="24"/>
        </w:rPr>
        <w:t xml:space="preserve">Quality including compliments and complaints; </w:t>
      </w:r>
    </w:p>
    <w:p w:rsidR="009E7CB2" w:rsidRPr="009E7CB2" w:rsidRDefault="009E7CB2" w:rsidP="009E7CB2">
      <w:pPr>
        <w:numPr>
          <w:ilvl w:val="0"/>
          <w:numId w:val="1"/>
        </w:numPr>
        <w:spacing w:after="0" w:line="240" w:lineRule="auto"/>
        <w:contextualSpacing/>
        <w:rPr>
          <w:rFonts w:cstheme="minorHAnsi"/>
          <w:sz w:val="24"/>
          <w:szCs w:val="24"/>
        </w:rPr>
      </w:pPr>
      <w:r w:rsidRPr="009E7CB2">
        <w:rPr>
          <w:rFonts w:cstheme="minorHAnsi"/>
          <w:sz w:val="24"/>
          <w:szCs w:val="24"/>
        </w:rPr>
        <w:t xml:space="preserve">Service User engagement and coproduction; </w:t>
      </w:r>
    </w:p>
    <w:p w:rsidR="009E7CB2" w:rsidRPr="009E7CB2" w:rsidRDefault="009E7CB2" w:rsidP="009E7CB2">
      <w:pPr>
        <w:numPr>
          <w:ilvl w:val="0"/>
          <w:numId w:val="1"/>
        </w:numPr>
        <w:spacing w:after="0" w:line="240" w:lineRule="auto"/>
        <w:contextualSpacing/>
        <w:rPr>
          <w:rFonts w:cstheme="minorHAnsi"/>
          <w:sz w:val="24"/>
          <w:szCs w:val="24"/>
        </w:rPr>
      </w:pPr>
      <w:r w:rsidRPr="009E7CB2">
        <w:rPr>
          <w:rFonts w:cstheme="minorHAnsi"/>
          <w:sz w:val="24"/>
          <w:szCs w:val="24"/>
        </w:rPr>
        <w:t>Workforce development;</w:t>
      </w:r>
    </w:p>
    <w:p w:rsidR="009E7CB2" w:rsidRPr="009E7CB2" w:rsidRDefault="009E7CB2" w:rsidP="009E7CB2">
      <w:pPr>
        <w:numPr>
          <w:ilvl w:val="0"/>
          <w:numId w:val="1"/>
        </w:numPr>
        <w:spacing w:after="0" w:line="240" w:lineRule="auto"/>
        <w:contextualSpacing/>
        <w:rPr>
          <w:rFonts w:cstheme="minorHAnsi"/>
          <w:sz w:val="24"/>
          <w:szCs w:val="24"/>
        </w:rPr>
      </w:pPr>
      <w:r w:rsidRPr="009E7CB2">
        <w:rPr>
          <w:rFonts w:cstheme="minorHAnsi"/>
          <w:sz w:val="24"/>
          <w:szCs w:val="24"/>
        </w:rPr>
        <w:t xml:space="preserve">Safeguarding; </w:t>
      </w:r>
    </w:p>
    <w:p w:rsidR="009E7CB2" w:rsidRPr="009E7CB2" w:rsidRDefault="009E7CB2" w:rsidP="009E7CB2">
      <w:pPr>
        <w:numPr>
          <w:ilvl w:val="0"/>
          <w:numId w:val="1"/>
        </w:numPr>
        <w:spacing w:after="0" w:line="240" w:lineRule="auto"/>
        <w:contextualSpacing/>
        <w:rPr>
          <w:rFonts w:cstheme="minorHAnsi"/>
          <w:sz w:val="24"/>
          <w:szCs w:val="24"/>
        </w:rPr>
      </w:pPr>
      <w:r w:rsidRPr="009E7CB2">
        <w:rPr>
          <w:rFonts w:cstheme="minorHAnsi"/>
          <w:sz w:val="24"/>
          <w:szCs w:val="24"/>
        </w:rPr>
        <w:lastRenderedPageBreak/>
        <w:t>Serious untoward incident (SUI) reporting;</w:t>
      </w:r>
    </w:p>
    <w:p w:rsidR="009E7CB2" w:rsidRPr="009E7CB2" w:rsidRDefault="009E7CB2" w:rsidP="009E7CB2">
      <w:pPr>
        <w:numPr>
          <w:ilvl w:val="0"/>
          <w:numId w:val="1"/>
        </w:numPr>
        <w:spacing w:after="0" w:line="240" w:lineRule="auto"/>
        <w:contextualSpacing/>
        <w:rPr>
          <w:rFonts w:cstheme="minorHAnsi"/>
          <w:sz w:val="24"/>
          <w:szCs w:val="24"/>
        </w:rPr>
      </w:pPr>
      <w:r w:rsidRPr="009E7CB2">
        <w:rPr>
          <w:rFonts w:cstheme="minorHAnsi"/>
          <w:sz w:val="24"/>
          <w:szCs w:val="24"/>
        </w:rPr>
        <w:t>Referral pathways;</w:t>
      </w:r>
    </w:p>
    <w:p w:rsidR="009E7CB2" w:rsidRPr="009E7CB2" w:rsidRDefault="009E7CB2" w:rsidP="009E7CB2">
      <w:pPr>
        <w:numPr>
          <w:ilvl w:val="0"/>
          <w:numId w:val="1"/>
        </w:numPr>
        <w:spacing w:after="0" w:line="240" w:lineRule="auto"/>
        <w:contextualSpacing/>
        <w:rPr>
          <w:rFonts w:cstheme="minorHAnsi"/>
          <w:sz w:val="24"/>
          <w:szCs w:val="24"/>
        </w:rPr>
      </w:pPr>
      <w:r w:rsidRPr="009E7CB2">
        <w:rPr>
          <w:rFonts w:cstheme="minorHAnsi"/>
          <w:sz w:val="24"/>
          <w:szCs w:val="24"/>
        </w:rPr>
        <w:t>Collaborative working;</w:t>
      </w:r>
    </w:p>
    <w:p w:rsidR="009E7CB2" w:rsidRPr="009E7CB2" w:rsidRDefault="009E7CB2" w:rsidP="009E7CB2">
      <w:pPr>
        <w:numPr>
          <w:ilvl w:val="0"/>
          <w:numId w:val="1"/>
        </w:numPr>
        <w:spacing w:after="0" w:line="240" w:lineRule="auto"/>
        <w:contextualSpacing/>
        <w:rPr>
          <w:rFonts w:cstheme="minorHAnsi"/>
          <w:sz w:val="24"/>
          <w:szCs w:val="24"/>
        </w:rPr>
      </w:pPr>
      <w:r w:rsidRPr="009E7CB2">
        <w:rPr>
          <w:rFonts w:cstheme="minorHAnsi"/>
          <w:sz w:val="24"/>
          <w:szCs w:val="24"/>
        </w:rPr>
        <w:t>Workforce;</w:t>
      </w:r>
    </w:p>
    <w:p w:rsidR="009E7CB2" w:rsidRDefault="009E7CB2" w:rsidP="009E7CB2">
      <w:pPr>
        <w:numPr>
          <w:ilvl w:val="0"/>
          <w:numId w:val="1"/>
        </w:numPr>
        <w:spacing w:after="0" w:line="240" w:lineRule="auto"/>
        <w:contextualSpacing/>
        <w:rPr>
          <w:rFonts w:cstheme="minorHAnsi"/>
          <w:sz w:val="24"/>
          <w:szCs w:val="24"/>
        </w:rPr>
      </w:pPr>
      <w:r w:rsidRPr="009E7CB2">
        <w:rPr>
          <w:rFonts w:cstheme="minorHAnsi"/>
          <w:sz w:val="24"/>
          <w:szCs w:val="24"/>
        </w:rPr>
        <w:t>Review of operational policies and procedures.</w:t>
      </w:r>
    </w:p>
    <w:p w:rsidR="00ED4210" w:rsidRPr="009E7CB2" w:rsidRDefault="00ED4210" w:rsidP="009E7CB2">
      <w:pPr>
        <w:numPr>
          <w:ilvl w:val="0"/>
          <w:numId w:val="1"/>
        </w:numPr>
        <w:spacing w:after="0" w:line="240" w:lineRule="auto"/>
        <w:contextualSpacing/>
        <w:rPr>
          <w:rFonts w:cstheme="minorHAnsi"/>
          <w:sz w:val="24"/>
          <w:szCs w:val="24"/>
        </w:rPr>
      </w:pPr>
      <w:r>
        <w:rPr>
          <w:rFonts w:cstheme="minorHAnsi"/>
          <w:sz w:val="24"/>
          <w:szCs w:val="24"/>
        </w:rPr>
        <w:t>Continuous quality improvement.</w:t>
      </w:r>
    </w:p>
    <w:p w:rsidR="009E7CB2" w:rsidRPr="009E7CB2" w:rsidRDefault="009E7CB2" w:rsidP="009E7CB2">
      <w:pPr>
        <w:spacing w:after="0" w:line="240" w:lineRule="auto"/>
        <w:rPr>
          <w:rFonts w:cstheme="minorHAnsi"/>
          <w:sz w:val="24"/>
          <w:szCs w:val="24"/>
        </w:rPr>
      </w:pPr>
    </w:p>
    <w:p w:rsidR="009E7CB2" w:rsidRPr="009E7CB2" w:rsidRDefault="0049788F" w:rsidP="0049788F">
      <w:pPr>
        <w:spacing w:after="0" w:line="240" w:lineRule="auto"/>
        <w:ind w:left="360"/>
        <w:rPr>
          <w:rFonts w:eastAsia="Times New Roman" w:cstheme="minorHAnsi"/>
          <w:sz w:val="24"/>
          <w:szCs w:val="24"/>
        </w:rPr>
      </w:pPr>
      <w:r>
        <w:rPr>
          <w:rFonts w:eastAsia="Times New Roman" w:cstheme="minorHAnsi"/>
          <w:sz w:val="24"/>
          <w:szCs w:val="24"/>
        </w:rPr>
        <w:t xml:space="preserve">2.2 </w:t>
      </w:r>
      <w:r w:rsidR="009E7CB2" w:rsidRPr="009E7CB2">
        <w:rPr>
          <w:rFonts w:eastAsia="Times New Roman" w:cstheme="minorHAnsi"/>
          <w:sz w:val="24"/>
          <w:szCs w:val="24"/>
        </w:rPr>
        <w:t>The Provider will notify Cheshire East Council of the Shared Care GPs, Pharmacies and Pharmacists accredited to provide supervised self-administration on a quarterly basis.</w:t>
      </w:r>
    </w:p>
    <w:p w:rsidR="009E7CB2" w:rsidRPr="009E7CB2" w:rsidRDefault="009E7CB2" w:rsidP="009E7CB2">
      <w:pPr>
        <w:spacing w:after="0" w:line="240" w:lineRule="auto"/>
        <w:rPr>
          <w:rFonts w:eastAsia="Times New Roman" w:cstheme="minorHAnsi"/>
          <w:sz w:val="24"/>
          <w:szCs w:val="24"/>
        </w:rPr>
      </w:pPr>
    </w:p>
    <w:p w:rsidR="009E7CB2" w:rsidRPr="009E7CB2" w:rsidRDefault="0049788F" w:rsidP="0049788F">
      <w:pPr>
        <w:spacing w:after="0" w:line="240" w:lineRule="auto"/>
        <w:ind w:left="360"/>
        <w:rPr>
          <w:rFonts w:eastAsia="Times New Roman" w:cstheme="minorHAnsi"/>
          <w:sz w:val="24"/>
          <w:szCs w:val="24"/>
        </w:rPr>
      </w:pPr>
      <w:r>
        <w:rPr>
          <w:rFonts w:eastAsia="Times New Roman" w:cstheme="minorHAnsi"/>
          <w:sz w:val="24"/>
          <w:szCs w:val="24"/>
        </w:rPr>
        <w:t xml:space="preserve">2.3 </w:t>
      </w:r>
      <w:r w:rsidR="009E7CB2" w:rsidRPr="009E7CB2">
        <w:rPr>
          <w:rFonts w:eastAsia="Times New Roman" w:cstheme="minorHAnsi"/>
          <w:sz w:val="24"/>
          <w:szCs w:val="24"/>
        </w:rPr>
        <w:t>The Provider will ensure that appropriate arrangements for pharmacy and shared care payments, prescribing and dispensing activity monitoring are in place and that all such monitoring would form part of the suite of information for contract &amp; performance monitoring meetings.</w:t>
      </w:r>
    </w:p>
    <w:p w:rsidR="009E7CB2" w:rsidRPr="009E7CB2" w:rsidRDefault="009E7CB2" w:rsidP="009E7CB2">
      <w:pPr>
        <w:spacing w:after="0" w:line="240" w:lineRule="auto"/>
        <w:rPr>
          <w:rFonts w:cstheme="minorHAnsi"/>
          <w:sz w:val="24"/>
          <w:szCs w:val="24"/>
        </w:rPr>
      </w:pPr>
    </w:p>
    <w:p w:rsidR="009E7CB2" w:rsidRDefault="0049788F" w:rsidP="0049788F">
      <w:pPr>
        <w:spacing w:after="0" w:line="240" w:lineRule="auto"/>
        <w:ind w:left="360"/>
        <w:rPr>
          <w:rFonts w:cstheme="minorHAnsi"/>
          <w:sz w:val="24"/>
          <w:szCs w:val="24"/>
        </w:rPr>
      </w:pPr>
      <w:r>
        <w:rPr>
          <w:rFonts w:cstheme="minorHAnsi"/>
          <w:sz w:val="24"/>
          <w:szCs w:val="24"/>
        </w:rPr>
        <w:t xml:space="preserve">2.4 </w:t>
      </w:r>
      <w:r w:rsidR="009E7CB2" w:rsidRPr="009E7CB2">
        <w:rPr>
          <w:rFonts w:cstheme="minorHAnsi"/>
          <w:sz w:val="24"/>
          <w:szCs w:val="24"/>
        </w:rPr>
        <w:t>A Contract Monitoring Schedule will be set by the commissioner and quarterly reporting will be aligned t</w:t>
      </w:r>
      <w:r w:rsidR="009E7CB2">
        <w:rPr>
          <w:rFonts w:cstheme="minorHAnsi"/>
          <w:sz w:val="24"/>
          <w:szCs w:val="24"/>
        </w:rPr>
        <w:t>o the NTDMS reporting timetable</w:t>
      </w:r>
    </w:p>
    <w:p w:rsidR="00EA792F" w:rsidRDefault="00EA792F" w:rsidP="009E7CB2">
      <w:pPr>
        <w:spacing w:after="0" w:line="240" w:lineRule="auto"/>
        <w:rPr>
          <w:rFonts w:cstheme="minorHAnsi"/>
          <w:b/>
          <w:sz w:val="24"/>
          <w:szCs w:val="24"/>
        </w:rPr>
      </w:pPr>
    </w:p>
    <w:p w:rsidR="009E7CB2" w:rsidRPr="009E7CB2" w:rsidRDefault="0049788F" w:rsidP="0049788F">
      <w:pPr>
        <w:spacing w:after="0" w:line="240" w:lineRule="auto"/>
        <w:ind w:left="360"/>
        <w:rPr>
          <w:rFonts w:cstheme="minorHAnsi"/>
          <w:b/>
          <w:sz w:val="24"/>
          <w:szCs w:val="24"/>
        </w:rPr>
      </w:pPr>
      <w:r>
        <w:rPr>
          <w:rFonts w:cstheme="minorHAnsi"/>
          <w:b/>
          <w:sz w:val="24"/>
          <w:szCs w:val="24"/>
        </w:rPr>
        <w:t xml:space="preserve">3.0 </w:t>
      </w:r>
      <w:r w:rsidR="009E7CB2" w:rsidRPr="009E7CB2">
        <w:rPr>
          <w:rFonts w:cstheme="minorHAnsi"/>
          <w:b/>
          <w:sz w:val="24"/>
          <w:szCs w:val="24"/>
        </w:rPr>
        <w:t xml:space="preserve">Data and Performance Reporting </w:t>
      </w:r>
    </w:p>
    <w:p w:rsidR="009E7CB2" w:rsidRPr="009E7CB2" w:rsidRDefault="009E7CB2" w:rsidP="009E7CB2">
      <w:pPr>
        <w:spacing w:after="0" w:line="240" w:lineRule="auto"/>
        <w:rPr>
          <w:rFonts w:cstheme="minorHAnsi"/>
          <w:b/>
          <w:sz w:val="24"/>
          <w:szCs w:val="24"/>
        </w:rPr>
      </w:pPr>
    </w:p>
    <w:p w:rsidR="009E7CB2" w:rsidRPr="009E7CB2" w:rsidRDefault="000E201F" w:rsidP="000E201F">
      <w:pPr>
        <w:spacing w:after="0" w:line="240" w:lineRule="auto"/>
        <w:ind w:left="360"/>
        <w:rPr>
          <w:rFonts w:cstheme="minorHAnsi"/>
          <w:color w:val="FF0000"/>
          <w:sz w:val="24"/>
          <w:szCs w:val="24"/>
        </w:rPr>
      </w:pPr>
      <w:r>
        <w:rPr>
          <w:rFonts w:cstheme="minorHAnsi"/>
          <w:sz w:val="24"/>
          <w:szCs w:val="24"/>
        </w:rPr>
        <w:t xml:space="preserve">3.1 </w:t>
      </w:r>
      <w:r w:rsidR="009E7CB2" w:rsidRPr="009E7CB2">
        <w:rPr>
          <w:rFonts w:cstheme="minorHAnsi"/>
          <w:sz w:val="24"/>
          <w:szCs w:val="24"/>
        </w:rPr>
        <w:t>The Provider[s] will be required to co-design a detailed performance framework with commissioners for this contract, Public Health England and the NDTMS team. An outline framework for performance is attached at appendix</w:t>
      </w:r>
      <w:r>
        <w:rPr>
          <w:rFonts w:cstheme="minorHAnsi"/>
          <w:sz w:val="24"/>
          <w:szCs w:val="24"/>
        </w:rPr>
        <w:t xml:space="preserve"> </w:t>
      </w:r>
      <w:r w:rsidR="004A7BE3">
        <w:rPr>
          <w:rFonts w:cstheme="minorHAnsi"/>
          <w:sz w:val="24"/>
          <w:szCs w:val="24"/>
        </w:rPr>
        <w:t xml:space="preserve">3 and </w:t>
      </w:r>
      <w:r>
        <w:rPr>
          <w:rFonts w:cstheme="minorHAnsi"/>
          <w:sz w:val="24"/>
          <w:szCs w:val="24"/>
        </w:rPr>
        <w:t>4.</w:t>
      </w:r>
    </w:p>
    <w:p w:rsidR="009E7CB2" w:rsidRPr="009E7CB2" w:rsidRDefault="009E7CB2" w:rsidP="009E7CB2">
      <w:pPr>
        <w:spacing w:after="0" w:line="240" w:lineRule="auto"/>
        <w:rPr>
          <w:rFonts w:cstheme="minorHAnsi"/>
          <w:color w:val="FF0000"/>
          <w:sz w:val="24"/>
          <w:szCs w:val="24"/>
        </w:rPr>
      </w:pPr>
    </w:p>
    <w:p w:rsidR="009E7CB2" w:rsidRPr="009E7CB2" w:rsidRDefault="000E201F" w:rsidP="000E201F">
      <w:pPr>
        <w:spacing w:after="0" w:line="240" w:lineRule="auto"/>
        <w:ind w:left="360"/>
        <w:rPr>
          <w:rFonts w:cstheme="minorHAnsi"/>
          <w:sz w:val="24"/>
          <w:szCs w:val="24"/>
        </w:rPr>
      </w:pPr>
      <w:r>
        <w:rPr>
          <w:rFonts w:cstheme="minorHAnsi"/>
          <w:sz w:val="24"/>
          <w:szCs w:val="24"/>
        </w:rPr>
        <w:t xml:space="preserve">3.2 </w:t>
      </w:r>
      <w:r w:rsidR="009E7CB2" w:rsidRPr="009E7CB2">
        <w:rPr>
          <w:rFonts w:cstheme="minorHAnsi"/>
          <w:sz w:val="24"/>
          <w:szCs w:val="24"/>
        </w:rPr>
        <w:t xml:space="preserve">Outcomes and outputs must be available by intervention type, and service type to assist in the assessment of value for money and benefit to the individual their family parents, partner, carers and the community of this commission.  </w:t>
      </w:r>
    </w:p>
    <w:p w:rsidR="009E7CB2" w:rsidRPr="009E7CB2" w:rsidRDefault="009E7CB2" w:rsidP="009E7CB2">
      <w:pPr>
        <w:spacing w:after="0" w:line="240" w:lineRule="auto"/>
        <w:rPr>
          <w:rFonts w:cstheme="minorHAnsi"/>
          <w:sz w:val="24"/>
          <w:szCs w:val="24"/>
        </w:rPr>
      </w:pPr>
    </w:p>
    <w:p w:rsidR="009E7CB2" w:rsidRPr="009E7CB2" w:rsidRDefault="000E201F" w:rsidP="000E201F">
      <w:pPr>
        <w:spacing w:after="0" w:line="240" w:lineRule="auto"/>
        <w:ind w:left="360"/>
        <w:rPr>
          <w:rFonts w:cstheme="minorHAnsi"/>
          <w:sz w:val="24"/>
          <w:szCs w:val="24"/>
        </w:rPr>
      </w:pPr>
      <w:r>
        <w:rPr>
          <w:rFonts w:cstheme="minorHAnsi"/>
          <w:sz w:val="24"/>
          <w:szCs w:val="24"/>
        </w:rPr>
        <w:t xml:space="preserve">3.3 </w:t>
      </w:r>
      <w:r w:rsidR="009E7CB2" w:rsidRPr="009E7CB2">
        <w:rPr>
          <w:rFonts w:cstheme="minorHAnsi"/>
          <w:sz w:val="24"/>
          <w:szCs w:val="24"/>
        </w:rPr>
        <w:t>In addition to local reporting requirements the Provider[s] will ensure that they are fully compliant with the requirements of the National Drug Treatment Monitoring System (NDTMS) for Drugs and Alcohol.  Outcomes monitoring must be based on:</w:t>
      </w:r>
    </w:p>
    <w:p w:rsidR="009E7CB2" w:rsidRPr="009E7CB2" w:rsidRDefault="009E7CB2" w:rsidP="009E7CB2">
      <w:pPr>
        <w:spacing w:after="0" w:line="240" w:lineRule="auto"/>
        <w:rPr>
          <w:rFonts w:cstheme="minorHAnsi"/>
          <w:color w:val="FF0000"/>
          <w:sz w:val="24"/>
          <w:szCs w:val="24"/>
        </w:rPr>
      </w:pPr>
    </w:p>
    <w:p w:rsidR="009E7CB2" w:rsidRPr="009E7CB2" w:rsidRDefault="009E7CB2" w:rsidP="009E7CB2">
      <w:pPr>
        <w:numPr>
          <w:ilvl w:val="0"/>
          <w:numId w:val="2"/>
        </w:numPr>
        <w:spacing w:after="0" w:line="240" w:lineRule="auto"/>
        <w:contextualSpacing/>
        <w:rPr>
          <w:rFonts w:cstheme="minorHAnsi"/>
          <w:b/>
          <w:sz w:val="24"/>
          <w:szCs w:val="24"/>
        </w:rPr>
      </w:pPr>
      <w:r w:rsidRPr="009E7CB2">
        <w:rPr>
          <w:rFonts w:cstheme="minorHAnsi"/>
          <w:sz w:val="24"/>
          <w:szCs w:val="24"/>
        </w:rPr>
        <w:t xml:space="preserve">NTDMS Young People Outcome Record (YPOR); </w:t>
      </w:r>
    </w:p>
    <w:p w:rsidR="009E7CB2" w:rsidRPr="009E7CB2" w:rsidRDefault="009E7CB2" w:rsidP="009E7CB2">
      <w:pPr>
        <w:numPr>
          <w:ilvl w:val="0"/>
          <w:numId w:val="2"/>
        </w:numPr>
        <w:spacing w:after="0" w:line="240" w:lineRule="auto"/>
        <w:contextualSpacing/>
        <w:rPr>
          <w:rFonts w:cstheme="minorHAnsi"/>
          <w:b/>
          <w:sz w:val="24"/>
          <w:szCs w:val="24"/>
        </w:rPr>
      </w:pPr>
      <w:r w:rsidRPr="009E7CB2">
        <w:rPr>
          <w:rFonts w:cstheme="minorHAnsi"/>
          <w:sz w:val="24"/>
          <w:szCs w:val="24"/>
        </w:rPr>
        <w:t>NTDMS Treatment Outcomes Profile (TOPS);</w:t>
      </w:r>
    </w:p>
    <w:p w:rsidR="009E7CB2" w:rsidRPr="009E7CB2" w:rsidRDefault="009E7CB2" w:rsidP="009E7CB2">
      <w:pPr>
        <w:numPr>
          <w:ilvl w:val="0"/>
          <w:numId w:val="2"/>
        </w:numPr>
        <w:spacing w:after="0" w:line="240" w:lineRule="auto"/>
        <w:contextualSpacing/>
        <w:rPr>
          <w:rFonts w:cstheme="minorHAnsi"/>
          <w:b/>
          <w:sz w:val="24"/>
          <w:szCs w:val="24"/>
        </w:rPr>
      </w:pPr>
      <w:r w:rsidRPr="009E7CB2">
        <w:rPr>
          <w:rFonts w:cstheme="minorHAnsi"/>
          <w:sz w:val="24"/>
          <w:szCs w:val="24"/>
        </w:rPr>
        <w:lastRenderedPageBreak/>
        <w:t>New Economics Foundation (NEF) 5 Ways to Wellbeing</w:t>
      </w:r>
      <w:r w:rsidRPr="009E7CB2">
        <w:rPr>
          <w:rFonts w:cstheme="minorHAnsi"/>
          <w:sz w:val="24"/>
          <w:szCs w:val="24"/>
          <w:vertAlign w:val="superscript"/>
        </w:rPr>
        <w:footnoteReference w:id="1"/>
      </w:r>
      <w:r w:rsidRPr="009E7CB2">
        <w:rPr>
          <w:rFonts w:cstheme="minorHAnsi"/>
          <w:sz w:val="24"/>
          <w:szCs w:val="24"/>
        </w:rPr>
        <w:t xml:space="preserve"> and;</w:t>
      </w:r>
    </w:p>
    <w:p w:rsidR="009E7CB2" w:rsidRPr="000E201F" w:rsidRDefault="009E7CB2" w:rsidP="009E7CB2">
      <w:pPr>
        <w:numPr>
          <w:ilvl w:val="0"/>
          <w:numId w:val="2"/>
        </w:numPr>
        <w:spacing w:after="0" w:line="240" w:lineRule="auto"/>
        <w:contextualSpacing/>
        <w:rPr>
          <w:rFonts w:cstheme="minorHAnsi"/>
          <w:b/>
          <w:sz w:val="24"/>
          <w:szCs w:val="24"/>
        </w:rPr>
      </w:pPr>
      <w:r w:rsidRPr="009E7CB2">
        <w:rPr>
          <w:rFonts w:cstheme="minorHAnsi"/>
          <w:sz w:val="24"/>
          <w:szCs w:val="24"/>
        </w:rPr>
        <w:t xml:space="preserve">Cheshire East Children’s Plan Priority Outcomes.  </w:t>
      </w:r>
    </w:p>
    <w:p w:rsidR="000E201F" w:rsidRPr="009E7CB2" w:rsidRDefault="000E201F" w:rsidP="000E201F">
      <w:pPr>
        <w:spacing w:after="0" w:line="240" w:lineRule="auto"/>
        <w:ind w:left="720"/>
        <w:contextualSpacing/>
        <w:rPr>
          <w:rFonts w:cstheme="minorHAnsi"/>
          <w:b/>
          <w:sz w:val="24"/>
          <w:szCs w:val="24"/>
        </w:rPr>
      </w:pPr>
    </w:p>
    <w:p w:rsidR="009E7CB2" w:rsidRPr="009E7CB2" w:rsidRDefault="009E7CB2" w:rsidP="000E201F">
      <w:pPr>
        <w:spacing w:after="0" w:line="240" w:lineRule="auto"/>
        <w:ind w:left="360"/>
        <w:rPr>
          <w:rFonts w:cstheme="minorHAnsi"/>
          <w:sz w:val="24"/>
          <w:szCs w:val="24"/>
        </w:rPr>
      </w:pPr>
      <w:r w:rsidRPr="009E7CB2">
        <w:rPr>
          <w:rFonts w:cstheme="minorHAnsi"/>
          <w:sz w:val="24"/>
          <w:szCs w:val="24"/>
        </w:rPr>
        <w:t>Other examples of outcomes monitoring tools that could be used include:</w:t>
      </w:r>
    </w:p>
    <w:p w:rsidR="009E7CB2" w:rsidRPr="009E7CB2" w:rsidRDefault="009E7CB2" w:rsidP="009E7CB2">
      <w:pPr>
        <w:spacing w:after="0" w:line="240" w:lineRule="auto"/>
        <w:rPr>
          <w:rFonts w:cstheme="minorHAnsi"/>
          <w:sz w:val="24"/>
          <w:szCs w:val="24"/>
        </w:rPr>
      </w:pPr>
    </w:p>
    <w:p w:rsidR="009E7CB2" w:rsidRPr="009E7CB2" w:rsidRDefault="009E7CB2" w:rsidP="009E7CB2">
      <w:pPr>
        <w:numPr>
          <w:ilvl w:val="0"/>
          <w:numId w:val="3"/>
        </w:numPr>
        <w:spacing w:after="0" w:line="240" w:lineRule="auto"/>
        <w:contextualSpacing/>
        <w:rPr>
          <w:rFonts w:cstheme="minorHAnsi"/>
          <w:b/>
          <w:sz w:val="24"/>
          <w:szCs w:val="24"/>
        </w:rPr>
      </w:pPr>
      <w:r w:rsidRPr="009E7CB2">
        <w:rPr>
          <w:rFonts w:cstheme="minorHAnsi"/>
          <w:sz w:val="24"/>
          <w:szCs w:val="24"/>
        </w:rPr>
        <w:t>Drugs and Alcohol Outcomes Star</w:t>
      </w:r>
      <w:r w:rsidRPr="009E7CB2">
        <w:rPr>
          <w:rFonts w:cstheme="minorHAnsi"/>
          <w:sz w:val="24"/>
          <w:szCs w:val="24"/>
          <w:vertAlign w:val="superscript"/>
        </w:rPr>
        <w:footnoteReference w:id="2"/>
      </w:r>
      <w:r w:rsidRPr="009E7CB2">
        <w:rPr>
          <w:rFonts w:cstheme="minorHAnsi"/>
          <w:sz w:val="24"/>
          <w:szCs w:val="24"/>
        </w:rPr>
        <w:t>;</w:t>
      </w:r>
    </w:p>
    <w:p w:rsidR="009E7CB2" w:rsidRPr="009E7CB2" w:rsidRDefault="009E7CB2" w:rsidP="009E7CB2">
      <w:pPr>
        <w:numPr>
          <w:ilvl w:val="0"/>
          <w:numId w:val="3"/>
        </w:numPr>
        <w:spacing w:after="0" w:line="240" w:lineRule="auto"/>
        <w:contextualSpacing/>
        <w:rPr>
          <w:rFonts w:cstheme="minorHAnsi"/>
          <w:b/>
          <w:sz w:val="24"/>
          <w:szCs w:val="24"/>
        </w:rPr>
      </w:pPr>
      <w:r w:rsidRPr="009E7CB2">
        <w:rPr>
          <w:rFonts w:cstheme="minorHAnsi"/>
          <w:sz w:val="24"/>
          <w:szCs w:val="24"/>
        </w:rPr>
        <w:t>Warwick-Edinburgh Mental Wellbeing Scale (WEMWBS)</w:t>
      </w:r>
      <w:r w:rsidRPr="009E7CB2">
        <w:rPr>
          <w:rFonts w:cstheme="minorHAnsi"/>
          <w:sz w:val="24"/>
          <w:szCs w:val="24"/>
          <w:vertAlign w:val="superscript"/>
        </w:rPr>
        <w:footnoteReference w:id="3"/>
      </w:r>
      <w:r w:rsidRPr="009E7CB2">
        <w:rPr>
          <w:rFonts w:cstheme="minorHAnsi"/>
          <w:sz w:val="24"/>
          <w:szCs w:val="24"/>
        </w:rPr>
        <w:t>;</w:t>
      </w:r>
    </w:p>
    <w:p w:rsidR="009E7CB2" w:rsidRPr="009E7CB2" w:rsidRDefault="009E7CB2" w:rsidP="009E7CB2">
      <w:pPr>
        <w:numPr>
          <w:ilvl w:val="0"/>
          <w:numId w:val="3"/>
        </w:numPr>
        <w:spacing w:after="0" w:line="240" w:lineRule="auto"/>
        <w:contextualSpacing/>
        <w:rPr>
          <w:rFonts w:cstheme="minorHAnsi"/>
          <w:b/>
          <w:sz w:val="24"/>
          <w:szCs w:val="24"/>
        </w:rPr>
      </w:pPr>
      <w:r w:rsidRPr="009E7CB2">
        <w:rPr>
          <w:rFonts w:cstheme="minorHAnsi"/>
          <w:sz w:val="24"/>
          <w:szCs w:val="24"/>
        </w:rPr>
        <w:t>Youth Outcomes Star</w:t>
      </w:r>
      <w:r w:rsidRPr="009E7CB2">
        <w:rPr>
          <w:rFonts w:cstheme="minorHAnsi"/>
          <w:sz w:val="24"/>
          <w:szCs w:val="24"/>
          <w:vertAlign w:val="superscript"/>
        </w:rPr>
        <w:footnoteReference w:id="4"/>
      </w:r>
      <w:r w:rsidRPr="009E7CB2">
        <w:rPr>
          <w:rFonts w:cstheme="minorHAnsi"/>
          <w:sz w:val="24"/>
          <w:szCs w:val="24"/>
        </w:rPr>
        <w:t xml:space="preserve">  </w:t>
      </w:r>
    </w:p>
    <w:p w:rsidR="00EA792F" w:rsidRDefault="00EA792F"/>
    <w:p w:rsidR="00381765" w:rsidRPr="004A7BE3" w:rsidRDefault="004A7BE3" w:rsidP="004A7BE3">
      <w:pPr>
        <w:ind w:firstLine="360"/>
        <w:rPr>
          <w:sz w:val="24"/>
          <w:szCs w:val="24"/>
        </w:rPr>
      </w:pPr>
      <w:r w:rsidRPr="004A7BE3">
        <w:rPr>
          <w:sz w:val="24"/>
          <w:szCs w:val="24"/>
        </w:rPr>
        <w:t>3.4 Incentive and social value indicators are included in this framework</w:t>
      </w:r>
    </w:p>
    <w:p w:rsidR="00381765" w:rsidRDefault="00381765"/>
    <w:p w:rsidR="00381765" w:rsidRDefault="00381765"/>
    <w:p w:rsidR="00381765" w:rsidRDefault="00381765"/>
    <w:p w:rsidR="00381765" w:rsidRDefault="00381765"/>
    <w:p w:rsidR="00381765" w:rsidRDefault="00381765"/>
    <w:p w:rsidR="00381765" w:rsidRDefault="00381765"/>
    <w:p w:rsidR="00381765" w:rsidRDefault="00381765"/>
    <w:p w:rsidR="00381765" w:rsidRDefault="00381765"/>
    <w:p w:rsidR="00381765" w:rsidRDefault="00381765"/>
    <w:p w:rsidR="0056091B" w:rsidRPr="00EA792F" w:rsidRDefault="004A7BE3" w:rsidP="00EA792F">
      <w:pPr>
        <w:spacing w:after="0" w:line="240" w:lineRule="auto"/>
        <w:rPr>
          <w:b/>
        </w:rPr>
      </w:pPr>
      <w:r>
        <w:rPr>
          <w:b/>
        </w:rPr>
        <w:lastRenderedPageBreak/>
        <w:t>Appendix 1</w:t>
      </w:r>
      <w:r w:rsidR="00EA792F">
        <w:rPr>
          <w:b/>
        </w:rPr>
        <w:t xml:space="preserve"> - </w:t>
      </w:r>
      <w:r w:rsidR="00EA792F" w:rsidRPr="00EA792F">
        <w:rPr>
          <w:b/>
        </w:rPr>
        <w:t>Social Value Outcomes</w:t>
      </w:r>
    </w:p>
    <w:p w:rsidR="00EA792F" w:rsidRDefault="00EA792F" w:rsidP="00EA792F">
      <w:pPr>
        <w:spacing w:after="0" w:line="240" w:lineRule="auto"/>
      </w:pP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7229"/>
      </w:tblGrid>
      <w:tr w:rsidR="00EA792F" w:rsidRPr="00EA792F" w:rsidTr="00EA792F">
        <w:trPr>
          <w:cantSplit/>
        </w:trPr>
        <w:tc>
          <w:tcPr>
            <w:tcW w:w="5637" w:type="dxa"/>
          </w:tcPr>
          <w:p w:rsidR="00EA792F" w:rsidRPr="00EA792F" w:rsidRDefault="00EA792F" w:rsidP="00EA792F">
            <w:pPr>
              <w:spacing w:after="0" w:line="240" w:lineRule="auto"/>
              <w:rPr>
                <w:b/>
              </w:rPr>
            </w:pPr>
            <w:r w:rsidRPr="00EA792F">
              <w:rPr>
                <w:b/>
              </w:rPr>
              <w:t>Objective</w:t>
            </w:r>
          </w:p>
        </w:tc>
        <w:tc>
          <w:tcPr>
            <w:tcW w:w="7229" w:type="dxa"/>
          </w:tcPr>
          <w:p w:rsidR="00EA792F" w:rsidRPr="00EA792F" w:rsidRDefault="00EA792F" w:rsidP="00EA792F">
            <w:pPr>
              <w:spacing w:after="0" w:line="240" w:lineRule="auto"/>
              <w:rPr>
                <w:b/>
              </w:rPr>
            </w:pPr>
            <w:r w:rsidRPr="00EA792F">
              <w:rPr>
                <w:b/>
              </w:rPr>
              <w:t>Outcomes</w:t>
            </w:r>
          </w:p>
        </w:tc>
      </w:tr>
      <w:tr w:rsidR="00EA792F" w:rsidRPr="00EA792F" w:rsidTr="00EA792F">
        <w:trPr>
          <w:cantSplit/>
        </w:trPr>
        <w:tc>
          <w:tcPr>
            <w:tcW w:w="5637" w:type="dxa"/>
            <w:vMerge w:val="restart"/>
          </w:tcPr>
          <w:p w:rsidR="00EA792F" w:rsidRPr="00EA792F" w:rsidRDefault="00EA792F" w:rsidP="00EA792F">
            <w:pPr>
              <w:numPr>
                <w:ilvl w:val="0"/>
                <w:numId w:val="5"/>
              </w:numPr>
              <w:spacing w:after="0" w:line="240" w:lineRule="auto"/>
            </w:pPr>
            <w:r w:rsidRPr="00EA792F">
              <w:t>Promote Employment &amp; Economic Sustainability</w:t>
            </w:r>
          </w:p>
        </w:tc>
        <w:tc>
          <w:tcPr>
            <w:tcW w:w="7229" w:type="dxa"/>
          </w:tcPr>
          <w:p w:rsidR="00EA792F" w:rsidRPr="00EA792F" w:rsidRDefault="00EA792F" w:rsidP="00EA792F">
            <w:pPr>
              <w:spacing w:after="0" w:line="240" w:lineRule="auto"/>
            </w:pPr>
            <w:r w:rsidRPr="00EA792F">
              <w:t xml:space="preserve">Outcome 1: </w:t>
            </w:r>
          </w:p>
          <w:p w:rsidR="00EA792F" w:rsidRDefault="00EA792F" w:rsidP="00EA792F">
            <w:pPr>
              <w:spacing w:after="0" w:line="240" w:lineRule="auto"/>
            </w:pPr>
            <w:r w:rsidRPr="00EA792F">
              <w:t>More local people in work</w:t>
            </w:r>
          </w:p>
          <w:p w:rsidR="00EA792F" w:rsidRPr="00EA792F" w:rsidRDefault="00EA792F" w:rsidP="00EA792F">
            <w:pPr>
              <w:spacing w:after="0" w:line="240" w:lineRule="auto"/>
            </w:pPr>
          </w:p>
        </w:tc>
      </w:tr>
      <w:tr w:rsidR="00EA792F" w:rsidRPr="00EA792F" w:rsidTr="00EA792F">
        <w:trPr>
          <w:cantSplit/>
        </w:trPr>
        <w:tc>
          <w:tcPr>
            <w:tcW w:w="5637" w:type="dxa"/>
            <w:vMerge/>
          </w:tcPr>
          <w:p w:rsidR="00EA792F" w:rsidRPr="00EA792F" w:rsidRDefault="00EA792F" w:rsidP="00EA792F">
            <w:pPr>
              <w:spacing w:after="0" w:line="240" w:lineRule="auto"/>
            </w:pPr>
          </w:p>
        </w:tc>
        <w:tc>
          <w:tcPr>
            <w:tcW w:w="7229" w:type="dxa"/>
          </w:tcPr>
          <w:p w:rsidR="00EA792F" w:rsidRDefault="00EA792F" w:rsidP="00EA792F">
            <w:pPr>
              <w:spacing w:after="0" w:line="240" w:lineRule="auto"/>
            </w:pPr>
            <w:r w:rsidRPr="00EA792F">
              <w:t xml:space="preserve">Outcome 2: </w:t>
            </w:r>
          </w:p>
          <w:p w:rsidR="00EA792F" w:rsidRDefault="00EA792F" w:rsidP="00EA792F">
            <w:pPr>
              <w:spacing w:after="0" w:line="240" w:lineRule="auto"/>
            </w:pPr>
            <w:r w:rsidRPr="00EA792F">
              <w:t>Thriving local businesses</w:t>
            </w:r>
          </w:p>
          <w:p w:rsidR="00EA792F" w:rsidRPr="00EA792F" w:rsidRDefault="00EA792F" w:rsidP="00EA792F">
            <w:pPr>
              <w:spacing w:after="0" w:line="240" w:lineRule="auto"/>
            </w:pPr>
          </w:p>
        </w:tc>
      </w:tr>
      <w:tr w:rsidR="00EA792F" w:rsidRPr="00EA792F" w:rsidTr="00EA792F">
        <w:trPr>
          <w:cantSplit/>
        </w:trPr>
        <w:tc>
          <w:tcPr>
            <w:tcW w:w="5637" w:type="dxa"/>
            <w:vMerge/>
          </w:tcPr>
          <w:p w:rsidR="00EA792F" w:rsidRPr="00EA792F" w:rsidRDefault="00EA792F" w:rsidP="00EA792F">
            <w:pPr>
              <w:spacing w:after="0" w:line="240" w:lineRule="auto"/>
            </w:pPr>
          </w:p>
        </w:tc>
        <w:tc>
          <w:tcPr>
            <w:tcW w:w="7229" w:type="dxa"/>
          </w:tcPr>
          <w:p w:rsidR="00EA792F" w:rsidRDefault="00EA792F" w:rsidP="00EA792F">
            <w:pPr>
              <w:spacing w:after="0" w:line="240" w:lineRule="auto"/>
            </w:pPr>
            <w:r w:rsidRPr="00EA792F">
              <w:t xml:space="preserve">Outcome 3: </w:t>
            </w:r>
          </w:p>
          <w:p w:rsidR="00EA792F" w:rsidRDefault="00EA792F" w:rsidP="00EA792F">
            <w:pPr>
              <w:spacing w:after="0" w:line="240" w:lineRule="auto"/>
            </w:pPr>
            <w:r w:rsidRPr="00EA792F">
              <w:t>Responsible businesses that do their bit for the local community</w:t>
            </w:r>
          </w:p>
          <w:p w:rsidR="00EA792F" w:rsidRPr="00EA792F" w:rsidRDefault="00EA792F" w:rsidP="00EA792F">
            <w:pPr>
              <w:spacing w:after="0" w:line="240" w:lineRule="auto"/>
            </w:pPr>
          </w:p>
        </w:tc>
      </w:tr>
      <w:tr w:rsidR="00EA792F" w:rsidRPr="00EA792F" w:rsidTr="00EA792F">
        <w:trPr>
          <w:cantSplit/>
        </w:trPr>
        <w:tc>
          <w:tcPr>
            <w:tcW w:w="5637" w:type="dxa"/>
          </w:tcPr>
          <w:p w:rsidR="00EA792F" w:rsidRPr="00EA792F" w:rsidRDefault="00EA792F" w:rsidP="00EA792F">
            <w:pPr>
              <w:numPr>
                <w:ilvl w:val="0"/>
                <w:numId w:val="5"/>
              </w:numPr>
              <w:spacing w:after="0" w:line="240" w:lineRule="auto"/>
            </w:pPr>
            <w:r w:rsidRPr="00EA792F">
              <w:t>Raise the living standard of local residents</w:t>
            </w:r>
          </w:p>
          <w:p w:rsidR="00EA792F" w:rsidRPr="00EA792F" w:rsidRDefault="00EA792F" w:rsidP="00EA792F">
            <w:pPr>
              <w:spacing w:after="0" w:line="240" w:lineRule="auto"/>
            </w:pPr>
          </w:p>
        </w:tc>
        <w:tc>
          <w:tcPr>
            <w:tcW w:w="7229" w:type="dxa"/>
          </w:tcPr>
          <w:p w:rsidR="00EA792F" w:rsidRPr="00EA792F" w:rsidRDefault="00EA792F" w:rsidP="00EA792F">
            <w:pPr>
              <w:spacing w:after="0" w:line="240" w:lineRule="auto"/>
            </w:pPr>
            <w:r w:rsidRPr="00EA792F">
              <w:t xml:space="preserve">Outcome 4: </w:t>
            </w:r>
          </w:p>
          <w:p w:rsidR="00EA792F" w:rsidRDefault="00EA792F" w:rsidP="00EA792F">
            <w:pPr>
              <w:spacing w:after="0" w:line="240" w:lineRule="auto"/>
            </w:pPr>
            <w:r w:rsidRPr="00EA792F">
              <w:t>A Local workforce which is fairly paid and positively supported by employers</w:t>
            </w:r>
          </w:p>
          <w:p w:rsidR="00EA792F" w:rsidRPr="00EA792F" w:rsidRDefault="00EA792F" w:rsidP="00EA792F">
            <w:pPr>
              <w:spacing w:after="0" w:line="240" w:lineRule="auto"/>
            </w:pPr>
          </w:p>
        </w:tc>
      </w:tr>
      <w:tr w:rsidR="00EA792F" w:rsidRPr="00EA792F" w:rsidTr="00EA792F">
        <w:trPr>
          <w:cantSplit/>
        </w:trPr>
        <w:tc>
          <w:tcPr>
            <w:tcW w:w="5637" w:type="dxa"/>
          </w:tcPr>
          <w:p w:rsidR="00EA792F" w:rsidRPr="00EA792F" w:rsidRDefault="00EA792F" w:rsidP="00EA792F">
            <w:pPr>
              <w:numPr>
                <w:ilvl w:val="0"/>
                <w:numId w:val="5"/>
              </w:numPr>
              <w:spacing w:after="0" w:line="240" w:lineRule="auto"/>
            </w:pPr>
            <w:r w:rsidRPr="00EA792F">
              <w:t>Promote Participation and Citizen Engagement</w:t>
            </w:r>
          </w:p>
        </w:tc>
        <w:tc>
          <w:tcPr>
            <w:tcW w:w="7229" w:type="dxa"/>
          </w:tcPr>
          <w:p w:rsidR="00EA792F" w:rsidRDefault="00EA792F" w:rsidP="00EA792F">
            <w:pPr>
              <w:spacing w:after="0" w:line="240" w:lineRule="auto"/>
            </w:pPr>
            <w:r w:rsidRPr="00EA792F">
              <w:t xml:space="preserve">Outcome 5: </w:t>
            </w:r>
          </w:p>
          <w:p w:rsidR="00EA792F" w:rsidRDefault="00EA792F" w:rsidP="00EA792F">
            <w:pPr>
              <w:spacing w:after="0" w:line="240" w:lineRule="auto"/>
            </w:pPr>
            <w:r w:rsidRPr="00EA792F">
              <w:t>Individuals and communities enabled and supported to help themselves</w:t>
            </w:r>
          </w:p>
          <w:p w:rsidR="00EA792F" w:rsidRPr="00EA792F" w:rsidRDefault="00EA792F" w:rsidP="00EA792F">
            <w:pPr>
              <w:spacing w:after="0" w:line="240" w:lineRule="auto"/>
            </w:pPr>
          </w:p>
        </w:tc>
      </w:tr>
      <w:tr w:rsidR="00EA792F" w:rsidRPr="00EA792F" w:rsidTr="00EA792F">
        <w:trPr>
          <w:cantSplit/>
        </w:trPr>
        <w:tc>
          <w:tcPr>
            <w:tcW w:w="5637" w:type="dxa"/>
          </w:tcPr>
          <w:p w:rsidR="00EA792F" w:rsidRPr="00EA792F" w:rsidRDefault="00EA792F" w:rsidP="00EA792F">
            <w:pPr>
              <w:numPr>
                <w:ilvl w:val="0"/>
                <w:numId w:val="5"/>
              </w:numPr>
              <w:spacing w:after="0" w:line="240" w:lineRule="auto"/>
            </w:pPr>
            <w:r w:rsidRPr="00EA792F">
              <w:t>Build capacity and sustainability of the Voluntary and Community Sector</w:t>
            </w:r>
          </w:p>
        </w:tc>
        <w:tc>
          <w:tcPr>
            <w:tcW w:w="7229" w:type="dxa"/>
          </w:tcPr>
          <w:p w:rsidR="00EA792F" w:rsidRPr="00EA792F" w:rsidRDefault="00EA792F" w:rsidP="00EA792F">
            <w:pPr>
              <w:spacing w:after="0" w:line="240" w:lineRule="auto"/>
            </w:pPr>
            <w:r w:rsidRPr="00EA792F">
              <w:t xml:space="preserve">Outcome 6: </w:t>
            </w:r>
          </w:p>
          <w:p w:rsidR="00EA792F" w:rsidRDefault="00EA792F" w:rsidP="00EA792F">
            <w:pPr>
              <w:spacing w:after="0" w:line="240" w:lineRule="auto"/>
            </w:pPr>
            <w:r w:rsidRPr="00EA792F">
              <w:t>An effective and resilient third sector</w:t>
            </w:r>
          </w:p>
          <w:p w:rsidR="00EA792F" w:rsidRPr="00EA792F" w:rsidRDefault="00EA792F" w:rsidP="00EA792F">
            <w:pPr>
              <w:spacing w:after="0" w:line="240" w:lineRule="auto"/>
            </w:pPr>
          </w:p>
        </w:tc>
      </w:tr>
      <w:tr w:rsidR="00EA792F" w:rsidRPr="00EA792F" w:rsidTr="00EA792F">
        <w:trPr>
          <w:cantSplit/>
        </w:trPr>
        <w:tc>
          <w:tcPr>
            <w:tcW w:w="5637" w:type="dxa"/>
            <w:vMerge w:val="restart"/>
          </w:tcPr>
          <w:p w:rsidR="00EA792F" w:rsidRPr="00EA792F" w:rsidRDefault="00EA792F" w:rsidP="00EA792F">
            <w:pPr>
              <w:numPr>
                <w:ilvl w:val="0"/>
                <w:numId w:val="5"/>
              </w:numPr>
              <w:spacing w:after="0" w:line="240" w:lineRule="auto"/>
            </w:pPr>
            <w:r w:rsidRPr="00EA792F">
              <w:t>Promote Equity and Fairness</w:t>
            </w:r>
          </w:p>
        </w:tc>
        <w:tc>
          <w:tcPr>
            <w:tcW w:w="7229" w:type="dxa"/>
          </w:tcPr>
          <w:p w:rsidR="00EA792F" w:rsidRPr="00EA792F" w:rsidRDefault="00EA792F" w:rsidP="00EA792F">
            <w:pPr>
              <w:spacing w:after="0" w:line="240" w:lineRule="auto"/>
            </w:pPr>
            <w:r w:rsidRPr="00EA792F">
              <w:t xml:space="preserve">Outcome 7: </w:t>
            </w:r>
          </w:p>
          <w:p w:rsidR="00EA792F" w:rsidRDefault="00EA792F" w:rsidP="00EA792F">
            <w:pPr>
              <w:spacing w:after="0" w:line="240" w:lineRule="auto"/>
            </w:pPr>
            <w:r w:rsidRPr="00EA792F">
              <w:t xml:space="preserve">A reduction in poverty, health and education inequalities. </w:t>
            </w:r>
          </w:p>
          <w:p w:rsidR="00EA792F" w:rsidRPr="00EA792F" w:rsidRDefault="00EA792F" w:rsidP="00EA792F">
            <w:pPr>
              <w:spacing w:after="0" w:line="240" w:lineRule="auto"/>
            </w:pPr>
          </w:p>
        </w:tc>
      </w:tr>
      <w:tr w:rsidR="00EA792F" w:rsidRPr="00EA792F" w:rsidTr="00EA792F">
        <w:trPr>
          <w:cantSplit/>
        </w:trPr>
        <w:tc>
          <w:tcPr>
            <w:tcW w:w="5637" w:type="dxa"/>
            <w:vMerge/>
          </w:tcPr>
          <w:p w:rsidR="00EA792F" w:rsidRPr="00EA792F" w:rsidRDefault="00EA792F" w:rsidP="00EA792F">
            <w:pPr>
              <w:spacing w:after="0" w:line="240" w:lineRule="auto"/>
            </w:pPr>
          </w:p>
        </w:tc>
        <w:tc>
          <w:tcPr>
            <w:tcW w:w="7229" w:type="dxa"/>
          </w:tcPr>
          <w:p w:rsidR="00EA792F" w:rsidRDefault="00EA792F" w:rsidP="00EA792F">
            <w:pPr>
              <w:spacing w:after="0" w:line="240" w:lineRule="auto"/>
            </w:pPr>
            <w:r w:rsidRPr="00EA792F">
              <w:t xml:space="preserve">Outcome 8: </w:t>
            </w:r>
          </w:p>
          <w:p w:rsidR="00EA792F" w:rsidRDefault="00EA792F" w:rsidP="00EA792F">
            <w:pPr>
              <w:spacing w:after="0" w:line="240" w:lineRule="auto"/>
            </w:pPr>
            <w:r w:rsidRPr="00EA792F">
              <w:t>Acute problems are avoided and costs are reduced by investing in prevention.</w:t>
            </w:r>
          </w:p>
          <w:p w:rsidR="00EA792F" w:rsidRPr="00EA792F" w:rsidRDefault="00EA792F" w:rsidP="00EA792F">
            <w:pPr>
              <w:spacing w:after="0" w:line="240" w:lineRule="auto"/>
            </w:pPr>
          </w:p>
        </w:tc>
      </w:tr>
      <w:tr w:rsidR="00EA792F" w:rsidRPr="00EA792F" w:rsidTr="00EA792F">
        <w:trPr>
          <w:cantSplit/>
        </w:trPr>
        <w:tc>
          <w:tcPr>
            <w:tcW w:w="5637" w:type="dxa"/>
          </w:tcPr>
          <w:p w:rsidR="00EA792F" w:rsidRPr="00EA792F" w:rsidRDefault="00EA792F" w:rsidP="00EA792F">
            <w:pPr>
              <w:numPr>
                <w:ilvl w:val="0"/>
                <w:numId w:val="5"/>
              </w:numPr>
              <w:spacing w:after="0" w:line="240" w:lineRule="auto"/>
            </w:pPr>
            <w:r w:rsidRPr="00EA792F">
              <w:t>Promote Environmental Sustainability</w:t>
            </w:r>
          </w:p>
        </w:tc>
        <w:tc>
          <w:tcPr>
            <w:tcW w:w="7229" w:type="dxa"/>
          </w:tcPr>
          <w:p w:rsidR="00EA792F" w:rsidRPr="00EA792F" w:rsidRDefault="00EA792F" w:rsidP="00EA792F">
            <w:pPr>
              <w:spacing w:after="0" w:line="240" w:lineRule="auto"/>
            </w:pPr>
            <w:r w:rsidRPr="00EA792F">
              <w:t xml:space="preserve">Outcome 8: </w:t>
            </w:r>
          </w:p>
          <w:p w:rsidR="00EA792F" w:rsidRDefault="00EA792F" w:rsidP="00EA792F">
            <w:pPr>
              <w:spacing w:after="0" w:line="240" w:lineRule="auto"/>
            </w:pPr>
            <w:r w:rsidRPr="00EA792F">
              <w:t>We are protecting our physical environment and contributing to climate change reduction.</w:t>
            </w:r>
          </w:p>
          <w:p w:rsidR="00EA792F" w:rsidRPr="00EA792F" w:rsidRDefault="00EA792F" w:rsidP="00EA792F">
            <w:pPr>
              <w:spacing w:after="0" w:line="240" w:lineRule="auto"/>
            </w:pPr>
          </w:p>
        </w:tc>
      </w:tr>
    </w:tbl>
    <w:p w:rsidR="004A7BE3" w:rsidRDefault="004A7BE3" w:rsidP="00EA792F">
      <w:pPr>
        <w:spacing w:after="0" w:line="240" w:lineRule="auto"/>
        <w:rPr>
          <w:b/>
        </w:rPr>
      </w:pPr>
    </w:p>
    <w:p w:rsidR="00E40D10" w:rsidRPr="00E40D10" w:rsidRDefault="00E40D10" w:rsidP="00E40D10">
      <w:pPr>
        <w:spacing w:after="0" w:line="240" w:lineRule="auto"/>
      </w:pPr>
      <w:r w:rsidRPr="00E40D10">
        <w:lastRenderedPageBreak/>
        <w:t>Provider[s] will undertake Cost Benefit Analysis (CBA) for their identified social value targets, which will be monitored through the contract monitoring process by the end of the first quarter following contract award.  Benchmarking for CBA will be undertaken by the Provider[s] once the contract has been awarded.</w:t>
      </w:r>
    </w:p>
    <w:p w:rsidR="00EA792F" w:rsidRDefault="00EA792F" w:rsidP="00EA792F">
      <w:pPr>
        <w:spacing w:after="0" w:line="240" w:lineRule="auto"/>
        <w:rPr>
          <w:b/>
        </w:rPr>
      </w:pPr>
    </w:p>
    <w:p w:rsidR="00EA792F" w:rsidRDefault="004A7BE3" w:rsidP="00EA792F">
      <w:pPr>
        <w:spacing w:after="0" w:line="240" w:lineRule="auto"/>
        <w:rPr>
          <w:b/>
        </w:rPr>
      </w:pPr>
      <w:r>
        <w:rPr>
          <w:b/>
        </w:rPr>
        <w:t>Appendix 2</w:t>
      </w:r>
      <w:r w:rsidR="00882ADC">
        <w:rPr>
          <w:b/>
        </w:rPr>
        <w:t xml:space="preserve"> - </w:t>
      </w:r>
      <w:r w:rsidR="00EA792F">
        <w:rPr>
          <w:b/>
        </w:rPr>
        <w:t xml:space="preserve">Incentivised </w:t>
      </w:r>
      <w:r w:rsidR="00882ADC">
        <w:rPr>
          <w:b/>
        </w:rPr>
        <w:t xml:space="preserve">Key Performance Indicators </w:t>
      </w:r>
      <w:r w:rsidR="00EA792F">
        <w:rPr>
          <w:b/>
        </w:rPr>
        <w:t xml:space="preserve">Programme </w:t>
      </w:r>
    </w:p>
    <w:p w:rsidR="00EA792F" w:rsidRDefault="00EA792F" w:rsidP="00EA792F">
      <w:pPr>
        <w:spacing w:after="0" w:line="240" w:lineRule="auto"/>
        <w:rPr>
          <w:b/>
        </w:rPr>
      </w:pPr>
    </w:p>
    <w:tbl>
      <w:tblPr>
        <w:tblStyle w:val="TableGrid"/>
        <w:tblW w:w="14197" w:type="dxa"/>
        <w:tblLayout w:type="fixed"/>
        <w:tblLook w:val="04A0" w:firstRow="1" w:lastRow="0" w:firstColumn="1" w:lastColumn="0" w:noHBand="0" w:noVBand="1"/>
      </w:tblPr>
      <w:tblGrid>
        <w:gridCol w:w="1461"/>
        <w:gridCol w:w="494"/>
        <w:gridCol w:w="2582"/>
        <w:gridCol w:w="1081"/>
        <w:gridCol w:w="1442"/>
        <w:gridCol w:w="2769"/>
        <w:gridCol w:w="2184"/>
        <w:gridCol w:w="2184"/>
      </w:tblGrid>
      <w:tr w:rsidR="00882ADC" w:rsidRPr="00882ADC" w:rsidTr="00381765">
        <w:trPr>
          <w:trHeight w:val="310"/>
        </w:trPr>
        <w:tc>
          <w:tcPr>
            <w:tcW w:w="1461" w:type="dxa"/>
            <w:noWrap/>
            <w:hideMark/>
          </w:tcPr>
          <w:p w:rsidR="00882ADC" w:rsidRPr="00882ADC" w:rsidRDefault="00882ADC" w:rsidP="00882ADC">
            <w:pPr>
              <w:rPr>
                <w:b/>
              </w:rPr>
            </w:pPr>
            <w:r w:rsidRPr="00882ADC">
              <w:rPr>
                <w:b/>
              </w:rPr>
              <w:t>Outcome</w:t>
            </w:r>
          </w:p>
        </w:tc>
        <w:tc>
          <w:tcPr>
            <w:tcW w:w="494" w:type="dxa"/>
            <w:noWrap/>
            <w:hideMark/>
          </w:tcPr>
          <w:p w:rsidR="00882ADC" w:rsidRPr="00882ADC" w:rsidRDefault="00882ADC" w:rsidP="00882ADC">
            <w:pPr>
              <w:rPr>
                <w:b/>
              </w:rPr>
            </w:pPr>
            <w:r w:rsidRPr="00882ADC">
              <w:rPr>
                <w:b/>
              </w:rPr>
              <w:t>No.</w:t>
            </w:r>
          </w:p>
        </w:tc>
        <w:tc>
          <w:tcPr>
            <w:tcW w:w="2582" w:type="dxa"/>
            <w:noWrap/>
            <w:hideMark/>
          </w:tcPr>
          <w:p w:rsidR="00882ADC" w:rsidRPr="00882ADC" w:rsidRDefault="00882ADC" w:rsidP="00882ADC">
            <w:pPr>
              <w:rPr>
                <w:b/>
              </w:rPr>
            </w:pPr>
            <w:r w:rsidRPr="00882ADC">
              <w:rPr>
                <w:b/>
              </w:rPr>
              <w:t xml:space="preserve">Indicator </w:t>
            </w:r>
          </w:p>
        </w:tc>
        <w:tc>
          <w:tcPr>
            <w:tcW w:w="1081" w:type="dxa"/>
            <w:noWrap/>
            <w:hideMark/>
          </w:tcPr>
          <w:p w:rsidR="00882ADC" w:rsidRPr="00882ADC" w:rsidRDefault="00882ADC" w:rsidP="00882ADC">
            <w:pPr>
              <w:rPr>
                <w:b/>
              </w:rPr>
            </w:pPr>
            <w:r w:rsidRPr="00882ADC">
              <w:rPr>
                <w:b/>
              </w:rPr>
              <w:t>Source</w:t>
            </w:r>
          </w:p>
        </w:tc>
        <w:tc>
          <w:tcPr>
            <w:tcW w:w="1442" w:type="dxa"/>
            <w:noWrap/>
            <w:hideMark/>
          </w:tcPr>
          <w:p w:rsidR="00882ADC" w:rsidRPr="00882ADC" w:rsidRDefault="00882ADC" w:rsidP="00882ADC">
            <w:pPr>
              <w:rPr>
                <w:b/>
              </w:rPr>
            </w:pPr>
            <w:r w:rsidRPr="00882ADC">
              <w:rPr>
                <w:b/>
              </w:rPr>
              <w:t>Baseline</w:t>
            </w:r>
          </w:p>
        </w:tc>
        <w:tc>
          <w:tcPr>
            <w:tcW w:w="2769" w:type="dxa"/>
            <w:noWrap/>
            <w:hideMark/>
          </w:tcPr>
          <w:p w:rsidR="00882ADC" w:rsidRPr="00882ADC" w:rsidRDefault="00882ADC" w:rsidP="00882ADC">
            <w:pPr>
              <w:rPr>
                <w:b/>
              </w:rPr>
            </w:pPr>
            <w:r w:rsidRPr="00882ADC">
              <w:rPr>
                <w:b/>
              </w:rPr>
              <w:t>Target</w:t>
            </w:r>
          </w:p>
        </w:tc>
        <w:tc>
          <w:tcPr>
            <w:tcW w:w="2184" w:type="dxa"/>
          </w:tcPr>
          <w:p w:rsidR="00882ADC" w:rsidRPr="00882ADC" w:rsidRDefault="00882ADC" w:rsidP="00882ADC">
            <w:pPr>
              <w:rPr>
                <w:b/>
              </w:rPr>
            </w:pPr>
            <w:r w:rsidRPr="00882ADC">
              <w:rPr>
                <w:b/>
              </w:rPr>
              <w:t xml:space="preserve">User to provide quarterly performance </w:t>
            </w:r>
          </w:p>
        </w:tc>
        <w:tc>
          <w:tcPr>
            <w:tcW w:w="2184" w:type="dxa"/>
            <w:noWrap/>
            <w:hideMark/>
          </w:tcPr>
          <w:p w:rsidR="00882ADC" w:rsidRPr="00882ADC" w:rsidRDefault="00882ADC" w:rsidP="00882ADC">
            <w:pPr>
              <w:rPr>
                <w:b/>
              </w:rPr>
            </w:pPr>
            <w:r w:rsidRPr="00882ADC">
              <w:rPr>
                <w:b/>
              </w:rPr>
              <w:t>Comments</w:t>
            </w:r>
          </w:p>
        </w:tc>
      </w:tr>
      <w:tr w:rsidR="00882ADC" w:rsidRPr="00882ADC" w:rsidTr="00381765">
        <w:trPr>
          <w:trHeight w:val="2656"/>
        </w:trPr>
        <w:tc>
          <w:tcPr>
            <w:tcW w:w="1461" w:type="dxa"/>
            <w:vMerge w:val="restart"/>
            <w:noWrap/>
            <w:hideMark/>
          </w:tcPr>
          <w:p w:rsidR="00882ADC" w:rsidRPr="00882ADC" w:rsidRDefault="00882ADC" w:rsidP="00882ADC">
            <w:pPr>
              <w:rPr>
                <w:b/>
              </w:rPr>
            </w:pPr>
            <w:r w:rsidRPr="00882ADC">
              <w:rPr>
                <w:b/>
              </w:rPr>
              <w:t>Reduction in Long Term Cohort</w:t>
            </w:r>
          </w:p>
        </w:tc>
        <w:tc>
          <w:tcPr>
            <w:tcW w:w="494" w:type="dxa"/>
            <w:noWrap/>
            <w:hideMark/>
          </w:tcPr>
          <w:p w:rsidR="00882ADC" w:rsidRPr="00882ADC" w:rsidRDefault="00882ADC" w:rsidP="00882ADC">
            <w:r w:rsidRPr="00882ADC">
              <w:t>1</w:t>
            </w:r>
          </w:p>
        </w:tc>
        <w:tc>
          <w:tcPr>
            <w:tcW w:w="2582" w:type="dxa"/>
            <w:hideMark/>
          </w:tcPr>
          <w:p w:rsidR="00882ADC" w:rsidRPr="00882ADC" w:rsidRDefault="00882ADC" w:rsidP="00882ADC">
            <w:r w:rsidRPr="00882ADC">
              <w:t xml:space="preserve">Reduction in the adult long-term drug (and alcohol)-treatment cohort (over 4 years  at the </w:t>
            </w:r>
            <w:r w:rsidRPr="00882ADC">
              <w:rPr>
                <w:b/>
              </w:rPr>
              <w:t xml:space="preserve">beginning </w:t>
            </w:r>
            <w:r w:rsidRPr="00882ADC">
              <w:t xml:space="preserve">of contract)  </w:t>
            </w:r>
          </w:p>
        </w:tc>
        <w:tc>
          <w:tcPr>
            <w:tcW w:w="1081" w:type="dxa"/>
            <w:noWrap/>
            <w:hideMark/>
          </w:tcPr>
          <w:p w:rsidR="00882ADC" w:rsidRPr="00882ADC" w:rsidRDefault="00882ADC" w:rsidP="00882ADC">
            <w:r w:rsidRPr="00882ADC">
              <w:t>NDTMS</w:t>
            </w:r>
          </w:p>
        </w:tc>
        <w:tc>
          <w:tcPr>
            <w:tcW w:w="1442" w:type="dxa"/>
            <w:hideMark/>
          </w:tcPr>
          <w:p w:rsidR="00882ADC" w:rsidRPr="00882ADC" w:rsidRDefault="00882ADC" w:rsidP="00882ADC">
            <w:r w:rsidRPr="00882ADC">
              <w:t>TBA</w:t>
            </w:r>
          </w:p>
        </w:tc>
        <w:tc>
          <w:tcPr>
            <w:tcW w:w="2769" w:type="dxa"/>
            <w:hideMark/>
          </w:tcPr>
          <w:p w:rsidR="00882ADC" w:rsidRPr="00882ADC" w:rsidRDefault="00882ADC" w:rsidP="00882ADC">
            <w:r w:rsidRPr="00882ADC">
              <w:t>Each individual who has been in the service (long term cohort) will have a reduction/improvement plan that will evidence their journey</w:t>
            </w:r>
          </w:p>
        </w:tc>
        <w:tc>
          <w:tcPr>
            <w:tcW w:w="2184" w:type="dxa"/>
          </w:tcPr>
          <w:p w:rsidR="00882ADC" w:rsidRPr="00882ADC" w:rsidRDefault="00882ADC" w:rsidP="00882ADC"/>
        </w:tc>
        <w:tc>
          <w:tcPr>
            <w:tcW w:w="2184" w:type="dxa"/>
            <w:hideMark/>
          </w:tcPr>
          <w:p w:rsidR="00882ADC" w:rsidRPr="00882ADC" w:rsidRDefault="00882ADC" w:rsidP="00882ADC"/>
        </w:tc>
      </w:tr>
      <w:tr w:rsidR="00882ADC" w:rsidRPr="00882ADC" w:rsidTr="00381765">
        <w:trPr>
          <w:trHeight w:val="1269"/>
        </w:trPr>
        <w:tc>
          <w:tcPr>
            <w:tcW w:w="1461" w:type="dxa"/>
            <w:vMerge/>
            <w:hideMark/>
          </w:tcPr>
          <w:p w:rsidR="00882ADC" w:rsidRPr="00882ADC" w:rsidRDefault="00882ADC" w:rsidP="00882ADC">
            <w:pPr>
              <w:rPr>
                <w:b/>
              </w:rPr>
            </w:pPr>
          </w:p>
        </w:tc>
        <w:tc>
          <w:tcPr>
            <w:tcW w:w="494" w:type="dxa"/>
            <w:noWrap/>
            <w:hideMark/>
          </w:tcPr>
          <w:p w:rsidR="00882ADC" w:rsidRPr="00882ADC" w:rsidRDefault="00882ADC" w:rsidP="00882ADC">
            <w:r w:rsidRPr="00882ADC">
              <w:t>2</w:t>
            </w:r>
          </w:p>
        </w:tc>
        <w:tc>
          <w:tcPr>
            <w:tcW w:w="2582" w:type="dxa"/>
            <w:hideMark/>
          </w:tcPr>
          <w:p w:rsidR="00882ADC" w:rsidRPr="00882ADC" w:rsidRDefault="00882ADC" w:rsidP="00882ADC">
            <w:r w:rsidRPr="00882ADC">
              <w:t xml:space="preserve">Reduction in the  adult long-term drug (and alcohol)-treatment cohort (over 4 years  </w:t>
            </w:r>
            <w:r w:rsidRPr="00882ADC">
              <w:rPr>
                <w:b/>
              </w:rPr>
              <w:t>Current position</w:t>
            </w:r>
            <w:r w:rsidRPr="00882ADC">
              <w:t>) (Incentive indicator)</w:t>
            </w:r>
          </w:p>
        </w:tc>
        <w:tc>
          <w:tcPr>
            <w:tcW w:w="1081" w:type="dxa"/>
            <w:noWrap/>
            <w:hideMark/>
          </w:tcPr>
          <w:p w:rsidR="00882ADC" w:rsidRPr="00882ADC" w:rsidRDefault="00882ADC" w:rsidP="00882ADC">
            <w:r w:rsidRPr="00882ADC">
              <w:t>NDTMS</w:t>
            </w:r>
          </w:p>
        </w:tc>
        <w:tc>
          <w:tcPr>
            <w:tcW w:w="1442" w:type="dxa"/>
            <w:hideMark/>
          </w:tcPr>
          <w:p w:rsidR="00882ADC" w:rsidRPr="00882ADC" w:rsidRDefault="00882ADC" w:rsidP="00882ADC">
            <w:r w:rsidRPr="00882ADC">
              <w:t>TBA</w:t>
            </w:r>
          </w:p>
        </w:tc>
        <w:tc>
          <w:tcPr>
            <w:tcW w:w="2769" w:type="dxa"/>
            <w:hideMark/>
          </w:tcPr>
          <w:p w:rsidR="00882ADC" w:rsidRPr="00882ADC" w:rsidRDefault="00882ADC" w:rsidP="00882ADC">
            <w:r w:rsidRPr="00882ADC">
              <w:t>Each individual who has been in the service (long term cohort) will have a reduction/improvement plan that will evidence their journey</w:t>
            </w:r>
          </w:p>
        </w:tc>
        <w:tc>
          <w:tcPr>
            <w:tcW w:w="2184" w:type="dxa"/>
          </w:tcPr>
          <w:p w:rsidR="00882ADC" w:rsidRPr="00882ADC" w:rsidRDefault="00882ADC" w:rsidP="00882ADC"/>
        </w:tc>
        <w:tc>
          <w:tcPr>
            <w:tcW w:w="2184" w:type="dxa"/>
            <w:hideMark/>
          </w:tcPr>
          <w:p w:rsidR="00882ADC" w:rsidRPr="00882ADC" w:rsidRDefault="00882ADC" w:rsidP="00882ADC"/>
        </w:tc>
      </w:tr>
      <w:tr w:rsidR="00882ADC" w:rsidRPr="00882ADC" w:rsidTr="00381765">
        <w:trPr>
          <w:trHeight w:val="590"/>
        </w:trPr>
        <w:tc>
          <w:tcPr>
            <w:tcW w:w="1461" w:type="dxa"/>
            <w:noWrap/>
            <w:hideMark/>
          </w:tcPr>
          <w:p w:rsidR="00882ADC" w:rsidRPr="00882ADC" w:rsidRDefault="00882ADC" w:rsidP="00882ADC">
            <w:pPr>
              <w:rPr>
                <w:b/>
              </w:rPr>
            </w:pPr>
            <w:r w:rsidRPr="00882ADC">
              <w:rPr>
                <w:b/>
              </w:rPr>
              <w:t xml:space="preserve">Successful Completions </w:t>
            </w:r>
          </w:p>
        </w:tc>
        <w:tc>
          <w:tcPr>
            <w:tcW w:w="494" w:type="dxa"/>
            <w:noWrap/>
            <w:hideMark/>
          </w:tcPr>
          <w:p w:rsidR="00882ADC" w:rsidRPr="00882ADC" w:rsidRDefault="00882ADC" w:rsidP="00882ADC">
            <w:r w:rsidRPr="00882ADC">
              <w:t>3</w:t>
            </w:r>
          </w:p>
        </w:tc>
        <w:tc>
          <w:tcPr>
            <w:tcW w:w="2582" w:type="dxa"/>
          </w:tcPr>
          <w:p w:rsidR="00882ADC" w:rsidRPr="00882ADC" w:rsidRDefault="00882ADC" w:rsidP="00882ADC">
            <w:r w:rsidRPr="00882ADC">
              <w:t xml:space="preserve"> % of treatment naive clients with planned exit within the year of  referral</w:t>
            </w:r>
          </w:p>
        </w:tc>
        <w:tc>
          <w:tcPr>
            <w:tcW w:w="1081" w:type="dxa"/>
            <w:noWrap/>
            <w:hideMark/>
          </w:tcPr>
          <w:p w:rsidR="00882ADC" w:rsidRPr="00882ADC" w:rsidRDefault="00882ADC" w:rsidP="00882ADC">
            <w:r w:rsidRPr="00882ADC">
              <w:t>NDTMS</w:t>
            </w:r>
          </w:p>
        </w:tc>
        <w:tc>
          <w:tcPr>
            <w:tcW w:w="1442" w:type="dxa"/>
            <w:hideMark/>
          </w:tcPr>
          <w:p w:rsidR="00882ADC" w:rsidRPr="00882ADC" w:rsidRDefault="00882ADC" w:rsidP="00882ADC">
            <w:r w:rsidRPr="00882ADC">
              <w:t>TBA</w:t>
            </w:r>
          </w:p>
        </w:tc>
        <w:tc>
          <w:tcPr>
            <w:tcW w:w="2769" w:type="dxa"/>
            <w:hideMark/>
          </w:tcPr>
          <w:p w:rsidR="00882ADC" w:rsidRPr="00882ADC" w:rsidRDefault="00882ADC" w:rsidP="00882ADC"/>
        </w:tc>
        <w:tc>
          <w:tcPr>
            <w:tcW w:w="2184" w:type="dxa"/>
          </w:tcPr>
          <w:p w:rsidR="00882ADC" w:rsidRPr="00882ADC" w:rsidRDefault="00882ADC" w:rsidP="00882ADC"/>
        </w:tc>
        <w:tc>
          <w:tcPr>
            <w:tcW w:w="2184" w:type="dxa"/>
            <w:hideMark/>
          </w:tcPr>
          <w:p w:rsidR="00882ADC" w:rsidRPr="00882ADC" w:rsidRDefault="00882ADC" w:rsidP="00882ADC"/>
        </w:tc>
      </w:tr>
      <w:tr w:rsidR="00882ADC" w:rsidRPr="00882ADC" w:rsidTr="00381765">
        <w:trPr>
          <w:trHeight w:val="1476"/>
        </w:trPr>
        <w:tc>
          <w:tcPr>
            <w:tcW w:w="1461" w:type="dxa"/>
            <w:vMerge w:val="restart"/>
            <w:hideMark/>
          </w:tcPr>
          <w:p w:rsidR="00882ADC" w:rsidRPr="00882ADC" w:rsidRDefault="00882ADC" w:rsidP="00882ADC">
            <w:pPr>
              <w:rPr>
                <w:b/>
              </w:rPr>
            </w:pPr>
            <w:r w:rsidRPr="00882ADC">
              <w:rPr>
                <w:b/>
              </w:rPr>
              <w:t>Children and Young Person Offer</w:t>
            </w:r>
          </w:p>
        </w:tc>
        <w:tc>
          <w:tcPr>
            <w:tcW w:w="494" w:type="dxa"/>
            <w:noWrap/>
          </w:tcPr>
          <w:p w:rsidR="00882ADC" w:rsidRPr="00882ADC" w:rsidRDefault="00882ADC" w:rsidP="00882ADC">
            <w:r w:rsidRPr="00882ADC">
              <w:t>4</w:t>
            </w:r>
          </w:p>
        </w:tc>
        <w:tc>
          <w:tcPr>
            <w:tcW w:w="2582" w:type="dxa"/>
          </w:tcPr>
          <w:p w:rsidR="00882ADC" w:rsidRPr="00882ADC" w:rsidRDefault="00882ADC" w:rsidP="00882ADC">
            <w:r w:rsidRPr="00882ADC">
              <w:t xml:space="preserve">Increase the number of children and young people identified and supported  where family/guardian is </w:t>
            </w:r>
            <w:r w:rsidRPr="00882ADC">
              <w:lastRenderedPageBreak/>
              <w:t>cur</w:t>
            </w:r>
            <w:r>
              <w:t>rently receiving treatment</w:t>
            </w:r>
            <w:r w:rsidRPr="00882ADC">
              <w:t xml:space="preserve"> the service </w:t>
            </w:r>
          </w:p>
        </w:tc>
        <w:tc>
          <w:tcPr>
            <w:tcW w:w="1081" w:type="dxa"/>
            <w:noWrap/>
          </w:tcPr>
          <w:p w:rsidR="00882ADC" w:rsidRPr="00882ADC" w:rsidRDefault="00882ADC" w:rsidP="00882ADC">
            <w:r w:rsidRPr="00882ADC">
              <w:lastRenderedPageBreak/>
              <w:t>Case management System</w:t>
            </w:r>
          </w:p>
        </w:tc>
        <w:tc>
          <w:tcPr>
            <w:tcW w:w="1442" w:type="dxa"/>
          </w:tcPr>
          <w:p w:rsidR="00882ADC" w:rsidRPr="00882ADC" w:rsidRDefault="00882ADC" w:rsidP="00882ADC">
            <w:r w:rsidRPr="00882ADC">
              <w:t>TBA</w:t>
            </w:r>
          </w:p>
        </w:tc>
        <w:tc>
          <w:tcPr>
            <w:tcW w:w="2769" w:type="dxa"/>
          </w:tcPr>
          <w:p w:rsidR="00882ADC" w:rsidRPr="00882ADC" w:rsidRDefault="00882ADC" w:rsidP="00882ADC"/>
        </w:tc>
        <w:tc>
          <w:tcPr>
            <w:tcW w:w="2184" w:type="dxa"/>
          </w:tcPr>
          <w:p w:rsidR="00882ADC" w:rsidRPr="00882ADC" w:rsidRDefault="00882ADC" w:rsidP="00882ADC"/>
        </w:tc>
        <w:tc>
          <w:tcPr>
            <w:tcW w:w="2184" w:type="dxa"/>
          </w:tcPr>
          <w:p w:rsidR="00882ADC" w:rsidRPr="00882ADC" w:rsidRDefault="00882ADC" w:rsidP="00882ADC"/>
        </w:tc>
      </w:tr>
      <w:tr w:rsidR="00882ADC" w:rsidRPr="00882ADC" w:rsidTr="00381765">
        <w:trPr>
          <w:trHeight w:val="1180"/>
        </w:trPr>
        <w:tc>
          <w:tcPr>
            <w:tcW w:w="1461" w:type="dxa"/>
            <w:vMerge/>
            <w:hideMark/>
          </w:tcPr>
          <w:p w:rsidR="00882ADC" w:rsidRPr="00882ADC" w:rsidRDefault="00882ADC" w:rsidP="00882ADC">
            <w:pPr>
              <w:rPr>
                <w:b/>
              </w:rPr>
            </w:pPr>
          </w:p>
        </w:tc>
        <w:tc>
          <w:tcPr>
            <w:tcW w:w="494" w:type="dxa"/>
            <w:noWrap/>
          </w:tcPr>
          <w:p w:rsidR="00882ADC" w:rsidRPr="00882ADC" w:rsidRDefault="00882ADC" w:rsidP="00882ADC">
            <w:r w:rsidRPr="00882ADC">
              <w:t>5</w:t>
            </w:r>
          </w:p>
        </w:tc>
        <w:tc>
          <w:tcPr>
            <w:tcW w:w="2582" w:type="dxa"/>
          </w:tcPr>
          <w:p w:rsidR="00882ADC" w:rsidRPr="00882ADC" w:rsidRDefault="00882ADC" w:rsidP="00882ADC">
            <w:r>
              <w:t>Increase the number of individual young people receiving specialist substance misuse support</w:t>
            </w:r>
          </w:p>
        </w:tc>
        <w:tc>
          <w:tcPr>
            <w:tcW w:w="1081" w:type="dxa"/>
            <w:noWrap/>
          </w:tcPr>
          <w:p w:rsidR="00882ADC" w:rsidRPr="00882ADC" w:rsidRDefault="00882ADC" w:rsidP="00882ADC"/>
        </w:tc>
        <w:tc>
          <w:tcPr>
            <w:tcW w:w="1442" w:type="dxa"/>
          </w:tcPr>
          <w:p w:rsidR="00882ADC" w:rsidRPr="00882ADC" w:rsidRDefault="00882ADC" w:rsidP="00882ADC">
            <w:r>
              <w:t>TBA</w:t>
            </w:r>
          </w:p>
        </w:tc>
        <w:tc>
          <w:tcPr>
            <w:tcW w:w="2769" w:type="dxa"/>
          </w:tcPr>
          <w:p w:rsidR="00882ADC" w:rsidRPr="00882ADC" w:rsidRDefault="00882ADC" w:rsidP="00882ADC"/>
        </w:tc>
        <w:tc>
          <w:tcPr>
            <w:tcW w:w="2184" w:type="dxa"/>
          </w:tcPr>
          <w:p w:rsidR="00882ADC" w:rsidRPr="00882ADC" w:rsidRDefault="00882ADC" w:rsidP="00882ADC"/>
        </w:tc>
        <w:tc>
          <w:tcPr>
            <w:tcW w:w="2184" w:type="dxa"/>
          </w:tcPr>
          <w:p w:rsidR="00882ADC" w:rsidRPr="00882ADC" w:rsidRDefault="00882ADC" w:rsidP="00882ADC"/>
        </w:tc>
      </w:tr>
      <w:tr w:rsidR="00882ADC" w:rsidRPr="00882ADC" w:rsidTr="00381765">
        <w:trPr>
          <w:trHeight w:val="590"/>
        </w:trPr>
        <w:tc>
          <w:tcPr>
            <w:tcW w:w="1461" w:type="dxa"/>
            <w:hideMark/>
          </w:tcPr>
          <w:p w:rsidR="00882ADC" w:rsidRPr="00882ADC" w:rsidRDefault="00882ADC" w:rsidP="00882ADC">
            <w:pPr>
              <w:rPr>
                <w:b/>
              </w:rPr>
            </w:pPr>
            <w:r w:rsidRPr="00882ADC">
              <w:rPr>
                <w:b/>
              </w:rPr>
              <w:t xml:space="preserve">Service User Communication and Engagement </w:t>
            </w:r>
          </w:p>
        </w:tc>
        <w:tc>
          <w:tcPr>
            <w:tcW w:w="494" w:type="dxa"/>
            <w:noWrap/>
            <w:hideMark/>
          </w:tcPr>
          <w:p w:rsidR="00882ADC" w:rsidRPr="00882ADC" w:rsidRDefault="00882ADC" w:rsidP="00882ADC">
            <w:r w:rsidRPr="00882ADC">
              <w:t>6</w:t>
            </w:r>
          </w:p>
        </w:tc>
        <w:tc>
          <w:tcPr>
            <w:tcW w:w="2582" w:type="dxa"/>
          </w:tcPr>
          <w:p w:rsidR="00882ADC" w:rsidRPr="00882ADC" w:rsidRDefault="00882ADC" w:rsidP="00882ADC">
            <w:r w:rsidRPr="00882ADC">
              <w:t xml:space="preserve">Develop and deliver a service user engagement plan. </w:t>
            </w:r>
          </w:p>
        </w:tc>
        <w:tc>
          <w:tcPr>
            <w:tcW w:w="1081" w:type="dxa"/>
            <w:noWrap/>
          </w:tcPr>
          <w:p w:rsidR="00882ADC" w:rsidRPr="00882ADC" w:rsidRDefault="00882ADC" w:rsidP="00882ADC">
            <w:r w:rsidRPr="00882ADC">
              <w:t>Narrative Report</w:t>
            </w:r>
          </w:p>
        </w:tc>
        <w:tc>
          <w:tcPr>
            <w:tcW w:w="1442" w:type="dxa"/>
          </w:tcPr>
          <w:p w:rsidR="00882ADC" w:rsidRPr="00882ADC" w:rsidRDefault="00882ADC" w:rsidP="00882ADC">
            <w:r w:rsidRPr="00882ADC">
              <w:t>TBA</w:t>
            </w:r>
          </w:p>
        </w:tc>
        <w:tc>
          <w:tcPr>
            <w:tcW w:w="2769" w:type="dxa"/>
          </w:tcPr>
          <w:p w:rsidR="00882ADC" w:rsidRPr="00882ADC" w:rsidRDefault="00882ADC" w:rsidP="00882ADC">
            <w:r>
              <w:t>Range of consistent mechanisms in place</w:t>
            </w:r>
          </w:p>
        </w:tc>
        <w:tc>
          <w:tcPr>
            <w:tcW w:w="2184" w:type="dxa"/>
          </w:tcPr>
          <w:p w:rsidR="00882ADC" w:rsidRPr="00882ADC" w:rsidRDefault="00882ADC" w:rsidP="00882ADC"/>
        </w:tc>
        <w:tc>
          <w:tcPr>
            <w:tcW w:w="2184" w:type="dxa"/>
          </w:tcPr>
          <w:p w:rsidR="00882ADC" w:rsidRPr="00882ADC" w:rsidRDefault="00882ADC" w:rsidP="00882ADC">
            <w:r w:rsidRPr="00882ADC">
              <w:t>To include young persons blog, a young persons charter, and a service user forum for the North and South of the Borough</w:t>
            </w:r>
          </w:p>
        </w:tc>
      </w:tr>
      <w:tr w:rsidR="00882ADC" w:rsidRPr="00882ADC" w:rsidTr="00381765">
        <w:trPr>
          <w:trHeight w:val="1195"/>
        </w:trPr>
        <w:tc>
          <w:tcPr>
            <w:tcW w:w="1461" w:type="dxa"/>
            <w:hideMark/>
          </w:tcPr>
          <w:p w:rsidR="00882ADC" w:rsidRPr="00882ADC" w:rsidRDefault="00882ADC" w:rsidP="00882ADC">
            <w:pPr>
              <w:rPr>
                <w:b/>
              </w:rPr>
            </w:pPr>
            <w:r w:rsidRPr="00882ADC">
              <w:rPr>
                <w:b/>
              </w:rPr>
              <w:t>Focus on socio-economic wellbeing</w:t>
            </w:r>
          </w:p>
        </w:tc>
        <w:tc>
          <w:tcPr>
            <w:tcW w:w="494" w:type="dxa"/>
            <w:noWrap/>
            <w:hideMark/>
          </w:tcPr>
          <w:p w:rsidR="00882ADC" w:rsidRPr="00882ADC" w:rsidRDefault="00882ADC" w:rsidP="00882ADC">
            <w:r w:rsidRPr="00882ADC">
              <w:t>7</w:t>
            </w:r>
          </w:p>
        </w:tc>
        <w:tc>
          <w:tcPr>
            <w:tcW w:w="2582" w:type="dxa"/>
            <w:hideMark/>
          </w:tcPr>
          <w:p w:rsidR="00882ADC" w:rsidRPr="00882ADC" w:rsidRDefault="00882ADC" w:rsidP="00882ADC">
            <w:r w:rsidRPr="00882ADC">
              <w:t>No of clients accessing service from 20% most deprived wards in the borough</w:t>
            </w:r>
          </w:p>
        </w:tc>
        <w:tc>
          <w:tcPr>
            <w:tcW w:w="1081" w:type="dxa"/>
            <w:noWrap/>
            <w:hideMark/>
          </w:tcPr>
          <w:p w:rsidR="00882ADC" w:rsidRPr="00882ADC" w:rsidRDefault="00882ADC" w:rsidP="00882ADC">
            <w:r w:rsidRPr="00882ADC">
              <w:t>Case Management System</w:t>
            </w:r>
          </w:p>
        </w:tc>
        <w:tc>
          <w:tcPr>
            <w:tcW w:w="1442" w:type="dxa"/>
            <w:hideMark/>
          </w:tcPr>
          <w:p w:rsidR="00882ADC" w:rsidRPr="00882ADC" w:rsidRDefault="00882ADC" w:rsidP="00882ADC">
            <w:r w:rsidRPr="00882ADC">
              <w:t>TBA</w:t>
            </w:r>
          </w:p>
        </w:tc>
        <w:tc>
          <w:tcPr>
            <w:tcW w:w="2769" w:type="dxa"/>
            <w:hideMark/>
          </w:tcPr>
          <w:p w:rsidR="00882ADC" w:rsidRPr="00882ADC" w:rsidRDefault="00882ADC" w:rsidP="00882ADC"/>
        </w:tc>
        <w:tc>
          <w:tcPr>
            <w:tcW w:w="2184" w:type="dxa"/>
          </w:tcPr>
          <w:p w:rsidR="00882ADC" w:rsidRPr="00882ADC" w:rsidRDefault="00882ADC" w:rsidP="00882ADC"/>
        </w:tc>
        <w:tc>
          <w:tcPr>
            <w:tcW w:w="2184" w:type="dxa"/>
            <w:hideMark/>
          </w:tcPr>
          <w:p w:rsidR="00882ADC" w:rsidRPr="00882ADC" w:rsidRDefault="00882ADC" w:rsidP="00882ADC"/>
        </w:tc>
      </w:tr>
      <w:tr w:rsidR="00882ADC" w:rsidRPr="00882ADC" w:rsidTr="00381765">
        <w:trPr>
          <w:trHeight w:val="2007"/>
        </w:trPr>
        <w:tc>
          <w:tcPr>
            <w:tcW w:w="1461" w:type="dxa"/>
            <w:noWrap/>
            <w:hideMark/>
          </w:tcPr>
          <w:p w:rsidR="00882ADC" w:rsidRPr="00882ADC" w:rsidRDefault="00882ADC" w:rsidP="00882ADC">
            <w:pPr>
              <w:rPr>
                <w:b/>
              </w:rPr>
            </w:pPr>
            <w:r w:rsidRPr="00882ADC">
              <w:rPr>
                <w:b/>
              </w:rPr>
              <w:t>Impact on wider health and care system</w:t>
            </w:r>
          </w:p>
        </w:tc>
        <w:tc>
          <w:tcPr>
            <w:tcW w:w="494" w:type="dxa"/>
            <w:noWrap/>
            <w:hideMark/>
          </w:tcPr>
          <w:p w:rsidR="00882ADC" w:rsidRPr="00882ADC" w:rsidRDefault="00882ADC" w:rsidP="00882ADC">
            <w:r w:rsidRPr="00882ADC">
              <w:t>8</w:t>
            </w:r>
          </w:p>
        </w:tc>
        <w:tc>
          <w:tcPr>
            <w:tcW w:w="2582" w:type="dxa"/>
            <w:hideMark/>
          </w:tcPr>
          <w:p w:rsidR="00882ADC" w:rsidRPr="00882ADC" w:rsidRDefault="00882ADC" w:rsidP="00882ADC">
            <w:r w:rsidRPr="00882ADC">
              <w:t>Reduction in SMS clients presenting to A&amp;E (High impact users) and reduction in in-patient acute admissions by clients due to alcohol specific condition</w:t>
            </w:r>
          </w:p>
        </w:tc>
        <w:tc>
          <w:tcPr>
            <w:tcW w:w="1081" w:type="dxa"/>
            <w:noWrap/>
            <w:hideMark/>
          </w:tcPr>
          <w:p w:rsidR="00882ADC" w:rsidRPr="00882ADC" w:rsidRDefault="00882ADC" w:rsidP="00882ADC">
            <w:r w:rsidRPr="00882ADC">
              <w:t>Case management System</w:t>
            </w:r>
          </w:p>
        </w:tc>
        <w:tc>
          <w:tcPr>
            <w:tcW w:w="1442" w:type="dxa"/>
            <w:hideMark/>
          </w:tcPr>
          <w:p w:rsidR="00882ADC" w:rsidRPr="00882ADC" w:rsidRDefault="00882ADC" w:rsidP="00882ADC">
            <w:r w:rsidRPr="00882ADC">
              <w:t>TBA</w:t>
            </w:r>
          </w:p>
        </w:tc>
        <w:tc>
          <w:tcPr>
            <w:tcW w:w="2769" w:type="dxa"/>
            <w:noWrap/>
            <w:hideMark/>
          </w:tcPr>
          <w:p w:rsidR="00882ADC" w:rsidRPr="00882ADC" w:rsidRDefault="00882ADC" w:rsidP="00882ADC"/>
        </w:tc>
        <w:tc>
          <w:tcPr>
            <w:tcW w:w="2184" w:type="dxa"/>
          </w:tcPr>
          <w:p w:rsidR="00882ADC" w:rsidRPr="00882ADC" w:rsidRDefault="00882ADC" w:rsidP="00882ADC"/>
        </w:tc>
        <w:tc>
          <w:tcPr>
            <w:tcW w:w="2184" w:type="dxa"/>
            <w:hideMark/>
          </w:tcPr>
          <w:p w:rsidR="00882ADC" w:rsidRPr="00882ADC" w:rsidRDefault="00882ADC" w:rsidP="00882ADC"/>
        </w:tc>
      </w:tr>
      <w:tr w:rsidR="00882ADC" w:rsidRPr="00882ADC" w:rsidTr="00381765">
        <w:trPr>
          <w:trHeight w:val="753"/>
        </w:trPr>
        <w:tc>
          <w:tcPr>
            <w:tcW w:w="1461" w:type="dxa"/>
            <w:noWrap/>
            <w:hideMark/>
          </w:tcPr>
          <w:p w:rsidR="00882ADC" w:rsidRPr="00882ADC" w:rsidRDefault="00882ADC" w:rsidP="00882ADC">
            <w:pPr>
              <w:rPr>
                <w:b/>
              </w:rPr>
            </w:pPr>
            <w:r w:rsidRPr="00882ADC">
              <w:rPr>
                <w:b/>
              </w:rPr>
              <w:t>Recovery</w:t>
            </w:r>
          </w:p>
        </w:tc>
        <w:tc>
          <w:tcPr>
            <w:tcW w:w="494" w:type="dxa"/>
            <w:noWrap/>
            <w:hideMark/>
          </w:tcPr>
          <w:p w:rsidR="00882ADC" w:rsidRPr="00882ADC" w:rsidRDefault="00882ADC" w:rsidP="00882ADC">
            <w:r w:rsidRPr="00882ADC">
              <w:t>9</w:t>
            </w:r>
          </w:p>
        </w:tc>
        <w:tc>
          <w:tcPr>
            <w:tcW w:w="2582" w:type="dxa"/>
            <w:hideMark/>
          </w:tcPr>
          <w:p w:rsidR="00882ADC" w:rsidRPr="00882ADC" w:rsidRDefault="00882ADC" w:rsidP="00882ADC">
            <w:r w:rsidRPr="00882ADC">
              <w:t>Increase % of all in treatment who report they are in employment</w:t>
            </w:r>
          </w:p>
        </w:tc>
        <w:tc>
          <w:tcPr>
            <w:tcW w:w="1081" w:type="dxa"/>
            <w:noWrap/>
            <w:hideMark/>
          </w:tcPr>
          <w:p w:rsidR="00882ADC" w:rsidRPr="00882ADC" w:rsidRDefault="00882ADC" w:rsidP="00882ADC">
            <w:r w:rsidRPr="00882ADC">
              <w:t>NDTMS</w:t>
            </w:r>
          </w:p>
        </w:tc>
        <w:tc>
          <w:tcPr>
            <w:tcW w:w="1442" w:type="dxa"/>
            <w:noWrap/>
            <w:hideMark/>
          </w:tcPr>
          <w:p w:rsidR="00882ADC" w:rsidRPr="00882ADC" w:rsidRDefault="00882ADC" w:rsidP="00882ADC">
            <w:r w:rsidRPr="00882ADC">
              <w:t>TBA</w:t>
            </w:r>
          </w:p>
        </w:tc>
        <w:tc>
          <w:tcPr>
            <w:tcW w:w="2769" w:type="dxa"/>
            <w:noWrap/>
            <w:hideMark/>
          </w:tcPr>
          <w:p w:rsidR="00882ADC" w:rsidRPr="00882ADC" w:rsidRDefault="00882ADC" w:rsidP="00882ADC"/>
        </w:tc>
        <w:tc>
          <w:tcPr>
            <w:tcW w:w="2184" w:type="dxa"/>
          </w:tcPr>
          <w:p w:rsidR="00882ADC" w:rsidRPr="00882ADC" w:rsidRDefault="00882ADC" w:rsidP="00882ADC"/>
        </w:tc>
        <w:tc>
          <w:tcPr>
            <w:tcW w:w="2184" w:type="dxa"/>
            <w:noWrap/>
            <w:hideMark/>
          </w:tcPr>
          <w:p w:rsidR="00882ADC" w:rsidRPr="00882ADC" w:rsidRDefault="00882ADC" w:rsidP="00882ADC"/>
        </w:tc>
      </w:tr>
      <w:tr w:rsidR="00882ADC" w:rsidRPr="00882ADC" w:rsidTr="00381765">
        <w:trPr>
          <w:trHeight w:val="753"/>
        </w:trPr>
        <w:tc>
          <w:tcPr>
            <w:tcW w:w="1461" w:type="dxa"/>
            <w:noWrap/>
            <w:hideMark/>
          </w:tcPr>
          <w:p w:rsidR="00882ADC" w:rsidRPr="00882ADC" w:rsidRDefault="00882ADC" w:rsidP="00882ADC">
            <w:pPr>
              <w:rPr>
                <w:b/>
              </w:rPr>
            </w:pPr>
            <w:r w:rsidRPr="00882ADC">
              <w:rPr>
                <w:b/>
              </w:rPr>
              <w:lastRenderedPageBreak/>
              <w:t>Recovery</w:t>
            </w:r>
          </w:p>
        </w:tc>
        <w:tc>
          <w:tcPr>
            <w:tcW w:w="494" w:type="dxa"/>
            <w:noWrap/>
            <w:hideMark/>
          </w:tcPr>
          <w:p w:rsidR="00882ADC" w:rsidRPr="00882ADC" w:rsidRDefault="00882ADC" w:rsidP="00882ADC">
            <w:r w:rsidRPr="00882ADC">
              <w:t>10</w:t>
            </w:r>
          </w:p>
        </w:tc>
        <w:tc>
          <w:tcPr>
            <w:tcW w:w="2582" w:type="dxa"/>
            <w:hideMark/>
          </w:tcPr>
          <w:p w:rsidR="00882ADC" w:rsidRPr="00882ADC" w:rsidRDefault="00882ADC" w:rsidP="00882ADC">
            <w:r w:rsidRPr="00882ADC">
              <w:t>Increase % of clients actively engaged with mutual aid</w:t>
            </w:r>
          </w:p>
        </w:tc>
        <w:tc>
          <w:tcPr>
            <w:tcW w:w="1081" w:type="dxa"/>
            <w:noWrap/>
            <w:hideMark/>
          </w:tcPr>
          <w:p w:rsidR="00882ADC" w:rsidRPr="00882ADC" w:rsidRDefault="00882ADC" w:rsidP="00882ADC">
            <w:r w:rsidRPr="00882ADC">
              <w:t>NDTMS</w:t>
            </w:r>
          </w:p>
        </w:tc>
        <w:tc>
          <w:tcPr>
            <w:tcW w:w="1442" w:type="dxa"/>
            <w:noWrap/>
            <w:hideMark/>
          </w:tcPr>
          <w:p w:rsidR="00882ADC" w:rsidRPr="00882ADC" w:rsidRDefault="00882ADC" w:rsidP="00882ADC">
            <w:r w:rsidRPr="00882ADC">
              <w:t>TBA</w:t>
            </w:r>
          </w:p>
        </w:tc>
        <w:tc>
          <w:tcPr>
            <w:tcW w:w="2769" w:type="dxa"/>
            <w:noWrap/>
            <w:hideMark/>
          </w:tcPr>
          <w:p w:rsidR="00882ADC" w:rsidRPr="00882ADC" w:rsidRDefault="00882ADC" w:rsidP="00882ADC"/>
        </w:tc>
        <w:tc>
          <w:tcPr>
            <w:tcW w:w="2184" w:type="dxa"/>
          </w:tcPr>
          <w:p w:rsidR="00882ADC" w:rsidRPr="00882ADC" w:rsidRDefault="00882ADC" w:rsidP="00882ADC"/>
        </w:tc>
        <w:tc>
          <w:tcPr>
            <w:tcW w:w="2184" w:type="dxa"/>
            <w:noWrap/>
            <w:hideMark/>
          </w:tcPr>
          <w:p w:rsidR="00882ADC" w:rsidRPr="00882ADC" w:rsidRDefault="00882ADC" w:rsidP="00882ADC"/>
        </w:tc>
      </w:tr>
    </w:tbl>
    <w:p w:rsidR="00EA792F" w:rsidRDefault="00EA792F" w:rsidP="00EA792F">
      <w:pPr>
        <w:spacing w:after="0" w:line="240" w:lineRule="auto"/>
      </w:pPr>
    </w:p>
    <w:p w:rsidR="0059013C" w:rsidRDefault="0059013C" w:rsidP="00EA792F">
      <w:pPr>
        <w:spacing w:after="0" w:line="240" w:lineRule="auto"/>
      </w:pPr>
    </w:p>
    <w:p w:rsidR="0059013C" w:rsidRDefault="0059013C" w:rsidP="00EA792F">
      <w:pPr>
        <w:spacing w:after="0" w:line="240" w:lineRule="auto"/>
      </w:pPr>
    </w:p>
    <w:p w:rsidR="0059013C" w:rsidRDefault="0059013C" w:rsidP="00EA792F">
      <w:pPr>
        <w:spacing w:after="0" w:line="240" w:lineRule="auto"/>
      </w:pPr>
    </w:p>
    <w:p w:rsidR="00C003E6" w:rsidRDefault="00C003E6" w:rsidP="00EA792F">
      <w:pPr>
        <w:spacing w:after="0" w:line="240" w:lineRule="auto"/>
      </w:pPr>
    </w:p>
    <w:p w:rsidR="0059013C" w:rsidRPr="0059013C" w:rsidRDefault="004A7BE3" w:rsidP="00EA792F">
      <w:pPr>
        <w:spacing w:after="0" w:line="240" w:lineRule="auto"/>
        <w:rPr>
          <w:b/>
        </w:rPr>
      </w:pPr>
      <w:r>
        <w:rPr>
          <w:b/>
        </w:rPr>
        <w:t>Appendix 3</w:t>
      </w:r>
      <w:r w:rsidR="0059013C" w:rsidRPr="0059013C">
        <w:rPr>
          <w:b/>
        </w:rPr>
        <w:t xml:space="preserve"> – Quarterly Performance Monitoring Framework</w:t>
      </w:r>
    </w:p>
    <w:p w:rsidR="0059013C" w:rsidRDefault="0059013C" w:rsidP="00EA792F">
      <w:pPr>
        <w:spacing w:after="0" w:line="240" w:lineRule="auto"/>
      </w:pPr>
    </w:p>
    <w:tbl>
      <w:tblPr>
        <w:tblStyle w:val="TableGrid"/>
        <w:tblW w:w="4607" w:type="pct"/>
        <w:tblLook w:val="04A0" w:firstRow="1" w:lastRow="0" w:firstColumn="1" w:lastColumn="0" w:noHBand="0" w:noVBand="1"/>
      </w:tblPr>
      <w:tblGrid>
        <w:gridCol w:w="1555"/>
        <w:gridCol w:w="833"/>
        <w:gridCol w:w="1800"/>
        <w:gridCol w:w="1593"/>
        <w:gridCol w:w="2894"/>
        <w:gridCol w:w="2113"/>
        <w:gridCol w:w="1055"/>
        <w:gridCol w:w="1217"/>
      </w:tblGrid>
      <w:tr w:rsidR="00A21C31" w:rsidRPr="0059013C" w:rsidTr="00A21C31">
        <w:trPr>
          <w:cantSplit/>
          <w:tblHeader/>
        </w:trPr>
        <w:tc>
          <w:tcPr>
            <w:tcW w:w="595" w:type="pct"/>
            <w:shd w:val="clear" w:color="auto" w:fill="BFBFBF" w:themeFill="background1" w:themeFillShade="BF"/>
            <w:vAlign w:val="center"/>
          </w:tcPr>
          <w:p w:rsidR="00A21C31" w:rsidRPr="0059013C" w:rsidRDefault="00E40D10" w:rsidP="0059013C">
            <w:pPr>
              <w:rPr>
                <w:b/>
              </w:rPr>
            </w:pPr>
            <w:r>
              <w:rPr>
                <w:b/>
              </w:rPr>
              <w:t>Outcome</w:t>
            </w:r>
          </w:p>
        </w:tc>
        <w:tc>
          <w:tcPr>
            <w:tcW w:w="319" w:type="pct"/>
            <w:shd w:val="clear" w:color="auto" w:fill="BFBFBF" w:themeFill="background1" w:themeFillShade="BF"/>
            <w:vAlign w:val="center"/>
          </w:tcPr>
          <w:p w:rsidR="00A21C31" w:rsidRPr="0059013C" w:rsidRDefault="00A21C31" w:rsidP="0059013C">
            <w:pPr>
              <w:rPr>
                <w:b/>
              </w:rPr>
            </w:pPr>
            <w:r w:rsidRPr="0059013C">
              <w:rPr>
                <w:b/>
              </w:rPr>
              <w:t>PI/KPI No.</w:t>
            </w:r>
          </w:p>
        </w:tc>
        <w:tc>
          <w:tcPr>
            <w:tcW w:w="689" w:type="pct"/>
            <w:shd w:val="clear" w:color="auto" w:fill="BFBFBF" w:themeFill="background1" w:themeFillShade="BF"/>
            <w:vAlign w:val="center"/>
          </w:tcPr>
          <w:p w:rsidR="00A21C31" w:rsidRPr="0059013C" w:rsidRDefault="00A21C31" w:rsidP="0059013C">
            <w:pPr>
              <w:rPr>
                <w:b/>
              </w:rPr>
            </w:pPr>
            <w:r w:rsidRPr="0059013C">
              <w:rPr>
                <w:b/>
              </w:rPr>
              <w:t>Performance Indicator</w:t>
            </w:r>
          </w:p>
        </w:tc>
        <w:tc>
          <w:tcPr>
            <w:tcW w:w="610" w:type="pct"/>
            <w:shd w:val="clear" w:color="auto" w:fill="BFBFBF" w:themeFill="background1" w:themeFillShade="BF"/>
            <w:vAlign w:val="center"/>
          </w:tcPr>
          <w:p w:rsidR="00A21C31" w:rsidRPr="0059013C" w:rsidRDefault="00A21C31" w:rsidP="0059013C">
            <w:pPr>
              <w:rPr>
                <w:b/>
              </w:rPr>
            </w:pPr>
            <w:r w:rsidRPr="0059013C">
              <w:rPr>
                <w:b/>
              </w:rPr>
              <w:t>Technical Guidance Reference</w:t>
            </w:r>
          </w:p>
        </w:tc>
        <w:tc>
          <w:tcPr>
            <w:tcW w:w="1108" w:type="pct"/>
            <w:shd w:val="clear" w:color="auto" w:fill="BFBFBF" w:themeFill="background1" w:themeFillShade="BF"/>
            <w:vAlign w:val="center"/>
          </w:tcPr>
          <w:p w:rsidR="00A21C31" w:rsidRPr="0059013C" w:rsidRDefault="00A21C31" w:rsidP="0059013C">
            <w:pPr>
              <w:rPr>
                <w:b/>
              </w:rPr>
            </w:pPr>
            <w:r w:rsidRPr="0059013C">
              <w:rPr>
                <w:b/>
              </w:rPr>
              <w:t>Indicator construction</w:t>
            </w:r>
          </w:p>
        </w:tc>
        <w:tc>
          <w:tcPr>
            <w:tcW w:w="809" w:type="pct"/>
            <w:shd w:val="clear" w:color="auto" w:fill="BFBFBF" w:themeFill="background1" w:themeFillShade="BF"/>
            <w:vAlign w:val="center"/>
          </w:tcPr>
          <w:p w:rsidR="00A21C31" w:rsidRPr="0059013C" w:rsidRDefault="00A21C31" w:rsidP="0059013C">
            <w:pPr>
              <w:rPr>
                <w:b/>
              </w:rPr>
            </w:pPr>
            <w:r w:rsidRPr="0059013C">
              <w:rPr>
                <w:b/>
              </w:rPr>
              <w:t>Comments</w:t>
            </w:r>
          </w:p>
        </w:tc>
        <w:tc>
          <w:tcPr>
            <w:tcW w:w="404" w:type="pct"/>
            <w:shd w:val="clear" w:color="auto" w:fill="BFBFBF" w:themeFill="background1" w:themeFillShade="BF"/>
            <w:vAlign w:val="center"/>
          </w:tcPr>
          <w:p w:rsidR="00A21C31" w:rsidRPr="0059013C" w:rsidRDefault="00A21C31" w:rsidP="0059013C">
            <w:pPr>
              <w:rPr>
                <w:b/>
              </w:rPr>
            </w:pPr>
            <w:r>
              <w:rPr>
                <w:b/>
              </w:rPr>
              <w:t>2018/19</w:t>
            </w:r>
            <w:r w:rsidRPr="0059013C">
              <w:rPr>
                <w:b/>
              </w:rPr>
              <w:t xml:space="preserve"> Target</w:t>
            </w:r>
          </w:p>
        </w:tc>
        <w:tc>
          <w:tcPr>
            <w:tcW w:w="467" w:type="pct"/>
            <w:shd w:val="clear" w:color="auto" w:fill="BFBFBF" w:themeFill="background1" w:themeFillShade="BF"/>
            <w:vAlign w:val="center"/>
          </w:tcPr>
          <w:p w:rsidR="00A21C31" w:rsidRPr="0059013C" w:rsidRDefault="00A21C31" w:rsidP="0059013C">
            <w:pPr>
              <w:rPr>
                <w:b/>
              </w:rPr>
            </w:pPr>
            <w:r w:rsidRPr="0059013C">
              <w:rPr>
                <w:b/>
              </w:rPr>
              <w:t>Reporting frequency</w:t>
            </w:r>
          </w:p>
        </w:tc>
      </w:tr>
      <w:tr w:rsidR="00A21C31" w:rsidRPr="0059013C" w:rsidTr="00A21C31">
        <w:trPr>
          <w:cantSplit/>
        </w:trPr>
        <w:tc>
          <w:tcPr>
            <w:tcW w:w="595" w:type="pct"/>
          </w:tcPr>
          <w:p w:rsidR="00A21C31" w:rsidRPr="0059013C" w:rsidRDefault="00A21C31" w:rsidP="0059013C">
            <w:r w:rsidRPr="0059013C">
              <w:t>Increased number of people reporting improved mental health and wellbeing on TOPS.</w:t>
            </w:r>
          </w:p>
        </w:tc>
        <w:tc>
          <w:tcPr>
            <w:tcW w:w="319" w:type="pct"/>
          </w:tcPr>
          <w:p w:rsidR="00A21C31" w:rsidRPr="0059013C" w:rsidRDefault="00A21C31" w:rsidP="0059013C">
            <w:r w:rsidRPr="0059013C">
              <w:t>KPI 2</w:t>
            </w:r>
          </w:p>
        </w:tc>
        <w:tc>
          <w:tcPr>
            <w:tcW w:w="689" w:type="pct"/>
          </w:tcPr>
          <w:p w:rsidR="00A21C31" w:rsidRPr="0059013C" w:rsidRDefault="00A21C31" w:rsidP="0059013C">
            <w:r w:rsidRPr="0059013C">
              <w:t>Average psychological score increase at planned exit</w:t>
            </w:r>
          </w:p>
        </w:tc>
        <w:tc>
          <w:tcPr>
            <w:tcW w:w="610" w:type="pct"/>
          </w:tcPr>
          <w:p w:rsidR="00A21C31" w:rsidRPr="0059013C" w:rsidRDefault="00A21C31" w:rsidP="0059013C">
            <w:r w:rsidRPr="0059013C">
              <w:t>Adult Planned Exit Outcomes Report</w:t>
            </w:r>
          </w:p>
        </w:tc>
        <w:tc>
          <w:tcPr>
            <w:tcW w:w="1108" w:type="pct"/>
          </w:tcPr>
          <w:p w:rsidR="00A21C31" w:rsidRPr="0059013C" w:rsidRDefault="00A21C31" w:rsidP="0059013C">
            <w:r w:rsidRPr="0059013C">
              <w:t>Numerator: Sum of all psychological scores at TOP exit review</w:t>
            </w:r>
          </w:p>
          <w:p w:rsidR="00A21C31" w:rsidRPr="0059013C" w:rsidRDefault="00A21C31" w:rsidP="0059013C">
            <w:r w:rsidRPr="0059013C">
              <w:t>Denominator: Total number of TOP exit reviews</w:t>
            </w:r>
          </w:p>
          <w:p w:rsidR="00A21C31" w:rsidRPr="0059013C" w:rsidRDefault="00A21C31" w:rsidP="0059013C"/>
        </w:tc>
        <w:tc>
          <w:tcPr>
            <w:tcW w:w="809" w:type="pct"/>
          </w:tcPr>
          <w:p w:rsidR="00A21C31" w:rsidRPr="0059013C" w:rsidRDefault="00A21C31" w:rsidP="0059013C"/>
        </w:tc>
        <w:tc>
          <w:tcPr>
            <w:tcW w:w="404" w:type="pct"/>
          </w:tcPr>
          <w:p w:rsidR="00A21C31" w:rsidRPr="0059013C" w:rsidRDefault="00A21C31" w:rsidP="0059013C">
            <w:r w:rsidRPr="0059013C">
              <w:t>Increase average score by 5</w:t>
            </w:r>
          </w:p>
        </w:tc>
        <w:tc>
          <w:tcPr>
            <w:tcW w:w="467" w:type="pct"/>
          </w:tcPr>
          <w:p w:rsidR="00A21C31" w:rsidRPr="0059013C" w:rsidRDefault="00A21C31" w:rsidP="0059013C">
            <w:r>
              <w:t>Quarterly</w:t>
            </w:r>
          </w:p>
        </w:tc>
      </w:tr>
      <w:tr w:rsidR="00A21C31" w:rsidRPr="0059013C" w:rsidTr="00A21C31">
        <w:trPr>
          <w:cantSplit/>
        </w:trPr>
        <w:tc>
          <w:tcPr>
            <w:tcW w:w="595" w:type="pct"/>
          </w:tcPr>
          <w:p w:rsidR="00A21C31" w:rsidRPr="0059013C" w:rsidRDefault="00A21C31" w:rsidP="0059013C">
            <w:r w:rsidRPr="0059013C">
              <w:t>More people achieving a normative quality of life score in two TOP reviews in a 12 month period</w:t>
            </w:r>
          </w:p>
        </w:tc>
        <w:tc>
          <w:tcPr>
            <w:tcW w:w="319" w:type="pct"/>
          </w:tcPr>
          <w:p w:rsidR="00A21C31" w:rsidRPr="0059013C" w:rsidRDefault="00A21C31" w:rsidP="0059013C">
            <w:r w:rsidRPr="0059013C">
              <w:t>2a</w:t>
            </w:r>
          </w:p>
        </w:tc>
        <w:tc>
          <w:tcPr>
            <w:tcW w:w="689" w:type="pct"/>
          </w:tcPr>
          <w:p w:rsidR="00A21C31" w:rsidRPr="0059013C" w:rsidRDefault="00A21C31" w:rsidP="0059013C">
            <w:r w:rsidRPr="0059013C">
              <w:t>Average quality of life score increase at planned exit</w:t>
            </w:r>
          </w:p>
        </w:tc>
        <w:tc>
          <w:tcPr>
            <w:tcW w:w="610" w:type="pct"/>
          </w:tcPr>
          <w:p w:rsidR="00A21C31" w:rsidRPr="0059013C" w:rsidRDefault="00A21C31" w:rsidP="0059013C">
            <w:r w:rsidRPr="0059013C">
              <w:t>NDTMS Adult Planned Exit Outcomes Report Released quarterly Measured quarterly</w:t>
            </w:r>
          </w:p>
        </w:tc>
        <w:tc>
          <w:tcPr>
            <w:tcW w:w="1108" w:type="pct"/>
          </w:tcPr>
          <w:p w:rsidR="00A21C31" w:rsidRPr="0059013C" w:rsidRDefault="00A21C31" w:rsidP="0059013C">
            <w:r w:rsidRPr="0059013C">
              <w:t>Numerator: Sum of all quality of life scores from TOP reviews in 12 month period</w:t>
            </w:r>
          </w:p>
          <w:p w:rsidR="00A21C31" w:rsidRPr="0059013C" w:rsidRDefault="00A21C31" w:rsidP="0059013C">
            <w:r w:rsidRPr="0059013C">
              <w:t>Denominator: Total number of TOP reviews in 12 month period</w:t>
            </w:r>
          </w:p>
        </w:tc>
        <w:tc>
          <w:tcPr>
            <w:tcW w:w="809" w:type="pct"/>
          </w:tcPr>
          <w:p w:rsidR="00A21C31" w:rsidRPr="0059013C" w:rsidRDefault="00A21C31" w:rsidP="0059013C"/>
        </w:tc>
        <w:tc>
          <w:tcPr>
            <w:tcW w:w="404" w:type="pct"/>
          </w:tcPr>
          <w:p w:rsidR="00A21C31" w:rsidRPr="0059013C" w:rsidRDefault="00A21C31" w:rsidP="0059013C">
            <w:r w:rsidRPr="0059013C">
              <w:t>TBC</w:t>
            </w:r>
          </w:p>
        </w:tc>
        <w:tc>
          <w:tcPr>
            <w:tcW w:w="467" w:type="pct"/>
          </w:tcPr>
          <w:p w:rsidR="00A21C31" w:rsidRPr="0059013C" w:rsidRDefault="00A21C31" w:rsidP="0059013C">
            <w:r w:rsidRPr="00A21C31">
              <w:t>Quarterly</w:t>
            </w:r>
          </w:p>
        </w:tc>
      </w:tr>
      <w:tr w:rsidR="00A21C31" w:rsidRPr="0059013C" w:rsidTr="00A21C31">
        <w:trPr>
          <w:cantSplit/>
        </w:trPr>
        <w:tc>
          <w:tcPr>
            <w:tcW w:w="595" w:type="pct"/>
            <w:vMerge w:val="restart"/>
          </w:tcPr>
          <w:p w:rsidR="00A21C31" w:rsidRPr="0059013C" w:rsidRDefault="00A21C31" w:rsidP="0059013C">
            <w:r w:rsidRPr="0059013C">
              <w:lastRenderedPageBreak/>
              <w:t>Compliance with the national 3 week waiting times target</w:t>
            </w:r>
          </w:p>
          <w:p w:rsidR="00A21C31" w:rsidRPr="0059013C" w:rsidRDefault="00A21C31" w:rsidP="0059013C"/>
        </w:tc>
        <w:tc>
          <w:tcPr>
            <w:tcW w:w="319" w:type="pct"/>
          </w:tcPr>
          <w:p w:rsidR="00A21C31" w:rsidRPr="0059013C" w:rsidRDefault="00A21C31" w:rsidP="0059013C">
            <w:r w:rsidRPr="0059013C">
              <w:t>3a</w:t>
            </w:r>
          </w:p>
        </w:tc>
        <w:tc>
          <w:tcPr>
            <w:tcW w:w="689" w:type="pct"/>
          </w:tcPr>
          <w:p w:rsidR="00A21C31" w:rsidRPr="0059013C" w:rsidRDefault="00A21C31" w:rsidP="0059013C">
            <w:r w:rsidRPr="0059013C">
              <w:t>Proportion of first alcohol treatments occurring within 3 weeks</w:t>
            </w:r>
          </w:p>
        </w:tc>
        <w:tc>
          <w:tcPr>
            <w:tcW w:w="610" w:type="pct"/>
          </w:tcPr>
          <w:p w:rsidR="00A21C31" w:rsidRPr="0059013C" w:rsidRDefault="00A21C31" w:rsidP="0059013C">
            <w:r w:rsidRPr="0059013C">
              <w:t>NDTMS Adult Partnership Activity Report Released quarterly Measured quarterly</w:t>
            </w:r>
          </w:p>
        </w:tc>
        <w:tc>
          <w:tcPr>
            <w:tcW w:w="1108" w:type="pct"/>
          </w:tcPr>
          <w:p w:rsidR="00A21C31" w:rsidRPr="0059013C" w:rsidRDefault="00A21C31" w:rsidP="0059013C">
            <w:r w:rsidRPr="0059013C">
              <w:t>Numerator: Number of first alcohol treatments occurring within 3 weeks</w:t>
            </w:r>
          </w:p>
          <w:p w:rsidR="00A21C31" w:rsidRPr="0059013C" w:rsidRDefault="00A21C31" w:rsidP="0059013C">
            <w:r w:rsidRPr="0059013C">
              <w:t>Denominator: Number of first alcohol treatments</w:t>
            </w:r>
          </w:p>
        </w:tc>
        <w:tc>
          <w:tcPr>
            <w:tcW w:w="809" w:type="pct"/>
            <w:vMerge w:val="restart"/>
          </w:tcPr>
          <w:p w:rsidR="00A21C31" w:rsidRPr="0059013C" w:rsidRDefault="00A21C31" w:rsidP="0059013C">
            <w:r w:rsidRPr="0059013C">
              <w:t>Technical Definition % of first treatments occurring within 3 weeks (Assessment to Modality) Methodology is matched to PHE  which triggers once a modality start date is present and counts days between referral to modality and  first offered appointment  dates.</w:t>
            </w:r>
          </w:p>
        </w:tc>
        <w:tc>
          <w:tcPr>
            <w:tcW w:w="404" w:type="pct"/>
          </w:tcPr>
          <w:p w:rsidR="00A21C31" w:rsidRPr="0059013C" w:rsidRDefault="00A21C31" w:rsidP="0059013C">
            <w:r w:rsidRPr="0059013C">
              <w:t>100%</w:t>
            </w:r>
          </w:p>
        </w:tc>
        <w:tc>
          <w:tcPr>
            <w:tcW w:w="467" w:type="pct"/>
          </w:tcPr>
          <w:p w:rsidR="00A21C31" w:rsidRPr="0059013C" w:rsidRDefault="00A21C31" w:rsidP="0059013C">
            <w:r w:rsidRPr="00A21C31">
              <w:t>Quarterly</w:t>
            </w:r>
          </w:p>
        </w:tc>
      </w:tr>
      <w:tr w:rsidR="00A21C31" w:rsidRPr="0059013C" w:rsidTr="00A21C31">
        <w:trPr>
          <w:cantSplit/>
        </w:trPr>
        <w:tc>
          <w:tcPr>
            <w:tcW w:w="595" w:type="pct"/>
            <w:vMerge/>
          </w:tcPr>
          <w:p w:rsidR="00A21C31" w:rsidRPr="0059013C" w:rsidRDefault="00A21C31" w:rsidP="0059013C">
            <w:pPr>
              <w:rPr>
                <w:b/>
              </w:rPr>
            </w:pPr>
          </w:p>
        </w:tc>
        <w:tc>
          <w:tcPr>
            <w:tcW w:w="319" w:type="pct"/>
          </w:tcPr>
          <w:p w:rsidR="00A21C31" w:rsidRPr="0059013C" w:rsidRDefault="00A21C31" w:rsidP="0059013C">
            <w:r w:rsidRPr="0059013C">
              <w:t>3b</w:t>
            </w:r>
          </w:p>
        </w:tc>
        <w:tc>
          <w:tcPr>
            <w:tcW w:w="689" w:type="pct"/>
          </w:tcPr>
          <w:p w:rsidR="00A21C31" w:rsidRPr="0059013C" w:rsidRDefault="00A21C31" w:rsidP="0059013C">
            <w:r w:rsidRPr="0059013C">
              <w:t>Proportion of first drug treatments occurring within 3 weeks</w:t>
            </w:r>
          </w:p>
        </w:tc>
        <w:tc>
          <w:tcPr>
            <w:tcW w:w="610" w:type="pct"/>
          </w:tcPr>
          <w:p w:rsidR="00A21C31" w:rsidRPr="0059013C" w:rsidRDefault="00A21C31" w:rsidP="0059013C">
            <w:r w:rsidRPr="0059013C">
              <w:t>NDTMS Adult Partnership Activity Report Released quarterly Measured quarterly</w:t>
            </w:r>
          </w:p>
        </w:tc>
        <w:tc>
          <w:tcPr>
            <w:tcW w:w="1108" w:type="pct"/>
          </w:tcPr>
          <w:p w:rsidR="00A21C31" w:rsidRPr="0059013C" w:rsidRDefault="00A21C31" w:rsidP="0059013C">
            <w:r w:rsidRPr="0059013C">
              <w:t>Numerator: Number of first drug treatments occurring within 3 weeks</w:t>
            </w:r>
          </w:p>
          <w:p w:rsidR="00A21C31" w:rsidRPr="0059013C" w:rsidRDefault="00A21C31" w:rsidP="0059013C">
            <w:r w:rsidRPr="0059013C">
              <w:t>Denominator: Number of first drug treatments</w:t>
            </w:r>
          </w:p>
        </w:tc>
        <w:tc>
          <w:tcPr>
            <w:tcW w:w="809" w:type="pct"/>
            <w:vMerge/>
          </w:tcPr>
          <w:p w:rsidR="00A21C31" w:rsidRPr="0059013C" w:rsidRDefault="00A21C31" w:rsidP="0059013C"/>
        </w:tc>
        <w:tc>
          <w:tcPr>
            <w:tcW w:w="404" w:type="pct"/>
          </w:tcPr>
          <w:p w:rsidR="00A21C31" w:rsidRPr="0059013C" w:rsidRDefault="004A7BE3" w:rsidP="0059013C">
            <w:r>
              <w:t>TBC</w:t>
            </w:r>
          </w:p>
        </w:tc>
        <w:tc>
          <w:tcPr>
            <w:tcW w:w="467" w:type="pct"/>
          </w:tcPr>
          <w:p w:rsidR="00A21C31" w:rsidRPr="0059013C" w:rsidRDefault="00A21C31" w:rsidP="0059013C">
            <w:r w:rsidRPr="00A21C31">
              <w:t>Quarterly</w:t>
            </w:r>
          </w:p>
        </w:tc>
      </w:tr>
      <w:tr w:rsidR="00A21C31" w:rsidRPr="0059013C" w:rsidTr="00A21C31">
        <w:trPr>
          <w:cantSplit/>
        </w:trPr>
        <w:tc>
          <w:tcPr>
            <w:tcW w:w="595" w:type="pct"/>
            <w:vMerge w:val="restart"/>
          </w:tcPr>
          <w:p w:rsidR="00A21C31" w:rsidRPr="0059013C" w:rsidRDefault="00A21C31" w:rsidP="0059013C">
            <w:r w:rsidRPr="0059013C">
              <w:t>Increase the number of people entering employment, education or training</w:t>
            </w:r>
          </w:p>
        </w:tc>
        <w:tc>
          <w:tcPr>
            <w:tcW w:w="319" w:type="pct"/>
          </w:tcPr>
          <w:p w:rsidR="00A21C31" w:rsidRPr="0059013C" w:rsidRDefault="00A21C31" w:rsidP="0059013C">
            <w:r w:rsidRPr="0059013C">
              <w:t>4a</w:t>
            </w:r>
          </w:p>
        </w:tc>
        <w:tc>
          <w:tcPr>
            <w:tcW w:w="689" w:type="pct"/>
          </w:tcPr>
          <w:p w:rsidR="00A21C31" w:rsidRPr="0059013C" w:rsidRDefault="00A21C31" w:rsidP="0059013C">
            <w:r w:rsidRPr="0059013C">
              <w:t>Proportion of service users in work at treatment exit</w:t>
            </w:r>
          </w:p>
        </w:tc>
        <w:tc>
          <w:tcPr>
            <w:tcW w:w="610" w:type="pct"/>
          </w:tcPr>
          <w:p w:rsidR="00A21C31" w:rsidRPr="0059013C" w:rsidRDefault="00A21C31" w:rsidP="0059013C">
            <w:r w:rsidRPr="0059013C">
              <w:t>NDTMS   Adult Planned Exit outcomes report - exits released quarterly   measured quarterly</w:t>
            </w:r>
          </w:p>
        </w:tc>
        <w:tc>
          <w:tcPr>
            <w:tcW w:w="1108" w:type="pct"/>
          </w:tcPr>
          <w:p w:rsidR="00A21C31" w:rsidRPr="0059013C" w:rsidRDefault="00A21C31" w:rsidP="0059013C">
            <w:r w:rsidRPr="0059013C">
              <w:t>Numerator: Number of service users who were not in work at start of treatment who have been in paid work for more than ten days at treatment exit</w:t>
            </w:r>
          </w:p>
          <w:p w:rsidR="00A21C31" w:rsidRPr="0059013C" w:rsidRDefault="00A21C31" w:rsidP="0059013C">
            <w:r w:rsidRPr="0059013C">
              <w:t>Denominator: Number of service users</w:t>
            </w:r>
          </w:p>
        </w:tc>
        <w:tc>
          <w:tcPr>
            <w:tcW w:w="809" w:type="pct"/>
          </w:tcPr>
          <w:p w:rsidR="00A21C31" w:rsidRPr="0059013C" w:rsidRDefault="00A21C31" w:rsidP="0059013C"/>
        </w:tc>
        <w:tc>
          <w:tcPr>
            <w:tcW w:w="404" w:type="pct"/>
          </w:tcPr>
          <w:p w:rsidR="00A21C31" w:rsidRPr="0059013C" w:rsidRDefault="00A21C31" w:rsidP="0059013C">
            <w:r w:rsidRPr="0059013C">
              <w:t>TBC</w:t>
            </w:r>
          </w:p>
        </w:tc>
        <w:tc>
          <w:tcPr>
            <w:tcW w:w="467" w:type="pct"/>
          </w:tcPr>
          <w:p w:rsidR="00A21C31" w:rsidRPr="0059013C" w:rsidRDefault="00A21C31" w:rsidP="0059013C">
            <w:r w:rsidRPr="00A21C31">
              <w:t>Quarterly</w:t>
            </w:r>
          </w:p>
        </w:tc>
      </w:tr>
      <w:tr w:rsidR="00A21C31" w:rsidRPr="0059013C" w:rsidTr="00A21C31">
        <w:trPr>
          <w:cantSplit/>
        </w:trPr>
        <w:tc>
          <w:tcPr>
            <w:tcW w:w="595" w:type="pct"/>
            <w:vMerge/>
          </w:tcPr>
          <w:p w:rsidR="00A21C31" w:rsidRPr="0059013C" w:rsidRDefault="00A21C31" w:rsidP="0059013C">
            <w:pPr>
              <w:rPr>
                <w:b/>
              </w:rPr>
            </w:pPr>
          </w:p>
        </w:tc>
        <w:tc>
          <w:tcPr>
            <w:tcW w:w="319" w:type="pct"/>
          </w:tcPr>
          <w:p w:rsidR="00A21C31" w:rsidRPr="0059013C" w:rsidRDefault="00A21C31" w:rsidP="0059013C">
            <w:r w:rsidRPr="0059013C">
              <w:t>4b</w:t>
            </w:r>
          </w:p>
        </w:tc>
        <w:tc>
          <w:tcPr>
            <w:tcW w:w="689" w:type="pct"/>
          </w:tcPr>
          <w:p w:rsidR="00A21C31" w:rsidRPr="0059013C" w:rsidRDefault="00A21C31" w:rsidP="0059013C">
            <w:r w:rsidRPr="0059013C">
              <w:t>Proportion of service users in education or training at treatment exit</w:t>
            </w:r>
          </w:p>
        </w:tc>
        <w:tc>
          <w:tcPr>
            <w:tcW w:w="610" w:type="pct"/>
          </w:tcPr>
          <w:p w:rsidR="00A21C31" w:rsidRPr="0059013C" w:rsidRDefault="00A21C31" w:rsidP="0059013C">
            <w:r w:rsidRPr="0059013C">
              <w:t>NDTMS   Adult Planned Exit outcomes report - exits released quarterly   measured quarterly</w:t>
            </w:r>
          </w:p>
        </w:tc>
        <w:tc>
          <w:tcPr>
            <w:tcW w:w="1108" w:type="pct"/>
          </w:tcPr>
          <w:p w:rsidR="00A21C31" w:rsidRPr="0059013C" w:rsidRDefault="00A21C31" w:rsidP="0059013C">
            <w:r w:rsidRPr="0059013C">
              <w:t>Numerator: Number of service users who were not engaged with education at treatment start, stated engaged with education on treatment exit</w:t>
            </w:r>
          </w:p>
          <w:p w:rsidR="00A21C31" w:rsidRPr="0059013C" w:rsidRDefault="00A21C31" w:rsidP="0059013C">
            <w:r w:rsidRPr="0059013C">
              <w:t>Denominator: Number of service users</w:t>
            </w:r>
          </w:p>
        </w:tc>
        <w:tc>
          <w:tcPr>
            <w:tcW w:w="809" w:type="pct"/>
          </w:tcPr>
          <w:p w:rsidR="00A21C31" w:rsidRPr="0059013C" w:rsidRDefault="00A21C31" w:rsidP="0059013C"/>
        </w:tc>
        <w:tc>
          <w:tcPr>
            <w:tcW w:w="404" w:type="pct"/>
          </w:tcPr>
          <w:p w:rsidR="00A21C31" w:rsidRPr="0059013C" w:rsidRDefault="00A21C31" w:rsidP="0059013C">
            <w:r w:rsidRPr="0059013C">
              <w:t>TBC</w:t>
            </w:r>
          </w:p>
        </w:tc>
        <w:tc>
          <w:tcPr>
            <w:tcW w:w="467" w:type="pct"/>
          </w:tcPr>
          <w:p w:rsidR="00A21C31" w:rsidRPr="0059013C" w:rsidRDefault="00A21C31" w:rsidP="0059013C">
            <w:r w:rsidRPr="00A21C31">
              <w:t>Quarterly</w:t>
            </w:r>
          </w:p>
        </w:tc>
      </w:tr>
      <w:tr w:rsidR="00A21C31" w:rsidRPr="0059013C" w:rsidTr="00A21C31">
        <w:trPr>
          <w:cantSplit/>
        </w:trPr>
        <w:tc>
          <w:tcPr>
            <w:tcW w:w="595" w:type="pct"/>
          </w:tcPr>
          <w:p w:rsidR="00A21C31" w:rsidRPr="0059013C" w:rsidRDefault="00A21C31" w:rsidP="0059013C">
            <w:r w:rsidRPr="0059013C">
              <w:lastRenderedPageBreak/>
              <w:t>Increase in proportion of people abstinent from all presenting substances on TOP exit</w:t>
            </w:r>
          </w:p>
        </w:tc>
        <w:tc>
          <w:tcPr>
            <w:tcW w:w="319" w:type="pct"/>
          </w:tcPr>
          <w:p w:rsidR="00A21C31" w:rsidRPr="0059013C" w:rsidRDefault="00A21C31" w:rsidP="0059013C">
            <w:r w:rsidRPr="0059013C">
              <w:t>5a – 5f</w:t>
            </w:r>
          </w:p>
        </w:tc>
        <w:tc>
          <w:tcPr>
            <w:tcW w:w="689" w:type="pct"/>
          </w:tcPr>
          <w:p w:rsidR="00A21C31" w:rsidRPr="0059013C" w:rsidRDefault="00A21C31" w:rsidP="0059013C">
            <w:r w:rsidRPr="0059013C">
              <w:t>Proportion achieving abstinence at treatment exit, broken down by  Opiate, Crack, Cocaine, Amphetamines, Cannabis and Alcohol</w:t>
            </w:r>
          </w:p>
        </w:tc>
        <w:tc>
          <w:tcPr>
            <w:tcW w:w="610" w:type="pct"/>
          </w:tcPr>
          <w:p w:rsidR="00A21C31" w:rsidRPr="0059013C" w:rsidRDefault="00A21C31" w:rsidP="0059013C">
            <w:r w:rsidRPr="0059013C">
              <w:t>NDTMS Adult Exit Outcomes report Released quarterly Measured quarterly</w:t>
            </w:r>
          </w:p>
        </w:tc>
        <w:tc>
          <w:tcPr>
            <w:tcW w:w="1108" w:type="pct"/>
          </w:tcPr>
          <w:p w:rsidR="00A21C31" w:rsidRPr="0059013C" w:rsidRDefault="00A21C31" w:rsidP="0059013C">
            <w:r w:rsidRPr="0059013C">
              <w:t>Numerator: Number of (e.g. opiate) using service users abstinent at treatment exit</w:t>
            </w:r>
          </w:p>
          <w:p w:rsidR="00A21C31" w:rsidRPr="0059013C" w:rsidRDefault="00A21C31" w:rsidP="0059013C">
            <w:r w:rsidRPr="0059013C">
              <w:t>Denominator: Number of (e.g. opiate) service users at treatment exit</w:t>
            </w:r>
          </w:p>
        </w:tc>
        <w:tc>
          <w:tcPr>
            <w:tcW w:w="809" w:type="pct"/>
          </w:tcPr>
          <w:p w:rsidR="00A21C31" w:rsidRPr="0059013C" w:rsidRDefault="00A21C31" w:rsidP="0059013C">
            <w:r w:rsidRPr="0059013C">
              <w:t>Opiate target 100%</w:t>
            </w:r>
          </w:p>
          <w:p w:rsidR="00A21C31" w:rsidRPr="0059013C" w:rsidRDefault="00A21C31" w:rsidP="0059013C">
            <w:r w:rsidRPr="0059013C">
              <w:t>Activity 100%</w:t>
            </w:r>
          </w:p>
          <w:p w:rsidR="00A21C31" w:rsidRPr="0059013C" w:rsidRDefault="00A21C31" w:rsidP="0059013C">
            <w:r w:rsidRPr="0059013C">
              <w:t>Crack: target 100%</w:t>
            </w:r>
          </w:p>
          <w:p w:rsidR="00A21C31" w:rsidRPr="0059013C" w:rsidRDefault="00A21C31" w:rsidP="0059013C">
            <w:r w:rsidRPr="0059013C">
              <w:t>Activity 100%</w:t>
            </w:r>
          </w:p>
          <w:p w:rsidR="00A21C31" w:rsidRPr="0059013C" w:rsidRDefault="00A21C31" w:rsidP="0059013C"/>
        </w:tc>
        <w:tc>
          <w:tcPr>
            <w:tcW w:w="404" w:type="pct"/>
          </w:tcPr>
          <w:p w:rsidR="00A21C31" w:rsidRPr="0059013C" w:rsidRDefault="00A21C31" w:rsidP="0059013C">
            <w:r w:rsidRPr="0059013C">
              <w:t>TBC</w:t>
            </w:r>
          </w:p>
        </w:tc>
        <w:tc>
          <w:tcPr>
            <w:tcW w:w="467" w:type="pct"/>
          </w:tcPr>
          <w:p w:rsidR="00A21C31" w:rsidRPr="0059013C" w:rsidRDefault="00A21C31" w:rsidP="0059013C">
            <w:r w:rsidRPr="00A21C31">
              <w:t>Quarterly</w:t>
            </w:r>
          </w:p>
        </w:tc>
      </w:tr>
      <w:tr w:rsidR="00A21C31" w:rsidRPr="0059013C" w:rsidTr="00A21C31">
        <w:trPr>
          <w:cantSplit/>
        </w:trPr>
        <w:tc>
          <w:tcPr>
            <w:tcW w:w="595" w:type="pct"/>
            <w:vMerge w:val="restart"/>
          </w:tcPr>
          <w:p w:rsidR="00A21C31" w:rsidRPr="0059013C" w:rsidRDefault="00A21C31" w:rsidP="0059013C">
            <w:r w:rsidRPr="0059013C">
              <w:t>Increase proportion of people exiting the treatment system free from dependence on drugs / alcohol</w:t>
            </w:r>
          </w:p>
        </w:tc>
        <w:tc>
          <w:tcPr>
            <w:tcW w:w="319" w:type="pct"/>
          </w:tcPr>
          <w:p w:rsidR="00A21C31" w:rsidRPr="0059013C" w:rsidRDefault="00A21C31" w:rsidP="0059013C">
            <w:r w:rsidRPr="0059013C">
              <w:t>6a</w:t>
            </w:r>
          </w:p>
        </w:tc>
        <w:tc>
          <w:tcPr>
            <w:tcW w:w="689" w:type="pct"/>
          </w:tcPr>
          <w:p w:rsidR="00A21C31" w:rsidRPr="0059013C" w:rsidRDefault="00A21C31" w:rsidP="0059013C">
            <w:r w:rsidRPr="0059013C">
              <w:t>Proportion of  opiate service users exiting the treatment system not dependent on drugs</w:t>
            </w:r>
          </w:p>
        </w:tc>
        <w:tc>
          <w:tcPr>
            <w:tcW w:w="610" w:type="pct"/>
            <w:vMerge w:val="restart"/>
          </w:tcPr>
          <w:p w:rsidR="00A21C31" w:rsidRPr="0059013C" w:rsidRDefault="00A21C31" w:rsidP="0059013C">
            <w:r w:rsidRPr="0059013C">
              <w:t xml:space="preserve">NDTMS Monthly partnership successful completions and re-presentations report (Successful completions) Released monthly Treatment exit trend data Measured year </w:t>
            </w:r>
            <w:r w:rsidRPr="0059013C">
              <w:lastRenderedPageBreak/>
              <w:t>to date</w:t>
            </w:r>
          </w:p>
        </w:tc>
        <w:tc>
          <w:tcPr>
            <w:tcW w:w="1108" w:type="pct"/>
          </w:tcPr>
          <w:p w:rsidR="00A21C31" w:rsidRPr="0059013C" w:rsidRDefault="00A21C31" w:rsidP="0059013C">
            <w:r w:rsidRPr="0059013C">
              <w:lastRenderedPageBreak/>
              <w:t>Numerator: Number of opiate service users exiting the service not dependent on drugs</w:t>
            </w:r>
          </w:p>
          <w:p w:rsidR="00A21C31" w:rsidRPr="0059013C" w:rsidRDefault="00A21C31" w:rsidP="0059013C">
            <w:r w:rsidRPr="0059013C">
              <w:t>Denominator: Number of opiate service users exiting the service</w:t>
            </w:r>
          </w:p>
        </w:tc>
        <w:tc>
          <w:tcPr>
            <w:tcW w:w="809" w:type="pct"/>
          </w:tcPr>
          <w:p w:rsidR="00A21C31" w:rsidRPr="0059013C" w:rsidRDefault="00A21C31" w:rsidP="0059013C"/>
        </w:tc>
        <w:tc>
          <w:tcPr>
            <w:tcW w:w="404" w:type="pct"/>
          </w:tcPr>
          <w:p w:rsidR="00A21C31" w:rsidRPr="0059013C" w:rsidRDefault="00A21C31" w:rsidP="0059013C">
            <w:r w:rsidRPr="0059013C">
              <w:t>TBC</w:t>
            </w:r>
          </w:p>
        </w:tc>
        <w:tc>
          <w:tcPr>
            <w:tcW w:w="467" w:type="pct"/>
          </w:tcPr>
          <w:p w:rsidR="00A21C31" w:rsidRPr="0059013C" w:rsidRDefault="00A21C31" w:rsidP="0059013C">
            <w:r w:rsidRPr="00A21C31">
              <w:t>Quarterly</w:t>
            </w:r>
          </w:p>
        </w:tc>
      </w:tr>
      <w:tr w:rsidR="00A21C31" w:rsidRPr="0059013C" w:rsidTr="00A21C31">
        <w:trPr>
          <w:cantSplit/>
        </w:trPr>
        <w:tc>
          <w:tcPr>
            <w:tcW w:w="595" w:type="pct"/>
            <w:vMerge/>
          </w:tcPr>
          <w:p w:rsidR="00A21C31" w:rsidRPr="0059013C" w:rsidRDefault="00A21C31" w:rsidP="0059013C"/>
        </w:tc>
        <w:tc>
          <w:tcPr>
            <w:tcW w:w="319" w:type="pct"/>
          </w:tcPr>
          <w:p w:rsidR="00A21C31" w:rsidRPr="0059013C" w:rsidRDefault="00A21C31" w:rsidP="0059013C">
            <w:r w:rsidRPr="0059013C">
              <w:t>6b</w:t>
            </w:r>
          </w:p>
        </w:tc>
        <w:tc>
          <w:tcPr>
            <w:tcW w:w="689" w:type="pct"/>
          </w:tcPr>
          <w:p w:rsidR="00A21C31" w:rsidRPr="0059013C" w:rsidRDefault="00A21C31" w:rsidP="0059013C">
            <w:r w:rsidRPr="0059013C">
              <w:t>Proportion of  non-opiate service users exiting the treatment system not dependent on drugs</w:t>
            </w:r>
          </w:p>
        </w:tc>
        <w:tc>
          <w:tcPr>
            <w:tcW w:w="610" w:type="pct"/>
            <w:vMerge/>
          </w:tcPr>
          <w:p w:rsidR="00A21C31" w:rsidRPr="0059013C" w:rsidRDefault="00A21C31" w:rsidP="0059013C"/>
        </w:tc>
        <w:tc>
          <w:tcPr>
            <w:tcW w:w="1108" w:type="pct"/>
          </w:tcPr>
          <w:p w:rsidR="00A21C31" w:rsidRPr="0059013C" w:rsidRDefault="00A21C31" w:rsidP="0059013C">
            <w:r w:rsidRPr="0059013C">
              <w:t>Numerator: Number of non-opiate service users exiting the service not dependent on drugs</w:t>
            </w:r>
          </w:p>
          <w:p w:rsidR="00A21C31" w:rsidRPr="0059013C" w:rsidRDefault="00A21C31" w:rsidP="0059013C">
            <w:r w:rsidRPr="0059013C">
              <w:t>Denominator: Number of non-opiate service users exiting the service</w:t>
            </w:r>
          </w:p>
        </w:tc>
        <w:tc>
          <w:tcPr>
            <w:tcW w:w="809" w:type="pct"/>
          </w:tcPr>
          <w:p w:rsidR="00A21C31" w:rsidRPr="0059013C" w:rsidRDefault="00A21C31" w:rsidP="0059013C"/>
        </w:tc>
        <w:tc>
          <w:tcPr>
            <w:tcW w:w="404" w:type="pct"/>
          </w:tcPr>
          <w:p w:rsidR="00A21C31" w:rsidRPr="0059013C" w:rsidRDefault="00A21C31" w:rsidP="0059013C">
            <w:r w:rsidRPr="0059013C">
              <w:t>TBC</w:t>
            </w:r>
          </w:p>
        </w:tc>
        <w:tc>
          <w:tcPr>
            <w:tcW w:w="467" w:type="pct"/>
          </w:tcPr>
          <w:p w:rsidR="00A21C31" w:rsidRPr="0059013C" w:rsidRDefault="00A21C31" w:rsidP="0059013C">
            <w:r w:rsidRPr="00A21C31">
              <w:t>Quarterly</w:t>
            </w:r>
          </w:p>
        </w:tc>
      </w:tr>
      <w:tr w:rsidR="00A21C31" w:rsidRPr="0059013C" w:rsidTr="00A21C31">
        <w:trPr>
          <w:cantSplit/>
        </w:trPr>
        <w:tc>
          <w:tcPr>
            <w:tcW w:w="595" w:type="pct"/>
            <w:vMerge/>
          </w:tcPr>
          <w:p w:rsidR="00A21C31" w:rsidRPr="0059013C" w:rsidRDefault="00A21C31" w:rsidP="0059013C"/>
        </w:tc>
        <w:tc>
          <w:tcPr>
            <w:tcW w:w="319" w:type="pct"/>
          </w:tcPr>
          <w:p w:rsidR="00A21C31" w:rsidRPr="0059013C" w:rsidRDefault="00A21C31" w:rsidP="0059013C">
            <w:r w:rsidRPr="0059013C">
              <w:t>6c</w:t>
            </w:r>
          </w:p>
        </w:tc>
        <w:tc>
          <w:tcPr>
            <w:tcW w:w="689" w:type="pct"/>
          </w:tcPr>
          <w:p w:rsidR="00A21C31" w:rsidRPr="0059013C" w:rsidRDefault="00A21C31" w:rsidP="0059013C">
            <w:r w:rsidRPr="0059013C">
              <w:t>Proportion of  alcohol clients exiting the treatment system not dependent on alcohol</w:t>
            </w:r>
          </w:p>
        </w:tc>
        <w:tc>
          <w:tcPr>
            <w:tcW w:w="610" w:type="pct"/>
            <w:vMerge/>
          </w:tcPr>
          <w:p w:rsidR="00A21C31" w:rsidRPr="0059013C" w:rsidRDefault="00A21C31" w:rsidP="0059013C"/>
        </w:tc>
        <w:tc>
          <w:tcPr>
            <w:tcW w:w="1108" w:type="pct"/>
          </w:tcPr>
          <w:p w:rsidR="00A21C31" w:rsidRPr="0059013C" w:rsidRDefault="00A21C31" w:rsidP="0059013C">
            <w:r w:rsidRPr="0059013C">
              <w:t>Numerator: Number of alcohol service users exiting the service not dependent on alcohol</w:t>
            </w:r>
          </w:p>
          <w:p w:rsidR="00A21C31" w:rsidRPr="0059013C" w:rsidRDefault="00A21C31" w:rsidP="0059013C">
            <w:r w:rsidRPr="0059013C">
              <w:t>Denominator: Number of alcohol service users exiting the service</w:t>
            </w:r>
          </w:p>
        </w:tc>
        <w:tc>
          <w:tcPr>
            <w:tcW w:w="809" w:type="pct"/>
          </w:tcPr>
          <w:p w:rsidR="00A21C31" w:rsidRPr="0059013C" w:rsidRDefault="00A21C31" w:rsidP="0059013C"/>
        </w:tc>
        <w:tc>
          <w:tcPr>
            <w:tcW w:w="404" w:type="pct"/>
          </w:tcPr>
          <w:p w:rsidR="00A21C31" w:rsidRPr="0059013C" w:rsidRDefault="00A21C31" w:rsidP="0059013C">
            <w:r w:rsidRPr="0059013C">
              <w:t>TBC</w:t>
            </w:r>
          </w:p>
        </w:tc>
        <w:tc>
          <w:tcPr>
            <w:tcW w:w="467" w:type="pct"/>
          </w:tcPr>
          <w:p w:rsidR="00A21C31" w:rsidRPr="0059013C" w:rsidRDefault="00A21C31" w:rsidP="0059013C">
            <w:r w:rsidRPr="00A21C31">
              <w:t>Quarterly</w:t>
            </w:r>
          </w:p>
        </w:tc>
      </w:tr>
      <w:tr w:rsidR="00A21C31" w:rsidRPr="0059013C" w:rsidTr="00A21C31">
        <w:trPr>
          <w:cantSplit/>
        </w:trPr>
        <w:tc>
          <w:tcPr>
            <w:tcW w:w="595" w:type="pct"/>
            <w:vMerge w:val="restart"/>
          </w:tcPr>
          <w:p w:rsidR="00A21C31" w:rsidRPr="0059013C" w:rsidRDefault="00A21C31" w:rsidP="0059013C">
            <w:r w:rsidRPr="0059013C">
              <w:lastRenderedPageBreak/>
              <w:t>Increase proportion of successful completions</w:t>
            </w:r>
          </w:p>
        </w:tc>
        <w:tc>
          <w:tcPr>
            <w:tcW w:w="319" w:type="pct"/>
          </w:tcPr>
          <w:p w:rsidR="00A21C31" w:rsidRPr="0059013C" w:rsidRDefault="00A21C31" w:rsidP="0059013C">
            <w:r w:rsidRPr="0059013C">
              <w:t>KPI 7a</w:t>
            </w:r>
          </w:p>
        </w:tc>
        <w:tc>
          <w:tcPr>
            <w:tcW w:w="689" w:type="pct"/>
          </w:tcPr>
          <w:p w:rsidR="00A21C31" w:rsidRPr="0059013C" w:rsidRDefault="00A21C31" w:rsidP="0059013C">
            <w:r w:rsidRPr="0059013C">
              <w:t>Proportion of successful completions for opiate service users</w:t>
            </w:r>
          </w:p>
        </w:tc>
        <w:tc>
          <w:tcPr>
            <w:tcW w:w="610" w:type="pct"/>
            <w:vMerge w:val="restart"/>
          </w:tcPr>
          <w:p w:rsidR="00A21C31" w:rsidRPr="0059013C" w:rsidRDefault="00A21C31" w:rsidP="0059013C">
            <w:r w:rsidRPr="0059013C">
              <w:t>NDTMS</w:t>
            </w:r>
          </w:p>
          <w:p w:rsidR="00A21C31" w:rsidRPr="0059013C" w:rsidRDefault="00A21C31" w:rsidP="0059013C">
            <w:r w:rsidRPr="0059013C">
              <w:t>Monthly partnership successful completions report</w:t>
            </w:r>
          </w:p>
          <w:p w:rsidR="00A21C31" w:rsidRPr="0059013C" w:rsidRDefault="00A21C31" w:rsidP="0059013C">
            <w:r w:rsidRPr="0059013C">
              <w:t>Released monthly</w:t>
            </w:r>
          </w:p>
          <w:p w:rsidR="00A21C31" w:rsidRPr="0059013C" w:rsidRDefault="00A21C31" w:rsidP="0059013C">
            <w:r w:rsidRPr="0059013C">
              <w:t>Measured over rolling 12 month period</w:t>
            </w:r>
          </w:p>
        </w:tc>
        <w:tc>
          <w:tcPr>
            <w:tcW w:w="1108" w:type="pct"/>
          </w:tcPr>
          <w:p w:rsidR="00A21C31" w:rsidRPr="0059013C" w:rsidRDefault="00A21C31" w:rsidP="0059013C">
            <w:r w:rsidRPr="0059013C">
              <w:t>Numerator: Number of successful completions for opiate service users</w:t>
            </w:r>
          </w:p>
          <w:p w:rsidR="00A21C31" w:rsidRPr="0059013C" w:rsidRDefault="00A21C31" w:rsidP="0059013C">
            <w:r w:rsidRPr="0059013C">
              <w:t>Denominator: Number of opiate service users in treatment</w:t>
            </w:r>
          </w:p>
        </w:tc>
        <w:tc>
          <w:tcPr>
            <w:tcW w:w="809" w:type="pct"/>
          </w:tcPr>
          <w:p w:rsidR="00A21C31" w:rsidRPr="0059013C" w:rsidRDefault="00A21C31" w:rsidP="0059013C"/>
        </w:tc>
        <w:tc>
          <w:tcPr>
            <w:tcW w:w="404" w:type="pct"/>
          </w:tcPr>
          <w:p w:rsidR="00A21C31" w:rsidRPr="0059013C" w:rsidRDefault="00A21C31" w:rsidP="0059013C">
            <w:r w:rsidRPr="0059013C">
              <w:t>TBC</w:t>
            </w:r>
          </w:p>
        </w:tc>
        <w:tc>
          <w:tcPr>
            <w:tcW w:w="467" w:type="pct"/>
          </w:tcPr>
          <w:p w:rsidR="00A21C31" w:rsidRPr="0059013C" w:rsidRDefault="00A21C31" w:rsidP="0059013C">
            <w:r w:rsidRPr="00A21C31">
              <w:t>Quarterly</w:t>
            </w:r>
          </w:p>
        </w:tc>
      </w:tr>
      <w:tr w:rsidR="00A21C31" w:rsidRPr="0059013C" w:rsidTr="00A21C31">
        <w:trPr>
          <w:cantSplit/>
        </w:trPr>
        <w:tc>
          <w:tcPr>
            <w:tcW w:w="595" w:type="pct"/>
            <w:vMerge/>
          </w:tcPr>
          <w:p w:rsidR="00A21C31" w:rsidRPr="0059013C" w:rsidRDefault="00A21C31" w:rsidP="0059013C"/>
        </w:tc>
        <w:tc>
          <w:tcPr>
            <w:tcW w:w="319" w:type="pct"/>
          </w:tcPr>
          <w:p w:rsidR="00A21C31" w:rsidRPr="0059013C" w:rsidRDefault="00A21C31" w:rsidP="0059013C">
            <w:r w:rsidRPr="0059013C">
              <w:t>KPI 7b</w:t>
            </w:r>
          </w:p>
        </w:tc>
        <w:tc>
          <w:tcPr>
            <w:tcW w:w="689" w:type="pct"/>
          </w:tcPr>
          <w:p w:rsidR="00A21C31" w:rsidRPr="0059013C" w:rsidRDefault="00A21C31" w:rsidP="0059013C">
            <w:r w:rsidRPr="0059013C">
              <w:t>Proportion of successful completions for non-opiate service users</w:t>
            </w:r>
          </w:p>
        </w:tc>
        <w:tc>
          <w:tcPr>
            <w:tcW w:w="610" w:type="pct"/>
            <w:vMerge/>
          </w:tcPr>
          <w:p w:rsidR="00A21C31" w:rsidRPr="0059013C" w:rsidRDefault="00A21C31" w:rsidP="0059013C"/>
        </w:tc>
        <w:tc>
          <w:tcPr>
            <w:tcW w:w="1108" w:type="pct"/>
          </w:tcPr>
          <w:p w:rsidR="00A21C31" w:rsidRPr="0059013C" w:rsidRDefault="00A21C31" w:rsidP="0059013C">
            <w:r w:rsidRPr="0059013C">
              <w:t>Numerator: Number of successful completions for non-opiate service users</w:t>
            </w:r>
          </w:p>
          <w:p w:rsidR="00A21C31" w:rsidRPr="0059013C" w:rsidRDefault="00A21C31" w:rsidP="0059013C">
            <w:r w:rsidRPr="0059013C">
              <w:t>Denominator: Number of non-opiate service users in treatment</w:t>
            </w:r>
          </w:p>
        </w:tc>
        <w:tc>
          <w:tcPr>
            <w:tcW w:w="809" w:type="pct"/>
          </w:tcPr>
          <w:p w:rsidR="00A21C31" w:rsidRPr="0059013C" w:rsidRDefault="00A21C31" w:rsidP="0059013C"/>
        </w:tc>
        <w:tc>
          <w:tcPr>
            <w:tcW w:w="404" w:type="pct"/>
          </w:tcPr>
          <w:p w:rsidR="00A21C31" w:rsidRPr="0059013C" w:rsidRDefault="00A21C31" w:rsidP="0059013C">
            <w:r w:rsidRPr="0059013C">
              <w:t>TBC</w:t>
            </w:r>
          </w:p>
        </w:tc>
        <w:tc>
          <w:tcPr>
            <w:tcW w:w="467" w:type="pct"/>
          </w:tcPr>
          <w:p w:rsidR="00A21C31" w:rsidRPr="0059013C" w:rsidRDefault="00A21C31" w:rsidP="0059013C">
            <w:r w:rsidRPr="00A21C31">
              <w:t>Quarterly</w:t>
            </w:r>
          </w:p>
        </w:tc>
      </w:tr>
      <w:tr w:rsidR="00A21C31" w:rsidRPr="0059013C" w:rsidTr="00A21C31">
        <w:trPr>
          <w:cantSplit/>
        </w:trPr>
        <w:tc>
          <w:tcPr>
            <w:tcW w:w="595" w:type="pct"/>
            <w:vMerge/>
          </w:tcPr>
          <w:p w:rsidR="00A21C31" w:rsidRPr="0059013C" w:rsidRDefault="00A21C31" w:rsidP="0059013C"/>
        </w:tc>
        <w:tc>
          <w:tcPr>
            <w:tcW w:w="319" w:type="pct"/>
          </w:tcPr>
          <w:p w:rsidR="00A21C31" w:rsidRPr="0059013C" w:rsidRDefault="00A21C31" w:rsidP="0059013C">
            <w:r w:rsidRPr="0059013C">
              <w:t>KPI 8c</w:t>
            </w:r>
          </w:p>
        </w:tc>
        <w:tc>
          <w:tcPr>
            <w:tcW w:w="689" w:type="pct"/>
          </w:tcPr>
          <w:p w:rsidR="00A21C31" w:rsidRPr="0059013C" w:rsidRDefault="00A21C31" w:rsidP="0059013C">
            <w:r w:rsidRPr="0059013C">
              <w:t>Proportion of successful completions for alcohol service users</w:t>
            </w:r>
          </w:p>
        </w:tc>
        <w:tc>
          <w:tcPr>
            <w:tcW w:w="610" w:type="pct"/>
            <w:vMerge/>
          </w:tcPr>
          <w:p w:rsidR="00A21C31" w:rsidRPr="0059013C" w:rsidRDefault="00A21C31" w:rsidP="0059013C"/>
        </w:tc>
        <w:tc>
          <w:tcPr>
            <w:tcW w:w="1108" w:type="pct"/>
          </w:tcPr>
          <w:p w:rsidR="00A21C31" w:rsidRPr="0059013C" w:rsidRDefault="00A21C31" w:rsidP="0059013C">
            <w:r w:rsidRPr="0059013C">
              <w:t>Numerator: Number of successful completions for alcohol service users</w:t>
            </w:r>
          </w:p>
          <w:p w:rsidR="00A21C31" w:rsidRPr="0059013C" w:rsidRDefault="00A21C31" w:rsidP="0059013C">
            <w:r w:rsidRPr="0059013C">
              <w:t>Denominator: Number of alcohol service users in treatment</w:t>
            </w:r>
          </w:p>
        </w:tc>
        <w:tc>
          <w:tcPr>
            <w:tcW w:w="809" w:type="pct"/>
          </w:tcPr>
          <w:p w:rsidR="00A21C31" w:rsidRPr="0059013C" w:rsidRDefault="00A21C31" w:rsidP="0059013C"/>
        </w:tc>
        <w:tc>
          <w:tcPr>
            <w:tcW w:w="404" w:type="pct"/>
          </w:tcPr>
          <w:p w:rsidR="00A21C31" w:rsidRPr="0059013C" w:rsidRDefault="00A21C31" w:rsidP="0059013C">
            <w:r w:rsidRPr="0059013C">
              <w:t>TBC</w:t>
            </w:r>
          </w:p>
        </w:tc>
        <w:tc>
          <w:tcPr>
            <w:tcW w:w="467" w:type="pct"/>
          </w:tcPr>
          <w:p w:rsidR="00A21C31" w:rsidRPr="0059013C" w:rsidRDefault="00A21C31" w:rsidP="0059013C">
            <w:r w:rsidRPr="00A21C31">
              <w:t>Quarterly</w:t>
            </w:r>
          </w:p>
        </w:tc>
      </w:tr>
      <w:tr w:rsidR="00A21C31" w:rsidRPr="0059013C" w:rsidTr="00A21C31">
        <w:trPr>
          <w:cantSplit/>
        </w:trPr>
        <w:tc>
          <w:tcPr>
            <w:tcW w:w="595" w:type="pct"/>
            <w:vMerge/>
          </w:tcPr>
          <w:p w:rsidR="00A21C31" w:rsidRPr="0059013C" w:rsidRDefault="00A21C31" w:rsidP="0059013C">
            <w:pPr>
              <w:rPr>
                <w:b/>
              </w:rPr>
            </w:pPr>
          </w:p>
        </w:tc>
        <w:tc>
          <w:tcPr>
            <w:tcW w:w="319" w:type="pct"/>
          </w:tcPr>
          <w:p w:rsidR="00A21C31" w:rsidRPr="0059013C" w:rsidRDefault="00A21C31" w:rsidP="0059013C">
            <w:r w:rsidRPr="0059013C">
              <w:t>KPI 8d</w:t>
            </w:r>
          </w:p>
        </w:tc>
        <w:tc>
          <w:tcPr>
            <w:tcW w:w="689" w:type="pct"/>
          </w:tcPr>
          <w:p w:rsidR="00A21C31" w:rsidRPr="0059013C" w:rsidRDefault="00A21C31" w:rsidP="0059013C">
            <w:r w:rsidRPr="0059013C">
              <w:t>Proportion of successful completions for non-opiate and alcohol using clients</w:t>
            </w:r>
          </w:p>
        </w:tc>
        <w:tc>
          <w:tcPr>
            <w:tcW w:w="610" w:type="pct"/>
            <w:vMerge/>
          </w:tcPr>
          <w:p w:rsidR="00A21C31" w:rsidRPr="0059013C" w:rsidRDefault="00A21C31" w:rsidP="0059013C"/>
        </w:tc>
        <w:tc>
          <w:tcPr>
            <w:tcW w:w="1108" w:type="pct"/>
          </w:tcPr>
          <w:p w:rsidR="00A21C31" w:rsidRPr="0059013C" w:rsidRDefault="00A21C31" w:rsidP="0059013C">
            <w:r w:rsidRPr="0059013C">
              <w:t>Numerator: Number of successful completions for non-opiate and alcohol service users</w:t>
            </w:r>
          </w:p>
          <w:p w:rsidR="00A21C31" w:rsidRPr="0059013C" w:rsidRDefault="00A21C31" w:rsidP="0059013C">
            <w:r w:rsidRPr="0059013C">
              <w:t>Denominator: Number of non-opiate and alcohol service users in treatment</w:t>
            </w:r>
          </w:p>
        </w:tc>
        <w:tc>
          <w:tcPr>
            <w:tcW w:w="809" w:type="pct"/>
          </w:tcPr>
          <w:p w:rsidR="00A21C31" w:rsidRPr="0059013C" w:rsidRDefault="00A21C31" w:rsidP="0059013C"/>
        </w:tc>
        <w:tc>
          <w:tcPr>
            <w:tcW w:w="404" w:type="pct"/>
          </w:tcPr>
          <w:p w:rsidR="00A21C31" w:rsidRPr="0059013C" w:rsidRDefault="00A21C31" w:rsidP="0059013C">
            <w:r w:rsidRPr="0059013C">
              <w:t>TBC</w:t>
            </w:r>
          </w:p>
        </w:tc>
        <w:tc>
          <w:tcPr>
            <w:tcW w:w="467" w:type="pct"/>
          </w:tcPr>
          <w:p w:rsidR="00A21C31" w:rsidRPr="0059013C" w:rsidRDefault="00A21C31" w:rsidP="0059013C">
            <w:r w:rsidRPr="00A21C31">
              <w:t>Quarterly</w:t>
            </w:r>
          </w:p>
        </w:tc>
      </w:tr>
      <w:tr w:rsidR="00A21C31" w:rsidRPr="0059013C" w:rsidTr="00A21C31">
        <w:trPr>
          <w:cantSplit/>
        </w:trPr>
        <w:tc>
          <w:tcPr>
            <w:tcW w:w="595" w:type="pct"/>
          </w:tcPr>
          <w:p w:rsidR="00A21C31" w:rsidRPr="0059013C" w:rsidRDefault="00A21C31" w:rsidP="0059013C">
            <w:pPr>
              <w:rPr>
                <w:b/>
              </w:rPr>
            </w:pPr>
            <w:r w:rsidRPr="0059013C">
              <w:rPr>
                <w:b/>
              </w:rPr>
              <w:t>Increase number accessing Recovery support interventions</w:t>
            </w:r>
          </w:p>
        </w:tc>
        <w:tc>
          <w:tcPr>
            <w:tcW w:w="319" w:type="pct"/>
          </w:tcPr>
          <w:p w:rsidR="00A21C31" w:rsidRPr="0059013C" w:rsidRDefault="00A21C31" w:rsidP="0059013C">
            <w:r w:rsidRPr="0059013C">
              <w:t>9</w:t>
            </w:r>
          </w:p>
        </w:tc>
        <w:tc>
          <w:tcPr>
            <w:tcW w:w="689" w:type="pct"/>
          </w:tcPr>
          <w:p w:rsidR="00A21C31" w:rsidRPr="0059013C" w:rsidRDefault="00A21C31" w:rsidP="0059013C">
            <w:r w:rsidRPr="0059013C">
              <w:t>Number of service users accessing Recovery Support Interventions</w:t>
            </w:r>
          </w:p>
        </w:tc>
        <w:tc>
          <w:tcPr>
            <w:tcW w:w="610" w:type="pct"/>
          </w:tcPr>
          <w:p w:rsidR="00A21C31" w:rsidRPr="0059013C" w:rsidRDefault="00A21C31" w:rsidP="0059013C">
            <w:r w:rsidRPr="0059013C">
              <w:t>NDTMS Adult partnership activity report Released quarterly Measured year to date</w:t>
            </w:r>
          </w:p>
        </w:tc>
        <w:tc>
          <w:tcPr>
            <w:tcW w:w="1108" w:type="pct"/>
          </w:tcPr>
          <w:p w:rsidR="00A21C31" w:rsidRPr="0059013C" w:rsidRDefault="00A21C31" w:rsidP="0059013C">
            <w:r w:rsidRPr="0059013C">
              <w:t>Same as indicator wording</w:t>
            </w:r>
          </w:p>
        </w:tc>
        <w:tc>
          <w:tcPr>
            <w:tcW w:w="809" w:type="pct"/>
          </w:tcPr>
          <w:p w:rsidR="00A21C31" w:rsidRPr="0059013C" w:rsidRDefault="00A21C31" w:rsidP="0059013C">
            <w:r w:rsidRPr="0059013C">
              <w:t>Monthly</w:t>
            </w:r>
          </w:p>
        </w:tc>
        <w:tc>
          <w:tcPr>
            <w:tcW w:w="404" w:type="pct"/>
          </w:tcPr>
          <w:p w:rsidR="00A21C31" w:rsidRPr="0059013C" w:rsidRDefault="00A21C31" w:rsidP="0059013C">
            <w:r w:rsidRPr="0059013C">
              <w:t>TBC</w:t>
            </w:r>
          </w:p>
        </w:tc>
        <w:tc>
          <w:tcPr>
            <w:tcW w:w="467" w:type="pct"/>
          </w:tcPr>
          <w:p w:rsidR="00A21C31" w:rsidRPr="0059013C" w:rsidRDefault="00A21C31" w:rsidP="0059013C">
            <w:r w:rsidRPr="00A21C31">
              <w:t>Quarterly</w:t>
            </w:r>
          </w:p>
        </w:tc>
      </w:tr>
      <w:tr w:rsidR="00A21C31" w:rsidRPr="0059013C" w:rsidTr="00A21C31">
        <w:trPr>
          <w:cantSplit/>
        </w:trPr>
        <w:tc>
          <w:tcPr>
            <w:tcW w:w="595" w:type="pct"/>
          </w:tcPr>
          <w:p w:rsidR="00A21C31" w:rsidRPr="0059013C" w:rsidRDefault="00A21C31" w:rsidP="0059013C">
            <w:r w:rsidRPr="0059013C">
              <w:lastRenderedPageBreak/>
              <w:t>Increase in the proportion of young people successfully discharged from treatment, who do not re-present in either the treatment system or in the criminal justice system in the following 6 or 12 months</w:t>
            </w:r>
          </w:p>
        </w:tc>
        <w:tc>
          <w:tcPr>
            <w:tcW w:w="319" w:type="pct"/>
          </w:tcPr>
          <w:p w:rsidR="00A21C31" w:rsidRPr="0059013C" w:rsidRDefault="00A21C31" w:rsidP="0059013C">
            <w:r w:rsidRPr="0059013C">
              <w:t>10</w:t>
            </w:r>
          </w:p>
        </w:tc>
        <w:tc>
          <w:tcPr>
            <w:tcW w:w="689" w:type="pct"/>
          </w:tcPr>
          <w:p w:rsidR="00A21C31" w:rsidRPr="0059013C" w:rsidRDefault="00A21C31" w:rsidP="0059013C">
            <w:r w:rsidRPr="0059013C">
              <w:t>Proportion of young people successfully discharged, who do not re-present in either the treatment system or in the criminal justice system in the following 6 or 12 months</w:t>
            </w:r>
          </w:p>
        </w:tc>
        <w:tc>
          <w:tcPr>
            <w:tcW w:w="610" w:type="pct"/>
          </w:tcPr>
          <w:p w:rsidR="00A21C31" w:rsidRPr="0059013C" w:rsidRDefault="00A21C31" w:rsidP="0059013C">
            <w:r w:rsidRPr="0059013C">
              <w:t>NDTMS  YP specialist substance misuse Interventions Executive Summary Released quarterly Measured year to date</w:t>
            </w:r>
          </w:p>
        </w:tc>
        <w:tc>
          <w:tcPr>
            <w:tcW w:w="1108" w:type="pct"/>
          </w:tcPr>
          <w:p w:rsidR="00A21C31" w:rsidRPr="0059013C" w:rsidRDefault="00A21C31" w:rsidP="0059013C">
            <w:r w:rsidRPr="0059013C">
              <w:t>Numerator: Number of young people successfully discharged who did not re-present in the treatment system or the criminal justice system in the following 6 or 12 months</w:t>
            </w:r>
          </w:p>
          <w:p w:rsidR="00A21C31" w:rsidRPr="0059013C" w:rsidRDefault="00A21C31" w:rsidP="0059013C">
            <w:r w:rsidRPr="0059013C">
              <w:t>Denominator: Number of young people successfully discharged</w:t>
            </w:r>
          </w:p>
        </w:tc>
        <w:tc>
          <w:tcPr>
            <w:tcW w:w="809" w:type="pct"/>
          </w:tcPr>
          <w:p w:rsidR="00A21C31" w:rsidRPr="0059013C" w:rsidRDefault="00A21C31" w:rsidP="0059013C"/>
        </w:tc>
        <w:tc>
          <w:tcPr>
            <w:tcW w:w="404" w:type="pct"/>
          </w:tcPr>
          <w:p w:rsidR="00A21C31" w:rsidRPr="0059013C" w:rsidRDefault="00A21C31" w:rsidP="0059013C">
            <w:r w:rsidRPr="0059013C">
              <w:t>TBC</w:t>
            </w:r>
          </w:p>
        </w:tc>
        <w:tc>
          <w:tcPr>
            <w:tcW w:w="467" w:type="pct"/>
          </w:tcPr>
          <w:p w:rsidR="00A21C31" w:rsidRPr="0059013C" w:rsidRDefault="00A21C31" w:rsidP="0059013C">
            <w:r w:rsidRPr="00A21C31">
              <w:t>Quarterly</w:t>
            </w:r>
          </w:p>
        </w:tc>
      </w:tr>
      <w:tr w:rsidR="00A21C31" w:rsidRPr="0059013C" w:rsidTr="00A21C31">
        <w:trPr>
          <w:cantSplit/>
        </w:trPr>
        <w:tc>
          <w:tcPr>
            <w:tcW w:w="595" w:type="pct"/>
            <w:vMerge w:val="restart"/>
          </w:tcPr>
          <w:p w:rsidR="00A21C31" w:rsidRPr="0059013C" w:rsidRDefault="00A21C31" w:rsidP="0059013C">
            <w:r w:rsidRPr="0059013C">
              <w:t>Increase in the proportion of all in treatment, who successfully completed treatment and did not re-</w:t>
            </w:r>
            <w:r w:rsidRPr="0059013C">
              <w:lastRenderedPageBreak/>
              <w:t>present within 6 months.</w:t>
            </w:r>
          </w:p>
        </w:tc>
        <w:tc>
          <w:tcPr>
            <w:tcW w:w="319" w:type="pct"/>
          </w:tcPr>
          <w:p w:rsidR="00A21C31" w:rsidRPr="0059013C" w:rsidRDefault="00A21C31" w:rsidP="0059013C">
            <w:r w:rsidRPr="0059013C">
              <w:lastRenderedPageBreak/>
              <w:t>KPI 11a</w:t>
            </w:r>
          </w:p>
        </w:tc>
        <w:tc>
          <w:tcPr>
            <w:tcW w:w="689" w:type="pct"/>
          </w:tcPr>
          <w:p w:rsidR="00A21C31" w:rsidRPr="0059013C" w:rsidRDefault="00A21C31" w:rsidP="0059013C">
            <w:r w:rsidRPr="0059013C">
              <w:t>Proportion of opiate service users who successfully completed treatment and did not re-present within 6 months</w:t>
            </w:r>
          </w:p>
        </w:tc>
        <w:tc>
          <w:tcPr>
            <w:tcW w:w="610" w:type="pct"/>
            <w:vMerge w:val="restart"/>
          </w:tcPr>
          <w:p w:rsidR="00A21C31" w:rsidRPr="0059013C" w:rsidRDefault="00A21C31" w:rsidP="0059013C">
            <w:r w:rsidRPr="0059013C">
              <w:t>NDTMS Adult partnership activity report Released quarterly Measured year to date</w:t>
            </w:r>
          </w:p>
        </w:tc>
        <w:tc>
          <w:tcPr>
            <w:tcW w:w="1108" w:type="pct"/>
          </w:tcPr>
          <w:p w:rsidR="00A21C31" w:rsidRPr="0059013C" w:rsidRDefault="00A21C31" w:rsidP="0059013C">
            <w:r w:rsidRPr="0059013C">
              <w:t>Numerator: Number of opiate service users who completed and did not re-present within 6 months</w:t>
            </w:r>
          </w:p>
          <w:p w:rsidR="00A21C31" w:rsidRPr="0059013C" w:rsidRDefault="00A21C31" w:rsidP="0059013C">
            <w:r w:rsidRPr="0059013C">
              <w:t>Denominator: Number of opiate service users who completed</w:t>
            </w:r>
          </w:p>
        </w:tc>
        <w:tc>
          <w:tcPr>
            <w:tcW w:w="809" w:type="pct"/>
          </w:tcPr>
          <w:p w:rsidR="00A21C31" w:rsidRPr="0059013C" w:rsidRDefault="00A21C31" w:rsidP="0059013C"/>
        </w:tc>
        <w:tc>
          <w:tcPr>
            <w:tcW w:w="404" w:type="pct"/>
          </w:tcPr>
          <w:p w:rsidR="00A21C31" w:rsidRPr="0059013C" w:rsidRDefault="00A21C31" w:rsidP="0059013C">
            <w:r w:rsidRPr="0059013C">
              <w:t>TBC</w:t>
            </w:r>
          </w:p>
        </w:tc>
        <w:tc>
          <w:tcPr>
            <w:tcW w:w="467" w:type="pct"/>
          </w:tcPr>
          <w:p w:rsidR="00A21C31" w:rsidRPr="0059013C" w:rsidRDefault="00A21C31" w:rsidP="0059013C">
            <w:r w:rsidRPr="00A21C31">
              <w:t>Quarterly</w:t>
            </w:r>
          </w:p>
        </w:tc>
      </w:tr>
      <w:tr w:rsidR="00A21C31" w:rsidRPr="0059013C" w:rsidTr="00A21C31">
        <w:trPr>
          <w:cantSplit/>
        </w:trPr>
        <w:tc>
          <w:tcPr>
            <w:tcW w:w="595" w:type="pct"/>
            <w:vMerge/>
          </w:tcPr>
          <w:p w:rsidR="00A21C31" w:rsidRPr="0059013C" w:rsidRDefault="00A21C31" w:rsidP="0059013C"/>
        </w:tc>
        <w:tc>
          <w:tcPr>
            <w:tcW w:w="319" w:type="pct"/>
          </w:tcPr>
          <w:p w:rsidR="00A21C31" w:rsidRPr="0059013C" w:rsidRDefault="00A21C31" w:rsidP="0059013C">
            <w:r w:rsidRPr="0059013C">
              <w:t>KPI 11b</w:t>
            </w:r>
          </w:p>
        </w:tc>
        <w:tc>
          <w:tcPr>
            <w:tcW w:w="689" w:type="pct"/>
          </w:tcPr>
          <w:p w:rsidR="00A21C31" w:rsidRPr="0059013C" w:rsidRDefault="00A21C31" w:rsidP="0059013C">
            <w:r w:rsidRPr="0059013C">
              <w:t>Proportion of non-opiate service users who successfully completed treatment and did not re-present within 6 months</w:t>
            </w:r>
          </w:p>
        </w:tc>
        <w:tc>
          <w:tcPr>
            <w:tcW w:w="610" w:type="pct"/>
            <w:vMerge/>
          </w:tcPr>
          <w:p w:rsidR="00A21C31" w:rsidRPr="0059013C" w:rsidRDefault="00A21C31" w:rsidP="0059013C"/>
        </w:tc>
        <w:tc>
          <w:tcPr>
            <w:tcW w:w="1108" w:type="pct"/>
          </w:tcPr>
          <w:p w:rsidR="00A21C31" w:rsidRPr="0059013C" w:rsidRDefault="00A21C31" w:rsidP="0059013C">
            <w:r w:rsidRPr="0059013C">
              <w:t>Numerator: Number of non-opiate service users who completed and did not re-present within 6 months</w:t>
            </w:r>
          </w:p>
          <w:p w:rsidR="00A21C31" w:rsidRPr="0059013C" w:rsidRDefault="00A21C31" w:rsidP="0059013C">
            <w:r w:rsidRPr="0059013C">
              <w:t>Denominator: Number of non-opiate service users who completed</w:t>
            </w:r>
          </w:p>
        </w:tc>
        <w:tc>
          <w:tcPr>
            <w:tcW w:w="809" w:type="pct"/>
          </w:tcPr>
          <w:p w:rsidR="00A21C31" w:rsidRPr="0059013C" w:rsidRDefault="00A21C31" w:rsidP="0059013C"/>
        </w:tc>
        <w:tc>
          <w:tcPr>
            <w:tcW w:w="404" w:type="pct"/>
          </w:tcPr>
          <w:p w:rsidR="00A21C31" w:rsidRPr="0059013C" w:rsidRDefault="00A21C31" w:rsidP="0059013C">
            <w:r w:rsidRPr="0059013C">
              <w:t>TBC</w:t>
            </w:r>
          </w:p>
        </w:tc>
        <w:tc>
          <w:tcPr>
            <w:tcW w:w="467" w:type="pct"/>
          </w:tcPr>
          <w:p w:rsidR="00A21C31" w:rsidRPr="0059013C" w:rsidRDefault="00A21C31" w:rsidP="0059013C">
            <w:r w:rsidRPr="00A21C31">
              <w:t>Quarterly</w:t>
            </w:r>
          </w:p>
        </w:tc>
      </w:tr>
      <w:tr w:rsidR="00A21C31" w:rsidRPr="0059013C" w:rsidTr="00A21C31">
        <w:trPr>
          <w:cantSplit/>
        </w:trPr>
        <w:tc>
          <w:tcPr>
            <w:tcW w:w="595" w:type="pct"/>
            <w:vMerge/>
          </w:tcPr>
          <w:p w:rsidR="00A21C31" w:rsidRPr="0059013C" w:rsidRDefault="00A21C31" w:rsidP="0059013C">
            <w:pPr>
              <w:rPr>
                <w:b/>
              </w:rPr>
            </w:pPr>
          </w:p>
        </w:tc>
        <w:tc>
          <w:tcPr>
            <w:tcW w:w="319" w:type="pct"/>
          </w:tcPr>
          <w:p w:rsidR="00A21C31" w:rsidRPr="0059013C" w:rsidRDefault="00A21C31" w:rsidP="0059013C">
            <w:r w:rsidRPr="0059013C">
              <w:t>KPI 11c</w:t>
            </w:r>
          </w:p>
        </w:tc>
        <w:tc>
          <w:tcPr>
            <w:tcW w:w="689" w:type="pct"/>
          </w:tcPr>
          <w:p w:rsidR="00A21C31" w:rsidRPr="0059013C" w:rsidRDefault="00A21C31" w:rsidP="0059013C">
            <w:r w:rsidRPr="0059013C">
              <w:t>Proportion of alcohol service users who successfully completed treatment and did not re-present within 6 months</w:t>
            </w:r>
          </w:p>
        </w:tc>
        <w:tc>
          <w:tcPr>
            <w:tcW w:w="610" w:type="pct"/>
            <w:vMerge/>
          </w:tcPr>
          <w:p w:rsidR="00A21C31" w:rsidRPr="0059013C" w:rsidRDefault="00A21C31" w:rsidP="0059013C"/>
        </w:tc>
        <w:tc>
          <w:tcPr>
            <w:tcW w:w="1108" w:type="pct"/>
          </w:tcPr>
          <w:p w:rsidR="00A21C31" w:rsidRPr="0059013C" w:rsidRDefault="00A21C31" w:rsidP="0059013C">
            <w:r w:rsidRPr="0059013C">
              <w:t>Numerator: Number of alcohol service users who completed and did not re-present within 6 months</w:t>
            </w:r>
          </w:p>
          <w:p w:rsidR="00A21C31" w:rsidRPr="0059013C" w:rsidRDefault="00A21C31" w:rsidP="0059013C">
            <w:r w:rsidRPr="0059013C">
              <w:t>Denominator: Number of alcohol service users who completed</w:t>
            </w:r>
          </w:p>
        </w:tc>
        <w:tc>
          <w:tcPr>
            <w:tcW w:w="809" w:type="pct"/>
          </w:tcPr>
          <w:p w:rsidR="00A21C31" w:rsidRPr="0059013C" w:rsidRDefault="00A21C31" w:rsidP="0059013C"/>
        </w:tc>
        <w:tc>
          <w:tcPr>
            <w:tcW w:w="404" w:type="pct"/>
          </w:tcPr>
          <w:p w:rsidR="00A21C31" w:rsidRPr="0059013C" w:rsidRDefault="00A21C31" w:rsidP="0059013C">
            <w:r w:rsidRPr="0059013C">
              <w:t>TBC</w:t>
            </w:r>
          </w:p>
        </w:tc>
        <w:tc>
          <w:tcPr>
            <w:tcW w:w="467" w:type="pct"/>
          </w:tcPr>
          <w:p w:rsidR="00A21C31" w:rsidRPr="0059013C" w:rsidRDefault="00A21C31" w:rsidP="0059013C">
            <w:r w:rsidRPr="00A21C31">
              <w:t>Quarterly</w:t>
            </w:r>
          </w:p>
        </w:tc>
      </w:tr>
      <w:tr w:rsidR="00A21C31" w:rsidRPr="0059013C" w:rsidTr="00A21C31">
        <w:trPr>
          <w:cantSplit/>
        </w:trPr>
        <w:tc>
          <w:tcPr>
            <w:tcW w:w="595" w:type="pct"/>
          </w:tcPr>
          <w:p w:rsidR="00A21C31" w:rsidRPr="0059013C" w:rsidRDefault="00A21C31" w:rsidP="0059013C">
            <w:pPr>
              <w:rPr>
                <w:b/>
              </w:rPr>
            </w:pPr>
          </w:p>
        </w:tc>
        <w:tc>
          <w:tcPr>
            <w:tcW w:w="319" w:type="pct"/>
          </w:tcPr>
          <w:p w:rsidR="00A21C31" w:rsidRPr="0059013C" w:rsidRDefault="00A21C31" w:rsidP="0059013C">
            <w:r w:rsidRPr="0059013C">
              <w:t>KPI 11d</w:t>
            </w:r>
          </w:p>
        </w:tc>
        <w:tc>
          <w:tcPr>
            <w:tcW w:w="689" w:type="pct"/>
          </w:tcPr>
          <w:p w:rsidR="00A21C31" w:rsidRPr="0059013C" w:rsidRDefault="00A21C31" w:rsidP="0059013C">
            <w:r w:rsidRPr="0059013C">
              <w:t>Proportion of non-opiate and alcohol service users who successfully completed treatment and did not re-present within 6 months</w:t>
            </w:r>
          </w:p>
        </w:tc>
        <w:tc>
          <w:tcPr>
            <w:tcW w:w="610" w:type="pct"/>
            <w:vMerge/>
          </w:tcPr>
          <w:p w:rsidR="00A21C31" w:rsidRPr="0059013C" w:rsidRDefault="00A21C31" w:rsidP="0059013C"/>
        </w:tc>
        <w:tc>
          <w:tcPr>
            <w:tcW w:w="1108" w:type="pct"/>
          </w:tcPr>
          <w:p w:rsidR="00A21C31" w:rsidRPr="0059013C" w:rsidRDefault="00A21C31" w:rsidP="0059013C">
            <w:r w:rsidRPr="0059013C">
              <w:t>Numerator: Number of non-opiate and alcohol service users who completed and did not re-present within 6 months</w:t>
            </w:r>
          </w:p>
          <w:p w:rsidR="00A21C31" w:rsidRPr="0059013C" w:rsidRDefault="00A21C31" w:rsidP="0059013C">
            <w:r w:rsidRPr="0059013C">
              <w:t>Denominator: Number of non-opiate and alcohol service users who completed</w:t>
            </w:r>
          </w:p>
        </w:tc>
        <w:tc>
          <w:tcPr>
            <w:tcW w:w="809" w:type="pct"/>
          </w:tcPr>
          <w:p w:rsidR="00A21C31" w:rsidRPr="0059013C" w:rsidRDefault="00A21C31" w:rsidP="0059013C"/>
        </w:tc>
        <w:tc>
          <w:tcPr>
            <w:tcW w:w="404" w:type="pct"/>
          </w:tcPr>
          <w:p w:rsidR="00A21C31" w:rsidRPr="0059013C" w:rsidRDefault="00A21C31" w:rsidP="0059013C">
            <w:r w:rsidRPr="0059013C">
              <w:t>TBC</w:t>
            </w:r>
          </w:p>
        </w:tc>
        <w:tc>
          <w:tcPr>
            <w:tcW w:w="467" w:type="pct"/>
          </w:tcPr>
          <w:p w:rsidR="00A21C31" w:rsidRPr="0059013C" w:rsidRDefault="00A21C31" w:rsidP="0059013C">
            <w:r w:rsidRPr="00A21C31">
              <w:t>Quarterly</w:t>
            </w:r>
          </w:p>
        </w:tc>
      </w:tr>
    </w:tbl>
    <w:p w:rsidR="00381765" w:rsidRDefault="00381765" w:rsidP="00EA792F">
      <w:pPr>
        <w:spacing w:after="0" w:line="240" w:lineRule="auto"/>
      </w:pPr>
    </w:p>
    <w:p w:rsidR="00381765" w:rsidRDefault="00381765" w:rsidP="00EA792F">
      <w:pPr>
        <w:spacing w:after="0" w:line="240" w:lineRule="auto"/>
      </w:pPr>
    </w:p>
    <w:p w:rsidR="00381765" w:rsidRPr="004D176E" w:rsidRDefault="004A7BE3" w:rsidP="00EA792F">
      <w:pPr>
        <w:spacing w:after="0" w:line="240" w:lineRule="auto"/>
        <w:rPr>
          <w:b/>
        </w:rPr>
      </w:pPr>
      <w:r>
        <w:rPr>
          <w:b/>
        </w:rPr>
        <w:lastRenderedPageBreak/>
        <w:t>Appendix 4</w:t>
      </w:r>
      <w:r w:rsidR="00381765" w:rsidRPr="004D176E">
        <w:rPr>
          <w:b/>
        </w:rPr>
        <w:t xml:space="preserve"> – Quarterly Performance Monitoring Framework (Children and Young People Specific)</w:t>
      </w:r>
    </w:p>
    <w:p w:rsidR="00381765" w:rsidRDefault="00381765" w:rsidP="00EA792F">
      <w:pPr>
        <w:spacing w:after="0" w:line="240" w:lineRule="auto"/>
      </w:pPr>
    </w:p>
    <w:tbl>
      <w:tblPr>
        <w:tblStyle w:val="TableGrid"/>
        <w:tblW w:w="0" w:type="auto"/>
        <w:tblLook w:val="04A0" w:firstRow="1" w:lastRow="0" w:firstColumn="1" w:lastColumn="0" w:noHBand="0" w:noVBand="1"/>
      </w:tblPr>
      <w:tblGrid>
        <w:gridCol w:w="1526"/>
        <w:gridCol w:w="834"/>
        <w:gridCol w:w="1434"/>
        <w:gridCol w:w="2410"/>
        <w:gridCol w:w="2551"/>
        <w:gridCol w:w="2552"/>
        <w:gridCol w:w="1701"/>
      </w:tblGrid>
      <w:tr w:rsidR="00381765" w:rsidRPr="00381765" w:rsidTr="00E40D10">
        <w:trPr>
          <w:trHeight w:val="885"/>
        </w:trPr>
        <w:tc>
          <w:tcPr>
            <w:tcW w:w="1526" w:type="dxa"/>
            <w:hideMark/>
          </w:tcPr>
          <w:p w:rsidR="00381765" w:rsidRPr="00381765" w:rsidRDefault="00381765" w:rsidP="00381765">
            <w:pPr>
              <w:rPr>
                <w:b/>
                <w:bCs/>
              </w:rPr>
            </w:pPr>
            <w:bookmarkStart w:id="1" w:name="RANGE!A1:R21"/>
            <w:r w:rsidRPr="00381765">
              <w:rPr>
                <w:b/>
                <w:bCs/>
              </w:rPr>
              <w:t>Outcome</w:t>
            </w:r>
            <w:bookmarkEnd w:id="1"/>
          </w:p>
        </w:tc>
        <w:tc>
          <w:tcPr>
            <w:tcW w:w="834" w:type="dxa"/>
            <w:hideMark/>
          </w:tcPr>
          <w:p w:rsidR="00381765" w:rsidRPr="00381765" w:rsidRDefault="00E40D10" w:rsidP="00381765">
            <w:pPr>
              <w:rPr>
                <w:b/>
                <w:bCs/>
              </w:rPr>
            </w:pPr>
            <w:r>
              <w:rPr>
                <w:b/>
                <w:bCs/>
              </w:rPr>
              <w:t xml:space="preserve">KPI </w:t>
            </w:r>
            <w:r w:rsidR="00381765" w:rsidRPr="00381765">
              <w:rPr>
                <w:b/>
                <w:bCs/>
              </w:rPr>
              <w:t>No.</w:t>
            </w:r>
          </w:p>
        </w:tc>
        <w:tc>
          <w:tcPr>
            <w:tcW w:w="1434" w:type="dxa"/>
            <w:hideMark/>
          </w:tcPr>
          <w:p w:rsidR="00381765" w:rsidRPr="00381765" w:rsidRDefault="00381765" w:rsidP="00381765">
            <w:pPr>
              <w:rPr>
                <w:b/>
                <w:bCs/>
              </w:rPr>
            </w:pPr>
            <w:r>
              <w:rPr>
                <w:b/>
                <w:bCs/>
              </w:rPr>
              <w:t xml:space="preserve">Performance </w:t>
            </w:r>
            <w:r w:rsidRPr="00381765">
              <w:rPr>
                <w:b/>
                <w:bCs/>
              </w:rPr>
              <w:t>Indicator</w:t>
            </w:r>
          </w:p>
        </w:tc>
        <w:tc>
          <w:tcPr>
            <w:tcW w:w="2410" w:type="dxa"/>
            <w:hideMark/>
          </w:tcPr>
          <w:p w:rsidR="00381765" w:rsidRPr="00381765" w:rsidRDefault="00381765" w:rsidP="00381765">
            <w:pPr>
              <w:rPr>
                <w:b/>
                <w:bCs/>
              </w:rPr>
            </w:pPr>
            <w:r w:rsidRPr="00381765">
              <w:rPr>
                <w:b/>
                <w:bCs/>
              </w:rPr>
              <w:t>Baseline</w:t>
            </w:r>
          </w:p>
        </w:tc>
        <w:tc>
          <w:tcPr>
            <w:tcW w:w="2551" w:type="dxa"/>
          </w:tcPr>
          <w:p w:rsidR="00381765" w:rsidRPr="00381765" w:rsidRDefault="00381765" w:rsidP="00381765">
            <w:pPr>
              <w:rPr>
                <w:b/>
                <w:bCs/>
              </w:rPr>
            </w:pPr>
            <w:r>
              <w:rPr>
                <w:b/>
                <w:bCs/>
              </w:rPr>
              <w:t>Indicator Construction</w:t>
            </w:r>
            <w:r w:rsidR="00E40D10">
              <w:rPr>
                <w:b/>
                <w:bCs/>
              </w:rPr>
              <w:t>/Technical guidance</w:t>
            </w:r>
          </w:p>
        </w:tc>
        <w:tc>
          <w:tcPr>
            <w:tcW w:w="2552" w:type="dxa"/>
            <w:hideMark/>
          </w:tcPr>
          <w:p w:rsidR="00381765" w:rsidRPr="00381765" w:rsidRDefault="00381765" w:rsidP="00381765">
            <w:pPr>
              <w:rPr>
                <w:b/>
                <w:bCs/>
              </w:rPr>
            </w:pPr>
            <w:r>
              <w:rPr>
                <w:b/>
                <w:bCs/>
              </w:rPr>
              <w:t>Comment</w:t>
            </w:r>
          </w:p>
        </w:tc>
        <w:tc>
          <w:tcPr>
            <w:tcW w:w="1701" w:type="dxa"/>
            <w:hideMark/>
          </w:tcPr>
          <w:p w:rsidR="00381765" w:rsidRPr="00381765" w:rsidRDefault="00381765" w:rsidP="00381765">
            <w:pPr>
              <w:rPr>
                <w:b/>
                <w:bCs/>
              </w:rPr>
            </w:pPr>
            <w:r>
              <w:rPr>
                <w:b/>
                <w:bCs/>
              </w:rPr>
              <w:t>Target</w:t>
            </w:r>
          </w:p>
        </w:tc>
      </w:tr>
      <w:tr w:rsidR="00381765" w:rsidRPr="00381765" w:rsidTr="00E40D10">
        <w:trPr>
          <w:trHeight w:val="885"/>
        </w:trPr>
        <w:tc>
          <w:tcPr>
            <w:tcW w:w="1526" w:type="dxa"/>
            <w:vMerge w:val="restart"/>
            <w:hideMark/>
          </w:tcPr>
          <w:p w:rsidR="00381765" w:rsidRPr="00381765" w:rsidRDefault="004D176E" w:rsidP="00381765">
            <w:r w:rsidRPr="00381765">
              <w:t>Targeted and effective services - more people receive a better outcome from services</w:t>
            </w:r>
          </w:p>
        </w:tc>
        <w:tc>
          <w:tcPr>
            <w:tcW w:w="834" w:type="dxa"/>
            <w:noWrap/>
            <w:hideMark/>
          </w:tcPr>
          <w:p w:rsidR="00381765" w:rsidRPr="00381765" w:rsidRDefault="00534D9F" w:rsidP="00381765">
            <w:r>
              <w:t>1</w:t>
            </w:r>
          </w:p>
        </w:tc>
        <w:tc>
          <w:tcPr>
            <w:tcW w:w="1434" w:type="dxa"/>
            <w:hideMark/>
          </w:tcPr>
          <w:p w:rsidR="00381765" w:rsidRDefault="00381765" w:rsidP="00381765">
            <w:r w:rsidRPr="00381765">
              <w:t>Number of Specialist assessments completed within court timescales</w:t>
            </w:r>
          </w:p>
          <w:p w:rsidR="004D176E" w:rsidRPr="00381765" w:rsidRDefault="004D176E" w:rsidP="00381765"/>
        </w:tc>
        <w:tc>
          <w:tcPr>
            <w:tcW w:w="2410" w:type="dxa"/>
            <w:hideMark/>
          </w:tcPr>
          <w:p w:rsidR="00381765" w:rsidRPr="00381765" w:rsidRDefault="00381765" w:rsidP="00381765"/>
        </w:tc>
        <w:tc>
          <w:tcPr>
            <w:tcW w:w="2551" w:type="dxa"/>
          </w:tcPr>
          <w:p w:rsidR="00381765" w:rsidRPr="00381765" w:rsidRDefault="00381765" w:rsidP="00381765"/>
        </w:tc>
        <w:tc>
          <w:tcPr>
            <w:tcW w:w="2552" w:type="dxa"/>
            <w:noWrap/>
            <w:hideMark/>
          </w:tcPr>
          <w:p w:rsidR="00381765" w:rsidRPr="00381765" w:rsidRDefault="00381765" w:rsidP="00381765"/>
        </w:tc>
        <w:tc>
          <w:tcPr>
            <w:tcW w:w="1701" w:type="dxa"/>
            <w:hideMark/>
          </w:tcPr>
          <w:p w:rsidR="00381765" w:rsidRPr="00381765" w:rsidRDefault="00381765" w:rsidP="00381765">
            <w:r w:rsidRPr="00381765">
              <w:t> </w:t>
            </w:r>
          </w:p>
        </w:tc>
      </w:tr>
      <w:tr w:rsidR="003329A7" w:rsidRPr="00381765" w:rsidTr="00E40D10">
        <w:trPr>
          <w:trHeight w:val="885"/>
        </w:trPr>
        <w:tc>
          <w:tcPr>
            <w:tcW w:w="1526" w:type="dxa"/>
            <w:vMerge/>
          </w:tcPr>
          <w:p w:rsidR="003329A7" w:rsidRPr="00381765" w:rsidRDefault="003329A7" w:rsidP="00381765"/>
        </w:tc>
        <w:tc>
          <w:tcPr>
            <w:tcW w:w="834" w:type="dxa"/>
            <w:noWrap/>
          </w:tcPr>
          <w:p w:rsidR="003329A7" w:rsidRPr="00381765" w:rsidRDefault="00534D9F" w:rsidP="00381765">
            <w:r>
              <w:t>2</w:t>
            </w:r>
          </w:p>
        </w:tc>
        <w:tc>
          <w:tcPr>
            <w:tcW w:w="1434" w:type="dxa"/>
          </w:tcPr>
          <w:p w:rsidR="003329A7" w:rsidRDefault="00534D9F" w:rsidP="00381765">
            <w:r>
              <w:t>Proportion of Yong Peoples Outcome Record (YP</w:t>
            </w:r>
            <w:r w:rsidR="003329A7">
              <w:t>OR</w:t>
            </w:r>
            <w:r>
              <w:t>)</w:t>
            </w:r>
            <w:r w:rsidR="003329A7">
              <w:t xml:space="preserve"> starts carried out at start of engagement</w:t>
            </w:r>
          </w:p>
          <w:p w:rsidR="003329A7" w:rsidRPr="00381765" w:rsidRDefault="003329A7" w:rsidP="00381765"/>
        </w:tc>
        <w:tc>
          <w:tcPr>
            <w:tcW w:w="2410" w:type="dxa"/>
          </w:tcPr>
          <w:p w:rsidR="003329A7" w:rsidRPr="00381765" w:rsidRDefault="003329A7" w:rsidP="00381765"/>
        </w:tc>
        <w:tc>
          <w:tcPr>
            <w:tcW w:w="2551" w:type="dxa"/>
          </w:tcPr>
          <w:p w:rsidR="003329A7" w:rsidRPr="00381765" w:rsidRDefault="003329A7" w:rsidP="00381765"/>
        </w:tc>
        <w:tc>
          <w:tcPr>
            <w:tcW w:w="2552" w:type="dxa"/>
            <w:noWrap/>
          </w:tcPr>
          <w:p w:rsidR="003329A7" w:rsidRPr="00381765" w:rsidRDefault="003329A7" w:rsidP="00381765"/>
        </w:tc>
        <w:tc>
          <w:tcPr>
            <w:tcW w:w="1701" w:type="dxa"/>
          </w:tcPr>
          <w:p w:rsidR="003329A7" w:rsidRPr="00381765" w:rsidRDefault="003329A7" w:rsidP="00381765"/>
        </w:tc>
      </w:tr>
      <w:tr w:rsidR="003329A7" w:rsidRPr="00381765" w:rsidTr="00E40D10">
        <w:trPr>
          <w:trHeight w:val="885"/>
        </w:trPr>
        <w:tc>
          <w:tcPr>
            <w:tcW w:w="1526" w:type="dxa"/>
            <w:vMerge/>
          </w:tcPr>
          <w:p w:rsidR="003329A7" w:rsidRPr="00381765" w:rsidRDefault="003329A7" w:rsidP="00381765"/>
        </w:tc>
        <w:tc>
          <w:tcPr>
            <w:tcW w:w="834" w:type="dxa"/>
            <w:noWrap/>
          </w:tcPr>
          <w:p w:rsidR="003329A7" w:rsidRPr="00381765" w:rsidRDefault="00534D9F" w:rsidP="00381765">
            <w:r>
              <w:t>3</w:t>
            </w:r>
          </w:p>
        </w:tc>
        <w:tc>
          <w:tcPr>
            <w:tcW w:w="1434" w:type="dxa"/>
          </w:tcPr>
          <w:p w:rsidR="003329A7" w:rsidRDefault="003329A7" w:rsidP="00381765">
            <w:r>
              <w:t>Proportion of YPOR reviews carried out at 12 weeks</w:t>
            </w:r>
          </w:p>
          <w:p w:rsidR="003329A7" w:rsidRPr="00381765" w:rsidRDefault="003329A7" w:rsidP="00381765"/>
        </w:tc>
        <w:tc>
          <w:tcPr>
            <w:tcW w:w="2410" w:type="dxa"/>
          </w:tcPr>
          <w:p w:rsidR="003329A7" w:rsidRPr="00381765" w:rsidRDefault="003329A7" w:rsidP="00381765"/>
        </w:tc>
        <w:tc>
          <w:tcPr>
            <w:tcW w:w="2551" w:type="dxa"/>
          </w:tcPr>
          <w:p w:rsidR="003329A7" w:rsidRPr="00381765" w:rsidRDefault="003329A7" w:rsidP="00381765"/>
        </w:tc>
        <w:tc>
          <w:tcPr>
            <w:tcW w:w="2552" w:type="dxa"/>
            <w:noWrap/>
          </w:tcPr>
          <w:p w:rsidR="003329A7" w:rsidRPr="00381765" w:rsidRDefault="003329A7" w:rsidP="00381765"/>
        </w:tc>
        <w:tc>
          <w:tcPr>
            <w:tcW w:w="1701" w:type="dxa"/>
          </w:tcPr>
          <w:p w:rsidR="003329A7" w:rsidRPr="00381765" w:rsidRDefault="003329A7" w:rsidP="00381765"/>
        </w:tc>
      </w:tr>
      <w:tr w:rsidR="003329A7" w:rsidRPr="00381765" w:rsidTr="00E40D10">
        <w:trPr>
          <w:trHeight w:val="885"/>
        </w:trPr>
        <w:tc>
          <w:tcPr>
            <w:tcW w:w="1526" w:type="dxa"/>
            <w:vMerge/>
          </w:tcPr>
          <w:p w:rsidR="003329A7" w:rsidRPr="00381765" w:rsidRDefault="003329A7" w:rsidP="00381765"/>
        </w:tc>
        <w:tc>
          <w:tcPr>
            <w:tcW w:w="834" w:type="dxa"/>
            <w:noWrap/>
          </w:tcPr>
          <w:p w:rsidR="003329A7" w:rsidRPr="00381765" w:rsidRDefault="00534D9F" w:rsidP="00381765">
            <w:r>
              <w:t>4</w:t>
            </w:r>
          </w:p>
        </w:tc>
        <w:tc>
          <w:tcPr>
            <w:tcW w:w="1434" w:type="dxa"/>
          </w:tcPr>
          <w:p w:rsidR="003329A7" w:rsidRDefault="003329A7" w:rsidP="00381765">
            <w:r>
              <w:t>Proportion of YPOR exits carried out</w:t>
            </w:r>
          </w:p>
        </w:tc>
        <w:tc>
          <w:tcPr>
            <w:tcW w:w="2410" w:type="dxa"/>
          </w:tcPr>
          <w:p w:rsidR="003329A7" w:rsidRPr="00381765" w:rsidRDefault="003329A7" w:rsidP="00381765"/>
        </w:tc>
        <w:tc>
          <w:tcPr>
            <w:tcW w:w="2551" w:type="dxa"/>
          </w:tcPr>
          <w:p w:rsidR="003329A7" w:rsidRPr="00381765" w:rsidRDefault="003329A7" w:rsidP="00381765"/>
        </w:tc>
        <w:tc>
          <w:tcPr>
            <w:tcW w:w="2552" w:type="dxa"/>
            <w:noWrap/>
          </w:tcPr>
          <w:p w:rsidR="003329A7" w:rsidRPr="00381765" w:rsidRDefault="003329A7" w:rsidP="00381765"/>
        </w:tc>
        <w:tc>
          <w:tcPr>
            <w:tcW w:w="1701" w:type="dxa"/>
          </w:tcPr>
          <w:p w:rsidR="003329A7" w:rsidRPr="00381765" w:rsidRDefault="003329A7" w:rsidP="00381765"/>
        </w:tc>
      </w:tr>
      <w:tr w:rsidR="00381765" w:rsidRPr="00381765" w:rsidTr="00E40D10">
        <w:trPr>
          <w:trHeight w:val="885"/>
        </w:trPr>
        <w:tc>
          <w:tcPr>
            <w:tcW w:w="1526" w:type="dxa"/>
            <w:vMerge/>
            <w:hideMark/>
          </w:tcPr>
          <w:p w:rsidR="00381765" w:rsidRPr="00381765" w:rsidRDefault="00381765" w:rsidP="00381765"/>
        </w:tc>
        <w:tc>
          <w:tcPr>
            <w:tcW w:w="834" w:type="dxa"/>
            <w:noWrap/>
            <w:hideMark/>
          </w:tcPr>
          <w:p w:rsidR="00381765" w:rsidRPr="00381765" w:rsidRDefault="00534D9F" w:rsidP="00381765">
            <w:r>
              <w:t>5</w:t>
            </w:r>
          </w:p>
        </w:tc>
        <w:tc>
          <w:tcPr>
            <w:tcW w:w="1434" w:type="dxa"/>
            <w:hideMark/>
          </w:tcPr>
          <w:p w:rsidR="00381765" w:rsidRPr="00381765" w:rsidRDefault="00381765" w:rsidP="00381765">
            <w:r w:rsidRPr="00381765">
              <w:t>Number of CAF assessments undertaken</w:t>
            </w:r>
          </w:p>
        </w:tc>
        <w:tc>
          <w:tcPr>
            <w:tcW w:w="2410" w:type="dxa"/>
            <w:hideMark/>
          </w:tcPr>
          <w:p w:rsidR="00381765" w:rsidRPr="00381765" w:rsidRDefault="00381765" w:rsidP="00381765"/>
        </w:tc>
        <w:tc>
          <w:tcPr>
            <w:tcW w:w="2551" w:type="dxa"/>
          </w:tcPr>
          <w:p w:rsidR="00381765" w:rsidRPr="00381765" w:rsidRDefault="00381765" w:rsidP="00381765"/>
        </w:tc>
        <w:tc>
          <w:tcPr>
            <w:tcW w:w="2552" w:type="dxa"/>
            <w:noWrap/>
            <w:hideMark/>
          </w:tcPr>
          <w:p w:rsidR="00381765" w:rsidRPr="00381765" w:rsidRDefault="00381765" w:rsidP="00381765"/>
        </w:tc>
        <w:tc>
          <w:tcPr>
            <w:tcW w:w="1701" w:type="dxa"/>
            <w:noWrap/>
            <w:hideMark/>
          </w:tcPr>
          <w:p w:rsidR="00381765" w:rsidRPr="00381765" w:rsidRDefault="00381765" w:rsidP="00381765">
            <w:r w:rsidRPr="00381765">
              <w:t> </w:t>
            </w:r>
          </w:p>
        </w:tc>
      </w:tr>
      <w:tr w:rsidR="00381765" w:rsidRPr="00381765" w:rsidTr="00E40D10">
        <w:trPr>
          <w:trHeight w:val="885"/>
        </w:trPr>
        <w:tc>
          <w:tcPr>
            <w:tcW w:w="1526" w:type="dxa"/>
            <w:vMerge/>
            <w:hideMark/>
          </w:tcPr>
          <w:p w:rsidR="00381765" w:rsidRPr="00381765" w:rsidRDefault="00381765" w:rsidP="00381765"/>
        </w:tc>
        <w:tc>
          <w:tcPr>
            <w:tcW w:w="834" w:type="dxa"/>
            <w:noWrap/>
            <w:hideMark/>
          </w:tcPr>
          <w:p w:rsidR="00381765" w:rsidRPr="00381765" w:rsidRDefault="00534D9F" w:rsidP="00381765">
            <w:r>
              <w:t>6</w:t>
            </w:r>
          </w:p>
        </w:tc>
        <w:tc>
          <w:tcPr>
            <w:tcW w:w="1434" w:type="dxa"/>
            <w:hideMark/>
          </w:tcPr>
          <w:p w:rsidR="00381765" w:rsidRPr="00381765" w:rsidRDefault="00381765" w:rsidP="00381765">
            <w:r w:rsidRPr="00381765">
              <w:t>Number of CAF plans contributed to</w:t>
            </w:r>
          </w:p>
        </w:tc>
        <w:tc>
          <w:tcPr>
            <w:tcW w:w="2410" w:type="dxa"/>
            <w:hideMark/>
          </w:tcPr>
          <w:p w:rsidR="00381765" w:rsidRPr="00381765" w:rsidRDefault="00381765" w:rsidP="00381765"/>
        </w:tc>
        <w:tc>
          <w:tcPr>
            <w:tcW w:w="2551" w:type="dxa"/>
          </w:tcPr>
          <w:p w:rsidR="00381765" w:rsidRPr="00381765" w:rsidRDefault="00381765" w:rsidP="00381765"/>
        </w:tc>
        <w:tc>
          <w:tcPr>
            <w:tcW w:w="2552" w:type="dxa"/>
            <w:noWrap/>
            <w:hideMark/>
          </w:tcPr>
          <w:p w:rsidR="00381765" w:rsidRPr="00381765" w:rsidRDefault="00381765" w:rsidP="00381765"/>
        </w:tc>
        <w:tc>
          <w:tcPr>
            <w:tcW w:w="1701" w:type="dxa"/>
            <w:noWrap/>
            <w:hideMark/>
          </w:tcPr>
          <w:p w:rsidR="00381765" w:rsidRPr="00381765" w:rsidRDefault="00381765" w:rsidP="00381765">
            <w:r w:rsidRPr="00381765">
              <w:t> </w:t>
            </w:r>
          </w:p>
        </w:tc>
      </w:tr>
      <w:tr w:rsidR="00381765" w:rsidRPr="00381765" w:rsidTr="00E40D10">
        <w:trPr>
          <w:trHeight w:val="885"/>
        </w:trPr>
        <w:tc>
          <w:tcPr>
            <w:tcW w:w="1526" w:type="dxa"/>
            <w:vMerge/>
            <w:hideMark/>
          </w:tcPr>
          <w:p w:rsidR="00381765" w:rsidRPr="00381765" w:rsidRDefault="00381765" w:rsidP="00381765"/>
        </w:tc>
        <w:tc>
          <w:tcPr>
            <w:tcW w:w="834" w:type="dxa"/>
            <w:noWrap/>
            <w:hideMark/>
          </w:tcPr>
          <w:p w:rsidR="00381765" w:rsidRPr="00381765" w:rsidRDefault="00534D9F" w:rsidP="00381765">
            <w:r>
              <w:t>7</w:t>
            </w:r>
          </w:p>
        </w:tc>
        <w:tc>
          <w:tcPr>
            <w:tcW w:w="1434" w:type="dxa"/>
            <w:hideMark/>
          </w:tcPr>
          <w:p w:rsidR="00381765" w:rsidRDefault="00381765" w:rsidP="00381765">
            <w:r w:rsidRPr="00381765">
              <w:t>Number of parent/carer assessments completed</w:t>
            </w:r>
          </w:p>
          <w:p w:rsidR="004D176E" w:rsidRPr="00381765" w:rsidRDefault="004D176E" w:rsidP="00381765"/>
        </w:tc>
        <w:tc>
          <w:tcPr>
            <w:tcW w:w="2410" w:type="dxa"/>
          </w:tcPr>
          <w:p w:rsidR="00381765" w:rsidRPr="00381765" w:rsidRDefault="00381765" w:rsidP="00381765"/>
        </w:tc>
        <w:tc>
          <w:tcPr>
            <w:tcW w:w="2551" w:type="dxa"/>
          </w:tcPr>
          <w:p w:rsidR="00381765" w:rsidRPr="00381765" w:rsidRDefault="00381765" w:rsidP="00381765"/>
        </w:tc>
        <w:tc>
          <w:tcPr>
            <w:tcW w:w="2552" w:type="dxa"/>
            <w:noWrap/>
            <w:hideMark/>
          </w:tcPr>
          <w:p w:rsidR="00381765" w:rsidRPr="00381765" w:rsidRDefault="00381765" w:rsidP="00381765"/>
        </w:tc>
        <w:tc>
          <w:tcPr>
            <w:tcW w:w="1701" w:type="dxa"/>
            <w:noWrap/>
            <w:hideMark/>
          </w:tcPr>
          <w:p w:rsidR="00381765" w:rsidRPr="00381765" w:rsidRDefault="00381765" w:rsidP="00381765">
            <w:r w:rsidRPr="00381765">
              <w:t> </w:t>
            </w:r>
          </w:p>
        </w:tc>
      </w:tr>
      <w:tr w:rsidR="00381765" w:rsidRPr="00381765" w:rsidTr="00E40D10">
        <w:trPr>
          <w:trHeight w:val="1155"/>
        </w:trPr>
        <w:tc>
          <w:tcPr>
            <w:tcW w:w="1526" w:type="dxa"/>
            <w:vMerge/>
            <w:hideMark/>
          </w:tcPr>
          <w:p w:rsidR="00381765" w:rsidRPr="00381765" w:rsidRDefault="00381765" w:rsidP="00381765"/>
        </w:tc>
        <w:tc>
          <w:tcPr>
            <w:tcW w:w="834" w:type="dxa"/>
            <w:noWrap/>
            <w:hideMark/>
          </w:tcPr>
          <w:p w:rsidR="00381765" w:rsidRPr="00381765" w:rsidRDefault="00534D9F" w:rsidP="00381765">
            <w:r>
              <w:t>8</w:t>
            </w:r>
          </w:p>
        </w:tc>
        <w:tc>
          <w:tcPr>
            <w:tcW w:w="1434" w:type="dxa"/>
            <w:hideMark/>
          </w:tcPr>
          <w:p w:rsidR="00381765" w:rsidRPr="00381765" w:rsidRDefault="004D176E" w:rsidP="00381765">
            <w:r>
              <w:t xml:space="preserve">%  of young people leaving the service who are </w:t>
            </w:r>
            <w:r w:rsidR="00381765" w:rsidRPr="00381765">
              <w:t>in education, training or employment at 6 months post discharge</w:t>
            </w:r>
          </w:p>
        </w:tc>
        <w:tc>
          <w:tcPr>
            <w:tcW w:w="2410" w:type="dxa"/>
            <w:hideMark/>
          </w:tcPr>
          <w:p w:rsidR="00381765" w:rsidRPr="00381765" w:rsidRDefault="00381765" w:rsidP="00381765"/>
        </w:tc>
        <w:tc>
          <w:tcPr>
            <w:tcW w:w="2551" w:type="dxa"/>
          </w:tcPr>
          <w:p w:rsidR="00381765" w:rsidRPr="00381765" w:rsidRDefault="00381765" w:rsidP="00381765"/>
        </w:tc>
        <w:tc>
          <w:tcPr>
            <w:tcW w:w="2552" w:type="dxa"/>
            <w:noWrap/>
            <w:hideMark/>
          </w:tcPr>
          <w:p w:rsidR="00381765" w:rsidRPr="00381765" w:rsidRDefault="00381765" w:rsidP="00381765"/>
        </w:tc>
        <w:tc>
          <w:tcPr>
            <w:tcW w:w="1701" w:type="dxa"/>
            <w:hideMark/>
          </w:tcPr>
          <w:p w:rsidR="00381765" w:rsidRPr="00381765" w:rsidRDefault="00381765" w:rsidP="00381765">
            <w:r w:rsidRPr="00381765">
              <w:t> </w:t>
            </w:r>
          </w:p>
        </w:tc>
      </w:tr>
      <w:tr w:rsidR="00381765" w:rsidRPr="00381765" w:rsidTr="00E40D10">
        <w:trPr>
          <w:trHeight w:val="885"/>
        </w:trPr>
        <w:tc>
          <w:tcPr>
            <w:tcW w:w="1526" w:type="dxa"/>
            <w:vMerge/>
            <w:hideMark/>
          </w:tcPr>
          <w:p w:rsidR="00381765" w:rsidRPr="00381765" w:rsidRDefault="00381765" w:rsidP="00381765"/>
        </w:tc>
        <w:tc>
          <w:tcPr>
            <w:tcW w:w="834" w:type="dxa"/>
            <w:noWrap/>
            <w:hideMark/>
          </w:tcPr>
          <w:p w:rsidR="00381765" w:rsidRPr="00381765" w:rsidRDefault="00534D9F" w:rsidP="00381765">
            <w:r>
              <w:t>9</w:t>
            </w:r>
          </w:p>
        </w:tc>
        <w:tc>
          <w:tcPr>
            <w:tcW w:w="1434" w:type="dxa"/>
            <w:hideMark/>
          </w:tcPr>
          <w:p w:rsidR="00381765" w:rsidRPr="00381765" w:rsidRDefault="00381765" w:rsidP="00381765">
            <w:r w:rsidRPr="00381765">
              <w:t>Number of safeguarding referrals made</w:t>
            </w:r>
          </w:p>
        </w:tc>
        <w:tc>
          <w:tcPr>
            <w:tcW w:w="2410" w:type="dxa"/>
            <w:hideMark/>
          </w:tcPr>
          <w:p w:rsidR="00381765" w:rsidRPr="00381765" w:rsidRDefault="00381765" w:rsidP="00381765"/>
        </w:tc>
        <w:tc>
          <w:tcPr>
            <w:tcW w:w="2551" w:type="dxa"/>
          </w:tcPr>
          <w:p w:rsidR="00381765" w:rsidRPr="00381765" w:rsidRDefault="00381765" w:rsidP="00381765"/>
        </w:tc>
        <w:tc>
          <w:tcPr>
            <w:tcW w:w="2552" w:type="dxa"/>
            <w:noWrap/>
            <w:hideMark/>
          </w:tcPr>
          <w:p w:rsidR="00381765" w:rsidRPr="00381765" w:rsidRDefault="00381765" w:rsidP="00381765"/>
        </w:tc>
        <w:tc>
          <w:tcPr>
            <w:tcW w:w="1701" w:type="dxa"/>
            <w:noWrap/>
            <w:hideMark/>
          </w:tcPr>
          <w:p w:rsidR="00381765" w:rsidRPr="00381765" w:rsidRDefault="00381765" w:rsidP="00381765">
            <w:r w:rsidRPr="00381765">
              <w:t> </w:t>
            </w:r>
          </w:p>
        </w:tc>
      </w:tr>
      <w:tr w:rsidR="00381765" w:rsidRPr="00381765" w:rsidTr="00E40D10">
        <w:trPr>
          <w:trHeight w:val="885"/>
        </w:trPr>
        <w:tc>
          <w:tcPr>
            <w:tcW w:w="1526" w:type="dxa"/>
            <w:vMerge/>
            <w:hideMark/>
          </w:tcPr>
          <w:p w:rsidR="00381765" w:rsidRPr="00381765" w:rsidRDefault="00381765" w:rsidP="00381765"/>
        </w:tc>
        <w:tc>
          <w:tcPr>
            <w:tcW w:w="834" w:type="dxa"/>
            <w:noWrap/>
            <w:hideMark/>
          </w:tcPr>
          <w:p w:rsidR="00381765" w:rsidRPr="00381765" w:rsidRDefault="00534D9F" w:rsidP="00381765">
            <w:r>
              <w:t>10</w:t>
            </w:r>
          </w:p>
        </w:tc>
        <w:tc>
          <w:tcPr>
            <w:tcW w:w="1434" w:type="dxa"/>
            <w:hideMark/>
          </w:tcPr>
          <w:p w:rsidR="00381765" w:rsidRDefault="00381765" w:rsidP="00381765">
            <w:r w:rsidRPr="00381765">
              <w:t>Number of young people supported who have a CAF in place</w:t>
            </w:r>
          </w:p>
          <w:p w:rsidR="004D176E" w:rsidRPr="00381765" w:rsidRDefault="004D176E" w:rsidP="00381765"/>
        </w:tc>
        <w:tc>
          <w:tcPr>
            <w:tcW w:w="2410" w:type="dxa"/>
            <w:hideMark/>
          </w:tcPr>
          <w:p w:rsidR="00381765" w:rsidRPr="00381765" w:rsidRDefault="00381765" w:rsidP="00381765"/>
        </w:tc>
        <w:tc>
          <w:tcPr>
            <w:tcW w:w="2551" w:type="dxa"/>
          </w:tcPr>
          <w:p w:rsidR="00381765" w:rsidRPr="00381765" w:rsidRDefault="00381765" w:rsidP="00381765"/>
        </w:tc>
        <w:tc>
          <w:tcPr>
            <w:tcW w:w="2552" w:type="dxa"/>
            <w:noWrap/>
            <w:hideMark/>
          </w:tcPr>
          <w:p w:rsidR="00381765" w:rsidRPr="00381765" w:rsidRDefault="00381765" w:rsidP="00381765"/>
        </w:tc>
        <w:tc>
          <w:tcPr>
            <w:tcW w:w="1701" w:type="dxa"/>
            <w:noWrap/>
            <w:hideMark/>
          </w:tcPr>
          <w:p w:rsidR="00381765" w:rsidRPr="00381765" w:rsidRDefault="00381765" w:rsidP="00381765">
            <w:r w:rsidRPr="00381765">
              <w:t> </w:t>
            </w:r>
          </w:p>
        </w:tc>
      </w:tr>
      <w:tr w:rsidR="00381765" w:rsidRPr="00381765" w:rsidTr="00E40D10">
        <w:trPr>
          <w:trHeight w:val="885"/>
        </w:trPr>
        <w:tc>
          <w:tcPr>
            <w:tcW w:w="1526" w:type="dxa"/>
            <w:vMerge/>
            <w:hideMark/>
          </w:tcPr>
          <w:p w:rsidR="00381765" w:rsidRPr="00381765" w:rsidRDefault="00381765" w:rsidP="00381765"/>
        </w:tc>
        <w:tc>
          <w:tcPr>
            <w:tcW w:w="834" w:type="dxa"/>
            <w:noWrap/>
            <w:hideMark/>
          </w:tcPr>
          <w:p w:rsidR="00381765" w:rsidRPr="00381765" w:rsidRDefault="00534D9F" w:rsidP="00381765">
            <w:r>
              <w:t>11</w:t>
            </w:r>
          </w:p>
        </w:tc>
        <w:tc>
          <w:tcPr>
            <w:tcW w:w="1434" w:type="dxa"/>
            <w:hideMark/>
          </w:tcPr>
          <w:p w:rsidR="00381765" w:rsidRDefault="00381765" w:rsidP="00381765">
            <w:r w:rsidRPr="00381765">
              <w:t>Number of young people supported who have a Child in Need plan in place</w:t>
            </w:r>
          </w:p>
          <w:p w:rsidR="004D176E" w:rsidRPr="00381765" w:rsidRDefault="004D176E" w:rsidP="00381765"/>
        </w:tc>
        <w:tc>
          <w:tcPr>
            <w:tcW w:w="2410" w:type="dxa"/>
          </w:tcPr>
          <w:p w:rsidR="00381765" w:rsidRPr="00381765" w:rsidRDefault="00381765" w:rsidP="00381765"/>
        </w:tc>
        <w:tc>
          <w:tcPr>
            <w:tcW w:w="2551" w:type="dxa"/>
          </w:tcPr>
          <w:p w:rsidR="00381765" w:rsidRPr="00381765" w:rsidRDefault="00381765" w:rsidP="00381765"/>
        </w:tc>
        <w:tc>
          <w:tcPr>
            <w:tcW w:w="2552" w:type="dxa"/>
            <w:noWrap/>
            <w:hideMark/>
          </w:tcPr>
          <w:p w:rsidR="00381765" w:rsidRPr="00381765" w:rsidRDefault="00381765" w:rsidP="00381765"/>
        </w:tc>
        <w:tc>
          <w:tcPr>
            <w:tcW w:w="1701" w:type="dxa"/>
            <w:noWrap/>
            <w:hideMark/>
          </w:tcPr>
          <w:p w:rsidR="00381765" w:rsidRPr="00381765" w:rsidRDefault="00381765" w:rsidP="00381765">
            <w:r w:rsidRPr="00381765">
              <w:t> </w:t>
            </w:r>
          </w:p>
        </w:tc>
      </w:tr>
      <w:tr w:rsidR="00381765" w:rsidRPr="00381765" w:rsidTr="00E40D10">
        <w:trPr>
          <w:trHeight w:val="885"/>
        </w:trPr>
        <w:tc>
          <w:tcPr>
            <w:tcW w:w="1526" w:type="dxa"/>
            <w:vMerge/>
            <w:hideMark/>
          </w:tcPr>
          <w:p w:rsidR="00381765" w:rsidRPr="00381765" w:rsidRDefault="00381765" w:rsidP="00381765"/>
        </w:tc>
        <w:tc>
          <w:tcPr>
            <w:tcW w:w="834" w:type="dxa"/>
            <w:noWrap/>
            <w:hideMark/>
          </w:tcPr>
          <w:p w:rsidR="00381765" w:rsidRPr="00381765" w:rsidRDefault="00534D9F" w:rsidP="00381765">
            <w:r>
              <w:t>12</w:t>
            </w:r>
          </w:p>
        </w:tc>
        <w:tc>
          <w:tcPr>
            <w:tcW w:w="1434" w:type="dxa"/>
            <w:hideMark/>
          </w:tcPr>
          <w:p w:rsidR="00381765" w:rsidRDefault="00381765" w:rsidP="00381765">
            <w:r w:rsidRPr="00381765">
              <w:t>Number of young people supported who have a Child Protection plan in place (not including child exploitation plan)</w:t>
            </w:r>
          </w:p>
          <w:p w:rsidR="004D176E" w:rsidRPr="00381765" w:rsidRDefault="004D176E" w:rsidP="00381765"/>
        </w:tc>
        <w:tc>
          <w:tcPr>
            <w:tcW w:w="2410" w:type="dxa"/>
            <w:hideMark/>
          </w:tcPr>
          <w:p w:rsidR="00381765" w:rsidRPr="00381765" w:rsidRDefault="00381765" w:rsidP="00381765"/>
        </w:tc>
        <w:tc>
          <w:tcPr>
            <w:tcW w:w="2551" w:type="dxa"/>
          </w:tcPr>
          <w:p w:rsidR="00381765" w:rsidRPr="00381765" w:rsidRDefault="00381765" w:rsidP="00381765"/>
        </w:tc>
        <w:tc>
          <w:tcPr>
            <w:tcW w:w="2552" w:type="dxa"/>
            <w:noWrap/>
            <w:hideMark/>
          </w:tcPr>
          <w:p w:rsidR="00381765" w:rsidRPr="00381765" w:rsidRDefault="00381765" w:rsidP="00381765"/>
        </w:tc>
        <w:tc>
          <w:tcPr>
            <w:tcW w:w="1701" w:type="dxa"/>
            <w:noWrap/>
            <w:hideMark/>
          </w:tcPr>
          <w:p w:rsidR="00381765" w:rsidRPr="00381765" w:rsidRDefault="00381765" w:rsidP="00381765">
            <w:r w:rsidRPr="00381765">
              <w:t> </w:t>
            </w:r>
          </w:p>
        </w:tc>
      </w:tr>
      <w:tr w:rsidR="00381765" w:rsidRPr="00381765" w:rsidTr="00E40D10">
        <w:trPr>
          <w:trHeight w:val="885"/>
        </w:trPr>
        <w:tc>
          <w:tcPr>
            <w:tcW w:w="1526" w:type="dxa"/>
            <w:vMerge/>
            <w:hideMark/>
          </w:tcPr>
          <w:p w:rsidR="00381765" w:rsidRPr="00381765" w:rsidRDefault="00381765" w:rsidP="00381765"/>
        </w:tc>
        <w:tc>
          <w:tcPr>
            <w:tcW w:w="834" w:type="dxa"/>
            <w:noWrap/>
            <w:hideMark/>
          </w:tcPr>
          <w:p w:rsidR="00381765" w:rsidRPr="00381765" w:rsidRDefault="00534D9F" w:rsidP="00381765">
            <w:r>
              <w:t>13</w:t>
            </w:r>
            <w:r w:rsidR="00381765" w:rsidRPr="00381765">
              <w:t> </w:t>
            </w:r>
          </w:p>
        </w:tc>
        <w:tc>
          <w:tcPr>
            <w:tcW w:w="1434" w:type="dxa"/>
            <w:hideMark/>
          </w:tcPr>
          <w:p w:rsidR="00381765" w:rsidRPr="00381765" w:rsidRDefault="00381765" w:rsidP="00381765">
            <w:r w:rsidRPr="00381765">
              <w:t>Number of young people supported who have a child exploitation plan in place</w:t>
            </w:r>
          </w:p>
        </w:tc>
        <w:tc>
          <w:tcPr>
            <w:tcW w:w="2410" w:type="dxa"/>
            <w:hideMark/>
          </w:tcPr>
          <w:p w:rsidR="00381765" w:rsidRPr="00381765" w:rsidRDefault="00381765" w:rsidP="00381765"/>
        </w:tc>
        <w:tc>
          <w:tcPr>
            <w:tcW w:w="2551" w:type="dxa"/>
          </w:tcPr>
          <w:p w:rsidR="00381765" w:rsidRPr="00381765" w:rsidRDefault="00381765" w:rsidP="00381765"/>
        </w:tc>
        <w:tc>
          <w:tcPr>
            <w:tcW w:w="2552" w:type="dxa"/>
            <w:noWrap/>
            <w:hideMark/>
          </w:tcPr>
          <w:p w:rsidR="00381765" w:rsidRPr="00381765" w:rsidRDefault="00381765" w:rsidP="00381765"/>
        </w:tc>
        <w:tc>
          <w:tcPr>
            <w:tcW w:w="1701" w:type="dxa"/>
            <w:noWrap/>
            <w:hideMark/>
          </w:tcPr>
          <w:p w:rsidR="00381765" w:rsidRPr="00381765" w:rsidRDefault="00381765" w:rsidP="00381765">
            <w:r w:rsidRPr="00381765">
              <w:t> </w:t>
            </w:r>
          </w:p>
        </w:tc>
      </w:tr>
      <w:tr w:rsidR="00381765" w:rsidRPr="00381765" w:rsidTr="00E40D10">
        <w:trPr>
          <w:trHeight w:val="885"/>
        </w:trPr>
        <w:tc>
          <w:tcPr>
            <w:tcW w:w="1526" w:type="dxa"/>
            <w:vMerge/>
            <w:hideMark/>
          </w:tcPr>
          <w:p w:rsidR="00381765" w:rsidRPr="00381765" w:rsidRDefault="00381765" w:rsidP="00381765"/>
        </w:tc>
        <w:tc>
          <w:tcPr>
            <w:tcW w:w="834" w:type="dxa"/>
            <w:noWrap/>
            <w:hideMark/>
          </w:tcPr>
          <w:p w:rsidR="00381765" w:rsidRPr="00381765" w:rsidRDefault="00534D9F" w:rsidP="00381765">
            <w:r>
              <w:t>14</w:t>
            </w:r>
          </w:p>
        </w:tc>
        <w:tc>
          <w:tcPr>
            <w:tcW w:w="1434" w:type="dxa"/>
            <w:hideMark/>
          </w:tcPr>
          <w:p w:rsidR="00381765" w:rsidRDefault="00381765" w:rsidP="00381765">
            <w:r w:rsidRPr="00381765">
              <w:t>Number of young people supported who are Looked After</w:t>
            </w:r>
          </w:p>
          <w:p w:rsidR="004D176E" w:rsidRPr="00381765" w:rsidRDefault="004D176E" w:rsidP="00381765"/>
        </w:tc>
        <w:tc>
          <w:tcPr>
            <w:tcW w:w="2410" w:type="dxa"/>
            <w:hideMark/>
          </w:tcPr>
          <w:p w:rsidR="00381765" w:rsidRPr="00381765" w:rsidRDefault="00381765" w:rsidP="00381765"/>
        </w:tc>
        <w:tc>
          <w:tcPr>
            <w:tcW w:w="2551" w:type="dxa"/>
          </w:tcPr>
          <w:p w:rsidR="00381765" w:rsidRPr="00381765" w:rsidRDefault="00381765" w:rsidP="00381765"/>
        </w:tc>
        <w:tc>
          <w:tcPr>
            <w:tcW w:w="2552" w:type="dxa"/>
            <w:noWrap/>
          </w:tcPr>
          <w:p w:rsidR="00381765" w:rsidRPr="00381765" w:rsidRDefault="00381765" w:rsidP="00381765"/>
        </w:tc>
        <w:tc>
          <w:tcPr>
            <w:tcW w:w="1701" w:type="dxa"/>
            <w:noWrap/>
            <w:hideMark/>
          </w:tcPr>
          <w:p w:rsidR="00381765" w:rsidRPr="00381765" w:rsidRDefault="00381765" w:rsidP="00381765">
            <w:r w:rsidRPr="00381765">
              <w:t> </w:t>
            </w:r>
          </w:p>
        </w:tc>
      </w:tr>
      <w:tr w:rsidR="00381765" w:rsidRPr="00381765" w:rsidTr="00E40D10">
        <w:trPr>
          <w:trHeight w:val="885"/>
        </w:trPr>
        <w:tc>
          <w:tcPr>
            <w:tcW w:w="1526" w:type="dxa"/>
            <w:vMerge/>
            <w:hideMark/>
          </w:tcPr>
          <w:p w:rsidR="00381765" w:rsidRPr="00381765" w:rsidRDefault="00381765" w:rsidP="00381765"/>
        </w:tc>
        <w:tc>
          <w:tcPr>
            <w:tcW w:w="834" w:type="dxa"/>
            <w:noWrap/>
            <w:hideMark/>
          </w:tcPr>
          <w:p w:rsidR="00381765" w:rsidRPr="00381765" w:rsidRDefault="00534D9F" w:rsidP="00381765">
            <w:r>
              <w:t>15</w:t>
            </w:r>
          </w:p>
        </w:tc>
        <w:tc>
          <w:tcPr>
            <w:tcW w:w="1434" w:type="dxa"/>
            <w:hideMark/>
          </w:tcPr>
          <w:p w:rsidR="00381765" w:rsidRDefault="00381765" w:rsidP="00381765">
            <w:r w:rsidRPr="00381765">
              <w:t>Preventative Activity:  Number of preventative groups delivered</w:t>
            </w:r>
          </w:p>
          <w:p w:rsidR="004D176E" w:rsidRPr="00381765" w:rsidRDefault="004D176E" w:rsidP="00381765"/>
        </w:tc>
        <w:tc>
          <w:tcPr>
            <w:tcW w:w="2410" w:type="dxa"/>
            <w:hideMark/>
          </w:tcPr>
          <w:p w:rsidR="00381765" w:rsidRPr="00381765" w:rsidRDefault="00381765" w:rsidP="00381765"/>
        </w:tc>
        <w:tc>
          <w:tcPr>
            <w:tcW w:w="2551" w:type="dxa"/>
          </w:tcPr>
          <w:p w:rsidR="00381765" w:rsidRPr="00381765" w:rsidRDefault="00381765" w:rsidP="00381765"/>
        </w:tc>
        <w:tc>
          <w:tcPr>
            <w:tcW w:w="2552" w:type="dxa"/>
            <w:noWrap/>
            <w:hideMark/>
          </w:tcPr>
          <w:p w:rsidR="00381765" w:rsidRPr="00381765" w:rsidRDefault="00381765" w:rsidP="00381765"/>
        </w:tc>
        <w:tc>
          <w:tcPr>
            <w:tcW w:w="1701" w:type="dxa"/>
            <w:noWrap/>
            <w:hideMark/>
          </w:tcPr>
          <w:p w:rsidR="00381765" w:rsidRPr="00381765" w:rsidRDefault="00381765" w:rsidP="00381765">
            <w:r w:rsidRPr="00381765">
              <w:t> </w:t>
            </w:r>
          </w:p>
        </w:tc>
      </w:tr>
      <w:tr w:rsidR="00381765" w:rsidRPr="00381765" w:rsidTr="00E40D10">
        <w:trPr>
          <w:trHeight w:val="765"/>
        </w:trPr>
        <w:tc>
          <w:tcPr>
            <w:tcW w:w="1526" w:type="dxa"/>
            <w:vMerge/>
            <w:hideMark/>
          </w:tcPr>
          <w:p w:rsidR="00381765" w:rsidRPr="00381765" w:rsidRDefault="00381765" w:rsidP="00381765"/>
        </w:tc>
        <w:tc>
          <w:tcPr>
            <w:tcW w:w="834" w:type="dxa"/>
            <w:noWrap/>
            <w:hideMark/>
          </w:tcPr>
          <w:p w:rsidR="00381765" w:rsidRPr="00381765" w:rsidRDefault="00534D9F" w:rsidP="00381765">
            <w:r>
              <w:t>16</w:t>
            </w:r>
          </w:p>
        </w:tc>
        <w:tc>
          <w:tcPr>
            <w:tcW w:w="1434" w:type="dxa"/>
            <w:hideMark/>
          </w:tcPr>
          <w:p w:rsidR="00381765" w:rsidRDefault="00381765" w:rsidP="00381765">
            <w:r w:rsidRPr="00381765">
              <w:t>Preventative Activity:  Number of young people participating in preventative group activity</w:t>
            </w:r>
          </w:p>
          <w:p w:rsidR="004D176E" w:rsidRPr="00381765" w:rsidRDefault="004D176E" w:rsidP="00381765"/>
        </w:tc>
        <w:tc>
          <w:tcPr>
            <w:tcW w:w="2410" w:type="dxa"/>
            <w:hideMark/>
          </w:tcPr>
          <w:p w:rsidR="00381765" w:rsidRPr="00381765" w:rsidRDefault="00381765" w:rsidP="00381765"/>
        </w:tc>
        <w:tc>
          <w:tcPr>
            <w:tcW w:w="2551" w:type="dxa"/>
          </w:tcPr>
          <w:p w:rsidR="00381765" w:rsidRPr="00381765" w:rsidRDefault="00381765" w:rsidP="00381765"/>
        </w:tc>
        <w:tc>
          <w:tcPr>
            <w:tcW w:w="2552" w:type="dxa"/>
            <w:noWrap/>
            <w:hideMark/>
          </w:tcPr>
          <w:p w:rsidR="00381765" w:rsidRPr="00381765" w:rsidRDefault="00381765" w:rsidP="00381765"/>
        </w:tc>
        <w:tc>
          <w:tcPr>
            <w:tcW w:w="1701" w:type="dxa"/>
            <w:hideMark/>
          </w:tcPr>
          <w:p w:rsidR="00381765" w:rsidRPr="00381765" w:rsidRDefault="00381765" w:rsidP="00381765">
            <w:r w:rsidRPr="00381765">
              <w:t> </w:t>
            </w:r>
          </w:p>
        </w:tc>
      </w:tr>
      <w:tr w:rsidR="00381765" w:rsidRPr="00381765" w:rsidTr="00E40D10">
        <w:trPr>
          <w:trHeight w:val="1500"/>
        </w:trPr>
        <w:tc>
          <w:tcPr>
            <w:tcW w:w="1526" w:type="dxa"/>
            <w:vMerge/>
            <w:hideMark/>
          </w:tcPr>
          <w:p w:rsidR="00381765" w:rsidRPr="00381765" w:rsidRDefault="00381765" w:rsidP="00381765"/>
        </w:tc>
        <w:tc>
          <w:tcPr>
            <w:tcW w:w="834" w:type="dxa"/>
            <w:noWrap/>
            <w:hideMark/>
          </w:tcPr>
          <w:p w:rsidR="00381765" w:rsidRPr="00381765" w:rsidRDefault="00534D9F" w:rsidP="00381765">
            <w:r>
              <w:t>17</w:t>
            </w:r>
          </w:p>
        </w:tc>
        <w:tc>
          <w:tcPr>
            <w:tcW w:w="1434" w:type="dxa"/>
            <w:hideMark/>
          </w:tcPr>
          <w:p w:rsidR="00381765" w:rsidRPr="00381765" w:rsidRDefault="00381765" w:rsidP="00381765">
            <w:r w:rsidRPr="00381765">
              <w:t xml:space="preserve">Mental wellbeing: 70% of young people will report an improvement in their emotional wellbeing (using </w:t>
            </w:r>
            <w:r w:rsidRPr="00381765">
              <w:lastRenderedPageBreak/>
              <w:t>Outcomes Star)</w:t>
            </w:r>
          </w:p>
        </w:tc>
        <w:tc>
          <w:tcPr>
            <w:tcW w:w="2410" w:type="dxa"/>
            <w:hideMark/>
          </w:tcPr>
          <w:p w:rsidR="00381765" w:rsidRPr="00381765" w:rsidRDefault="00381765" w:rsidP="00381765"/>
        </w:tc>
        <w:tc>
          <w:tcPr>
            <w:tcW w:w="2551" w:type="dxa"/>
          </w:tcPr>
          <w:p w:rsidR="00381765" w:rsidRPr="00381765" w:rsidRDefault="00381765" w:rsidP="00381765"/>
        </w:tc>
        <w:tc>
          <w:tcPr>
            <w:tcW w:w="2552" w:type="dxa"/>
            <w:noWrap/>
            <w:hideMark/>
          </w:tcPr>
          <w:p w:rsidR="00381765" w:rsidRPr="00381765" w:rsidRDefault="00381765" w:rsidP="00381765">
            <w:r w:rsidRPr="00381765">
              <w:t>70%</w:t>
            </w:r>
          </w:p>
        </w:tc>
        <w:tc>
          <w:tcPr>
            <w:tcW w:w="1701" w:type="dxa"/>
            <w:noWrap/>
            <w:hideMark/>
          </w:tcPr>
          <w:p w:rsidR="00381765" w:rsidRPr="00381765" w:rsidRDefault="00381765" w:rsidP="00381765">
            <w:r w:rsidRPr="00381765">
              <w:t> </w:t>
            </w:r>
          </w:p>
        </w:tc>
      </w:tr>
      <w:tr w:rsidR="00381765" w:rsidRPr="00381765" w:rsidTr="00E40D10">
        <w:trPr>
          <w:trHeight w:val="1410"/>
        </w:trPr>
        <w:tc>
          <w:tcPr>
            <w:tcW w:w="1526" w:type="dxa"/>
            <w:vMerge/>
            <w:hideMark/>
          </w:tcPr>
          <w:p w:rsidR="00381765" w:rsidRPr="00381765" w:rsidRDefault="00381765" w:rsidP="00381765"/>
        </w:tc>
        <w:tc>
          <w:tcPr>
            <w:tcW w:w="834" w:type="dxa"/>
            <w:noWrap/>
            <w:hideMark/>
          </w:tcPr>
          <w:p w:rsidR="00381765" w:rsidRPr="00381765" w:rsidRDefault="00534D9F" w:rsidP="00381765">
            <w:r>
              <w:t>18</w:t>
            </w:r>
          </w:p>
        </w:tc>
        <w:tc>
          <w:tcPr>
            <w:tcW w:w="1434" w:type="dxa"/>
            <w:hideMark/>
          </w:tcPr>
          <w:p w:rsidR="00381765" w:rsidRDefault="00381765" w:rsidP="00381765">
            <w:r w:rsidRPr="00381765">
              <w:t>Physical wellbeing 70% of young people will report an improvement in their physical wellbeing (using Outcomes Star)</w:t>
            </w:r>
          </w:p>
          <w:p w:rsidR="004D176E" w:rsidRPr="00381765" w:rsidRDefault="004D176E" w:rsidP="00381765"/>
        </w:tc>
        <w:tc>
          <w:tcPr>
            <w:tcW w:w="2410" w:type="dxa"/>
            <w:hideMark/>
          </w:tcPr>
          <w:p w:rsidR="00381765" w:rsidRPr="00381765" w:rsidRDefault="00381765" w:rsidP="00381765">
            <w:r w:rsidRPr="00381765">
              <w:t>Baseline to be set</w:t>
            </w:r>
          </w:p>
        </w:tc>
        <w:tc>
          <w:tcPr>
            <w:tcW w:w="2551" w:type="dxa"/>
          </w:tcPr>
          <w:p w:rsidR="00381765" w:rsidRPr="00381765" w:rsidRDefault="00381765" w:rsidP="00381765"/>
        </w:tc>
        <w:tc>
          <w:tcPr>
            <w:tcW w:w="2552" w:type="dxa"/>
            <w:noWrap/>
            <w:hideMark/>
          </w:tcPr>
          <w:p w:rsidR="00381765" w:rsidRPr="00381765" w:rsidRDefault="00381765" w:rsidP="00381765">
            <w:r w:rsidRPr="00381765">
              <w:t>70%</w:t>
            </w:r>
          </w:p>
        </w:tc>
        <w:tc>
          <w:tcPr>
            <w:tcW w:w="1701" w:type="dxa"/>
            <w:noWrap/>
            <w:hideMark/>
          </w:tcPr>
          <w:p w:rsidR="00381765" w:rsidRPr="00381765" w:rsidRDefault="00381765" w:rsidP="00381765">
            <w:r w:rsidRPr="00381765">
              <w:t> </w:t>
            </w:r>
          </w:p>
        </w:tc>
      </w:tr>
    </w:tbl>
    <w:p w:rsidR="00381765" w:rsidRDefault="00381765" w:rsidP="00EA792F">
      <w:pPr>
        <w:spacing w:after="0" w:line="240" w:lineRule="auto"/>
      </w:pPr>
    </w:p>
    <w:sectPr w:rsidR="00381765" w:rsidSect="009E7CB2">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7F6" w:rsidRDefault="000237F6" w:rsidP="009E7CB2">
      <w:pPr>
        <w:spacing w:after="0" w:line="240" w:lineRule="auto"/>
      </w:pPr>
      <w:r>
        <w:separator/>
      </w:r>
    </w:p>
  </w:endnote>
  <w:endnote w:type="continuationSeparator" w:id="0">
    <w:p w:rsidR="000237F6" w:rsidRDefault="000237F6" w:rsidP="009E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F6" w:rsidRPr="002C4AFA" w:rsidRDefault="002C4AFA" w:rsidP="002C4AFA">
    <w:pPr>
      <w:pStyle w:val="Footer"/>
      <w:jc w:val="center"/>
    </w:pPr>
    <w:fldSimple w:instr=" DOCPROPERTY bjFooterEvenPageDocProperty \* MERGEFORMAT " w:fldLock="1">
      <w:r w:rsidRPr="002C4AFA">
        <w:rPr>
          <w:rFonts w:ascii="Arial" w:hAnsi="Arial" w:cs="Arial"/>
          <w:color w:val="0000FF"/>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FA" w:rsidRDefault="002C4AFA" w:rsidP="002C4AFA">
    <w:pPr>
      <w:pStyle w:val="Footer"/>
      <w:jc w:val="center"/>
    </w:pPr>
    <w:fldSimple w:instr=" DOCPROPERTY bjFooterBothDocProperty \* MERGEFORMAT " w:fldLock="1">
      <w:r w:rsidRPr="002C4AFA">
        <w:rPr>
          <w:rFonts w:ascii="Arial" w:hAnsi="Arial" w:cs="Arial"/>
          <w:color w:val="0000FF"/>
          <w:sz w:val="24"/>
        </w:rPr>
        <w:t>OFFICIAL</w:t>
      </w:r>
    </w:fldSimple>
  </w:p>
  <w:sdt>
    <w:sdtPr>
      <w:id w:val="-2039726733"/>
      <w:docPartObj>
        <w:docPartGallery w:val="Page Numbers (Bottom of Page)"/>
        <w:docPartUnique/>
      </w:docPartObj>
    </w:sdtPr>
    <w:sdtEndPr>
      <w:rPr>
        <w:noProof/>
      </w:rPr>
    </w:sdtEndPr>
    <w:sdtContent>
      <w:p w:rsidR="000237F6" w:rsidRDefault="000237F6">
        <w:pPr>
          <w:pStyle w:val="Footer"/>
          <w:jc w:val="right"/>
        </w:pPr>
        <w:r>
          <w:fldChar w:fldCharType="begin"/>
        </w:r>
        <w:r>
          <w:instrText xml:space="preserve"> PAGE   \* MERGEFORMAT </w:instrText>
        </w:r>
        <w:r>
          <w:fldChar w:fldCharType="separate"/>
        </w:r>
        <w:r w:rsidR="002C4AFA">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F6" w:rsidRPr="002C4AFA" w:rsidRDefault="002C4AFA" w:rsidP="002C4AFA">
    <w:pPr>
      <w:pStyle w:val="Footer"/>
      <w:jc w:val="center"/>
    </w:pPr>
    <w:fldSimple w:instr=" DOCPROPERTY bjFooterFirstPageDocProperty \* MERGEFORMAT " w:fldLock="1">
      <w:r w:rsidRPr="002C4AFA">
        <w:rPr>
          <w:rFonts w:ascii="Arial" w:hAnsi="Arial" w:cs="Arial"/>
          <w:color w:val="0000FF"/>
          <w:sz w:val="24"/>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7F6" w:rsidRDefault="000237F6" w:rsidP="009E7CB2">
      <w:pPr>
        <w:spacing w:after="0" w:line="240" w:lineRule="auto"/>
      </w:pPr>
      <w:r>
        <w:separator/>
      </w:r>
    </w:p>
  </w:footnote>
  <w:footnote w:type="continuationSeparator" w:id="0">
    <w:p w:rsidR="000237F6" w:rsidRDefault="000237F6" w:rsidP="009E7CB2">
      <w:pPr>
        <w:spacing w:after="0" w:line="240" w:lineRule="auto"/>
      </w:pPr>
      <w:r>
        <w:continuationSeparator/>
      </w:r>
    </w:p>
  </w:footnote>
  <w:footnote w:id="1">
    <w:p w:rsidR="000237F6" w:rsidRPr="000373AC" w:rsidRDefault="000237F6" w:rsidP="009E7CB2">
      <w:pPr>
        <w:pStyle w:val="FootnoteText"/>
        <w:rPr>
          <w:rFonts w:cstheme="minorHAnsi"/>
        </w:rPr>
      </w:pPr>
      <w:r w:rsidRPr="000373AC">
        <w:rPr>
          <w:rStyle w:val="FootnoteReference"/>
          <w:rFonts w:cstheme="minorHAnsi"/>
        </w:rPr>
        <w:footnoteRef/>
      </w:r>
      <w:r w:rsidRPr="000373AC">
        <w:rPr>
          <w:rFonts w:cstheme="minorHAnsi"/>
        </w:rPr>
        <w:t xml:space="preserve"> </w:t>
      </w:r>
      <w:r>
        <w:rPr>
          <w:rFonts w:cstheme="minorHAnsi"/>
        </w:rPr>
        <w:t xml:space="preserve">New Economics Foundation (2008) 5 Ways to wellbeing </w:t>
      </w:r>
      <w:hyperlink r:id="rId1" w:history="1">
        <w:r w:rsidRPr="00735E4D">
          <w:rPr>
            <w:rStyle w:val="Hyperlink"/>
            <w:rFonts w:cstheme="minorHAnsi"/>
          </w:rPr>
          <w:t>http://neweconomics.org/2008/10/five-ways-to-wellbeing-the-evidence/</w:t>
        </w:r>
      </w:hyperlink>
      <w:r>
        <w:rPr>
          <w:rFonts w:cstheme="minorHAnsi"/>
        </w:rPr>
        <w:t xml:space="preserve"> </w:t>
      </w:r>
    </w:p>
  </w:footnote>
  <w:footnote w:id="2">
    <w:p w:rsidR="000237F6" w:rsidRPr="000373AC" w:rsidRDefault="000237F6" w:rsidP="009E7CB2">
      <w:pPr>
        <w:pStyle w:val="FootnoteText"/>
        <w:rPr>
          <w:rFonts w:cstheme="minorHAnsi"/>
        </w:rPr>
      </w:pPr>
      <w:r w:rsidRPr="000373AC">
        <w:rPr>
          <w:rStyle w:val="FootnoteReference"/>
          <w:rFonts w:cstheme="minorHAnsi"/>
        </w:rPr>
        <w:footnoteRef/>
      </w:r>
      <w:r w:rsidRPr="000373AC">
        <w:rPr>
          <w:rFonts w:cstheme="minorHAnsi"/>
        </w:rPr>
        <w:t xml:space="preserve"> </w:t>
      </w:r>
      <w:r>
        <w:rPr>
          <w:rFonts w:cstheme="minorHAnsi"/>
        </w:rPr>
        <w:t xml:space="preserve">Outcomes Star – Drugs and Alcohol </w:t>
      </w:r>
      <w:hyperlink r:id="rId2" w:history="1">
        <w:r w:rsidRPr="00735E4D">
          <w:rPr>
            <w:rStyle w:val="Hyperlink"/>
            <w:rFonts w:cstheme="minorHAnsi"/>
          </w:rPr>
          <w:t>https://www.staronline.org.uk/star_mock_homepage.asp?section=721</w:t>
        </w:r>
      </w:hyperlink>
      <w:r>
        <w:rPr>
          <w:rFonts w:cstheme="minorHAnsi"/>
        </w:rPr>
        <w:t xml:space="preserve"> </w:t>
      </w:r>
    </w:p>
  </w:footnote>
  <w:footnote w:id="3">
    <w:p w:rsidR="000237F6" w:rsidRDefault="000237F6" w:rsidP="009E7CB2">
      <w:pPr>
        <w:pStyle w:val="FootnoteText"/>
      </w:pPr>
      <w:r w:rsidRPr="000373AC">
        <w:rPr>
          <w:rStyle w:val="FootnoteReference"/>
          <w:rFonts w:cstheme="minorHAnsi"/>
        </w:rPr>
        <w:footnoteRef/>
      </w:r>
      <w:r w:rsidRPr="000373AC">
        <w:rPr>
          <w:rFonts w:cstheme="minorHAnsi"/>
        </w:rPr>
        <w:t xml:space="preserve"> </w:t>
      </w:r>
      <w:r>
        <w:t xml:space="preserve">Warwick-Edinburgh Mental Wellbeing Scale (WEMWBS) </w:t>
      </w:r>
      <w:hyperlink r:id="rId3" w:history="1">
        <w:r w:rsidRPr="00735E4D">
          <w:rPr>
            <w:rStyle w:val="Hyperlink"/>
          </w:rPr>
          <w:t>https://www2.warwick.ac.uk/fac/med/research/platform/wemwbs/</w:t>
        </w:r>
      </w:hyperlink>
      <w:r>
        <w:t xml:space="preserve"> </w:t>
      </w:r>
    </w:p>
  </w:footnote>
  <w:footnote w:id="4">
    <w:p w:rsidR="000237F6" w:rsidRPr="000323B8" w:rsidRDefault="000237F6" w:rsidP="009E7CB2">
      <w:pPr>
        <w:pStyle w:val="FootnoteText"/>
        <w:rPr>
          <w:rFonts w:cstheme="minorHAnsi"/>
        </w:rPr>
      </w:pPr>
      <w:r w:rsidRPr="000323B8">
        <w:rPr>
          <w:rStyle w:val="FootnoteReference"/>
          <w:rFonts w:cstheme="minorHAnsi"/>
        </w:rPr>
        <w:footnoteRef/>
      </w:r>
      <w:r w:rsidRPr="000323B8">
        <w:rPr>
          <w:rFonts w:cstheme="minorHAnsi"/>
        </w:rPr>
        <w:t xml:space="preserve"> </w:t>
      </w:r>
      <w:r>
        <w:rPr>
          <w:rFonts w:cstheme="minorHAnsi"/>
        </w:rPr>
        <w:t xml:space="preserve">Youth Outcomes Star </w:t>
      </w:r>
      <w:hyperlink r:id="rId4" w:history="1">
        <w:r w:rsidRPr="00735E4D">
          <w:rPr>
            <w:rStyle w:val="Hyperlink"/>
            <w:rFonts w:cstheme="minorHAnsi"/>
          </w:rPr>
          <w:t>http://www.outcomesstar.org.uk/using-the-star/see-the-stars/youth-star/</w:t>
        </w:r>
      </w:hyperlink>
      <w:r>
        <w:rPr>
          <w:rFonts w:cs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F6" w:rsidRDefault="000237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F6" w:rsidRDefault="000237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F6" w:rsidRDefault="000237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5B4E"/>
    <w:multiLevelType w:val="hybridMultilevel"/>
    <w:tmpl w:val="08CAA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9B2994"/>
    <w:multiLevelType w:val="hybridMultilevel"/>
    <w:tmpl w:val="AA6A30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AE5366"/>
    <w:multiLevelType w:val="hybridMultilevel"/>
    <w:tmpl w:val="7082C9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A5804F5"/>
    <w:multiLevelType w:val="hybridMultilevel"/>
    <w:tmpl w:val="CAC687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E8476F"/>
    <w:multiLevelType w:val="multilevel"/>
    <w:tmpl w:val="DC424FD2"/>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69AF2B04"/>
    <w:multiLevelType w:val="multilevel"/>
    <w:tmpl w:val="CBC83E5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6CF3F75"/>
    <w:multiLevelType w:val="hybridMultilevel"/>
    <w:tmpl w:val="488C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B2"/>
    <w:rsid w:val="000237F6"/>
    <w:rsid w:val="000E201F"/>
    <w:rsid w:val="002C4AFA"/>
    <w:rsid w:val="00323B36"/>
    <w:rsid w:val="003329A7"/>
    <w:rsid w:val="00381765"/>
    <w:rsid w:val="0049788F"/>
    <w:rsid w:val="004A7BE3"/>
    <w:rsid w:val="004D176E"/>
    <w:rsid w:val="00534D9F"/>
    <w:rsid w:val="0056091B"/>
    <w:rsid w:val="0059013C"/>
    <w:rsid w:val="00746519"/>
    <w:rsid w:val="00871D75"/>
    <w:rsid w:val="00882ADC"/>
    <w:rsid w:val="008D2962"/>
    <w:rsid w:val="009E7CB2"/>
    <w:rsid w:val="00A21C31"/>
    <w:rsid w:val="00C003E6"/>
    <w:rsid w:val="00D550E7"/>
    <w:rsid w:val="00D86730"/>
    <w:rsid w:val="00E40D10"/>
    <w:rsid w:val="00EA792F"/>
    <w:rsid w:val="00ED4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CB2"/>
  </w:style>
  <w:style w:type="paragraph" w:styleId="Footer">
    <w:name w:val="footer"/>
    <w:basedOn w:val="Normal"/>
    <w:link w:val="FooterChar"/>
    <w:uiPriority w:val="99"/>
    <w:unhideWhenUsed/>
    <w:rsid w:val="009E7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CB2"/>
  </w:style>
  <w:style w:type="character" w:styleId="Hyperlink">
    <w:name w:val="Hyperlink"/>
    <w:uiPriority w:val="99"/>
    <w:unhideWhenUsed/>
    <w:rsid w:val="009E7CB2"/>
    <w:rPr>
      <w:color w:val="0000FF"/>
      <w:u w:val="single"/>
    </w:rPr>
  </w:style>
  <w:style w:type="paragraph" w:styleId="FootnoteText">
    <w:name w:val="footnote text"/>
    <w:basedOn w:val="Normal"/>
    <w:link w:val="FootnoteTextChar"/>
    <w:uiPriority w:val="99"/>
    <w:semiHidden/>
    <w:unhideWhenUsed/>
    <w:rsid w:val="009E7C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CB2"/>
    <w:rPr>
      <w:sz w:val="20"/>
      <w:szCs w:val="20"/>
    </w:rPr>
  </w:style>
  <w:style w:type="character" w:styleId="FootnoteReference">
    <w:name w:val="footnote reference"/>
    <w:uiPriority w:val="99"/>
    <w:unhideWhenUsed/>
    <w:rsid w:val="009E7CB2"/>
    <w:rPr>
      <w:rFonts w:ascii="Times New Roman" w:hAnsi="Times New Roman" w:cs="Times New Roman" w:hint="default"/>
      <w:vertAlign w:val="superscript"/>
    </w:rPr>
  </w:style>
  <w:style w:type="table" w:styleId="TableGrid">
    <w:name w:val="Table Grid"/>
    <w:basedOn w:val="TableNormal"/>
    <w:uiPriority w:val="59"/>
    <w:rsid w:val="00EA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2ADC"/>
    <w:rPr>
      <w:sz w:val="16"/>
      <w:szCs w:val="16"/>
    </w:rPr>
  </w:style>
  <w:style w:type="paragraph" w:styleId="CommentText">
    <w:name w:val="annotation text"/>
    <w:basedOn w:val="Normal"/>
    <w:link w:val="CommentTextChar"/>
    <w:uiPriority w:val="99"/>
    <w:semiHidden/>
    <w:unhideWhenUsed/>
    <w:rsid w:val="00882ADC"/>
    <w:pPr>
      <w:spacing w:line="240" w:lineRule="auto"/>
    </w:pPr>
    <w:rPr>
      <w:sz w:val="20"/>
      <w:szCs w:val="20"/>
    </w:rPr>
  </w:style>
  <w:style w:type="character" w:customStyle="1" w:styleId="CommentTextChar">
    <w:name w:val="Comment Text Char"/>
    <w:basedOn w:val="DefaultParagraphFont"/>
    <w:link w:val="CommentText"/>
    <w:uiPriority w:val="99"/>
    <w:semiHidden/>
    <w:rsid w:val="00882ADC"/>
    <w:rPr>
      <w:sz w:val="20"/>
      <w:szCs w:val="20"/>
    </w:rPr>
  </w:style>
  <w:style w:type="paragraph" w:styleId="BalloonText">
    <w:name w:val="Balloon Text"/>
    <w:basedOn w:val="Normal"/>
    <w:link w:val="BalloonTextChar"/>
    <w:uiPriority w:val="99"/>
    <w:semiHidden/>
    <w:unhideWhenUsed/>
    <w:rsid w:val="00882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ADC"/>
    <w:rPr>
      <w:rFonts w:ascii="Tahoma" w:hAnsi="Tahoma" w:cs="Tahoma"/>
      <w:sz w:val="16"/>
      <w:szCs w:val="16"/>
    </w:rPr>
  </w:style>
  <w:style w:type="paragraph" w:styleId="ListParagraph">
    <w:name w:val="List Paragraph"/>
    <w:basedOn w:val="Normal"/>
    <w:uiPriority w:val="34"/>
    <w:qFormat/>
    <w:rsid w:val="00A21C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CB2"/>
  </w:style>
  <w:style w:type="paragraph" w:styleId="Footer">
    <w:name w:val="footer"/>
    <w:basedOn w:val="Normal"/>
    <w:link w:val="FooterChar"/>
    <w:uiPriority w:val="99"/>
    <w:unhideWhenUsed/>
    <w:rsid w:val="009E7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CB2"/>
  </w:style>
  <w:style w:type="character" w:styleId="Hyperlink">
    <w:name w:val="Hyperlink"/>
    <w:uiPriority w:val="99"/>
    <w:unhideWhenUsed/>
    <w:rsid w:val="009E7CB2"/>
    <w:rPr>
      <w:color w:val="0000FF"/>
      <w:u w:val="single"/>
    </w:rPr>
  </w:style>
  <w:style w:type="paragraph" w:styleId="FootnoteText">
    <w:name w:val="footnote text"/>
    <w:basedOn w:val="Normal"/>
    <w:link w:val="FootnoteTextChar"/>
    <w:uiPriority w:val="99"/>
    <w:semiHidden/>
    <w:unhideWhenUsed/>
    <w:rsid w:val="009E7C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CB2"/>
    <w:rPr>
      <w:sz w:val="20"/>
      <w:szCs w:val="20"/>
    </w:rPr>
  </w:style>
  <w:style w:type="character" w:styleId="FootnoteReference">
    <w:name w:val="footnote reference"/>
    <w:uiPriority w:val="99"/>
    <w:unhideWhenUsed/>
    <w:rsid w:val="009E7CB2"/>
    <w:rPr>
      <w:rFonts w:ascii="Times New Roman" w:hAnsi="Times New Roman" w:cs="Times New Roman" w:hint="default"/>
      <w:vertAlign w:val="superscript"/>
    </w:rPr>
  </w:style>
  <w:style w:type="table" w:styleId="TableGrid">
    <w:name w:val="Table Grid"/>
    <w:basedOn w:val="TableNormal"/>
    <w:uiPriority w:val="59"/>
    <w:rsid w:val="00EA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2ADC"/>
    <w:rPr>
      <w:sz w:val="16"/>
      <w:szCs w:val="16"/>
    </w:rPr>
  </w:style>
  <w:style w:type="paragraph" w:styleId="CommentText">
    <w:name w:val="annotation text"/>
    <w:basedOn w:val="Normal"/>
    <w:link w:val="CommentTextChar"/>
    <w:uiPriority w:val="99"/>
    <w:semiHidden/>
    <w:unhideWhenUsed/>
    <w:rsid w:val="00882ADC"/>
    <w:pPr>
      <w:spacing w:line="240" w:lineRule="auto"/>
    </w:pPr>
    <w:rPr>
      <w:sz w:val="20"/>
      <w:szCs w:val="20"/>
    </w:rPr>
  </w:style>
  <w:style w:type="character" w:customStyle="1" w:styleId="CommentTextChar">
    <w:name w:val="Comment Text Char"/>
    <w:basedOn w:val="DefaultParagraphFont"/>
    <w:link w:val="CommentText"/>
    <w:uiPriority w:val="99"/>
    <w:semiHidden/>
    <w:rsid w:val="00882ADC"/>
    <w:rPr>
      <w:sz w:val="20"/>
      <w:szCs w:val="20"/>
    </w:rPr>
  </w:style>
  <w:style w:type="paragraph" w:styleId="BalloonText">
    <w:name w:val="Balloon Text"/>
    <w:basedOn w:val="Normal"/>
    <w:link w:val="BalloonTextChar"/>
    <w:uiPriority w:val="99"/>
    <w:semiHidden/>
    <w:unhideWhenUsed/>
    <w:rsid w:val="00882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ADC"/>
    <w:rPr>
      <w:rFonts w:ascii="Tahoma" w:hAnsi="Tahoma" w:cs="Tahoma"/>
      <w:sz w:val="16"/>
      <w:szCs w:val="16"/>
    </w:rPr>
  </w:style>
  <w:style w:type="paragraph" w:styleId="ListParagraph">
    <w:name w:val="List Paragraph"/>
    <w:basedOn w:val="Normal"/>
    <w:uiPriority w:val="34"/>
    <w:qFormat/>
    <w:rsid w:val="00A21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2.warwick.ac.uk/fac/med/research/platform/wemwbs/" TargetMode="External"/><Relationship Id="rId2" Type="http://schemas.openxmlformats.org/officeDocument/2006/relationships/hyperlink" Target="https://www.staronline.org.uk/star_mock_homepage.asp?section=721" TargetMode="External"/><Relationship Id="rId1" Type="http://schemas.openxmlformats.org/officeDocument/2006/relationships/hyperlink" Target="http://neweconomics.org/2008/10/five-ways-to-wellbeing-the-evidence/" TargetMode="External"/><Relationship Id="rId4" Type="http://schemas.openxmlformats.org/officeDocument/2006/relationships/hyperlink" Target="http://www.outcomesstar.org.uk/using-the-star/see-the-stars/youth-s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478EF041-8D58-4F55-8A5F-AB1A3876E63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246104AE</Template>
  <TotalTime>2</TotalTime>
  <Pages>19</Pages>
  <Words>2418</Words>
  <Characters>14054</Characters>
  <Application>Microsoft Office Word</Application>
  <DocSecurity>0</DocSecurity>
  <Lines>1277</Lines>
  <Paragraphs>392</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Hayley</dc:creator>
  <cp:lastModifiedBy>SHAW, Susan</cp:lastModifiedBy>
  <cp:revision>3</cp:revision>
  <cp:lastPrinted>2018-03-06T08:58:00Z</cp:lastPrinted>
  <dcterms:created xsi:type="dcterms:W3CDTF">2018-03-08T10:06:00Z</dcterms:created>
  <dcterms:modified xsi:type="dcterms:W3CDTF">2018-03-15T08:44:00Z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4736386c-959d-4643-b6cb-7d121f8ed026</vt:lpwstr>
  </property>
  <property fmtid="{D5CDD505-2E9C-101B-9397-08002B2CF9AE}" pid="3" name="bjDocumentLabelXML">
    <vt:lpwstr>&lt;?xml version="1.0" encoding="us-ascii"?&gt;&lt;sisl xmlns:xsi="http://www.w3.org/2001/XMLSchema-instance" xmlns:xsd="http://www.w3.org/2001/XMLSchema"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bjFooterBothDocProperty">
    <vt:lpwstr>OFFICIAL</vt:lpwstr>
  </property>
  <property fmtid="{D5CDD505-2E9C-101B-9397-08002B2CF9AE}" pid="7" name="bjFooterFirstPageDocProperty">
    <vt:lpwstr>OFFICIAL</vt:lpwstr>
  </property>
  <property fmtid="{D5CDD505-2E9C-101B-9397-08002B2CF9AE}" pid="8" name="bjFooterEvenPageDocProperty">
    <vt:lpwstr>OFFICIAL</vt:lpwstr>
  </property>
  <property fmtid="{D5CDD505-2E9C-101B-9397-08002B2CF9AE}" pid="9" name="bjSaver">
    <vt:lpwstr>+4AWWaQw0tQwPdEcBlBGMh5uAlnsR1+M</vt:lpwstr>
  </property>
</Properties>
</file>