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BC" w:rsidRPr="00091B0C" w:rsidRDefault="00E420BC" w:rsidP="00E420BC">
      <w:pPr>
        <w:pStyle w:val="GPSSchTitleandNumber"/>
        <w:jc w:val="left"/>
        <w:rPr>
          <w:rFonts w:ascii="Arial" w:hAnsi="Arial" w:cs="Arial"/>
          <w:caps w:val="0"/>
          <w:sz w:val="36"/>
          <w:szCs w:val="36"/>
        </w:rPr>
      </w:pPr>
    </w:p>
    <w:p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Call</w:t>
      </w:r>
      <w:r w:rsidR="00E420BC">
        <w:rPr>
          <w:rFonts w:ascii="Arial" w:hAnsi="Arial" w:cs="Arial"/>
          <w:caps w:val="0"/>
          <w:sz w:val="36"/>
          <w:szCs w:val="36"/>
        </w:rPr>
        <w:t>-</w:t>
      </w:r>
      <w:r w:rsidRPr="00091B0C">
        <w:rPr>
          <w:rFonts w:ascii="Arial" w:hAnsi="Arial" w:cs="Arial"/>
          <w:caps w:val="0"/>
          <w:sz w:val="36"/>
          <w:szCs w:val="36"/>
        </w:rPr>
        <w:t xml:space="preserve">Off Schedule 14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6A11C8" w:rsidRPr="00091B0C" w:rsidTr="00BD0A9B">
        <w:tc>
          <w:tcPr>
            <w:tcW w:w="2410" w:type="dxa"/>
            <w:shd w:val="clear" w:color="auto" w:fill="auto"/>
          </w:tcPr>
          <w:p w:rsidR="006A11C8" w:rsidRPr="00091B0C" w:rsidRDefault="006A11C8" w:rsidP="009674CA">
            <w:pPr>
              <w:pStyle w:val="GPSDefinitionTerm"/>
              <w:rPr>
                <w:sz w:val="24"/>
                <w:szCs w:val="24"/>
              </w:rPr>
            </w:pPr>
            <w:r w:rsidRPr="00091B0C">
              <w:rPr>
                <w:sz w:val="24"/>
                <w:szCs w:val="24"/>
              </w:rPr>
              <w:t>"Service Credits"</w:t>
            </w:r>
          </w:p>
        </w:tc>
        <w:tc>
          <w:tcPr>
            <w:tcW w:w="5953" w:type="dxa"/>
            <w:shd w:val="clear" w:color="auto" w:fill="auto"/>
          </w:tcPr>
          <w:p w:rsidR="006A11C8" w:rsidRPr="00091B0C" w:rsidRDefault="006A11C8" w:rsidP="009674CA">
            <w:pPr>
              <w:pStyle w:val="GPsDefinition"/>
              <w:tabs>
                <w:tab w:val="left" w:pos="-179"/>
              </w:tabs>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6A11C8" w:rsidRPr="00091B0C" w:rsidTr="00E96923">
        <w:trPr>
          <w:trHeight w:val="359"/>
        </w:trPr>
        <w:tc>
          <w:tcPr>
            <w:tcW w:w="2410" w:type="dxa"/>
            <w:shd w:val="clear" w:color="auto" w:fill="auto"/>
          </w:tcPr>
          <w:p w:rsidR="006A11C8" w:rsidRPr="00091B0C" w:rsidRDefault="006A11C8" w:rsidP="009674CA">
            <w:pPr>
              <w:pStyle w:val="GPSDefinitionTerm"/>
              <w:rPr>
                <w:sz w:val="24"/>
                <w:szCs w:val="24"/>
              </w:rPr>
            </w:pPr>
            <w:r w:rsidRPr="00091B0C">
              <w:rPr>
                <w:sz w:val="24"/>
                <w:szCs w:val="24"/>
              </w:rPr>
              <w:t>"Service Credit Cap"</w:t>
            </w:r>
          </w:p>
        </w:tc>
        <w:tc>
          <w:tcPr>
            <w:tcW w:w="5953" w:type="dxa"/>
            <w:shd w:val="clear" w:color="auto" w:fill="auto"/>
          </w:tcPr>
          <w:p w:rsidR="006A11C8" w:rsidRPr="00091B0C" w:rsidRDefault="006A11C8" w:rsidP="009674CA">
            <w:pPr>
              <w:pStyle w:val="GPsDefinition"/>
              <w:tabs>
                <w:tab w:val="left" w:pos="-179"/>
              </w:tabs>
              <w:jc w:val="left"/>
              <w:rPr>
                <w:sz w:val="24"/>
                <w:szCs w:val="24"/>
              </w:rPr>
            </w:pPr>
            <w:r w:rsidRPr="00091B0C">
              <w:rPr>
                <w:sz w:val="24"/>
                <w:szCs w:val="24"/>
              </w:rPr>
              <w:t>has the meaning given to it in the Order Form;</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p>
        </w:tc>
        <w:tc>
          <w:tcPr>
            <w:tcW w:w="5953" w:type="dxa"/>
            <w:shd w:val="clear" w:color="auto" w:fill="auto"/>
          </w:tcPr>
          <w:p w:rsidR="00C20902" w:rsidRPr="00091B0C" w:rsidRDefault="00C20902" w:rsidP="009674CA">
            <w:pPr>
              <w:pStyle w:val="GPsDefinition"/>
              <w:tabs>
                <w:tab w:val="left" w:pos="-179"/>
              </w:tabs>
              <w:jc w:val="left"/>
              <w:rPr>
                <w:sz w:val="24"/>
                <w:szCs w:val="24"/>
              </w:rPr>
            </w:pP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Failure"</w:t>
            </w:r>
          </w:p>
        </w:tc>
        <w:tc>
          <w:tcPr>
            <w:tcW w:w="5953" w:type="dxa"/>
            <w:shd w:val="clear" w:color="auto" w:fill="auto"/>
          </w:tcPr>
          <w:p w:rsidR="00C20902" w:rsidRPr="00091B0C" w:rsidRDefault="00C20902" w:rsidP="009674CA">
            <w:pPr>
              <w:pStyle w:val="GPsDefinition"/>
              <w:tabs>
                <w:tab w:val="left" w:pos="-179"/>
              </w:tabs>
              <w:jc w:val="left"/>
              <w:rPr>
                <w:sz w:val="24"/>
                <w:szCs w:val="24"/>
              </w:rPr>
            </w:pPr>
            <w:r w:rsidRPr="00091B0C">
              <w:rPr>
                <w:sz w:val="24"/>
                <w:szCs w:val="24"/>
              </w:rPr>
              <w:t>means a failure to meet the Service Level Performance Measure in respect of a Service Level;</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Performance Measure"</w:t>
            </w:r>
          </w:p>
        </w:tc>
        <w:tc>
          <w:tcPr>
            <w:tcW w:w="5953" w:type="dxa"/>
            <w:shd w:val="clear" w:color="auto" w:fill="auto"/>
          </w:tcPr>
          <w:p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 and</w:t>
            </w:r>
          </w:p>
        </w:tc>
      </w:tr>
      <w:tr w:rsidR="00C20902" w:rsidRPr="00091B0C" w:rsidTr="00BD0A9B">
        <w:tc>
          <w:tcPr>
            <w:tcW w:w="2410" w:type="dxa"/>
            <w:shd w:val="clear" w:color="auto" w:fill="auto"/>
          </w:tcPr>
          <w:p w:rsidR="00C20902" w:rsidRPr="00091B0C" w:rsidRDefault="00C20902" w:rsidP="009674CA">
            <w:pPr>
              <w:pStyle w:val="GPSDefinitionTerm"/>
              <w:rPr>
                <w:sz w:val="24"/>
                <w:szCs w:val="24"/>
              </w:rPr>
            </w:pPr>
            <w:r w:rsidRPr="00091B0C">
              <w:rPr>
                <w:sz w:val="24"/>
                <w:szCs w:val="24"/>
              </w:rPr>
              <w:t>"Service Level Threshold"</w:t>
            </w:r>
          </w:p>
        </w:tc>
        <w:tc>
          <w:tcPr>
            <w:tcW w:w="5953" w:type="dxa"/>
            <w:shd w:val="clear" w:color="auto" w:fill="auto"/>
          </w:tcPr>
          <w:p w:rsidR="00C20902" w:rsidRPr="00091B0C" w:rsidRDefault="00C20902" w:rsidP="009674CA">
            <w:pPr>
              <w:pStyle w:val="GPsDefinition"/>
              <w:tabs>
                <w:tab w:val="left" w:pos="-179"/>
              </w:tabs>
              <w:jc w:val="left"/>
              <w:rPr>
                <w:sz w:val="24"/>
                <w:szCs w:val="24"/>
              </w:rPr>
            </w:pPr>
            <w:proofErr w:type="gramStart"/>
            <w:r w:rsidRPr="00091B0C">
              <w:rPr>
                <w:sz w:val="24"/>
                <w:szCs w:val="24"/>
              </w:rPr>
              <w:t>shall</w:t>
            </w:r>
            <w:proofErr w:type="gramEnd"/>
            <w:r w:rsidRPr="00091B0C">
              <w:rPr>
                <w:sz w:val="24"/>
                <w:szCs w:val="24"/>
              </w:rPr>
              <w:t xml:space="preserve"> be as set out against the relevant Service Level in the Annex to Part A of this Schedule.</w:t>
            </w:r>
          </w:p>
        </w:tc>
      </w:tr>
    </w:tbl>
    <w:p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shall at all times provide the Deliverables to meet or exceed the Service Level Performance Measure for each Service Level.</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Supplier has over the previous (twelve) 12 Month period exceeded the Service Credit Cap; and/or</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lastRenderedPageBreak/>
        <w:t xml:space="preserve">has arisen due to a Prohibited Act or wilful Default by the Supplier; </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Buyer is otherwise entitled to or does terminate this Contract pursuant to Clause 10.4 (CCS and Buyer Termination Rights).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there</w:t>
      </w:r>
      <w:proofErr w:type="gramEnd"/>
      <w:r w:rsidRPr="00091B0C">
        <w:rPr>
          <w:rFonts w:ascii="Arial" w:hAnsi="Arial"/>
          <w:sz w:val="24"/>
          <w:szCs w:val="24"/>
        </w:rPr>
        <w:t xml:space="preserve"> is no change to the Service Credit Cap.</w:t>
      </w:r>
    </w:p>
    <w:p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rsidR="005D1C56" w:rsidRPr="00091B0C" w:rsidRDefault="005D1C56" w:rsidP="009674CA">
      <w:pPr>
        <w:pStyle w:val="GPSL2Indent"/>
        <w:ind w:left="720"/>
        <w:jc w:val="left"/>
        <w:rPr>
          <w:rFonts w:ascii="Arial" w:hAnsi="Arial"/>
          <w:sz w:val="24"/>
        </w:rPr>
      </w:pPr>
      <w:proofErr w:type="gramStart"/>
      <w:r w:rsidRPr="00091B0C">
        <w:rPr>
          <w:rFonts w:ascii="Arial" w:hAnsi="Arial"/>
          <w:sz w:val="24"/>
        </w:rPr>
        <w:t>provided</w:t>
      </w:r>
      <w:proofErr w:type="gramEnd"/>
      <w:r w:rsidRPr="00091B0C">
        <w:rPr>
          <w:rFonts w:ascii="Arial" w:hAnsi="Arial"/>
          <w:sz w:val="24"/>
        </w:rPr>
        <w:t xml:space="preserve">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rsidR="005D1C56" w:rsidRPr="00091B0C" w:rsidRDefault="005D1C56" w:rsidP="009674CA">
      <w:pPr>
        <w:pStyle w:val="GPSL1CLAUSEHEADING"/>
        <w:numPr>
          <w:ilvl w:val="0"/>
          <w:numId w:val="0"/>
        </w:numPr>
        <w:ind w:left="426"/>
        <w:jc w:val="left"/>
        <w:rPr>
          <w:rFonts w:ascii="Arial" w:hAnsi="Arial"/>
          <w:sz w:val="24"/>
          <w:szCs w:val="24"/>
        </w:rPr>
      </w:pPr>
    </w:p>
    <w:p w:rsidR="005D1C56" w:rsidRPr="00EF7368" w:rsidRDefault="005D1C56" w:rsidP="009674CA">
      <w:pPr>
        <w:pStyle w:val="GPSSchPart"/>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rsidR="005D1C56" w:rsidRPr="00EF7368" w:rsidRDefault="00EF7368" w:rsidP="009674CA">
      <w:pPr>
        <w:pStyle w:val="GPSL1CLAUSEHEADING"/>
        <w:numPr>
          <w:ilvl w:val="0"/>
          <w:numId w:val="3"/>
        </w:numPr>
        <w:tabs>
          <w:tab w:val="clear" w:pos="142"/>
        </w:tabs>
        <w:jc w:val="left"/>
        <w:rPr>
          <w:rFonts w:ascii="Arial Bold" w:hAnsi="Arial Bold"/>
          <w:caps w:val="0"/>
          <w:sz w:val="24"/>
          <w:szCs w:val="24"/>
        </w:rPr>
      </w:pPr>
      <w:r>
        <w:rPr>
          <w:rFonts w:ascii="Arial Bold" w:hAnsi="Arial Bold"/>
          <w:caps w:val="0"/>
          <w:sz w:val="24"/>
          <w:szCs w:val="24"/>
        </w:rPr>
        <w:t>Service Levels</w:t>
      </w:r>
    </w:p>
    <w:p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rsidR="005D1C56" w:rsidRPr="00091B0C" w:rsidRDefault="005D1C56" w:rsidP="009674CA">
      <w:pPr>
        <w:pStyle w:val="GPSL2NumberedBoldHeading"/>
        <w:numPr>
          <w:ilvl w:val="0"/>
          <w:numId w:val="0"/>
        </w:numPr>
        <w:ind w:left="720"/>
        <w:jc w:val="left"/>
        <w:rPr>
          <w:rFonts w:ascii="Arial" w:hAnsi="Arial"/>
          <w:sz w:val="24"/>
          <w:szCs w:val="24"/>
        </w:rPr>
      </w:pPr>
      <w:proofErr w:type="gramStart"/>
      <w:r w:rsidRPr="00091B0C">
        <w:rPr>
          <w:rFonts w:ascii="Arial" w:hAnsi="Arial"/>
          <w:sz w:val="24"/>
          <w:szCs w:val="24"/>
        </w:rPr>
        <w:t>the</w:t>
      </w:r>
      <w:proofErr w:type="gramEnd"/>
      <w:r w:rsidRPr="00091B0C">
        <w:rPr>
          <w:rFonts w:ascii="Arial" w:hAnsi="Arial"/>
          <w:sz w:val="24"/>
          <w:szCs w:val="24"/>
        </w:rPr>
        <w:t xml:space="preserve"> Supplier shall immediately notify the Buyer in writing and the Buyer, in its absolute discretion and without limiting any other of its rights, may:</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rsidR="005D1C56" w:rsidRPr="00091B0C" w:rsidRDefault="005D1C56" w:rsidP="009674CA">
      <w:pPr>
        <w:pStyle w:val="GPSL2NumberedBoldHeading"/>
        <w:numPr>
          <w:ilvl w:val="2"/>
          <w:numId w:val="44"/>
        </w:numPr>
        <w:jc w:val="left"/>
        <w:rPr>
          <w:rFonts w:ascii="Arial" w:hAnsi="Arial"/>
          <w:sz w:val="24"/>
          <w:szCs w:val="24"/>
        </w:rPr>
      </w:pPr>
      <w:proofErr w:type="gramStart"/>
      <w:r w:rsidRPr="00091B0C">
        <w:rPr>
          <w:rFonts w:ascii="Arial" w:hAnsi="Arial"/>
          <w:sz w:val="24"/>
          <w:szCs w:val="24"/>
        </w:rPr>
        <w:t>if</w:t>
      </w:r>
      <w:proofErr w:type="gramEnd"/>
      <w:r w:rsidRPr="00091B0C">
        <w:rPr>
          <w:rFonts w:ascii="Arial" w:hAnsi="Arial"/>
          <w:sz w:val="24"/>
          <w:szCs w:val="24"/>
        </w:rPr>
        <w:t xml:space="preserve"> a Critical Service Level Failure has occurred, exercise its right to Compensation for Critical Service Level Failure (including the right to terminate for material Default).</w:t>
      </w:r>
    </w:p>
    <w:p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Service Credits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5D1C56" w:rsidRPr="009674CA" w:rsidRDefault="005D1C56" w:rsidP="009674CA">
      <w:pPr>
        <w:pStyle w:val="GPSSchAnnexname"/>
        <w:jc w:val="left"/>
        <w:rPr>
          <w:rFonts w:ascii="Arial Bold" w:hAnsi="Arial Bold" w:cs="Arial"/>
          <w:caps w:val="0"/>
          <w:sz w:val="24"/>
          <w:szCs w:val="24"/>
        </w:rPr>
      </w:pPr>
      <w:r w:rsidRPr="00091B0C">
        <w:rPr>
          <w:rFonts w:ascii="Arial" w:hAnsi="Arial" w:cs="Arial"/>
          <w:sz w:val="24"/>
          <w:szCs w:val="24"/>
        </w:rPr>
        <w:br w:type="page"/>
      </w:r>
      <w:r w:rsidR="009674CA">
        <w:rPr>
          <w:rFonts w:ascii="Arial Bold" w:hAnsi="Arial Bold" w:cs="Arial"/>
          <w:caps w:val="0"/>
          <w:sz w:val="36"/>
          <w:szCs w:val="24"/>
        </w:rPr>
        <w:lastRenderedPageBreak/>
        <w:t xml:space="preserve">Annex A to Part </w:t>
      </w:r>
      <w:proofErr w:type="gramStart"/>
      <w:r w:rsidR="009674CA">
        <w:rPr>
          <w:rFonts w:ascii="Arial Bold" w:hAnsi="Arial Bold" w:cs="Arial"/>
          <w:caps w:val="0"/>
          <w:sz w:val="36"/>
          <w:szCs w:val="24"/>
        </w:rPr>
        <w:t>A</w:t>
      </w:r>
      <w:proofErr w:type="gramEnd"/>
      <w:r w:rsidRPr="009674CA">
        <w:rPr>
          <w:rFonts w:ascii="Arial Bold" w:hAnsi="Arial Bold" w:cs="Arial"/>
          <w:caps w:val="0"/>
          <w:sz w:val="36"/>
          <w:szCs w:val="24"/>
        </w:rPr>
        <w:t xml:space="preserve">: </w:t>
      </w:r>
      <w:r w:rsidR="009674CA">
        <w:rPr>
          <w:rFonts w:ascii="Arial Bold" w:hAnsi="Arial Bold" w:cs="Arial"/>
          <w:caps w:val="0"/>
          <w:sz w:val="36"/>
          <w:szCs w:val="24"/>
        </w:rPr>
        <w:t>Services Levels and Service Credits Table</w:t>
      </w:r>
    </w:p>
    <w:p w:rsidR="005D1C56" w:rsidRPr="00513AA2" w:rsidRDefault="005D1C56" w:rsidP="009674CA">
      <w:pPr>
        <w:ind w:left="709"/>
        <w:rPr>
          <w:rFonts w:ascii="Arial" w:hAnsi="Arial" w:cs="Arial"/>
          <w:sz w:val="24"/>
          <w:szCs w:val="24"/>
        </w:rPr>
      </w:pPr>
      <w:r w:rsidRPr="00513AA2">
        <w:rPr>
          <w:rFonts w:ascii="Arial" w:hAnsi="Arial" w:cs="Arial"/>
          <w:sz w:val="24"/>
          <w:szCs w:val="24"/>
        </w:rPr>
        <w:t>[</w:t>
      </w:r>
      <w:r w:rsidRPr="00513AA2">
        <w:rPr>
          <w:rFonts w:ascii="Arial" w:hAnsi="Arial" w:cs="Arial"/>
          <w:b/>
          <w:sz w:val="24"/>
          <w:szCs w:val="24"/>
          <w:highlight w:val="yellow"/>
        </w:rPr>
        <w:t xml:space="preserve">Guidance Note: </w:t>
      </w:r>
      <w:r w:rsidRPr="00513AA2">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D1C56" w:rsidRPr="00513AA2" w:rsidTr="00513AA2">
        <w:trPr>
          <w:trHeight w:val="1213"/>
          <w:tblHeader/>
          <w:jc w:val="center"/>
        </w:trPr>
        <w:tc>
          <w:tcPr>
            <w:tcW w:w="6403" w:type="dxa"/>
            <w:gridSpan w:val="4"/>
            <w:shd w:val="clear" w:color="auto" w:fill="D9D9D9"/>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Levels</w:t>
            </w:r>
          </w:p>
        </w:tc>
        <w:tc>
          <w:tcPr>
            <w:tcW w:w="2102" w:type="dxa"/>
            <w:vMerge w:val="restart"/>
            <w:shd w:val="clear" w:color="auto" w:fill="D9D9D9"/>
            <w:vAlign w:val="center"/>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Credit for each Service Period</w:t>
            </w:r>
          </w:p>
          <w:p w:rsidR="005D1C56" w:rsidRPr="00513AA2" w:rsidRDefault="005D1C56" w:rsidP="009674CA">
            <w:pPr>
              <w:ind w:left="95"/>
              <w:rPr>
                <w:rFonts w:ascii="Arial" w:hAnsi="Arial" w:cs="Arial"/>
                <w:sz w:val="24"/>
                <w:szCs w:val="24"/>
              </w:rPr>
            </w:pPr>
          </w:p>
        </w:tc>
      </w:tr>
      <w:tr w:rsidR="005D1C56" w:rsidRPr="00513AA2" w:rsidTr="00513AA2">
        <w:trPr>
          <w:trHeight w:val="1213"/>
          <w:tblHeader/>
          <w:jc w:val="center"/>
        </w:trPr>
        <w:tc>
          <w:tcPr>
            <w:tcW w:w="1713" w:type="dxa"/>
            <w:shd w:val="clear" w:color="auto" w:fill="D9D9D9"/>
            <w:vAlign w:val="center"/>
          </w:tcPr>
          <w:p w:rsidR="005D1C56" w:rsidRPr="00513AA2" w:rsidRDefault="005D1C56" w:rsidP="009674CA">
            <w:pPr>
              <w:ind w:left="61"/>
              <w:rPr>
                <w:rFonts w:ascii="Arial" w:hAnsi="Arial" w:cs="Arial"/>
                <w:sz w:val="24"/>
                <w:szCs w:val="24"/>
              </w:rPr>
            </w:pPr>
            <w:r w:rsidRPr="00513AA2">
              <w:rPr>
                <w:rFonts w:ascii="Arial" w:hAnsi="Arial" w:cs="Arial"/>
                <w:sz w:val="24"/>
                <w:szCs w:val="24"/>
              </w:rPr>
              <w:t>Service Level Performance Criterion</w:t>
            </w:r>
          </w:p>
        </w:tc>
        <w:tc>
          <w:tcPr>
            <w:tcW w:w="1571" w:type="dxa"/>
            <w:shd w:val="clear" w:color="auto" w:fill="D9D9D9"/>
            <w:vAlign w:val="center"/>
          </w:tcPr>
          <w:p w:rsidR="005D1C56" w:rsidRPr="00513AA2" w:rsidRDefault="005D1C56" w:rsidP="009674CA">
            <w:pPr>
              <w:ind w:left="95"/>
              <w:rPr>
                <w:rFonts w:ascii="Arial" w:hAnsi="Arial" w:cs="Arial"/>
                <w:sz w:val="24"/>
                <w:szCs w:val="24"/>
              </w:rPr>
            </w:pPr>
            <w:r w:rsidRPr="00513AA2">
              <w:rPr>
                <w:rFonts w:ascii="Arial" w:hAnsi="Arial" w:cs="Arial"/>
                <w:sz w:val="24"/>
                <w:szCs w:val="24"/>
              </w:rPr>
              <w:t>Key Indicator</w:t>
            </w:r>
          </w:p>
        </w:tc>
        <w:tc>
          <w:tcPr>
            <w:tcW w:w="1701" w:type="dxa"/>
            <w:shd w:val="clear" w:color="auto" w:fill="D9D9D9"/>
            <w:vAlign w:val="center"/>
          </w:tcPr>
          <w:p w:rsidR="005D1C56" w:rsidRPr="00513AA2" w:rsidRDefault="005D1C56" w:rsidP="009674CA">
            <w:pPr>
              <w:rPr>
                <w:rFonts w:ascii="Arial" w:hAnsi="Arial" w:cs="Arial"/>
                <w:sz w:val="24"/>
                <w:szCs w:val="24"/>
              </w:rPr>
            </w:pPr>
            <w:r w:rsidRPr="00513AA2">
              <w:rPr>
                <w:rFonts w:ascii="Arial" w:hAnsi="Arial" w:cs="Arial"/>
                <w:sz w:val="24"/>
                <w:szCs w:val="24"/>
              </w:rPr>
              <w:t>Service Level Performance Measure</w:t>
            </w:r>
          </w:p>
        </w:tc>
        <w:tc>
          <w:tcPr>
            <w:tcW w:w="1418" w:type="dxa"/>
            <w:shd w:val="clear" w:color="auto" w:fill="D9D9D9"/>
          </w:tcPr>
          <w:p w:rsidR="005D1C56" w:rsidRPr="00513AA2" w:rsidRDefault="005D1C56" w:rsidP="009674CA">
            <w:pPr>
              <w:ind w:left="95"/>
              <w:rPr>
                <w:rFonts w:ascii="Arial" w:hAnsi="Arial" w:cs="Arial"/>
                <w:sz w:val="24"/>
                <w:szCs w:val="24"/>
              </w:rPr>
            </w:pPr>
            <w:r w:rsidRPr="00513AA2">
              <w:rPr>
                <w:rFonts w:ascii="Arial" w:hAnsi="Arial" w:cs="Arial"/>
                <w:sz w:val="24"/>
                <w:szCs w:val="24"/>
              </w:rPr>
              <w:t>Service Level Threshold</w:t>
            </w:r>
          </w:p>
        </w:tc>
        <w:tc>
          <w:tcPr>
            <w:tcW w:w="2102" w:type="dxa"/>
            <w:vMerge/>
            <w:shd w:val="clear" w:color="auto" w:fill="D9D9D9"/>
            <w:vAlign w:val="center"/>
          </w:tcPr>
          <w:p w:rsidR="005D1C56" w:rsidRPr="00513AA2" w:rsidRDefault="005D1C56" w:rsidP="009674CA">
            <w:pPr>
              <w:ind w:left="95"/>
              <w:rPr>
                <w:rFonts w:ascii="Arial" w:hAnsi="Arial" w:cs="Arial"/>
                <w:sz w:val="24"/>
                <w:szCs w:val="24"/>
              </w:rPr>
            </w:pPr>
          </w:p>
        </w:tc>
      </w:tr>
      <w:tr w:rsidR="005D1C56" w:rsidRPr="00513AA2" w:rsidTr="00513AA2">
        <w:trPr>
          <w:trHeight w:val="1474"/>
          <w:jc w:val="center"/>
        </w:trPr>
        <w:tc>
          <w:tcPr>
            <w:tcW w:w="1713" w:type="dxa"/>
          </w:tcPr>
          <w:p w:rsidR="005D1C56" w:rsidRPr="00513AA2" w:rsidRDefault="005D1C56" w:rsidP="009674CA">
            <w:pPr>
              <w:spacing w:after="120"/>
              <w:ind w:left="61"/>
              <w:rPr>
                <w:rFonts w:ascii="Arial" w:hAnsi="Arial" w:cs="Arial"/>
                <w:sz w:val="24"/>
                <w:szCs w:val="24"/>
              </w:rPr>
            </w:pPr>
            <w:r w:rsidRPr="00513AA2">
              <w:rPr>
                <w:rFonts w:ascii="Arial" w:hAnsi="Arial" w:cs="Arial"/>
                <w:b/>
                <w:sz w:val="24"/>
                <w:szCs w:val="24"/>
              </w:rPr>
              <w:t>[</w:t>
            </w:r>
            <w:r w:rsidRPr="00513AA2">
              <w:rPr>
                <w:rFonts w:ascii="Arial" w:hAnsi="Arial" w:cs="Arial"/>
                <w:sz w:val="24"/>
                <w:szCs w:val="24"/>
              </w:rPr>
              <w:t>Accurate and timely billing of Buyer</w:t>
            </w:r>
          </w:p>
          <w:p w:rsidR="005D1C56" w:rsidRPr="00513AA2" w:rsidRDefault="005D1C56" w:rsidP="009674CA">
            <w:pPr>
              <w:spacing w:after="120"/>
              <w:ind w:left="61"/>
              <w:rPr>
                <w:rFonts w:ascii="Arial" w:hAnsi="Arial" w:cs="Arial"/>
                <w:sz w:val="24"/>
                <w:szCs w:val="24"/>
              </w:rPr>
            </w:pPr>
          </w:p>
        </w:tc>
        <w:tc>
          <w:tcPr>
            <w:tcW w:w="1571"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Accuracy /Timelines</w:t>
            </w:r>
          </w:p>
          <w:p w:rsidR="005D1C56" w:rsidRPr="00513AA2" w:rsidRDefault="005D1C56" w:rsidP="009674CA">
            <w:pPr>
              <w:spacing w:after="120"/>
              <w:ind w:left="95"/>
              <w:rPr>
                <w:rFonts w:ascii="Arial" w:hAnsi="Arial" w:cs="Arial"/>
                <w:sz w:val="24"/>
                <w:szCs w:val="24"/>
              </w:rPr>
            </w:pPr>
          </w:p>
        </w:tc>
        <w:tc>
          <w:tcPr>
            <w:tcW w:w="1701" w:type="dxa"/>
          </w:tcPr>
          <w:p w:rsidR="005D1C56" w:rsidRPr="00513AA2" w:rsidRDefault="005D1C56" w:rsidP="009674CA">
            <w:pPr>
              <w:spacing w:after="120"/>
              <w:rPr>
                <w:rFonts w:ascii="Arial" w:hAnsi="Arial" w:cs="Arial"/>
                <w:sz w:val="24"/>
                <w:szCs w:val="24"/>
              </w:rPr>
            </w:pPr>
            <w:r w:rsidRPr="00513AA2">
              <w:rPr>
                <w:rFonts w:ascii="Arial" w:hAnsi="Arial" w:cs="Arial"/>
                <w:sz w:val="24"/>
                <w:szCs w:val="24"/>
              </w:rPr>
              <w:t>at least 98% at all times</w:t>
            </w:r>
          </w:p>
          <w:p w:rsidR="005D1C56" w:rsidRPr="00513AA2" w:rsidRDefault="005D1C56" w:rsidP="009674CA">
            <w:pPr>
              <w:spacing w:after="120"/>
              <w:rPr>
                <w:rFonts w:ascii="Arial" w:hAnsi="Arial" w:cs="Arial"/>
                <w:sz w:val="24"/>
                <w:szCs w:val="24"/>
              </w:rPr>
            </w:pPr>
          </w:p>
        </w:tc>
        <w:tc>
          <w:tcPr>
            <w:tcW w:w="1418"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r w:rsidR="005D1C56" w:rsidRPr="00513AA2" w:rsidTr="00513AA2">
        <w:trPr>
          <w:trHeight w:val="1474"/>
          <w:jc w:val="center"/>
        </w:trPr>
        <w:tc>
          <w:tcPr>
            <w:tcW w:w="1713" w:type="dxa"/>
          </w:tcPr>
          <w:p w:rsidR="005D1C56" w:rsidRPr="00513AA2" w:rsidRDefault="005D1C56" w:rsidP="009674CA">
            <w:pPr>
              <w:spacing w:after="120"/>
              <w:ind w:left="61"/>
              <w:rPr>
                <w:rFonts w:ascii="Arial" w:hAnsi="Arial" w:cs="Arial"/>
                <w:sz w:val="24"/>
                <w:szCs w:val="24"/>
              </w:rPr>
            </w:pPr>
            <w:r w:rsidRPr="00513AA2">
              <w:rPr>
                <w:rFonts w:ascii="Arial" w:hAnsi="Arial" w:cs="Arial"/>
                <w:sz w:val="24"/>
                <w:szCs w:val="24"/>
              </w:rPr>
              <w:t>Access to Buyer support</w:t>
            </w:r>
          </w:p>
          <w:p w:rsidR="005D1C56" w:rsidRPr="00513AA2" w:rsidRDefault="005D1C56" w:rsidP="009674CA">
            <w:pPr>
              <w:spacing w:after="120"/>
              <w:ind w:left="61"/>
              <w:rPr>
                <w:rFonts w:ascii="Arial" w:hAnsi="Arial" w:cs="Arial"/>
                <w:sz w:val="24"/>
                <w:szCs w:val="24"/>
              </w:rPr>
            </w:pPr>
          </w:p>
        </w:tc>
        <w:tc>
          <w:tcPr>
            <w:tcW w:w="1571"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Availability</w:t>
            </w:r>
          </w:p>
          <w:p w:rsidR="005D1C56" w:rsidRPr="00513AA2" w:rsidRDefault="005D1C56" w:rsidP="009674CA">
            <w:pPr>
              <w:spacing w:after="120"/>
              <w:ind w:left="95"/>
              <w:rPr>
                <w:rFonts w:ascii="Arial" w:hAnsi="Arial" w:cs="Arial"/>
                <w:sz w:val="24"/>
                <w:szCs w:val="24"/>
              </w:rPr>
            </w:pPr>
          </w:p>
          <w:p w:rsidR="005D1C56" w:rsidRPr="00513AA2" w:rsidRDefault="005D1C56" w:rsidP="009674CA">
            <w:pPr>
              <w:spacing w:after="120"/>
              <w:ind w:left="95"/>
              <w:rPr>
                <w:rFonts w:ascii="Arial" w:hAnsi="Arial" w:cs="Arial"/>
                <w:sz w:val="24"/>
                <w:szCs w:val="24"/>
              </w:rPr>
            </w:pPr>
          </w:p>
        </w:tc>
        <w:tc>
          <w:tcPr>
            <w:tcW w:w="1701" w:type="dxa"/>
          </w:tcPr>
          <w:p w:rsidR="005D1C56" w:rsidRPr="00513AA2" w:rsidRDefault="005D1C56" w:rsidP="009674CA">
            <w:pPr>
              <w:spacing w:after="120"/>
              <w:rPr>
                <w:rFonts w:ascii="Arial" w:hAnsi="Arial" w:cs="Arial"/>
                <w:sz w:val="24"/>
                <w:szCs w:val="24"/>
              </w:rPr>
            </w:pPr>
            <w:r w:rsidRPr="00513AA2">
              <w:rPr>
                <w:rFonts w:ascii="Arial" w:hAnsi="Arial" w:cs="Arial"/>
                <w:sz w:val="24"/>
                <w:szCs w:val="24"/>
              </w:rPr>
              <w:t>at least 98% at all times</w:t>
            </w:r>
          </w:p>
          <w:p w:rsidR="005D1C56" w:rsidRPr="00513AA2" w:rsidRDefault="005D1C56" w:rsidP="009674CA">
            <w:pPr>
              <w:spacing w:after="120"/>
              <w:rPr>
                <w:rFonts w:ascii="Arial" w:hAnsi="Arial" w:cs="Arial"/>
                <w:sz w:val="24"/>
                <w:szCs w:val="24"/>
              </w:rPr>
            </w:pPr>
          </w:p>
        </w:tc>
        <w:tc>
          <w:tcPr>
            <w:tcW w:w="1418"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   ]</w:t>
            </w:r>
          </w:p>
        </w:tc>
        <w:tc>
          <w:tcPr>
            <w:tcW w:w="2102" w:type="dxa"/>
          </w:tcPr>
          <w:p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bl>
    <w:p w:rsidR="005D1C56" w:rsidRPr="00091B0C" w:rsidRDefault="005D1C56" w:rsidP="009674CA">
      <w:pPr>
        <w:ind w:left="709"/>
        <w:rPr>
          <w:rFonts w:ascii="Arial" w:hAnsi="Arial" w:cs="Arial"/>
          <w:sz w:val="24"/>
          <w:szCs w:val="24"/>
          <w:highlight w:val="green"/>
        </w:rPr>
      </w:pPr>
    </w:p>
    <w:p w:rsidR="005D1C56" w:rsidRPr="00091B0C" w:rsidRDefault="005D1C56" w:rsidP="009674CA">
      <w:pPr>
        <w:ind w:left="709"/>
        <w:rPr>
          <w:rFonts w:ascii="Arial" w:hAnsi="Arial" w:cs="Arial"/>
          <w:sz w:val="24"/>
          <w:szCs w:val="24"/>
        </w:rPr>
      </w:pPr>
      <w:r w:rsidRPr="00091B0C">
        <w:rPr>
          <w:rFonts w:ascii="Arial" w:hAnsi="Arial" w:cs="Arial"/>
          <w:sz w:val="24"/>
          <w:szCs w:val="24"/>
        </w:rPr>
        <w:t>The Service Credits shall be calculated on the basis of the following formula:</w:t>
      </w:r>
    </w:p>
    <w:p w:rsidR="005D1C56" w:rsidRPr="00091B0C" w:rsidRDefault="005D1C56" w:rsidP="009674CA">
      <w:pPr>
        <w:ind w:left="709"/>
        <w:rPr>
          <w:rFonts w:ascii="Arial" w:hAnsi="Arial" w:cs="Arial"/>
          <w:sz w:val="24"/>
          <w:szCs w:val="24"/>
          <w:highlight w:val="yellow"/>
        </w:rPr>
      </w:pPr>
      <w:r w:rsidRPr="00091B0C">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5D1C56" w:rsidRPr="00091B0C" w:rsidTr="00BD0A9B">
        <w:tc>
          <w:tcPr>
            <w:tcW w:w="4518" w:type="dxa"/>
          </w:tcPr>
          <w:p w:rsidR="005D1C56" w:rsidRPr="00513AA2" w:rsidRDefault="005D1C56" w:rsidP="009674CA">
            <w:pPr>
              <w:ind w:left="567"/>
              <w:rPr>
                <w:rFonts w:ascii="Arial" w:hAnsi="Arial" w:cs="Arial"/>
                <w:sz w:val="24"/>
                <w:szCs w:val="24"/>
              </w:rPr>
            </w:pPr>
            <w:r w:rsidRPr="00513AA2">
              <w:rPr>
                <w:rFonts w:ascii="Arial" w:hAnsi="Arial" w:cs="Arial"/>
                <w:sz w:val="24"/>
                <w:szCs w:val="24"/>
              </w:rPr>
              <w:t xml:space="preserve">Formula: x% (Service Level Performance Measure) - x% (actual Service Level performance)  </w:t>
            </w:r>
          </w:p>
        </w:tc>
        <w:tc>
          <w:tcPr>
            <w:tcW w:w="693" w:type="dxa"/>
          </w:tcPr>
          <w:p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rsidR="005D1C56" w:rsidRPr="00513AA2" w:rsidRDefault="005D1C56" w:rsidP="009674CA">
            <w:pPr>
              <w:ind w:left="145"/>
              <w:rPr>
                <w:rFonts w:ascii="Arial" w:hAnsi="Arial" w:cs="Arial"/>
                <w:sz w:val="24"/>
                <w:szCs w:val="24"/>
              </w:rPr>
            </w:pPr>
            <w:r w:rsidRPr="00513AA2">
              <w:rPr>
                <w:rFonts w:ascii="Arial" w:hAnsi="Arial" w:cs="Arial"/>
                <w:sz w:val="24"/>
                <w:szCs w:val="24"/>
              </w:rPr>
              <w:t>x% of the Charges payable to the Buyer as Service Credits to be deducted from the next Invoice payable by the Buyer</w:t>
            </w:r>
          </w:p>
        </w:tc>
      </w:tr>
      <w:tr w:rsidR="005D1C56" w:rsidRPr="00091B0C" w:rsidTr="00BD0A9B">
        <w:tc>
          <w:tcPr>
            <w:tcW w:w="4518" w:type="dxa"/>
          </w:tcPr>
          <w:p w:rsidR="005D1C56" w:rsidRPr="00513AA2" w:rsidRDefault="005D1C56" w:rsidP="009674CA">
            <w:pPr>
              <w:ind w:left="567"/>
              <w:rPr>
                <w:rFonts w:ascii="Arial" w:hAnsi="Arial" w:cs="Arial"/>
                <w:sz w:val="24"/>
                <w:szCs w:val="24"/>
              </w:rPr>
            </w:pPr>
            <w:r w:rsidRPr="00513AA2">
              <w:rPr>
                <w:rFonts w:ascii="Arial" w:hAnsi="Arial" w:cs="Arial"/>
                <w:sz w:val="24"/>
                <w:szCs w:val="24"/>
              </w:rPr>
              <w:lastRenderedPageBreak/>
              <w:t xml:space="preserve">Worked example: 98% (e.g. Service Level Performance Measure requirement for accurate and timely billing Service Level) - 75% (e.g. actual performance achieved against this Service Level in a Service Period) </w:t>
            </w:r>
          </w:p>
          <w:p w:rsidR="005D1C56" w:rsidRPr="00513AA2" w:rsidRDefault="005D1C56" w:rsidP="009674CA">
            <w:pPr>
              <w:ind w:left="567"/>
              <w:rPr>
                <w:rFonts w:ascii="Arial" w:hAnsi="Arial" w:cs="Arial"/>
                <w:sz w:val="24"/>
                <w:szCs w:val="24"/>
              </w:rPr>
            </w:pPr>
          </w:p>
        </w:tc>
        <w:tc>
          <w:tcPr>
            <w:tcW w:w="693" w:type="dxa"/>
          </w:tcPr>
          <w:p w:rsidR="005D1C56" w:rsidRPr="00513AA2" w:rsidRDefault="005D1C56" w:rsidP="009674CA">
            <w:pPr>
              <w:ind w:left="211"/>
              <w:rPr>
                <w:rFonts w:ascii="Arial" w:hAnsi="Arial" w:cs="Arial"/>
                <w:sz w:val="24"/>
                <w:szCs w:val="24"/>
              </w:rPr>
            </w:pPr>
            <w:r w:rsidRPr="00513AA2">
              <w:rPr>
                <w:rFonts w:ascii="Arial" w:hAnsi="Arial" w:cs="Arial"/>
                <w:sz w:val="24"/>
                <w:szCs w:val="24"/>
              </w:rPr>
              <w:t>=</w:t>
            </w:r>
          </w:p>
        </w:tc>
        <w:tc>
          <w:tcPr>
            <w:tcW w:w="4140" w:type="dxa"/>
          </w:tcPr>
          <w:p w:rsidR="005D1C56" w:rsidRPr="00513AA2" w:rsidRDefault="005D1C56" w:rsidP="009674CA">
            <w:pPr>
              <w:ind w:left="145"/>
              <w:rPr>
                <w:rFonts w:ascii="Arial" w:hAnsi="Arial" w:cs="Arial"/>
                <w:sz w:val="24"/>
                <w:szCs w:val="24"/>
              </w:rPr>
            </w:pPr>
            <w:r w:rsidRPr="00513AA2">
              <w:rPr>
                <w:rFonts w:ascii="Arial" w:hAnsi="Arial" w:cs="Arial"/>
                <w:sz w:val="24"/>
                <w:szCs w:val="24"/>
              </w:rPr>
              <w:t>23% of the Charges payable to the Buyer as Service Credits to be deducted from the next Invoice payable by the Buyer]</w:t>
            </w:r>
          </w:p>
          <w:p w:rsidR="005D1C56" w:rsidRPr="00513AA2" w:rsidRDefault="005D1C56" w:rsidP="009674CA">
            <w:pPr>
              <w:ind w:left="145"/>
              <w:rPr>
                <w:rFonts w:ascii="Arial" w:hAnsi="Arial" w:cs="Arial"/>
                <w:sz w:val="24"/>
                <w:szCs w:val="24"/>
              </w:rPr>
            </w:pPr>
          </w:p>
        </w:tc>
      </w:tr>
    </w:tbl>
    <w:p w:rsidR="005D1C56" w:rsidRPr="00EF7368" w:rsidRDefault="005D1C56" w:rsidP="009674CA">
      <w:pPr>
        <w:pStyle w:val="GPSSchAnnexname"/>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rsidR="005D1C56" w:rsidRPr="00EF7368" w:rsidRDefault="00EF7368" w:rsidP="009674CA">
      <w:pPr>
        <w:pStyle w:val="GPSL1CLAUSEHEADING"/>
        <w:numPr>
          <w:ilvl w:val="0"/>
          <w:numId w:val="3"/>
        </w:numPr>
        <w:jc w:val="left"/>
        <w:rPr>
          <w:rFonts w:ascii="Arial Bold" w:hAnsi="Arial Bold"/>
          <w:caps w:val="0"/>
          <w:sz w:val="24"/>
          <w:szCs w:val="24"/>
        </w:rPr>
      </w:pPr>
      <w:r>
        <w:rPr>
          <w:rFonts w:ascii="Arial Bold" w:hAnsi="Arial Bold"/>
          <w:caps w:val="0"/>
          <w:sz w:val="24"/>
          <w:szCs w:val="24"/>
        </w:rPr>
        <w:t>Performance Monitoring and Performance Review</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such</w:t>
      </w:r>
      <w:proofErr w:type="gramEnd"/>
      <w:r w:rsidRPr="00091B0C">
        <w:rPr>
          <w:rFonts w:ascii="Arial" w:hAnsi="Arial"/>
          <w:sz w:val="24"/>
          <w:szCs w:val="24"/>
        </w:rPr>
        <w:t xml:space="preserve"> other details as the Buyer may reasonably require from time to time.</w:t>
      </w:r>
    </w:p>
    <w:p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rsidR="005D1C56" w:rsidRPr="00091B0C" w:rsidRDefault="005D1C56" w:rsidP="009674CA">
      <w:pPr>
        <w:pStyle w:val="GPSL3numberedclause"/>
        <w:jc w:val="left"/>
        <w:rPr>
          <w:rFonts w:ascii="Arial" w:hAnsi="Arial"/>
          <w:sz w:val="24"/>
          <w:szCs w:val="24"/>
        </w:rPr>
      </w:pPr>
      <w:proofErr w:type="gramStart"/>
      <w:r w:rsidRPr="00091B0C">
        <w:rPr>
          <w:rFonts w:ascii="Arial" w:hAnsi="Arial"/>
          <w:sz w:val="24"/>
          <w:szCs w:val="24"/>
        </w:rPr>
        <w:t>be</w:t>
      </w:r>
      <w:proofErr w:type="gramEnd"/>
      <w:r w:rsidRPr="00091B0C">
        <w:rPr>
          <w:rFonts w:ascii="Arial" w:hAnsi="Arial"/>
          <w:sz w:val="24"/>
          <w:szCs w:val="24"/>
        </w:rPr>
        <w:t xml:space="preserv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rsidR="000E6EDE" w:rsidRPr="00091B0C" w:rsidRDefault="000E6EDE" w:rsidP="009674CA">
      <w:pPr>
        <w:pStyle w:val="GPSL2NumberedBoldHeading"/>
        <w:numPr>
          <w:ilvl w:val="0"/>
          <w:numId w:val="0"/>
        </w:numPr>
        <w:ind w:left="1440"/>
        <w:jc w:val="left"/>
        <w:rPr>
          <w:rFonts w:ascii="Arial" w:hAnsi="Arial"/>
          <w:sz w:val="24"/>
          <w:szCs w:val="24"/>
        </w:rPr>
      </w:pPr>
    </w:p>
    <w:p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A10500" w:rsidRPr="00091B0C" w:rsidRDefault="00A10500" w:rsidP="000E6EDE">
      <w:pPr>
        <w:pStyle w:val="GPSL2NumberedBoldHeading"/>
        <w:numPr>
          <w:ilvl w:val="0"/>
          <w:numId w:val="0"/>
        </w:numPr>
        <w:ind w:left="936"/>
        <w:rPr>
          <w:rFonts w:ascii="Arial" w:hAnsi="Arial"/>
          <w:sz w:val="24"/>
          <w:szCs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Start w:id="7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A10500" w:rsidRPr="00091B0C"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0D" w:rsidRDefault="00ED440D">
      <w:pPr>
        <w:spacing w:after="0" w:line="240" w:lineRule="auto"/>
      </w:pPr>
      <w:r>
        <w:separator/>
      </w:r>
    </w:p>
  </w:endnote>
  <w:endnote w:type="continuationSeparator" w:id="0">
    <w:p w:rsidR="00ED440D" w:rsidRDefault="00ED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DE" w:rsidRDefault="000E6EDE" w:rsidP="000E6EDE">
    <w:pPr>
      <w:tabs>
        <w:tab w:val="center" w:pos="4513"/>
        <w:tab w:val="right" w:pos="9026"/>
      </w:tabs>
      <w:overflowPunct w:val="0"/>
      <w:autoSpaceDE w:val="0"/>
      <w:autoSpaceDN w:val="0"/>
      <w:adjustRightInd w:val="0"/>
      <w:spacing w:after="0" w:line="240" w:lineRule="auto"/>
      <w:jc w:val="both"/>
    </w:pPr>
  </w:p>
  <w:p w:rsidR="00091B0C" w:rsidRPr="008979D7" w:rsidRDefault="00091B0C" w:rsidP="00091B0C">
    <w:pPr>
      <w:pStyle w:val="Footer"/>
      <w:rPr>
        <w:rFonts w:ascii="Arial" w:hAnsi="Arial" w:cs="Arial"/>
        <w:sz w:val="20"/>
      </w:rPr>
    </w:pPr>
    <w:r w:rsidRPr="008979D7">
      <w:rPr>
        <w:rFonts w:ascii="Arial" w:hAnsi="Arial" w:cs="Arial"/>
        <w:sz w:val="20"/>
      </w:rPr>
      <w:t>Framework Ref: RM</w:t>
    </w:r>
    <w:r w:rsidR="009367D7">
      <w:rPr>
        <w:rFonts w:ascii="Arial" w:hAnsi="Arial" w:cs="Arial"/>
        <w:sz w:val="20"/>
      </w:rPr>
      <w:t>6017</w:t>
    </w:r>
  </w:p>
  <w:p w:rsidR="00091B0C" w:rsidRPr="008979D7" w:rsidRDefault="003D59D3"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00091B0C" w:rsidRPr="008979D7">
      <w:rPr>
        <w:rFonts w:ascii="Arial" w:hAnsi="Arial" w:cs="Arial"/>
        <w:sz w:val="20"/>
      </w:rPr>
      <w:tab/>
    </w:r>
    <w:r w:rsidR="00091B0C" w:rsidRPr="008979D7">
      <w:rPr>
        <w:rFonts w:ascii="Arial" w:hAnsi="Arial" w:cs="Arial"/>
        <w:noProof/>
        <w:sz w:val="20"/>
      </w:rPr>
      <w:fldChar w:fldCharType="begin"/>
    </w:r>
    <w:r w:rsidR="00091B0C" w:rsidRPr="008979D7">
      <w:rPr>
        <w:rFonts w:ascii="Arial" w:hAnsi="Arial" w:cs="Arial"/>
        <w:noProof/>
        <w:sz w:val="20"/>
      </w:rPr>
      <w:instrText xml:space="preserve"> PAGE   \* MERGEFORMAT </w:instrText>
    </w:r>
    <w:r w:rsidR="00091B0C" w:rsidRPr="008979D7">
      <w:rPr>
        <w:rFonts w:ascii="Arial" w:hAnsi="Arial" w:cs="Arial"/>
        <w:noProof/>
        <w:sz w:val="20"/>
      </w:rPr>
      <w:fldChar w:fldCharType="separate"/>
    </w:r>
    <w:r w:rsidR="000D016C">
      <w:rPr>
        <w:rFonts w:ascii="Arial" w:hAnsi="Arial" w:cs="Arial"/>
        <w:noProof/>
        <w:sz w:val="20"/>
      </w:rPr>
      <w:t>1</w:t>
    </w:r>
    <w:r w:rsidR="00091B0C" w:rsidRPr="008979D7">
      <w:rPr>
        <w:rFonts w:ascii="Arial" w:hAnsi="Arial" w:cs="Arial"/>
        <w:noProof/>
        <w:sz w:val="20"/>
      </w:rPr>
      <w:fldChar w:fldCharType="end"/>
    </w:r>
  </w:p>
  <w:p w:rsidR="00A10500" w:rsidRPr="00091B0C" w:rsidRDefault="00091B0C" w:rsidP="00091B0C">
    <w:pPr>
      <w:pStyle w:val="Footer"/>
      <w:rPr>
        <w:rFonts w:ascii="Arial" w:hAnsi="Arial" w:cs="Arial"/>
        <w:sz w:val="20"/>
      </w:rPr>
    </w:pPr>
    <w:r w:rsidRPr="008979D7">
      <w:rPr>
        <w:rFonts w:ascii="Arial" w:hAnsi="Arial" w:cs="Arial"/>
        <w:sz w:val="20"/>
      </w:rPr>
      <w:t xml:space="preserve">Model Version: </w:t>
    </w:r>
    <w:r w:rsidR="00FF0B0D">
      <w:rPr>
        <w:rFonts w:ascii="Arial" w:hAnsi="Arial" w:cs="Arial"/>
        <w:sz w:val="20"/>
      </w:rPr>
      <w:t>v3</w:t>
    </w:r>
    <w:r w:rsidR="00EF7368">
      <w:rPr>
        <w:rFonts w:ascii="Arial" w:hAnsi="Arial" w:cs="Arial"/>
        <w:sz w:val="20"/>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0C" w:rsidRDefault="00091B0C" w:rsidP="00091B0C">
    <w:pPr>
      <w:tabs>
        <w:tab w:val="center" w:pos="4513"/>
        <w:tab w:val="right" w:pos="9026"/>
      </w:tabs>
      <w:overflowPunct w:val="0"/>
      <w:autoSpaceDE w:val="0"/>
      <w:autoSpaceDN w:val="0"/>
      <w:adjustRightInd w:val="0"/>
      <w:spacing w:after="0" w:line="240" w:lineRule="auto"/>
      <w:jc w:val="both"/>
    </w:pPr>
  </w:p>
  <w:p w:rsidR="00091B0C" w:rsidRPr="008979D7" w:rsidRDefault="00091B0C"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091B0C" w:rsidRPr="008979D7" w:rsidRDefault="00091B0C"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E420BC">
      <w:rPr>
        <w:rFonts w:ascii="Arial" w:hAnsi="Arial" w:cs="Arial"/>
        <w:noProof/>
        <w:sz w:val="20"/>
      </w:rPr>
      <w:t>1</w:t>
    </w:r>
    <w:r w:rsidRPr="008979D7">
      <w:rPr>
        <w:rFonts w:ascii="Arial" w:hAnsi="Arial" w:cs="Arial"/>
        <w:noProof/>
        <w:sz w:val="20"/>
      </w:rPr>
      <w:fldChar w:fldCharType="end"/>
    </w:r>
  </w:p>
  <w:p w:rsidR="00091B0C" w:rsidRDefault="00091B0C"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0D" w:rsidRDefault="00ED440D">
      <w:pPr>
        <w:spacing w:after="0" w:line="240" w:lineRule="auto"/>
      </w:pPr>
      <w:r>
        <w:separator/>
      </w:r>
    </w:p>
  </w:footnote>
  <w:footnote w:type="continuationSeparator" w:id="0">
    <w:p w:rsidR="00ED440D" w:rsidRDefault="00ED4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00" w:rsidRPr="00091B0C" w:rsidRDefault="00091B0C">
    <w:pPr>
      <w:pStyle w:val="Header"/>
      <w:rPr>
        <w:rFonts w:ascii="Arial" w:hAnsi="Arial" w:cs="Arial"/>
        <w:sz w:val="20"/>
      </w:rPr>
    </w:pPr>
    <w:r w:rsidRPr="00091B0C">
      <w:rPr>
        <w:rFonts w:ascii="Arial" w:hAnsi="Arial" w:cs="Arial"/>
        <w:b/>
        <w:sz w:val="20"/>
      </w:rPr>
      <w:t>Call-Off S</w:t>
    </w:r>
    <w:r w:rsidR="00B415E4" w:rsidRPr="00091B0C">
      <w:rPr>
        <w:rFonts w:ascii="Arial" w:hAnsi="Arial" w:cs="Arial"/>
        <w:b/>
        <w:sz w:val="20"/>
      </w:rPr>
      <w:t>chedule 14 (</w:t>
    </w:r>
    <w:r w:rsidR="00F043AA" w:rsidRPr="00091B0C">
      <w:rPr>
        <w:rFonts w:ascii="Arial" w:hAnsi="Arial" w:cs="Arial"/>
        <w:b/>
        <w:sz w:val="20"/>
      </w:rPr>
      <w:t xml:space="preserve">Service </w:t>
    </w:r>
    <w:r w:rsidR="000654EE">
      <w:rPr>
        <w:rFonts w:ascii="Arial" w:hAnsi="Arial" w:cs="Arial"/>
        <w:b/>
        <w:sz w:val="20"/>
      </w:rPr>
      <w:t>Levels</w:t>
    </w:r>
    <w:r w:rsidR="00B415E4" w:rsidRPr="00091B0C">
      <w:rPr>
        <w:rFonts w:ascii="Arial" w:hAnsi="Arial" w:cs="Arial"/>
        <w:b/>
        <w:sz w:val="20"/>
      </w:rPr>
      <w:t>)</w:t>
    </w:r>
  </w:p>
  <w:p w:rsidR="00FF0B0D" w:rsidRDefault="00FF0B0D">
    <w:pPr>
      <w:pStyle w:val="Header"/>
      <w:rPr>
        <w:rFonts w:ascii="Arial" w:hAnsi="Arial" w:cs="Arial"/>
        <w:sz w:val="20"/>
      </w:rPr>
    </w:pPr>
    <w:r>
      <w:rPr>
        <w:rFonts w:ascii="Arial" w:hAnsi="Arial" w:cs="Arial"/>
        <w:sz w:val="20"/>
      </w:rPr>
      <w:t>Call-Off Ref:</w:t>
    </w:r>
  </w:p>
  <w:p w:rsidR="00A10500" w:rsidRPr="00091B0C" w:rsidRDefault="00FF0B0D">
    <w:pPr>
      <w:pStyle w:val="Header"/>
      <w:rPr>
        <w:rFonts w:ascii="Arial" w:hAnsi="Arial" w:cs="Arial"/>
        <w:sz w:val="20"/>
      </w:rPr>
    </w:pPr>
    <w:r>
      <w:rPr>
        <w:rFonts w:ascii="Arial" w:hAnsi="Arial" w:cs="Arial"/>
        <w:sz w:val="20"/>
      </w:rPr>
      <w:t>Crown Copyright 2018</w:t>
    </w:r>
  </w:p>
  <w:p w:rsidR="00091B0C" w:rsidRDefault="0009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
  </w:num>
  <w:num w:numId="45">
    <w:abstractNumId w:val="8"/>
  </w:num>
  <w:num w:numId="46">
    <w:abstractNumId w:val="8"/>
  </w:num>
  <w:num w:numId="47">
    <w:abstractNumId w:val="3"/>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7"/>
  </w:num>
  <w:num w:numId="69">
    <w:abstractNumId w:val="8"/>
  </w:num>
  <w:num w:numId="70">
    <w:abstractNumId w:val="1"/>
  </w:num>
  <w:num w:numId="71">
    <w:abstractNumId w:val="8"/>
  </w:num>
  <w:num w:numId="72">
    <w:abstractNumId w:val="8"/>
  </w:num>
  <w:num w:numId="73">
    <w:abstractNumId w:val="8"/>
  </w:num>
  <w:num w:numId="74">
    <w:abstractNumId w:val="8"/>
  </w:num>
  <w:num w:numId="75">
    <w:abstractNumId w:val="8"/>
  </w:num>
  <w:num w:numId="76">
    <w:abstractNumId w:val="6"/>
  </w:num>
  <w:num w:numId="77">
    <w:abstractNumId w:val="8"/>
  </w:num>
  <w:num w:numId="78">
    <w:abstractNumId w:val="8"/>
  </w:num>
  <w:num w:numId="79">
    <w:abstractNumId w:val="8"/>
  </w:num>
  <w:num w:numId="80">
    <w:abstractNumId w:val="1"/>
  </w:num>
  <w:num w:numId="81">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0"/>
    <w:rsid w:val="00033324"/>
    <w:rsid w:val="000654EE"/>
    <w:rsid w:val="00091B0C"/>
    <w:rsid w:val="000D016C"/>
    <w:rsid w:val="000E6EDE"/>
    <w:rsid w:val="003D59D3"/>
    <w:rsid w:val="00513AA2"/>
    <w:rsid w:val="005D1C56"/>
    <w:rsid w:val="006A11C8"/>
    <w:rsid w:val="006D74B7"/>
    <w:rsid w:val="006F25A9"/>
    <w:rsid w:val="009367D7"/>
    <w:rsid w:val="009674CA"/>
    <w:rsid w:val="00A10500"/>
    <w:rsid w:val="00AF2064"/>
    <w:rsid w:val="00B2378E"/>
    <w:rsid w:val="00B415E4"/>
    <w:rsid w:val="00B82633"/>
    <w:rsid w:val="00BC7C20"/>
    <w:rsid w:val="00C20902"/>
    <w:rsid w:val="00C42F87"/>
    <w:rsid w:val="00C817B2"/>
    <w:rsid w:val="00CB349E"/>
    <w:rsid w:val="00DA53D7"/>
    <w:rsid w:val="00E420BC"/>
    <w:rsid w:val="00E96923"/>
    <w:rsid w:val="00ED440D"/>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7665-C2B4-4F76-A504-A1D76D7E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Samantha Mclennay</cp:lastModifiedBy>
  <cp:revision>5</cp:revision>
  <dcterms:created xsi:type="dcterms:W3CDTF">2018-06-18T14:33:00Z</dcterms:created>
  <dcterms:modified xsi:type="dcterms:W3CDTF">2019-05-12T21:57:00Z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