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E5936" w14:textId="77777777" w:rsidR="00B75FC1" w:rsidRPr="00E41B09" w:rsidRDefault="00B75FC1" w:rsidP="00B75FC1">
      <w:pPr>
        <w:spacing w:before="60"/>
        <w:jc w:val="center"/>
        <w:rPr>
          <w:rFonts w:ascii="Arial" w:hAnsi="Arial" w:cs="Arial"/>
          <w:b/>
        </w:rPr>
      </w:pPr>
    </w:p>
    <w:p w14:paraId="203F3BDB" w14:textId="030D2703" w:rsidR="00B75FC1" w:rsidRPr="00E41B09" w:rsidRDefault="00B75FC1" w:rsidP="00B75FC1">
      <w:pPr>
        <w:spacing w:before="60"/>
        <w:jc w:val="center"/>
        <w:rPr>
          <w:rFonts w:ascii="Arial" w:hAnsi="Arial" w:cs="Arial"/>
          <w:b/>
        </w:rPr>
      </w:pPr>
      <w:r w:rsidRPr="00E41B09">
        <w:rPr>
          <w:rFonts w:ascii="Arial" w:hAnsi="Arial" w:cs="Arial"/>
          <w:b/>
        </w:rPr>
        <w:t>Adoption@Heart Regional Adoption Agency</w:t>
      </w:r>
    </w:p>
    <w:p w14:paraId="67FA9A38" w14:textId="77777777" w:rsidR="00B75FC1" w:rsidRPr="00E41B09" w:rsidRDefault="00B75FC1" w:rsidP="00121116">
      <w:pPr>
        <w:rPr>
          <w:rFonts w:ascii="Arial" w:hAnsi="Arial" w:cs="Arial"/>
          <w:b/>
          <w:sz w:val="28"/>
          <w:szCs w:val="28"/>
        </w:rPr>
      </w:pPr>
    </w:p>
    <w:p w14:paraId="1F8CDEBC" w14:textId="61237C91" w:rsidR="00E41B09" w:rsidRPr="00E41B09" w:rsidRDefault="00E41B09" w:rsidP="00121116">
      <w:pPr>
        <w:rPr>
          <w:rFonts w:ascii="Arial" w:hAnsi="Arial" w:cs="Arial"/>
          <w:b/>
          <w:sz w:val="28"/>
          <w:szCs w:val="28"/>
        </w:rPr>
      </w:pPr>
      <w:r w:rsidRPr="00E41B09">
        <w:rPr>
          <w:rFonts w:ascii="Arial" w:hAnsi="Arial" w:cs="Arial"/>
          <w:b/>
          <w:sz w:val="28"/>
          <w:szCs w:val="28"/>
        </w:rPr>
        <w:t>Legal Services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41B09">
        <w:rPr>
          <w:rFonts w:ascii="Arial" w:hAnsi="Arial" w:cs="Arial"/>
          <w:b/>
          <w:sz w:val="28"/>
          <w:szCs w:val="28"/>
        </w:rPr>
        <w:t>Specification</w:t>
      </w:r>
    </w:p>
    <w:p w14:paraId="25623A91" w14:textId="77777777" w:rsidR="00121116" w:rsidRPr="00E41B09" w:rsidRDefault="00121116" w:rsidP="00121116">
      <w:pPr>
        <w:rPr>
          <w:rFonts w:ascii="Arial" w:hAnsi="Arial" w:cs="Arial"/>
          <w:b/>
          <w:sz w:val="10"/>
          <w:szCs w:val="10"/>
        </w:rPr>
      </w:pPr>
    </w:p>
    <w:p w14:paraId="446D91FC" w14:textId="77777777" w:rsidR="00121116" w:rsidRPr="00E41B09" w:rsidRDefault="00121116" w:rsidP="00121116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E41B09">
        <w:rPr>
          <w:rFonts w:ascii="Arial" w:hAnsi="Arial" w:cs="Arial"/>
          <w:b/>
          <w:sz w:val="24"/>
          <w:szCs w:val="24"/>
        </w:rPr>
        <w:t>Background</w:t>
      </w:r>
    </w:p>
    <w:p w14:paraId="3A864B10" w14:textId="77777777" w:rsidR="00121116" w:rsidRPr="00E41B09" w:rsidRDefault="00121116" w:rsidP="00121116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53A99C3" w14:textId="6A2FD516" w:rsidR="00FE5BA9" w:rsidRPr="00E41B09" w:rsidRDefault="00FE5BA9" w:rsidP="00E41B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As part of the government’s Regional Adoption Agency</w:t>
      </w:r>
      <w:r w:rsidR="00CA5BB0" w:rsidRPr="00E41B09">
        <w:rPr>
          <w:rFonts w:ascii="Arial" w:hAnsi="Arial" w:cs="Arial"/>
          <w:sz w:val="24"/>
          <w:szCs w:val="24"/>
        </w:rPr>
        <w:t xml:space="preserve"> (RAA)</w:t>
      </w:r>
      <w:r w:rsidRPr="00E41B09">
        <w:rPr>
          <w:rFonts w:ascii="Arial" w:hAnsi="Arial" w:cs="Arial"/>
          <w:sz w:val="24"/>
          <w:szCs w:val="24"/>
        </w:rPr>
        <w:t xml:space="preserve"> programme, the Black Country local authority partners have been working collaboratively to create a regional adoption agency</w:t>
      </w:r>
      <w:r w:rsidR="00762832" w:rsidRPr="00E41B09">
        <w:rPr>
          <w:rFonts w:ascii="Arial" w:hAnsi="Arial" w:cs="Arial"/>
          <w:sz w:val="24"/>
          <w:szCs w:val="24"/>
        </w:rPr>
        <w:t>, Adoption@Heart</w:t>
      </w:r>
      <w:r w:rsidR="00E41B09">
        <w:rPr>
          <w:rFonts w:ascii="Arial" w:hAnsi="Arial" w:cs="Arial"/>
          <w:sz w:val="24"/>
          <w:szCs w:val="24"/>
        </w:rPr>
        <w:t>.</w:t>
      </w:r>
    </w:p>
    <w:p w14:paraId="24298E35" w14:textId="77777777" w:rsidR="00FE5BA9" w:rsidRPr="00E41B09" w:rsidRDefault="00FE5BA9" w:rsidP="00FE5BA9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14:paraId="110CED10" w14:textId="11672569" w:rsidR="00FE5BA9" w:rsidRPr="00E41B09" w:rsidRDefault="00FE5BA9" w:rsidP="00762832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 xml:space="preserve">Partners have agreed </w:t>
      </w:r>
      <w:r w:rsidR="00762832" w:rsidRPr="00E41B09">
        <w:rPr>
          <w:rFonts w:ascii="Arial" w:hAnsi="Arial" w:cs="Arial"/>
          <w:sz w:val="24"/>
          <w:szCs w:val="24"/>
        </w:rPr>
        <w:t>that Adoption@Heart will be formed as a Local A</w:t>
      </w:r>
      <w:r w:rsidR="00CA5BB0" w:rsidRPr="00E41B09">
        <w:rPr>
          <w:rFonts w:ascii="Arial" w:hAnsi="Arial" w:cs="Arial"/>
          <w:sz w:val="24"/>
          <w:szCs w:val="24"/>
        </w:rPr>
        <w:t>uthority Trading Company (LATC), constituted as a Community Interest Company</w:t>
      </w:r>
      <w:r w:rsidR="00834D8B" w:rsidRPr="00E41B09">
        <w:rPr>
          <w:rFonts w:ascii="Arial" w:hAnsi="Arial" w:cs="Arial"/>
          <w:sz w:val="24"/>
          <w:szCs w:val="24"/>
        </w:rPr>
        <w:t xml:space="preserve"> (CIC)</w:t>
      </w:r>
      <w:r w:rsidR="00CA5BB0" w:rsidRPr="00E41B09">
        <w:rPr>
          <w:rFonts w:ascii="Arial" w:hAnsi="Arial" w:cs="Arial"/>
          <w:sz w:val="24"/>
          <w:szCs w:val="24"/>
        </w:rPr>
        <w:t xml:space="preserve"> Limited by Share, </w:t>
      </w:r>
      <w:r w:rsidRPr="00E41B09">
        <w:rPr>
          <w:rFonts w:ascii="Arial" w:hAnsi="Arial" w:cs="Arial"/>
          <w:sz w:val="24"/>
          <w:szCs w:val="24"/>
        </w:rPr>
        <w:t xml:space="preserve">and now require </w:t>
      </w:r>
      <w:r w:rsidR="00762832" w:rsidRPr="00E41B09">
        <w:rPr>
          <w:rFonts w:ascii="Arial" w:hAnsi="Arial" w:cs="Arial"/>
          <w:sz w:val="24"/>
          <w:szCs w:val="24"/>
        </w:rPr>
        <w:t>legal support to develop and create the LATC through its transition to going live</w:t>
      </w:r>
      <w:r w:rsidR="00CD41F0" w:rsidRPr="00E41B09">
        <w:rPr>
          <w:rFonts w:ascii="Arial" w:hAnsi="Arial" w:cs="Arial"/>
          <w:sz w:val="24"/>
          <w:szCs w:val="24"/>
        </w:rPr>
        <w:t xml:space="preserve"> on July 1</w:t>
      </w:r>
      <w:r w:rsidR="00CD41F0" w:rsidRPr="00E41B09">
        <w:rPr>
          <w:rFonts w:ascii="Arial" w:hAnsi="Arial" w:cs="Arial"/>
          <w:sz w:val="24"/>
          <w:szCs w:val="24"/>
          <w:vertAlign w:val="superscript"/>
        </w:rPr>
        <w:t>st</w:t>
      </w:r>
      <w:r w:rsidR="00CD41F0" w:rsidRPr="00E41B09">
        <w:rPr>
          <w:rFonts w:ascii="Arial" w:hAnsi="Arial" w:cs="Arial"/>
          <w:sz w:val="24"/>
          <w:szCs w:val="24"/>
        </w:rPr>
        <w:t xml:space="preserve"> 2018</w:t>
      </w:r>
      <w:r w:rsidR="00762832" w:rsidRPr="00E41B09">
        <w:rPr>
          <w:rFonts w:ascii="Arial" w:hAnsi="Arial" w:cs="Arial"/>
          <w:sz w:val="24"/>
          <w:szCs w:val="24"/>
        </w:rPr>
        <w:t xml:space="preserve">, and to negotiate the transfer from current adoption services. </w:t>
      </w:r>
    </w:p>
    <w:p w14:paraId="37EF2C4B" w14:textId="77777777" w:rsidR="00FE5BA9" w:rsidRPr="00E41B09" w:rsidRDefault="00FE5BA9" w:rsidP="00EB5212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D52B90"/>
          <w:sz w:val="28"/>
          <w:szCs w:val="28"/>
        </w:rPr>
      </w:pPr>
    </w:p>
    <w:p w14:paraId="09933685" w14:textId="77777777" w:rsidR="00121116" w:rsidRPr="00E41B09" w:rsidRDefault="00121116" w:rsidP="00121116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E41B09">
        <w:rPr>
          <w:rFonts w:ascii="Arial" w:hAnsi="Arial" w:cs="Arial"/>
          <w:b/>
          <w:sz w:val="24"/>
          <w:szCs w:val="24"/>
        </w:rPr>
        <w:t>Legal documentation and services required – outputs to be delivered</w:t>
      </w:r>
    </w:p>
    <w:p w14:paraId="6F9F51C6" w14:textId="77777777" w:rsidR="00121116" w:rsidRPr="00E41B09" w:rsidRDefault="00121116" w:rsidP="00121116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E110161" w14:textId="77777777" w:rsidR="00121116" w:rsidRPr="00E41B09" w:rsidRDefault="00121116" w:rsidP="001211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The legal services required are outlined below.</w:t>
      </w:r>
    </w:p>
    <w:p w14:paraId="054751E6" w14:textId="77777777" w:rsidR="00121116" w:rsidRPr="00E41B09" w:rsidRDefault="00121116" w:rsidP="001211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121116" w:rsidRPr="00E41B09" w14:paraId="365D33AE" w14:textId="77777777" w:rsidTr="00405E91">
        <w:trPr>
          <w:trHeight w:val="70"/>
          <w:tblHeader/>
        </w:trPr>
        <w:tc>
          <w:tcPr>
            <w:tcW w:w="2972" w:type="dxa"/>
            <w:tcBorders>
              <w:top w:val="single" w:sz="4" w:space="0" w:color="0F4F75"/>
              <w:left w:val="single" w:sz="4" w:space="0" w:color="0F4F75"/>
              <w:bottom w:val="single" w:sz="4" w:space="0" w:color="0F4F75"/>
              <w:right w:val="single" w:sz="4" w:space="0" w:color="0F4F75"/>
            </w:tcBorders>
            <w:shd w:val="clear" w:color="auto" w:fill="auto"/>
          </w:tcPr>
          <w:p w14:paraId="1C1DA97E" w14:textId="77777777" w:rsidR="00121116" w:rsidRPr="00E41B09" w:rsidRDefault="00121116" w:rsidP="00741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Summary</w:t>
            </w:r>
          </w:p>
        </w:tc>
        <w:tc>
          <w:tcPr>
            <w:tcW w:w="5954" w:type="dxa"/>
            <w:tcBorders>
              <w:top w:val="single" w:sz="4" w:space="0" w:color="0F4F75"/>
              <w:left w:val="nil"/>
              <w:bottom w:val="single" w:sz="4" w:space="0" w:color="0F4F75"/>
              <w:right w:val="single" w:sz="4" w:space="0" w:color="0F4F75"/>
            </w:tcBorders>
            <w:shd w:val="clear" w:color="auto" w:fill="auto"/>
          </w:tcPr>
          <w:p w14:paraId="38FBFE72" w14:textId="77777777" w:rsidR="00121116" w:rsidRPr="00E41B09" w:rsidRDefault="00121116" w:rsidP="00741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121116" w:rsidRPr="00E41B09" w14:paraId="1443485A" w14:textId="77777777" w:rsidTr="00741543">
        <w:trPr>
          <w:trHeight w:val="893"/>
        </w:trPr>
        <w:tc>
          <w:tcPr>
            <w:tcW w:w="2972" w:type="dxa"/>
            <w:tcBorders>
              <w:top w:val="single" w:sz="4" w:space="0" w:color="0F4F75"/>
              <w:left w:val="single" w:sz="4" w:space="0" w:color="0F4F75"/>
              <w:bottom w:val="single" w:sz="4" w:space="0" w:color="0F4F75"/>
              <w:right w:val="single" w:sz="4" w:space="0" w:color="0F4F75"/>
            </w:tcBorders>
            <w:shd w:val="clear" w:color="auto" w:fill="auto"/>
            <w:hideMark/>
          </w:tcPr>
          <w:p w14:paraId="62EB9C2A" w14:textId="5AA5ECA3" w:rsidR="00A600E2" w:rsidRPr="00E41B09" w:rsidRDefault="00121116" w:rsidP="00741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Legal advice </w:t>
            </w:r>
            <w:r w:rsidR="00A600E2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17E462ED" w14:textId="77777777" w:rsidR="00A600E2" w:rsidRPr="00E41B09" w:rsidRDefault="00A600E2" w:rsidP="00A600E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Formation of Vehicle </w:t>
            </w:r>
          </w:p>
          <w:p w14:paraId="39AA7060" w14:textId="77777777" w:rsidR="007E438B" w:rsidRPr="00E41B09" w:rsidRDefault="007E438B" w:rsidP="00A600E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Articles of Association</w:t>
            </w:r>
          </w:p>
          <w:p w14:paraId="3D8AD4A7" w14:textId="77777777" w:rsidR="00A600E2" w:rsidRPr="00E41B09" w:rsidRDefault="00A600E2" w:rsidP="00A600E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Members’ Agreement</w:t>
            </w:r>
          </w:p>
          <w:p w14:paraId="58484504" w14:textId="6976CBEB" w:rsidR="00121116" w:rsidRPr="00E41B09" w:rsidRDefault="00121116" w:rsidP="00FC030F">
            <w:pPr>
              <w:pStyle w:val="ListParagraph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0F4F75"/>
              <w:left w:val="nil"/>
              <w:bottom w:val="single" w:sz="4" w:space="0" w:color="0F4F75"/>
              <w:right w:val="single" w:sz="4" w:space="0" w:color="0F4F75"/>
            </w:tcBorders>
            <w:shd w:val="clear" w:color="auto" w:fill="auto"/>
            <w:hideMark/>
          </w:tcPr>
          <w:p w14:paraId="129D896D" w14:textId="77777777" w:rsidR="00A600E2" w:rsidRPr="00E41B09" w:rsidRDefault="00A600E2" w:rsidP="00A600E2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Preparation and agreement of articles of association for corporate structure. </w:t>
            </w:r>
          </w:p>
          <w:p w14:paraId="023A1F8F" w14:textId="1573AAAB" w:rsidR="00A600E2" w:rsidRPr="00E41B09" w:rsidRDefault="00A600E2" w:rsidP="00A600E2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Management and completion of relevant forms for incorporation of Company at Companies House </w:t>
            </w:r>
            <w:r w:rsidR="00834D8B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 with the CIC Regulator</w:t>
            </w:r>
          </w:p>
          <w:p w14:paraId="4D5FA1AF" w14:textId="6FC6601E" w:rsidR="00A600E2" w:rsidRPr="00E41B09" w:rsidRDefault="00A600E2" w:rsidP="00A600E2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Governance arrangements - </w:t>
            </w:r>
            <w:r w:rsidR="00121116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Board composition, voting rights for directors. </w:t>
            </w:r>
          </w:p>
          <w:p w14:paraId="2A741A49" w14:textId="432119AB" w:rsidR="007E438B" w:rsidRPr="00E41B09" w:rsidRDefault="007E438B" w:rsidP="00A600E2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Legal advice on duties of Directors.</w:t>
            </w:r>
          </w:p>
          <w:p w14:paraId="2614392D" w14:textId="77777777" w:rsidR="00405E91" w:rsidRPr="00E41B09" w:rsidRDefault="00834D8B" w:rsidP="00405E91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Preparation of M</w:t>
            </w:r>
            <w:r w:rsidR="00A600E2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embers’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</w:t>
            </w:r>
            <w:r w:rsidR="00A600E2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greement to set out how 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</w:t>
            </w:r>
            <w:r w:rsidR="00A600E2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 will act including list of decisions reserved to them, board appointment rights, </w:t>
            </w:r>
            <w:r w:rsidR="00405E91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dispute resolution, 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</w:t>
            </w:r>
            <w:r w:rsidR="00405E91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funding obligations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="00405E91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78C8125" w14:textId="77F250D7" w:rsidR="008A598E" w:rsidRPr="00E41B09" w:rsidRDefault="008A598E" w:rsidP="008A598E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en-GB"/>
              </w:rPr>
            </w:pPr>
          </w:p>
        </w:tc>
      </w:tr>
      <w:tr w:rsidR="00121116" w:rsidRPr="00E41B09" w14:paraId="13D06E33" w14:textId="77777777" w:rsidTr="00741543">
        <w:trPr>
          <w:trHeight w:val="894"/>
        </w:trPr>
        <w:tc>
          <w:tcPr>
            <w:tcW w:w="2972" w:type="dxa"/>
            <w:tcBorders>
              <w:top w:val="nil"/>
              <w:left w:val="single" w:sz="4" w:space="0" w:color="0F4F75"/>
              <w:bottom w:val="single" w:sz="4" w:space="0" w:color="0F4F75"/>
              <w:right w:val="single" w:sz="4" w:space="0" w:color="0F4F75"/>
            </w:tcBorders>
            <w:shd w:val="clear" w:color="auto" w:fill="auto"/>
            <w:hideMark/>
          </w:tcPr>
          <w:p w14:paraId="00D2481D" w14:textId="77777777" w:rsidR="00121116" w:rsidRPr="00E41B09" w:rsidRDefault="00121116" w:rsidP="00741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Teckal / procurement advice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F4F75"/>
              <w:right w:val="single" w:sz="4" w:space="0" w:color="0F4F75"/>
            </w:tcBorders>
            <w:shd w:val="clear" w:color="auto" w:fill="auto"/>
            <w:hideMark/>
          </w:tcPr>
          <w:p w14:paraId="29291323" w14:textId="6584268F" w:rsidR="00CA34E8" w:rsidRPr="00E41B09" w:rsidRDefault="00770E2F" w:rsidP="00A82F3D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Confirm or otherwise</w:t>
            </w:r>
            <w:r w:rsidR="00217F6F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05E91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initial legal advice taken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that </w:t>
            </w:r>
            <w:r w:rsidR="00A82F3D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Regulation 12 will apply to the procurement of the LATC, in which </w:t>
            </w:r>
            <w:r w:rsidR="002E76F0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contracting authorities</w:t>
            </w:r>
            <w:r w:rsidR="00A82F3D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have </w:t>
            </w:r>
            <w:r w:rsidR="00692BA9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</w:t>
            </w:r>
            <w:r w:rsidR="00692BA9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control over that legal person which is similar to that which they ex</w:t>
            </w:r>
            <w:r w:rsidR="00A82F3D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ercise of their own departments.</w:t>
            </w:r>
          </w:p>
          <w:p w14:paraId="01D8D9D2" w14:textId="5B0C00F8" w:rsidR="00405E91" w:rsidRPr="00E41B09" w:rsidRDefault="00A82F3D" w:rsidP="00405E91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="008A598E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dvis</w:t>
            </w:r>
            <w:r w:rsidR="00405E91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 on the associated risks of trading. </w:t>
            </w:r>
          </w:p>
          <w:p w14:paraId="569C6DF3" w14:textId="77777777" w:rsidR="00405E91" w:rsidRPr="00E41B09" w:rsidRDefault="00A82F3D" w:rsidP="008A598E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Advise on</w:t>
            </w:r>
            <w:r w:rsidR="00405E91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any issues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associated risks around the potential provision of</w:t>
            </w:r>
            <w:r w:rsidR="00405E91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42671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‘back office’</w:t>
            </w:r>
            <w:r w:rsidR="00405E91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services by the commissioning organisations, whether</w:t>
            </w:r>
            <w:r w:rsidR="00405E91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42671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“in kind” </w:t>
            </w:r>
            <w:r w:rsidR="00EE57D2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or </w:t>
            </w:r>
            <w:r w:rsidR="008A598E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 a paid basis, including</w:t>
            </w:r>
            <w:r w:rsidR="00EE57D2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VAT implic</w:t>
            </w:r>
            <w:r w:rsidR="00642671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ations</w:t>
            </w:r>
            <w:r w:rsidR="00EE57D2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14:paraId="1E2530DE" w14:textId="41D212A4" w:rsidR="008A598E" w:rsidRPr="00E41B09" w:rsidRDefault="008A598E" w:rsidP="008A598E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en-GB"/>
              </w:rPr>
            </w:pPr>
          </w:p>
        </w:tc>
      </w:tr>
      <w:tr w:rsidR="00121116" w:rsidRPr="00E41B09" w14:paraId="075622D5" w14:textId="77777777" w:rsidTr="00405E91">
        <w:tc>
          <w:tcPr>
            <w:tcW w:w="2972" w:type="dxa"/>
            <w:tcBorders>
              <w:top w:val="nil"/>
              <w:left w:val="single" w:sz="4" w:space="0" w:color="0F4F75"/>
              <w:bottom w:val="single" w:sz="4" w:space="0" w:color="0F4F75"/>
              <w:right w:val="single" w:sz="4" w:space="0" w:color="0F4F75"/>
            </w:tcBorders>
            <w:shd w:val="clear" w:color="auto" w:fill="auto"/>
            <w:hideMark/>
          </w:tcPr>
          <w:p w14:paraId="3E204653" w14:textId="77777777" w:rsidR="00121116" w:rsidRPr="00E41B09" w:rsidRDefault="00121116" w:rsidP="00741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Legal advice - Statutory duties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F4F75"/>
              <w:right w:val="single" w:sz="4" w:space="0" w:color="0F4F75"/>
            </w:tcBorders>
            <w:shd w:val="clear" w:color="auto" w:fill="auto"/>
            <w:hideMark/>
          </w:tcPr>
          <w:p w14:paraId="7D56B69F" w14:textId="77777777" w:rsidR="00405E91" w:rsidRPr="00E41B09" w:rsidRDefault="00121116" w:rsidP="00405E91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Regarding transfer of adoption functions in line with current legislation and guidance identifying the risk and how these can be managed through the commissioning agreement. </w:t>
            </w:r>
          </w:p>
          <w:p w14:paraId="251570F7" w14:textId="5504DCDB" w:rsidR="00121116" w:rsidRPr="00E41B09" w:rsidRDefault="00121116" w:rsidP="00405E91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Advice re</w:t>
            </w:r>
            <w:r w:rsidR="009072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garding the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specification of services to ensure statutory duties are identified correctly</w:t>
            </w:r>
          </w:p>
          <w:p w14:paraId="67E282F8" w14:textId="77777777" w:rsidR="007E438B" w:rsidRPr="00E41B09" w:rsidRDefault="00405E91" w:rsidP="00405E91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Advice on whether the agency will be registered as a local authority adoption agency, or a voluntary adoption agency and implications for registration with Ofsted</w:t>
            </w:r>
          </w:p>
          <w:p w14:paraId="74705766" w14:textId="493D15C2" w:rsidR="00405E91" w:rsidRPr="00E41B09" w:rsidRDefault="007E438B" w:rsidP="00405E91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Advice as required on options for enabling early permanence placements including dual registration as an adoption agency and a fostering agency</w:t>
            </w:r>
            <w:r w:rsidR="00405E91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14:paraId="7736AB4A" w14:textId="32B99193" w:rsidR="00614236" w:rsidRPr="00E41B09" w:rsidRDefault="00614236" w:rsidP="00614236">
            <w:pPr>
              <w:pStyle w:val="ListParagraph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42671" w:rsidRPr="00E41B09" w14:paraId="3B2917E1" w14:textId="77777777" w:rsidTr="00DB5983">
        <w:trPr>
          <w:trHeight w:val="1502"/>
        </w:trPr>
        <w:tc>
          <w:tcPr>
            <w:tcW w:w="2972" w:type="dxa"/>
            <w:tcBorders>
              <w:top w:val="nil"/>
              <w:left w:val="single" w:sz="4" w:space="0" w:color="0F4F75"/>
              <w:bottom w:val="single" w:sz="4" w:space="0" w:color="0F4F75"/>
              <w:right w:val="single" w:sz="4" w:space="0" w:color="0F4F75"/>
            </w:tcBorders>
            <w:shd w:val="clear" w:color="auto" w:fill="auto"/>
          </w:tcPr>
          <w:p w14:paraId="64ED7DB4" w14:textId="77777777" w:rsidR="00642671" w:rsidRPr="00E41B09" w:rsidRDefault="00642671" w:rsidP="00DB5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Legal advice and negotiations on behalf of the RAA for the Services Contract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F4F75"/>
              <w:right w:val="single" w:sz="4" w:space="0" w:color="0F4F75"/>
            </w:tcBorders>
            <w:shd w:val="clear" w:color="auto" w:fill="auto"/>
          </w:tcPr>
          <w:p w14:paraId="0692B00C" w14:textId="77777777" w:rsidR="00DA58EF" w:rsidRPr="00E41B09" w:rsidRDefault="00642671" w:rsidP="00DA58E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Negotiation and finalisation with commissioners of the services contract developed </w:t>
            </w:r>
            <w:r w:rsidR="005B797B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by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the LA side. </w:t>
            </w:r>
          </w:p>
          <w:p w14:paraId="24C1BFDF" w14:textId="637D2FCD" w:rsidR="00DA58EF" w:rsidRPr="00E41B09" w:rsidRDefault="00642671" w:rsidP="00DA58E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="009072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dvice regarding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working capital arrangements </w:t>
            </w:r>
            <w:r w:rsidR="00614236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 f</w:t>
            </w:r>
            <w:r w:rsidR="00DA58EF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acility agreement for working capital (if applicable)</w:t>
            </w:r>
          </w:p>
          <w:p w14:paraId="20A5FE13" w14:textId="23637B0A" w:rsidR="00614236" w:rsidRPr="00E41B09" w:rsidRDefault="00DA58EF" w:rsidP="00DA58E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Advice re</w:t>
            </w:r>
            <w:r w:rsidR="009072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garding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options for ‘back office’ delivery to be provided to the new entity (note procurement </w:t>
            </w:r>
            <w:r w:rsidR="00614236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points 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above).</w:t>
            </w:r>
          </w:p>
          <w:p w14:paraId="172F7A60" w14:textId="1B10D54E" w:rsidR="00DA58EF" w:rsidRPr="00E41B09" w:rsidRDefault="00DA58EF" w:rsidP="00DA58E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Support services agreements (if applicable)</w:t>
            </w:r>
          </w:p>
          <w:p w14:paraId="05FC4D2B" w14:textId="67864476" w:rsidR="00642671" w:rsidRPr="00E41B09" w:rsidRDefault="00642671" w:rsidP="00DA58EF">
            <w:pPr>
              <w:pStyle w:val="ListParagraph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116" w:rsidRPr="00E41B09" w14:paraId="7E2FC9B2" w14:textId="77777777" w:rsidTr="00741543">
        <w:trPr>
          <w:trHeight w:val="238"/>
        </w:trPr>
        <w:tc>
          <w:tcPr>
            <w:tcW w:w="2972" w:type="dxa"/>
            <w:tcBorders>
              <w:top w:val="nil"/>
              <w:left w:val="single" w:sz="4" w:space="0" w:color="0F4F75"/>
              <w:bottom w:val="single" w:sz="4" w:space="0" w:color="0F4F75"/>
              <w:right w:val="single" w:sz="4" w:space="0" w:color="0F4F75"/>
            </w:tcBorders>
            <w:shd w:val="clear" w:color="auto" w:fill="auto"/>
            <w:hideMark/>
          </w:tcPr>
          <w:p w14:paraId="0E82FD0E" w14:textId="72000333" w:rsidR="00121116" w:rsidRPr="00E41B09" w:rsidRDefault="00121116" w:rsidP="00405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Legal </w:t>
            </w:r>
            <w:r w:rsidR="00405E91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advice and negotiations on behalf of the RAA for the transfer Agreement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F4F75"/>
              <w:right w:val="single" w:sz="4" w:space="0" w:color="0F4F75"/>
            </w:tcBorders>
            <w:shd w:val="clear" w:color="auto" w:fill="auto"/>
            <w:hideMark/>
          </w:tcPr>
          <w:p w14:paraId="34D2A8D9" w14:textId="59008A13" w:rsidR="00121116" w:rsidRPr="00E41B09" w:rsidRDefault="00774A64" w:rsidP="003658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 and negotiate the t</w:t>
            </w:r>
            <w:r w:rsidR="002A64C8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ransfer agreement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(s) on behalf of the RAA, </w:t>
            </w:r>
            <w:r w:rsidR="002A64C8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setting out terms of TUPE transfer of staff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pensions,</w:t>
            </w:r>
            <w:r w:rsidR="002A64C8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transfer of other assets e.g. approved and prospective adopters and novation of contracts</w:t>
            </w:r>
            <w:r w:rsidR="009F7B4B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property leases</w:t>
            </w:r>
            <w:r w:rsidR="002A64C8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capital arrangements, </w:t>
            </w:r>
            <w:r w:rsidR="005A30DE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liability for any redundancies will be agreed between LAs and RAA.</w:t>
            </w:r>
          </w:p>
          <w:p w14:paraId="7DCD5B81" w14:textId="086D962B" w:rsidR="000E5BEE" w:rsidRPr="00E41B09" w:rsidRDefault="000E5BEE" w:rsidP="00365813">
            <w:pPr>
              <w:pStyle w:val="ListParagraph"/>
              <w:numPr>
                <w:ilvl w:val="0"/>
                <w:numId w:val="13"/>
              </w:numPr>
              <w:spacing w:before="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Draw up and negotiate a </w:t>
            </w:r>
            <w:r w:rsidR="006C4D2F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isk sharing agreement to include but not limited to:</w:t>
            </w:r>
          </w:p>
          <w:p w14:paraId="7C233BFB" w14:textId="77777777" w:rsidR="000E5BEE" w:rsidRPr="00E41B09" w:rsidRDefault="000E5BEE" w:rsidP="00365813">
            <w:pPr>
              <w:pStyle w:val="ListParagraph"/>
              <w:numPr>
                <w:ilvl w:val="1"/>
                <w:numId w:val="13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Approach to overspends and underspends</w:t>
            </w:r>
          </w:p>
          <w:p w14:paraId="4DA8D4E2" w14:textId="5EAE1EA4" w:rsidR="000E5BEE" w:rsidRPr="00E41B09" w:rsidRDefault="000E5BEE" w:rsidP="00365813">
            <w:pPr>
              <w:pStyle w:val="ListParagraph"/>
              <w:numPr>
                <w:ilvl w:val="1"/>
                <w:numId w:val="13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="005400DD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pproach to transfer of any historical caseloads and disproportionate numbers of children requiring placement at point of transfer</w:t>
            </w:r>
          </w:p>
          <w:p w14:paraId="77860AB3" w14:textId="518C6854" w:rsidR="000E5BEE" w:rsidRPr="00E41B09" w:rsidRDefault="000E5BEE" w:rsidP="00365813">
            <w:pPr>
              <w:pStyle w:val="ListParagraph"/>
              <w:numPr>
                <w:ilvl w:val="1"/>
                <w:numId w:val="13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Approach to staff vacancies, redeployment, redundancies in the LA teams pre go live</w:t>
            </w:r>
          </w:p>
          <w:p w14:paraId="2A84C2A2" w14:textId="18ECC5A8" w:rsidR="00365813" w:rsidRPr="00E41B09" w:rsidRDefault="00365813" w:rsidP="00365813">
            <w:pPr>
              <w:pStyle w:val="ListParagraph"/>
              <w:numPr>
                <w:ilvl w:val="1"/>
                <w:numId w:val="13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Approach to level of risk related to demand fluctuations and operational performance </w:t>
            </w:r>
          </w:p>
          <w:p w14:paraId="5232B3FD" w14:textId="5ABD8CE2" w:rsidR="00774A64" w:rsidRPr="00E41B09" w:rsidRDefault="00774A64" w:rsidP="00774A6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116" w:rsidRPr="00E41B09" w14:paraId="1195CE84" w14:textId="77777777" w:rsidTr="00741543">
        <w:trPr>
          <w:trHeight w:val="1502"/>
        </w:trPr>
        <w:tc>
          <w:tcPr>
            <w:tcW w:w="2972" w:type="dxa"/>
            <w:tcBorders>
              <w:top w:val="nil"/>
              <w:left w:val="single" w:sz="4" w:space="0" w:color="0F4F75"/>
              <w:bottom w:val="single" w:sz="4" w:space="0" w:color="0F4F75"/>
              <w:right w:val="single" w:sz="4" w:space="0" w:color="0F4F75"/>
            </w:tcBorders>
            <w:shd w:val="clear" w:color="auto" w:fill="auto"/>
            <w:hideMark/>
          </w:tcPr>
          <w:p w14:paraId="0A59BB3C" w14:textId="4A3C71C7" w:rsidR="00121116" w:rsidRPr="00E41B09" w:rsidRDefault="00121116" w:rsidP="00741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TUPE/Pensions advice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F4F75"/>
              <w:right w:val="single" w:sz="4" w:space="0" w:color="0F4F75"/>
            </w:tcBorders>
            <w:shd w:val="clear" w:color="auto" w:fill="auto"/>
            <w:hideMark/>
          </w:tcPr>
          <w:p w14:paraId="61EE1BCF" w14:textId="77777777" w:rsidR="00C77F88" w:rsidRPr="00E41B09" w:rsidRDefault="00121116" w:rsidP="00C77F88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Assistance with planning to enable TUPE consultation process to begin. </w:t>
            </w:r>
          </w:p>
          <w:p w14:paraId="55138C97" w14:textId="77777777" w:rsidR="00C77F88" w:rsidRPr="00E41B09" w:rsidRDefault="00121116" w:rsidP="00C77F88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Assist liaison with LGPS Pension Fund to highlight proposed company model and the basis for participation in the LGPS. </w:t>
            </w:r>
          </w:p>
          <w:p w14:paraId="6B1DADD9" w14:textId="77777777" w:rsidR="00C77F88" w:rsidRPr="00E41B09" w:rsidRDefault="00121116" w:rsidP="00C77F88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General advice relating to TUPE/Pensions information required and general advice in relation to the process. </w:t>
            </w:r>
          </w:p>
          <w:p w14:paraId="31DC6FDF" w14:textId="77777777" w:rsidR="005A30DE" w:rsidRPr="00E41B09" w:rsidRDefault="00121116" w:rsidP="005A30DE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Negotiation of employment and pensions provisions in </w:t>
            </w:r>
            <w:r w:rsidR="005B797B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transfer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agreement. </w:t>
            </w:r>
          </w:p>
          <w:p w14:paraId="3462E26C" w14:textId="549FAB4D" w:rsidR="005A30DE" w:rsidRPr="00E41B09" w:rsidRDefault="00121116" w:rsidP="005A30DE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Advice r</w:t>
            </w:r>
            <w:r w:rsidR="009072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egarding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Admission Body Agreement</w:t>
            </w:r>
            <w:r w:rsidR="00E3746C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="005A30DE" w:rsidRPr="00E41B09">
              <w:rPr>
                <w:rFonts w:ascii="Arial" w:hAnsi="Arial" w:cs="Arial"/>
                <w:sz w:val="24"/>
                <w:szCs w:val="24"/>
              </w:rPr>
              <w:t>whether a bond shall be required for admitted body status</w:t>
            </w:r>
            <w:r w:rsidR="00E3746C" w:rsidRPr="00E41B09">
              <w:rPr>
                <w:rFonts w:ascii="Arial" w:hAnsi="Arial" w:cs="Arial"/>
                <w:sz w:val="24"/>
                <w:szCs w:val="24"/>
              </w:rPr>
              <w:t>.</w:t>
            </w:r>
            <w:r w:rsidR="005A30DE" w:rsidRPr="00E41B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70B328" w14:textId="1A32CD4B" w:rsidR="00121116" w:rsidRPr="00E41B09" w:rsidRDefault="00121116" w:rsidP="00E3746C">
            <w:pPr>
              <w:pStyle w:val="ListParagraph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21116" w:rsidRPr="00E41B09" w14:paraId="6DD752D5" w14:textId="77777777" w:rsidTr="00741543">
        <w:trPr>
          <w:trHeight w:val="932"/>
        </w:trPr>
        <w:tc>
          <w:tcPr>
            <w:tcW w:w="2972" w:type="dxa"/>
            <w:tcBorders>
              <w:top w:val="nil"/>
              <w:left w:val="single" w:sz="4" w:space="0" w:color="0F4F75"/>
              <w:bottom w:val="single" w:sz="4" w:space="0" w:color="0F4F75"/>
              <w:right w:val="single" w:sz="4" w:space="0" w:color="0F4F75"/>
            </w:tcBorders>
            <w:shd w:val="clear" w:color="auto" w:fill="auto"/>
            <w:hideMark/>
          </w:tcPr>
          <w:p w14:paraId="3B204E48" w14:textId="77777777" w:rsidR="00121116" w:rsidRPr="00E41B09" w:rsidRDefault="00121116" w:rsidP="00741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Property advice/ VAT advice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F4F75"/>
              <w:right w:val="single" w:sz="4" w:space="0" w:color="0F4F75"/>
            </w:tcBorders>
            <w:shd w:val="clear" w:color="auto" w:fill="auto"/>
            <w:hideMark/>
          </w:tcPr>
          <w:p w14:paraId="1B1835C5" w14:textId="23FF5EF0" w:rsidR="00C77F88" w:rsidRPr="00E41B09" w:rsidRDefault="00121116" w:rsidP="00DA58EF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Advice regarding any transfer or leases of properties </w:t>
            </w:r>
            <w:r w:rsidR="00E3746C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for 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occupied by adoption services or alternative arrangements (addressing state aid). </w:t>
            </w:r>
          </w:p>
          <w:p w14:paraId="0E54C02B" w14:textId="5B3DDCB5" w:rsidR="00DA58EF" w:rsidRPr="00E41B09" w:rsidRDefault="00DA58EF" w:rsidP="00DA58EF">
            <w:pPr>
              <w:pStyle w:val="BB-Level3Legal"/>
              <w:numPr>
                <w:ilvl w:val="0"/>
                <w:numId w:val="11"/>
              </w:numPr>
              <w:spacing w:before="60" w:after="0"/>
              <w:jc w:val="left"/>
              <w:rPr>
                <w:sz w:val="24"/>
                <w:szCs w:val="24"/>
              </w:rPr>
            </w:pPr>
            <w:r w:rsidRPr="00E41B09">
              <w:rPr>
                <w:sz w:val="24"/>
                <w:szCs w:val="24"/>
              </w:rPr>
              <w:t xml:space="preserve">Advice regarding licence for access to leased Hub premises and use of LA buildings for hot desking </w:t>
            </w:r>
          </w:p>
          <w:p w14:paraId="61680010" w14:textId="0AD393BF" w:rsidR="00121116" w:rsidRPr="00E41B09" w:rsidRDefault="00121116" w:rsidP="00DA58EF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Advice relating to VAT implications for trading vehicle (utilising external tax advisory services where required)</w:t>
            </w:r>
          </w:p>
        </w:tc>
      </w:tr>
      <w:tr w:rsidR="00121116" w:rsidRPr="00E41B09" w14:paraId="3C16E596" w14:textId="77777777" w:rsidTr="00741543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0F4F75"/>
              <w:bottom w:val="single" w:sz="4" w:space="0" w:color="0F4F75"/>
              <w:right w:val="single" w:sz="4" w:space="0" w:color="0F4F75"/>
            </w:tcBorders>
            <w:shd w:val="clear" w:color="auto" w:fill="auto"/>
            <w:hideMark/>
          </w:tcPr>
          <w:p w14:paraId="78919A3B" w14:textId="77777777" w:rsidR="00121116" w:rsidRPr="00E41B09" w:rsidRDefault="00121116" w:rsidP="00741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Information Governance advice and Completion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F4F75"/>
              <w:right w:val="single" w:sz="4" w:space="0" w:color="0F4F75"/>
            </w:tcBorders>
            <w:shd w:val="clear" w:color="auto" w:fill="auto"/>
            <w:hideMark/>
          </w:tcPr>
          <w:p w14:paraId="409ED686" w14:textId="77777777" w:rsidR="00C77F88" w:rsidRPr="00E41B09" w:rsidRDefault="00121116" w:rsidP="00C77F88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Advice regarding information</w:t>
            </w:r>
            <w:r w:rsidR="00C77F88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records to be</w:t>
            </w:r>
            <w:r w:rsidR="00C77F88"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transferred to the new entity</w:t>
            </w:r>
          </w:p>
          <w:p w14:paraId="01FA34B2" w14:textId="0902B850" w:rsidR="00C77F88" w:rsidRPr="00E41B09" w:rsidRDefault="00121116" w:rsidP="00C77F88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Ensuring complian</w:t>
            </w:r>
            <w:r w:rsidR="009072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ce with Data Protection and Freedom of Information </w:t>
            </w: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laws and guidance. </w:t>
            </w:r>
          </w:p>
          <w:p w14:paraId="04D6B629" w14:textId="76C4312E" w:rsidR="00121116" w:rsidRPr="00E41B09" w:rsidRDefault="00121116" w:rsidP="00C77F88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41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Supporting the reporting of issues; obtaining necessary approvals and preparing and verifying necessary consents, approval and board minutes.</w:t>
            </w:r>
          </w:p>
        </w:tc>
      </w:tr>
    </w:tbl>
    <w:p w14:paraId="16F5B269" w14:textId="77777777" w:rsidR="00C77F88" w:rsidRPr="00E41B09" w:rsidRDefault="00C77F88" w:rsidP="00121116">
      <w:pPr>
        <w:rPr>
          <w:rFonts w:ascii="Arial" w:hAnsi="Arial" w:cs="Arial"/>
          <w:b/>
          <w:sz w:val="24"/>
          <w:szCs w:val="24"/>
        </w:rPr>
      </w:pPr>
    </w:p>
    <w:p w14:paraId="1E9C5EFF" w14:textId="77777777" w:rsidR="00471840" w:rsidRPr="00E41B09" w:rsidRDefault="00E3746C" w:rsidP="004718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In addition to the above, advice on any</w:t>
      </w:r>
      <w:r w:rsidR="00405E91" w:rsidRPr="00E41B09">
        <w:rPr>
          <w:rFonts w:ascii="Arial" w:hAnsi="Arial" w:cs="Arial"/>
          <w:sz w:val="24"/>
          <w:szCs w:val="24"/>
        </w:rPr>
        <w:t xml:space="preserve"> other key aspects relating to the setting up of the new company and transfer of assets into it. Please advise </w:t>
      </w:r>
      <w:r w:rsidRPr="00E41B09">
        <w:rPr>
          <w:rFonts w:ascii="Arial" w:hAnsi="Arial" w:cs="Arial"/>
          <w:sz w:val="24"/>
          <w:szCs w:val="24"/>
        </w:rPr>
        <w:t xml:space="preserve">in your application </w:t>
      </w:r>
      <w:r w:rsidR="00405E91" w:rsidRPr="00E41B09">
        <w:rPr>
          <w:rFonts w:ascii="Arial" w:hAnsi="Arial" w:cs="Arial"/>
          <w:sz w:val="24"/>
          <w:szCs w:val="24"/>
        </w:rPr>
        <w:t>on anything else you see as needed.</w:t>
      </w:r>
    </w:p>
    <w:p w14:paraId="2C2F43E4" w14:textId="77777777" w:rsidR="00471840" w:rsidRPr="00E41B09" w:rsidRDefault="00471840" w:rsidP="004718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A00C8" w14:textId="2FFBC490" w:rsidR="00471840" w:rsidRPr="00E41B09" w:rsidRDefault="009072C3" w:rsidP="004718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appointed Legal advisor is required to</w:t>
      </w:r>
      <w:r w:rsidR="00471840" w:rsidRPr="00E41B09">
        <w:rPr>
          <w:rFonts w:ascii="Arial" w:hAnsi="Arial" w:cs="Arial"/>
          <w:sz w:val="24"/>
          <w:szCs w:val="24"/>
        </w:rPr>
        <w:t xml:space="preserve"> work closely with the Financial advisor and HR advisor working on behalf of the RAA, as well as representatives on the commissioner side (Legal, Finance, HR etc) as required.</w:t>
      </w:r>
    </w:p>
    <w:p w14:paraId="7D76EE9E" w14:textId="77777777" w:rsidR="00405E91" w:rsidRPr="00E41B09" w:rsidRDefault="00405E91" w:rsidP="001211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C59F37" w14:textId="28F77CD5" w:rsidR="00E3746C" w:rsidRPr="00E41B09" w:rsidRDefault="00121116" w:rsidP="002265C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b/>
          <w:sz w:val="24"/>
          <w:szCs w:val="24"/>
        </w:rPr>
        <w:t xml:space="preserve">Inputs to assist with delivering the legal services </w:t>
      </w:r>
      <w:r w:rsidR="00F342C3" w:rsidRPr="00E41B09">
        <w:rPr>
          <w:rFonts w:ascii="Arial" w:hAnsi="Arial" w:cs="Arial"/>
          <w:b/>
          <w:sz w:val="24"/>
          <w:szCs w:val="24"/>
        </w:rPr>
        <w:t>required</w:t>
      </w:r>
    </w:p>
    <w:p w14:paraId="15A343EA" w14:textId="77777777" w:rsidR="00121116" w:rsidRPr="00E41B09" w:rsidRDefault="00121116" w:rsidP="00121116">
      <w:pPr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The following inputs are available to inform the delivery of services and development of documentation:</w:t>
      </w:r>
    </w:p>
    <w:p w14:paraId="337124EE" w14:textId="39865CA6" w:rsidR="00121116" w:rsidRPr="00E41B09" w:rsidRDefault="00121116" w:rsidP="00121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 xml:space="preserve">Access to the </w:t>
      </w:r>
      <w:r w:rsidR="002632D5" w:rsidRPr="00E41B09">
        <w:rPr>
          <w:rFonts w:ascii="Arial" w:hAnsi="Arial" w:cs="Arial"/>
          <w:sz w:val="24"/>
          <w:szCs w:val="24"/>
        </w:rPr>
        <w:t xml:space="preserve">RAA </w:t>
      </w:r>
      <w:r w:rsidR="00CD41F0" w:rsidRPr="00E41B09">
        <w:rPr>
          <w:rFonts w:ascii="Arial" w:hAnsi="Arial" w:cs="Arial"/>
          <w:sz w:val="24"/>
          <w:szCs w:val="24"/>
        </w:rPr>
        <w:t>P</w:t>
      </w:r>
      <w:r w:rsidRPr="00E41B09">
        <w:rPr>
          <w:rFonts w:ascii="Arial" w:hAnsi="Arial" w:cs="Arial"/>
          <w:sz w:val="24"/>
          <w:szCs w:val="24"/>
        </w:rPr>
        <w:t xml:space="preserve">roject </w:t>
      </w:r>
      <w:r w:rsidR="002632D5" w:rsidRPr="00E41B09">
        <w:rPr>
          <w:rFonts w:ascii="Arial" w:hAnsi="Arial" w:cs="Arial"/>
          <w:sz w:val="24"/>
          <w:szCs w:val="24"/>
        </w:rPr>
        <w:t xml:space="preserve">Board as required (meets monthly) </w:t>
      </w:r>
    </w:p>
    <w:p w14:paraId="11F8492D" w14:textId="77777777" w:rsidR="00E3746C" w:rsidRPr="00E41B09" w:rsidRDefault="009C1479" w:rsidP="00121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 xml:space="preserve">Previous delivery model options appraisal documentation </w:t>
      </w:r>
    </w:p>
    <w:p w14:paraId="16A27C6E" w14:textId="46D5ED4D" w:rsidR="00121116" w:rsidRPr="00E41B09" w:rsidRDefault="00E3746C" w:rsidP="00121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P</w:t>
      </w:r>
      <w:r w:rsidR="009C1479" w:rsidRPr="00E41B09">
        <w:rPr>
          <w:rFonts w:ascii="Arial" w:hAnsi="Arial" w:cs="Arial"/>
          <w:sz w:val="24"/>
          <w:szCs w:val="24"/>
        </w:rPr>
        <w:t>roposals</w:t>
      </w:r>
      <w:r w:rsidRPr="00E41B09">
        <w:rPr>
          <w:rFonts w:ascii="Arial" w:hAnsi="Arial" w:cs="Arial"/>
          <w:sz w:val="24"/>
          <w:szCs w:val="24"/>
        </w:rPr>
        <w:t xml:space="preserve"> for RAA governance and accountabilities to commissioners</w:t>
      </w:r>
    </w:p>
    <w:p w14:paraId="26E8D1C0" w14:textId="77777777" w:rsidR="00121116" w:rsidRPr="00E41B09" w:rsidRDefault="00121116" w:rsidP="00121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Previous legal advice informing selection of delivery model</w:t>
      </w:r>
    </w:p>
    <w:p w14:paraId="4CC38B2A" w14:textId="77777777" w:rsidR="00121116" w:rsidRPr="00E41B09" w:rsidRDefault="00121116" w:rsidP="00121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Baseline service information including service performance data, HR and financial summary information</w:t>
      </w:r>
    </w:p>
    <w:p w14:paraId="22988E83" w14:textId="79BF7FBC" w:rsidR="00121116" w:rsidRPr="00E41B09" w:rsidRDefault="00121116" w:rsidP="001211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Coordination</w:t>
      </w:r>
      <w:r w:rsidR="003B6A59" w:rsidRPr="00E41B09">
        <w:rPr>
          <w:rFonts w:ascii="Arial" w:hAnsi="Arial" w:cs="Arial"/>
          <w:sz w:val="24"/>
          <w:szCs w:val="24"/>
        </w:rPr>
        <w:t xml:space="preserve"> support and feedback from the Adoption@Heart</w:t>
      </w:r>
      <w:r w:rsidRPr="00E41B09">
        <w:rPr>
          <w:rFonts w:ascii="Arial" w:hAnsi="Arial" w:cs="Arial"/>
          <w:sz w:val="24"/>
          <w:szCs w:val="24"/>
        </w:rPr>
        <w:t xml:space="preserve"> project manager</w:t>
      </w:r>
    </w:p>
    <w:p w14:paraId="73BE463A" w14:textId="77777777" w:rsidR="00471840" w:rsidRPr="00E41B09" w:rsidRDefault="00471840" w:rsidP="00365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26781" w14:textId="77777777" w:rsidR="00121116" w:rsidRPr="00E41B09" w:rsidRDefault="00121116" w:rsidP="00121116">
      <w:pPr>
        <w:pStyle w:val="ListParagraph"/>
        <w:rPr>
          <w:rFonts w:ascii="Arial" w:hAnsi="Arial" w:cs="Arial"/>
          <w:sz w:val="24"/>
          <w:szCs w:val="24"/>
        </w:rPr>
      </w:pPr>
    </w:p>
    <w:p w14:paraId="032CA89A" w14:textId="53C4FA3C" w:rsidR="00121116" w:rsidRPr="00E41B09" w:rsidRDefault="00892C40" w:rsidP="001211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Major milestones</w:t>
      </w:r>
      <w:r w:rsidR="00121116" w:rsidRPr="00E41B09">
        <w:rPr>
          <w:rFonts w:ascii="Arial" w:hAnsi="Arial" w:cs="Arial"/>
          <w:b/>
          <w:sz w:val="24"/>
          <w:szCs w:val="24"/>
        </w:rPr>
        <w:t>:</w:t>
      </w:r>
    </w:p>
    <w:p w14:paraId="4254C678" w14:textId="322E802A" w:rsidR="00121116" w:rsidRPr="00E41B09" w:rsidRDefault="00E4058F" w:rsidP="000E37A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92C40">
        <w:rPr>
          <w:rFonts w:ascii="Arial" w:hAnsi="Arial" w:cs="Arial"/>
          <w:sz w:val="24"/>
          <w:szCs w:val="24"/>
        </w:rPr>
        <w:t>Partners will need to report to their respective Cabinets</w:t>
      </w:r>
      <w:r w:rsidR="008326ED">
        <w:rPr>
          <w:rFonts w:ascii="Arial" w:hAnsi="Arial" w:cs="Arial"/>
          <w:sz w:val="24"/>
          <w:szCs w:val="24"/>
        </w:rPr>
        <w:t xml:space="preserve"> in February 2018</w:t>
      </w:r>
      <w:r w:rsidR="00892C40">
        <w:rPr>
          <w:rFonts w:ascii="Arial" w:hAnsi="Arial" w:cs="Arial"/>
          <w:sz w:val="24"/>
          <w:szCs w:val="24"/>
        </w:rPr>
        <w:t>. T</w:t>
      </w:r>
      <w:r w:rsidR="00365813" w:rsidRPr="00E41B09">
        <w:rPr>
          <w:rFonts w:ascii="Arial" w:hAnsi="Arial" w:cs="Arial"/>
          <w:sz w:val="24"/>
          <w:szCs w:val="24"/>
        </w:rPr>
        <w:t>he proposed position on the following (currently identified only) will be required for the Cabinet reports</w:t>
      </w:r>
      <w:r w:rsidR="008326ED">
        <w:rPr>
          <w:rFonts w:ascii="Arial" w:hAnsi="Arial" w:cs="Arial"/>
          <w:sz w:val="24"/>
          <w:szCs w:val="24"/>
        </w:rPr>
        <w:t xml:space="preserve"> by early January 2018</w:t>
      </w:r>
      <w:r w:rsidR="00365813" w:rsidRPr="00E41B09">
        <w:rPr>
          <w:rFonts w:ascii="Arial" w:hAnsi="Arial" w:cs="Arial"/>
          <w:sz w:val="24"/>
          <w:szCs w:val="24"/>
        </w:rPr>
        <w:t>:</w:t>
      </w:r>
    </w:p>
    <w:p w14:paraId="6109128D" w14:textId="77777777" w:rsidR="00365813" w:rsidRPr="00E41B09" w:rsidRDefault="00365813" w:rsidP="00365813">
      <w:pPr>
        <w:widowControl w:val="0"/>
        <w:numPr>
          <w:ilvl w:val="0"/>
          <w:numId w:val="23"/>
        </w:numPr>
        <w:spacing w:before="80" w:after="0" w:line="240" w:lineRule="auto"/>
        <w:ind w:left="1080"/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 xml:space="preserve">Ownership and governance arrangements for RAA </w:t>
      </w:r>
    </w:p>
    <w:p w14:paraId="341989B5" w14:textId="77777777" w:rsidR="00365813" w:rsidRPr="00E41B09" w:rsidRDefault="00365813" w:rsidP="00365813">
      <w:pPr>
        <w:widowControl w:val="0"/>
        <w:numPr>
          <w:ilvl w:val="0"/>
          <w:numId w:val="23"/>
        </w:numPr>
        <w:spacing w:before="80" w:after="0" w:line="240" w:lineRule="auto"/>
        <w:ind w:left="1080"/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Details of vehicle formation, Members' Agreement and Articles of Association</w:t>
      </w:r>
    </w:p>
    <w:p w14:paraId="52C4C077" w14:textId="77777777" w:rsidR="00365813" w:rsidRPr="00E41B09" w:rsidRDefault="00365813" w:rsidP="00365813">
      <w:pPr>
        <w:widowControl w:val="0"/>
        <w:numPr>
          <w:ilvl w:val="0"/>
          <w:numId w:val="23"/>
        </w:numPr>
        <w:spacing w:before="80" w:after="0" w:line="240" w:lineRule="auto"/>
        <w:ind w:left="1080"/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Details of the risk sharing agreement</w:t>
      </w:r>
    </w:p>
    <w:p w14:paraId="61187BA8" w14:textId="77777777" w:rsidR="00365813" w:rsidRPr="00E41B09" w:rsidRDefault="00365813" w:rsidP="00365813">
      <w:pPr>
        <w:widowControl w:val="0"/>
        <w:numPr>
          <w:ilvl w:val="0"/>
          <w:numId w:val="23"/>
        </w:numPr>
        <w:spacing w:before="80" w:after="0" w:line="240" w:lineRule="auto"/>
        <w:ind w:left="1080"/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Financial modelling including</w:t>
      </w:r>
    </w:p>
    <w:p w14:paraId="034CC17D" w14:textId="77777777" w:rsidR="00365813" w:rsidRPr="00E41B09" w:rsidRDefault="00365813" w:rsidP="00365813">
      <w:pPr>
        <w:widowControl w:val="0"/>
        <w:numPr>
          <w:ilvl w:val="0"/>
          <w:numId w:val="2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Working capital requirements, how these will be met, and terms under which it may be accessed.</w:t>
      </w:r>
    </w:p>
    <w:p w14:paraId="32A789A4" w14:textId="77777777" w:rsidR="00365813" w:rsidRPr="00E41B09" w:rsidRDefault="00365813" w:rsidP="00365813">
      <w:pPr>
        <w:widowControl w:val="0"/>
        <w:numPr>
          <w:ilvl w:val="0"/>
          <w:numId w:val="2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Capital outlay considerations</w:t>
      </w:r>
    </w:p>
    <w:p w14:paraId="60581904" w14:textId="77777777" w:rsidR="00365813" w:rsidRPr="00E41B09" w:rsidRDefault="00365813" w:rsidP="00365813">
      <w:pPr>
        <w:widowControl w:val="0"/>
        <w:numPr>
          <w:ilvl w:val="0"/>
          <w:numId w:val="2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VAT position.</w:t>
      </w:r>
    </w:p>
    <w:p w14:paraId="2EC4A764" w14:textId="77777777" w:rsidR="00365813" w:rsidRPr="00E41B09" w:rsidRDefault="00365813" w:rsidP="00365813">
      <w:pPr>
        <w:widowControl w:val="0"/>
        <w:numPr>
          <w:ilvl w:val="0"/>
          <w:numId w:val="2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 xml:space="preserve">Insurances </w:t>
      </w:r>
    </w:p>
    <w:p w14:paraId="4956613F" w14:textId="77777777" w:rsidR="00365813" w:rsidRPr="00E41B09" w:rsidRDefault="00365813" w:rsidP="00365813">
      <w:pPr>
        <w:widowControl w:val="0"/>
        <w:numPr>
          <w:ilvl w:val="0"/>
          <w:numId w:val="23"/>
        </w:numPr>
        <w:spacing w:before="80" w:after="0" w:line="240" w:lineRule="auto"/>
        <w:ind w:left="1080"/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Transfers of Assets and Liabilities</w:t>
      </w:r>
    </w:p>
    <w:p w14:paraId="11DD9764" w14:textId="77777777" w:rsidR="00365813" w:rsidRPr="00E41B09" w:rsidRDefault="00365813" w:rsidP="00365813">
      <w:pPr>
        <w:widowControl w:val="0"/>
        <w:numPr>
          <w:ilvl w:val="0"/>
          <w:numId w:val="2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Consultation</w:t>
      </w:r>
    </w:p>
    <w:p w14:paraId="7D058136" w14:textId="77777777" w:rsidR="00365813" w:rsidRPr="00E41B09" w:rsidRDefault="00365813" w:rsidP="00365813">
      <w:pPr>
        <w:widowControl w:val="0"/>
        <w:numPr>
          <w:ilvl w:val="0"/>
          <w:numId w:val="2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TUPE arrangements</w:t>
      </w:r>
    </w:p>
    <w:p w14:paraId="573AE30F" w14:textId="77777777" w:rsidR="00365813" w:rsidRPr="00E41B09" w:rsidRDefault="00365813" w:rsidP="00365813">
      <w:pPr>
        <w:widowControl w:val="0"/>
        <w:numPr>
          <w:ilvl w:val="0"/>
          <w:numId w:val="2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Pension arrangements for transferring and new staff.</w:t>
      </w:r>
    </w:p>
    <w:p w14:paraId="02FF0BAB" w14:textId="6AF1409B" w:rsidR="00365813" w:rsidRPr="00E41B09" w:rsidRDefault="00365813" w:rsidP="00365813">
      <w:pPr>
        <w:widowControl w:val="0"/>
        <w:numPr>
          <w:ilvl w:val="0"/>
          <w:numId w:val="2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 xml:space="preserve">Pension liabilities and Bonds </w:t>
      </w:r>
    </w:p>
    <w:p w14:paraId="44486CB9" w14:textId="77777777" w:rsidR="00365813" w:rsidRPr="00E41B09" w:rsidRDefault="00365813" w:rsidP="00365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01318B" w14:textId="3D2B80F5" w:rsidR="009C1479" w:rsidRPr="00E41B09" w:rsidRDefault="000E37A8" w:rsidP="000E37A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41B09">
        <w:rPr>
          <w:rFonts w:ascii="Arial" w:hAnsi="Arial" w:cs="Arial"/>
          <w:sz w:val="24"/>
          <w:szCs w:val="24"/>
        </w:rPr>
        <w:t>The RAA will be fully operational on</w:t>
      </w:r>
      <w:r w:rsidR="008326ED">
        <w:rPr>
          <w:rFonts w:ascii="Arial" w:hAnsi="Arial" w:cs="Arial"/>
          <w:sz w:val="24"/>
          <w:szCs w:val="24"/>
        </w:rPr>
        <w:t xml:space="preserve"> 2 July</w:t>
      </w:r>
      <w:r w:rsidR="009C1479" w:rsidRPr="00E41B09">
        <w:rPr>
          <w:rFonts w:ascii="Arial" w:hAnsi="Arial" w:cs="Arial"/>
          <w:sz w:val="24"/>
          <w:szCs w:val="24"/>
        </w:rPr>
        <w:t xml:space="preserve"> 2018</w:t>
      </w:r>
      <w:r w:rsidRPr="00E41B09">
        <w:rPr>
          <w:rFonts w:ascii="Arial" w:hAnsi="Arial" w:cs="Arial"/>
          <w:sz w:val="24"/>
          <w:szCs w:val="24"/>
        </w:rPr>
        <w:t>.</w:t>
      </w:r>
    </w:p>
    <w:p w14:paraId="494EAEAD" w14:textId="77777777" w:rsidR="00121116" w:rsidRPr="00E41B09" w:rsidRDefault="00121116" w:rsidP="00365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FD1474" w14:textId="77777777" w:rsidR="00892C40" w:rsidRDefault="00892C40" w:rsidP="008C2563">
      <w:pPr>
        <w:rPr>
          <w:rFonts w:ascii="Arial" w:hAnsi="Arial" w:cs="Arial"/>
          <w:b/>
          <w:sz w:val="24"/>
          <w:szCs w:val="24"/>
        </w:rPr>
      </w:pPr>
    </w:p>
    <w:sectPr w:rsidR="00892C40" w:rsidSect="00A23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D1116" w14:textId="77777777" w:rsidR="00B514B4" w:rsidRDefault="00B514B4" w:rsidP="00F54150">
      <w:pPr>
        <w:spacing w:after="0" w:line="240" w:lineRule="auto"/>
      </w:pPr>
      <w:r>
        <w:separator/>
      </w:r>
    </w:p>
  </w:endnote>
  <w:endnote w:type="continuationSeparator" w:id="0">
    <w:p w14:paraId="3FC30689" w14:textId="77777777" w:rsidR="00B514B4" w:rsidRDefault="00B514B4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48C4" w14:textId="77777777" w:rsidR="00F54150" w:rsidRDefault="00F54150" w:rsidP="008C58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BFE37" w14:textId="77777777" w:rsidR="00F54150" w:rsidRDefault="00F54150" w:rsidP="00F541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A057A" w14:textId="712DF1AE" w:rsidR="00F54150" w:rsidRDefault="009C59C9" w:rsidP="00F54150">
    <w:pPr>
      <w:pStyle w:val="Footer"/>
      <w:ind w:right="360"/>
    </w:pPr>
    <w:r>
      <w:t>October 2017</w:t>
    </w:r>
    <w:r w:rsidRPr="009C59C9">
      <w:ptab w:relativeTo="margin" w:alignment="center" w:leader="none"/>
    </w:r>
    <w:r w:rsidRPr="009C59C9">
      <w:ptab w:relativeTo="margin" w:alignment="right" w:leader="none"/>
    </w:r>
    <w:r w:rsidRPr="009C59C9">
      <w:fldChar w:fldCharType="begin"/>
    </w:r>
    <w:r w:rsidRPr="009C59C9">
      <w:instrText xml:space="preserve"> PAGE   \* MERGEFORMAT </w:instrText>
    </w:r>
    <w:r w:rsidRPr="009C59C9">
      <w:fldChar w:fldCharType="separate"/>
    </w:r>
    <w:r w:rsidR="00494B9B">
      <w:rPr>
        <w:noProof/>
      </w:rPr>
      <w:t>1</w:t>
    </w:r>
    <w:r w:rsidRPr="009C59C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A2C73" w14:textId="77777777" w:rsidR="00B75FC1" w:rsidRDefault="00B75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7416B" w14:textId="77777777" w:rsidR="00B514B4" w:rsidRDefault="00B514B4" w:rsidP="00F54150">
      <w:pPr>
        <w:spacing w:after="0" w:line="240" w:lineRule="auto"/>
      </w:pPr>
      <w:r>
        <w:separator/>
      </w:r>
    </w:p>
  </w:footnote>
  <w:footnote w:type="continuationSeparator" w:id="0">
    <w:p w14:paraId="294921F6" w14:textId="77777777" w:rsidR="00B514B4" w:rsidRDefault="00B514B4" w:rsidP="00F5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4F147" w14:textId="77777777" w:rsidR="00B75FC1" w:rsidRDefault="00B75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FB97" w14:textId="7BE08B5B" w:rsidR="00B75FC1" w:rsidRDefault="00B75FC1">
    <w:pPr>
      <w:pStyle w:val="Header"/>
    </w:pPr>
    <w:r w:rsidRPr="00945819">
      <w:rPr>
        <w:noProof/>
        <w:color w:val="D52B90"/>
        <w:szCs w:val="24"/>
        <w:lang w:eastAsia="en-GB"/>
      </w:rPr>
      <w:drawing>
        <wp:inline distT="0" distB="0" distL="0" distR="0" wp14:anchorId="4152E044" wp14:editId="23726C31">
          <wp:extent cx="2530475" cy="982980"/>
          <wp:effectExtent l="0" t="0" r="317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382" cy="996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color w:val="0000FF"/>
        <w:lang w:eastAsia="en-GB"/>
      </w:rPr>
      <w:drawing>
        <wp:inline distT="0" distB="0" distL="0" distR="0" wp14:anchorId="704F2DF2" wp14:editId="28A2A1EA">
          <wp:extent cx="2008490" cy="1649621"/>
          <wp:effectExtent l="0" t="0" r="0" b="8255"/>
          <wp:docPr id="3" name="Picture 3" descr="Image result for wolverhampton city council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wolverhampton city council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685" cy="16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1FCF7" w14:textId="77777777" w:rsidR="00B75FC1" w:rsidRDefault="00B75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2149" w14:textId="77777777" w:rsidR="00B75FC1" w:rsidRDefault="00B75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9B7"/>
    <w:multiLevelType w:val="hybridMultilevel"/>
    <w:tmpl w:val="80863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301"/>
    <w:multiLevelType w:val="hybridMultilevel"/>
    <w:tmpl w:val="A5FC3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96B7A"/>
    <w:multiLevelType w:val="hybridMultilevel"/>
    <w:tmpl w:val="EA7A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28C0"/>
    <w:multiLevelType w:val="hybridMultilevel"/>
    <w:tmpl w:val="ED88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6478"/>
    <w:multiLevelType w:val="hybridMultilevel"/>
    <w:tmpl w:val="8D9ABDD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31166"/>
    <w:multiLevelType w:val="hybridMultilevel"/>
    <w:tmpl w:val="97DEA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77E0"/>
    <w:multiLevelType w:val="hybridMultilevel"/>
    <w:tmpl w:val="2214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07E9B"/>
    <w:multiLevelType w:val="hybridMultilevel"/>
    <w:tmpl w:val="7068B9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</w:abstractNum>
  <w:abstractNum w:abstractNumId="8" w15:restartNumberingAfterBreak="0">
    <w:nsid w:val="258056D8"/>
    <w:multiLevelType w:val="hybridMultilevel"/>
    <w:tmpl w:val="5AF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E4E65"/>
    <w:multiLevelType w:val="hybridMultilevel"/>
    <w:tmpl w:val="A098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145E8"/>
    <w:multiLevelType w:val="hybridMultilevel"/>
    <w:tmpl w:val="2EF02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96716"/>
    <w:multiLevelType w:val="hybridMultilevel"/>
    <w:tmpl w:val="5866C060"/>
    <w:lvl w:ilvl="0" w:tplc="2A3829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0206DB"/>
    <w:multiLevelType w:val="hybridMultilevel"/>
    <w:tmpl w:val="4E22EB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9A3742"/>
    <w:multiLevelType w:val="multilevel"/>
    <w:tmpl w:val="46EC54B2"/>
    <w:lvl w:ilvl="0">
      <w:start w:val="1"/>
      <w:numFmt w:val="decimal"/>
      <w:pStyle w:val="BB-Level1Leg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1">
      <w:start w:val="1"/>
      <w:numFmt w:val="decimal"/>
      <w:pStyle w:val="BB-Level2Legal"/>
      <w:lvlText w:val="%1.%2"/>
      <w:lvlJc w:val="left"/>
      <w:pPr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pStyle w:val="BB-Level3Legal"/>
      <w:lvlText w:val="%1.%2.%3"/>
      <w:lvlJc w:val="left"/>
      <w:pPr>
        <w:tabs>
          <w:tab w:val="num" w:pos="1701"/>
        </w:tabs>
        <w:ind w:left="1701" w:hanging="981"/>
      </w:pPr>
      <w:rPr>
        <w:rFonts w:ascii="Arial" w:hAnsi="Arial" w:hint="default"/>
        <w:sz w:val="20"/>
      </w:rPr>
    </w:lvl>
    <w:lvl w:ilvl="3">
      <w:start w:val="1"/>
      <w:numFmt w:val="lowerLetter"/>
      <w:pStyle w:val="BB-Level4Leg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BB-Level5Leg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ED32871"/>
    <w:multiLevelType w:val="hybridMultilevel"/>
    <w:tmpl w:val="712E850E"/>
    <w:lvl w:ilvl="0" w:tplc="F90C0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AF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A6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CA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8F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C4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0E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2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43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023EF2"/>
    <w:multiLevelType w:val="hybridMultilevel"/>
    <w:tmpl w:val="880E1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04226F"/>
    <w:multiLevelType w:val="hybridMultilevel"/>
    <w:tmpl w:val="46689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F705F1"/>
    <w:multiLevelType w:val="hybridMultilevel"/>
    <w:tmpl w:val="3F6A1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E2390"/>
    <w:multiLevelType w:val="hybridMultilevel"/>
    <w:tmpl w:val="1B88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D25F7"/>
    <w:multiLevelType w:val="hybridMultilevel"/>
    <w:tmpl w:val="7B5E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E4BD3"/>
    <w:multiLevelType w:val="hybridMultilevel"/>
    <w:tmpl w:val="3756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67C85"/>
    <w:multiLevelType w:val="hybridMultilevel"/>
    <w:tmpl w:val="93EE7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56247B"/>
    <w:multiLevelType w:val="hybridMultilevel"/>
    <w:tmpl w:val="D3E82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D340D7"/>
    <w:multiLevelType w:val="hybridMultilevel"/>
    <w:tmpl w:val="DD6C28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9"/>
  </w:num>
  <w:num w:numId="5">
    <w:abstractNumId w:val="10"/>
  </w:num>
  <w:num w:numId="6">
    <w:abstractNumId w:val="9"/>
  </w:num>
  <w:num w:numId="7">
    <w:abstractNumId w:val="13"/>
  </w:num>
  <w:num w:numId="8">
    <w:abstractNumId w:val="6"/>
  </w:num>
  <w:num w:numId="9">
    <w:abstractNumId w:val="15"/>
  </w:num>
  <w:num w:numId="10">
    <w:abstractNumId w:val="4"/>
  </w:num>
  <w:num w:numId="11">
    <w:abstractNumId w:val="16"/>
  </w:num>
  <w:num w:numId="12">
    <w:abstractNumId w:val="21"/>
  </w:num>
  <w:num w:numId="13">
    <w:abstractNumId w:val="22"/>
  </w:num>
  <w:num w:numId="14">
    <w:abstractNumId w:val="0"/>
  </w:num>
  <w:num w:numId="15">
    <w:abstractNumId w:val="3"/>
  </w:num>
  <w:num w:numId="16">
    <w:abstractNumId w:val="1"/>
  </w:num>
  <w:num w:numId="17">
    <w:abstractNumId w:val="14"/>
  </w:num>
  <w:num w:numId="18">
    <w:abstractNumId w:val="20"/>
  </w:num>
  <w:num w:numId="19">
    <w:abstractNumId w:val="8"/>
  </w:num>
  <w:num w:numId="20">
    <w:abstractNumId w:val="7"/>
  </w:num>
  <w:num w:numId="21">
    <w:abstractNumId w:val="12"/>
  </w:num>
  <w:num w:numId="22">
    <w:abstractNumId w:val="2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63"/>
    <w:rsid w:val="000271F8"/>
    <w:rsid w:val="00033327"/>
    <w:rsid w:val="0005218A"/>
    <w:rsid w:val="000B2C0A"/>
    <w:rsid w:val="000E37A8"/>
    <w:rsid w:val="000E5BEE"/>
    <w:rsid w:val="00121116"/>
    <w:rsid w:val="001D2447"/>
    <w:rsid w:val="00217F6F"/>
    <w:rsid w:val="00223766"/>
    <w:rsid w:val="002632D5"/>
    <w:rsid w:val="002A64C8"/>
    <w:rsid w:val="002E76F0"/>
    <w:rsid w:val="00314BD8"/>
    <w:rsid w:val="00365813"/>
    <w:rsid w:val="003B53D8"/>
    <w:rsid w:val="003B6A59"/>
    <w:rsid w:val="003F3DF3"/>
    <w:rsid w:val="00405E91"/>
    <w:rsid w:val="00471840"/>
    <w:rsid w:val="00494B9B"/>
    <w:rsid w:val="005400DD"/>
    <w:rsid w:val="00587A10"/>
    <w:rsid w:val="005A30DE"/>
    <w:rsid w:val="005B797B"/>
    <w:rsid w:val="00614236"/>
    <w:rsid w:val="00642671"/>
    <w:rsid w:val="006462E7"/>
    <w:rsid w:val="00692BA9"/>
    <w:rsid w:val="006A2ABE"/>
    <w:rsid w:val="006C01AE"/>
    <w:rsid w:val="006C4D2F"/>
    <w:rsid w:val="00746451"/>
    <w:rsid w:val="00762832"/>
    <w:rsid w:val="00765780"/>
    <w:rsid w:val="00770E2F"/>
    <w:rsid w:val="00774A64"/>
    <w:rsid w:val="00774ECA"/>
    <w:rsid w:val="007D52BD"/>
    <w:rsid w:val="007E438B"/>
    <w:rsid w:val="008326ED"/>
    <w:rsid w:val="00834D8B"/>
    <w:rsid w:val="00852837"/>
    <w:rsid w:val="00866F3C"/>
    <w:rsid w:val="00892C40"/>
    <w:rsid w:val="008A598E"/>
    <w:rsid w:val="008C2563"/>
    <w:rsid w:val="009072C3"/>
    <w:rsid w:val="009C1479"/>
    <w:rsid w:val="009C59C9"/>
    <w:rsid w:val="009F7B4B"/>
    <w:rsid w:val="00A233F9"/>
    <w:rsid w:val="00A600E2"/>
    <w:rsid w:val="00A82F3D"/>
    <w:rsid w:val="00B514B4"/>
    <w:rsid w:val="00B75FC1"/>
    <w:rsid w:val="00C049F0"/>
    <w:rsid w:val="00C64709"/>
    <w:rsid w:val="00C77F88"/>
    <w:rsid w:val="00CA34E8"/>
    <w:rsid w:val="00CA5BB0"/>
    <w:rsid w:val="00CD41F0"/>
    <w:rsid w:val="00D8018E"/>
    <w:rsid w:val="00DA58EF"/>
    <w:rsid w:val="00E3746C"/>
    <w:rsid w:val="00E4058F"/>
    <w:rsid w:val="00E41B09"/>
    <w:rsid w:val="00E55C0F"/>
    <w:rsid w:val="00EB3F28"/>
    <w:rsid w:val="00EB5212"/>
    <w:rsid w:val="00ED4C04"/>
    <w:rsid w:val="00EE57D2"/>
    <w:rsid w:val="00F342C3"/>
    <w:rsid w:val="00F54150"/>
    <w:rsid w:val="00F85081"/>
    <w:rsid w:val="00FC030F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FC8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56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Bullet 1,F5 List Paragraph,Colorful List - Accent 11,Normal numbered,List Paragraph11,OBC Bullet,List Paragraph2,L"/>
    <w:basedOn w:val="Normal"/>
    <w:link w:val="ListParagraphChar"/>
    <w:uiPriority w:val="34"/>
    <w:qFormat/>
    <w:rsid w:val="008C2563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121116"/>
    <w:rPr>
      <w:color w:val="0563C1" w:themeColor="hyperlink"/>
      <w:u w:val="single"/>
    </w:rPr>
  </w:style>
  <w:style w:type="paragraph" w:customStyle="1" w:styleId="BB-Level1Legal">
    <w:name w:val="BB-Level1(Legal)"/>
    <w:next w:val="Normal"/>
    <w:uiPriority w:val="1"/>
    <w:rsid w:val="00121116"/>
    <w:pPr>
      <w:numPr>
        <w:numId w:val="7"/>
      </w:numPr>
      <w:spacing w:after="240"/>
      <w:jc w:val="both"/>
    </w:pPr>
    <w:rPr>
      <w:rFonts w:ascii="Arial" w:hAnsi="Arial" w:cs="Arial"/>
      <w:b/>
      <w:caps/>
      <w:sz w:val="20"/>
      <w:szCs w:val="20"/>
    </w:rPr>
  </w:style>
  <w:style w:type="paragraph" w:customStyle="1" w:styleId="BB-Level2Legal">
    <w:name w:val="BB-Level2(Legal)"/>
    <w:next w:val="Normal"/>
    <w:uiPriority w:val="2"/>
    <w:rsid w:val="00121116"/>
    <w:pPr>
      <w:numPr>
        <w:ilvl w:val="1"/>
        <w:numId w:val="7"/>
      </w:numPr>
      <w:spacing w:after="240"/>
      <w:jc w:val="both"/>
    </w:pPr>
    <w:rPr>
      <w:rFonts w:ascii="Arial" w:hAnsi="Arial" w:cs="Arial"/>
      <w:sz w:val="20"/>
      <w:szCs w:val="20"/>
    </w:rPr>
  </w:style>
  <w:style w:type="paragraph" w:customStyle="1" w:styleId="BB-Level3Legal">
    <w:name w:val="BB-Level3(Legal)"/>
    <w:next w:val="Normal"/>
    <w:uiPriority w:val="3"/>
    <w:rsid w:val="00121116"/>
    <w:pPr>
      <w:numPr>
        <w:ilvl w:val="2"/>
        <w:numId w:val="7"/>
      </w:numPr>
      <w:spacing w:after="240"/>
      <w:jc w:val="both"/>
    </w:pPr>
    <w:rPr>
      <w:rFonts w:ascii="Arial" w:hAnsi="Arial" w:cs="Arial"/>
      <w:sz w:val="20"/>
      <w:szCs w:val="20"/>
    </w:rPr>
  </w:style>
  <w:style w:type="paragraph" w:customStyle="1" w:styleId="BB-Level4Legal">
    <w:name w:val="BB-Level4(Legal)"/>
    <w:next w:val="Normal"/>
    <w:uiPriority w:val="4"/>
    <w:rsid w:val="00121116"/>
    <w:pPr>
      <w:numPr>
        <w:ilvl w:val="3"/>
        <w:numId w:val="7"/>
      </w:numPr>
      <w:tabs>
        <w:tab w:val="left" w:pos="1701"/>
      </w:tabs>
      <w:spacing w:after="240"/>
      <w:jc w:val="both"/>
    </w:pPr>
    <w:rPr>
      <w:rFonts w:ascii="Arial" w:hAnsi="Arial" w:cs="Arial"/>
      <w:sz w:val="20"/>
      <w:szCs w:val="20"/>
    </w:rPr>
  </w:style>
  <w:style w:type="paragraph" w:customStyle="1" w:styleId="BB-Level5Legal">
    <w:name w:val="BB-Level5(Legal)"/>
    <w:next w:val="Normal"/>
    <w:uiPriority w:val="5"/>
    <w:rsid w:val="00121116"/>
    <w:pPr>
      <w:numPr>
        <w:ilvl w:val="4"/>
        <w:numId w:val="7"/>
      </w:numPr>
      <w:tabs>
        <w:tab w:val="left" w:pos="2268"/>
      </w:tabs>
      <w:spacing w:after="240"/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4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5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54150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F5 List Paragraph Char,Colorful List - Accent 11 Char"/>
    <w:link w:val="ListParagraph"/>
    <w:uiPriority w:val="34"/>
    <w:qFormat/>
    <w:locked/>
    <w:rsid w:val="005A30DE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B521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3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4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499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.uk/url?sa=i&amp;rct=j&amp;q=&amp;esrc=s&amp;source=images&amp;cd=&amp;cad=rja&amp;uact=8&amp;ved=0ahUKEwiJsJzlwtnVAhXCuRQKHWdVAtIQjRwIBw&amp;url=https://www.expressandstar.com/news/2015/06/18/wolverhampton-city-council-wants-to-rebrand-itself/&amp;psig=AFQjCNG3frRx1N4TRTqUxMboLoiQ40tuLA&amp;ust=15028962015235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Props1.xml><?xml version="1.0" encoding="utf-8"?>
<ds:datastoreItem xmlns:ds="http://schemas.openxmlformats.org/officeDocument/2006/customXml" ds:itemID="{97F1C123-ED70-425B-9EA1-A38FFC31AA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5707</Characters>
  <Application>Microsoft Office Word</Application>
  <DocSecurity>0</DocSecurity>
  <Lines>271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Bennion</dc:creator>
  <cp:keywords/>
  <dc:description/>
  <cp:lastModifiedBy>Haley Macmichael</cp:lastModifiedBy>
  <cp:revision>3</cp:revision>
  <cp:lastPrinted>2017-08-11T07:49:00Z</cp:lastPrinted>
  <dcterms:created xsi:type="dcterms:W3CDTF">2017-10-11T14:46:00Z</dcterms:created>
  <dcterms:modified xsi:type="dcterms:W3CDTF">2017-10-11T14:46:00Z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8f01158a-a84d-4621-872c-5cb5d165cd79</vt:lpwstr>
  </property>
  <property fmtid="{D5CDD505-2E9C-101B-9397-08002B2CF9AE}" pid="3" name="bjSaver">
    <vt:lpwstr>aoI+RtBLfHw495uMtkQz7A2+H4+P7NK4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</Properties>
</file>