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625" w:rsidRDefault="007E7625" w:rsidP="007E7625">
      <w:bookmarkStart w:id="0" w:name="_GoBack"/>
      <w:bookmarkEnd w:id="0"/>
    </w:p>
    <w:p w:rsidR="007E7625" w:rsidRDefault="007E7625" w:rsidP="007E7625"/>
    <w:tbl>
      <w:tblPr>
        <w:tblStyle w:val="TableGrid"/>
        <w:tblW w:w="0" w:type="auto"/>
        <w:tblLook w:val="04A0" w:firstRow="1" w:lastRow="0" w:firstColumn="1" w:lastColumn="0" w:noHBand="0" w:noVBand="1"/>
      </w:tblPr>
      <w:tblGrid>
        <w:gridCol w:w="9242"/>
      </w:tblGrid>
      <w:tr w:rsidR="007E7625" w:rsidTr="000A0CE1">
        <w:tc>
          <w:tcPr>
            <w:tcW w:w="9242" w:type="dxa"/>
            <w:shd w:val="clear" w:color="auto" w:fill="000000" w:themeFill="text1"/>
          </w:tcPr>
          <w:p w:rsidR="007E7625" w:rsidRDefault="007E7625" w:rsidP="000A0CE1"/>
          <w:p w:rsidR="007E7625" w:rsidRDefault="007E7625" w:rsidP="000A0CE1"/>
          <w:p w:rsidR="007E7625" w:rsidRPr="009F42A5" w:rsidRDefault="007E7625" w:rsidP="000A0CE1">
            <w:pPr>
              <w:jc w:val="center"/>
              <w:rPr>
                <w:rFonts w:cs="Arial"/>
                <w:color w:val="FFFFFF" w:themeColor="background1"/>
                <w:sz w:val="52"/>
                <w:szCs w:val="52"/>
              </w:rPr>
            </w:pPr>
            <w:r>
              <w:rPr>
                <w:rFonts w:cs="Arial"/>
                <w:color w:val="FFFFFF" w:themeColor="background1"/>
                <w:sz w:val="52"/>
                <w:szCs w:val="52"/>
              </w:rPr>
              <w:t xml:space="preserve">nec </w:t>
            </w:r>
            <w:r w:rsidRPr="009F42A5">
              <w:rPr>
                <w:rFonts w:cs="Arial"/>
                <w:color w:val="FFFFFF" w:themeColor="background1"/>
                <w:sz w:val="52"/>
                <w:szCs w:val="52"/>
              </w:rPr>
              <w:t>3 Professional Services Contract</w:t>
            </w:r>
          </w:p>
          <w:p w:rsidR="007E7625" w:rsidRDefault="007E7625" w:rsidP="000A0CE1"/>
        </w:tc>
      </w:tr>
      <w:tr w:rsidR="007E7625" w:rsidTr="000A0CE1">
        <w:tc>
          <w:tcPr>
            <w:tcW w:w="9242" w:type="dxa"/>
          </w:tcPr>
          <w:p w:rsidR="007E7625" w:rsidRDefault="007E7625" w:rsidP="000A0CE1"/>
          <w:p w:rsidR="007E7625" w:rsidRPr="009F42A5" w:rsidRDefault="007E7625" w:rsidP="000A0CE1">
            <w:pPr>
              <w:autoSpaceDE w:val="0"/>
              <w:autoSpaceDN w:val="0"/>
              <w:adjustRightInd w:val="0"/>
              <w:rPr>
                <w:rFonts w:ascii="TTE179A848t00" w:hAnsi="TTE179A848t00" w:cs="TTE179A848t00"/>
                <w:sz w:val="20"/>
                <w:szCs w:val="20"/>
              </w:rPr>
            </w:pPr>
            <w:r>
              <w:rPr>
                <w:rFonts w:ascii="TTE179A848t00" w:hAnsi="TTE179A848t00" w:cs="TTE179A848t00"/>
                <w:color w:val="000000"/>
                <w:sz w:val="20"/>
                <w:szCs w:val="20"/>
              </w:rPr>
              <w:t xml:space="preserve">A contract between </w:t>
            </w:r>
            <w:r>
              <w:rPr>
                <w:rFonts w:ascii="TTE179A848t00" w:hAnsi="TTE179A848t00" w:cs="TTE179A848t00"/>
                <w:sz w:val="20"/>
                <w:szCs w:val="20"/>
              </w:rPr>
              <w:t>Torbay Development Agency</w:t>
            </w:r>
          </w:p>
          <w:p w:rsidR="007E7625" w:rsidRDefault="007E7625" w:rsidP="000A0CE1">
            <w:pPr>
              <w:autoSpaceDE w:val="0"/>
              <w:autoSpaceDN w:val="0"/>
              <w:adjustRightInd w:val="0"/>
              <w:rPr>
                <w:rFonts w:ascii="TTE179A848t00" w:hAnsi="TTE179A848t00" w:cs="TTE179A848t00"/>
                <w:color w:val="000000"/>
                <w:sz w:val="20"/>
                <w:szCs w:val="20"/>
              </w:rPr>
            </w:pPr>
          </w:p>
          <w:p w:rsidR="007E7625" w:rsidRDefault="007E7625" w:rsidP="000A0CE1">
            <w:pPr>
              <w:autoSpaceDE w:val="0"/>
              <w:autoSpaceDN w:val="0"/>
              <w:adjustRightInd w:val="0"/>
              <w:rPr>
                <w:rFonts w:ascii="TTE179A848t00" w:hAnsi="TTE179A848t00" w:cs="TTE179A848t00"/>
                <w:color w:val="000000"/>
                <w:sz w:val="20"/>
                <w:szCs w:val="20"/>
              </w:rPr>
            </w:pPr>
            <w:r>
              <w:rPr>
                <w:rFonts w:ascii="TTE179A848t00" w:hAnsi="TTE179A848t00" w:cs="TTE179A848t00"/>
                <w:color w:val="000000"/>
                <w:sz w:val="20"/>
                <w:szCs w:val="20"/>
              </w:rPr>
              <w:t xml:space="preserve">and  </w:t>
            </w:r>
            <w:r w:rsidR="006D6950">
              <w:rPr>
                <w:rFonts w:ascii="TTE179A848t00" w:hAnsi="TTE179A848t00" w:cs="TTE179A848t00"/>
                <w:color w:val="000000"/>
                <w:sz w:val="20"/>
                <w:szCs w:val="20"/>
              </w:rPr>
              <w:t>…</w:t>
            </w:r>
            <w:r w:rsidR="006D6950" w:rsidRPr="007A3A7C">
              <w:rPr>
                <w:rFonts w:ascii="TTE179A848t00" w:hAnsi="TTE179A848t00" w:cs="TTE179A848t00"/>
                <w:color w:val="000000"/>
                <w:sz w:val="20"/>
                <w:szCs w:val="20"/>
                <w:highlight w:val="cyan"/>
              </w:rPr>
              <w:t>……………………….</w:t>
            </w:r>
          </w:p>
          <w:p w:rsidR="007E7625" w:rsidRDefault="007E7625" w:rsidP="000A0CE1">
            <w:pPr>
              <w:autoSpaceDE w:val="0"/>
              <w:autoSpaceDN w:val="0"/>
              <w:adjustRightInd w:val="0"/>
              <w:rPr>
                <w:rFonts w:ascii="TTE179A848t00" w:hAnsi="TTE179A848t00" w:cs="TTE179A848t00"/>
                <w:color w:val="000000"/>
                <w:sz w:val="20"/>
                <w:szCs w:val="20"/>
              </w:rPr>
            </w:pPr>
          </w:p>
          <w:p w:rsidR="007E7625" w:rsidRDefault="006D6950" w:rsidP="000A0CE1">
            <w:pPr>
              <w:autoSpaceDE w:val="0"/>
              <w:autoSpaceDN w:val="0"/>
              <w:adjustRightInd w:val="0"/>
              <w:rPr>
                <w:rFonts w:ascii="TTE179A848t00" w:hAnsi="TTE179A848t00" w:cs="TTE179A848t00"/>
                <w:color w:val="000000"/>
                <w:sz w:val="20"/>
                <w:szCs w:val="20"/>
              </w:rPr>
            </w:pPr>
            <w:r>
              <w:rPr>
                <w:rFonts w:ascii="TTE179A848t00" w:hAnsi="TTE179A848t00" w:cs="TTE179A848t00"/>
                <w:color w:val="000000"/>
                <w:sz w:val="20"/>
                <w:szCs w:val="20"/>
              </w:rPr>
              <w:t xml:space="preserve">for </w:t>
            </w:r>
            <w:r w:rsidR="007A3A7C">
              <w:rPr>
                <w:rFonts w:ascii="TTE179A848t00" w:hAnsi="TTE179A848t00" w:cs="TTE179A848t00"/>
                <w:color w:val="000000"/>
                <w:sz w:val="20"/>
                <w:szCs w:val="20"/>
              </w:rPr>
              <w:t xml:space="preserve">a </w:t>
            </w:r>
            <w:r w:rsidRPr="006D6950">
              <w:rPr>
                <w:rFonts w:ascii="TTE179A848t00" w:hAnsi="TTE179A848t00" w:cs="TTE179A848t00"/>
                <w:color w:val="000000"/>
                <w:sz w:val="20"/>
                <w:szCs w:val="20"/>
              </w:rPr>
              <w:t xml:space="preserve">Developed Design </w:t>
            </w:r>
            <w:r w:rsidR="007A3A7C">
              <w:rPr>
                <w:rFonts w:ascii="TTE179A848t00" w:hAnsi="TTE179A848t00" w:cs="TTE179A848t00"/>
                <w:color w:val="000000"/>
                <w:sz w:val="20"/>
                <w:szCs w:val="20"/>
              </w:rPr>
              <w:t xml:space="preserve">of a proposed 100-120 Bedroom Hotel, Harbour View, </w:t>
            </w:r>
            <w:r w:rsidR="007E7625">
              <w:rPr>
                <w:rFonts w:ascii="TTE179A848t00" w:hAnsi="TTE179A848t00" w:cs="TTE179A848t00"/>
                <w:color w:val="000000"/>
                <w:sz w:val="20"/>
                <w:szCs w:val="20"/>
              </w:rPr>
              <w:t>(Reference Number</w:t>
            </w:r>
            <w:r>
              <w:rPr>
                <w:rFonts w:ascii="TTE179A848t00" w:hAnsi="TTE179A848t00" w:cs="TTE179A848t00"/>
                <w:color w:val="000000"/>
                <w:sz w:val="20"/>
                <w:szCs w:val="20"/>
              </w:rPr>
              <w:t xml:space="preserve"> </w:t>
            </w:r>
            <w:r w:rsidR="007A3A7C" w:rsidRPr="007A3A7C">
              <w:rPr>
                <w:rFonts w:ascii="TTE179A848t00" w:hAnsi="TTE179A848t00" w:cs="TTE179A848t00"/>
                <w:color w:val="000000"/>
                <w:sz w:val="20"/>
                <w:szCs w:val="20"/>
                <w:highlight w:val="cyan"/>
              </w:rPr>
              <w:t>TTDA118)</w:t>
            </w:r>
          </w:p>
          <w:p w:rsidR="007E7625" w:rsidRDefault="007E7625" w:rsidP="000A0CE1">
            <w:pPr>
              <w:autoSpaceDE w:val="0"/>
              <w:autoSpaceDN w:val="0"/>
              <w:adjustRightInd w:val="0"/>
            </w:pPr>
          </w:p>
        </w:tc>
      </w:tr>
      <w:tr w:rsidR="007E7625" w:rsidTr="000A0CE1">
        <w:tc>
          <w:tcPr>
            <w:tcW w:w="9242" w:type="dxa"/>
            <w:shd w:val="clear" w:color="auto" w:fill="000000" w:themeFill="text1"/>
          </w:tcPr>
          <w:p w:rsidR="007E7625" w:rsidRDefault="007E7625" w:rsidP="000A0CE1"/>
          <w:p w:rsidR="007E7625" w:rsidRPr="00BD5399" w:rsidRDefault="007E7625" w:rsidP="000A0CE1">
            <w:pPr>
              <w:jc w:val="center"/>
              <w:rPr>
                <w:rFonts w:cs="Arial"/>
                <w:sz w:val="52"/>
                <w:szCs w:val="52"/>
              </w:rPr>
            </w:pPr>
            <w:r w:rsidRPr="00BD5399">
              <w:rPr>
                <w:rFonts w:cs="Arial"/>
                <w:sz w:val="52"/>
                <w:szCs w:val="52"/>
              </w:rPr>
              <w:t>Contract Data</w:t>
            </w:r>
          </w:p>
        </w:tc>
      </w:tr>
      <w:tr w:rsidR="007E7625" w:rsidTr="000A0CE1">
        <w:tc>
          <w:tcPr>
            <w:tcW w:w="9242" w:type="dxa"/>
          </w:tcPr>
          <w:p w:rsidR="007E7625" w:rsidRPr="009F42A5" w:rsidRDefault="007E7625" w:rsidP="000A0CE1">
            <w:pPr>
              <w:autoSpaceDE w:val="0"/>
              <w:autoSpaceDN w:val="0"/>
              <w:adjustRightInd w:val="0"/>
              <w:rPr>
                <w:rFonts w:ascii="TTE179A848t00" w:hAnsi="TTE179A848t00" w:cs="TTE179A848t00"/>
                <w:sz w:val="20"/>
                <w:szCs w:val="20"/>
              </w:rPr>
            </w:pPr>
            <w:r w:rsidRPr="009F42A5">
              <w:rPr>
                <w:rFonts w:ascii="TTE179A848t00" w:hAnsi="TTE179A848t00" w:cs="TTE179A848t00"/>
                <w:sz w:val="20"/>
                <w:szCs w:val="20"/>
              </w:rPr>
              <w:t xml:space="preserve">The </w:t>
            </w:r>
            <w:r w:rsidRPr="006E3402">
              <w:rPr>
                <w:rFonts w:ascii="TTE179A848t00" w:hAnsi="TTE179A848t00" w:cs="TTE179A848t00"/>
                <w:sz w:val="20"/>
                <w:szCs w:val="20"/>
              </w:rPr>
              <w:t xml:space="preserve">Client </w:t>
            </w:r>
            <w:r w:rsidRPr="009F42A5">
              <w:rPr>
                <w:rFonts w:ascii="TTE179A848t00" w:hAnsi="TTE179A848t00" w:cs="TTE179A848t00"/>
                <w:sz w:val="20"/>
                <w:szCs w:val="20"/>
              </w:rPr>
              <w:t>is</w:t>
            </w:r>
          </w:p>
          <w:p w:rsidR="007E7625" w:rsidRDefault="007E7625" w:rsidP="000A0CE1">
            <w:pPr>
              <w:autoSpaceDE w:val="0"/>
              <w:autoSpaceDN w:val="0"/>
              <w:adjustRightInd w:val="0"/>
              <w:rPr>
                <w:rFonts w:ascii="TTE179A848t00" w:hAnsi="TTE179A848t00" w:cs="TTE179A848t00"/>
                <w:sz w:val="20"/>
                <w:szCs w:val="20"/>
              </w:rPr>
            </w:pPr>
          </w:p>
          <w:p w:rsidR="007E7625" w:rsidRPr="009F42A5" w:rsidRDefault="007E7625" w:rsidP="000A0CE1">
            <w:pPr>
              <w:autoSpaceDE w:val="0"/>
              <w:autoSpaceDN w:val="0"/>
              <w:adjustRightInd w:val="0"/>
              <w:rPr>
                <w:rFonts w:ascii="TTE179A848t00" w:hAnsi="TTE179A848t00" w:cs="TTE179A848t00"/>
                <w:sz w:val="20"/>
                <w:szCs w:val="20"/>
              </w:rPr>
            </w:pPr>
            <w:r w:rsidRPr="009F42A5">
              <w:rPr>
                <w:rFonts w:ascii="TTE179A848t00" w:hAnsi="TTE179A848t00" w:cs="TTE179A848t00"/>
                <w:sz w:val="20"/>
                <w:szCs w:val="20"/>
              </w:rPr>
              <w:t>Name</w:t>
            </w:r>
            <w:r>
              <w:rPr>
                <w:rFonts w:ascii="TTE179A848t00" w:hAnsi="TTE179A848t00" w:cs="TTE179A848t00"/>
                <w:sz w:val="20"/>
                <w:szCs w:val="20"/>
              </w:rPr>
              <w:t>: Torbay Development Agency</w:t>
            </w:r>
          </w:p>
          <w:p w:rsidR="007E7625" w:rsidRPr="009F42A5" w:rsidRDefault="007E7625" w:rsidP="000A0CE1">
            <w:pPr>
              <w:autoSpaceDE w:val="0"/>
              <w:autoSpaceDN w:val="0"/>
              <w:adjustRightInd w:val="0"/>
              <w:rPr>
                <w:rFonts w:ascii="TTE179A848t00" w:hAnsi="TTE179A848t00" w:cs="TTE179A848t00"/>
                <w:sz w:val="20"/>
                <w:szCs w:val="20"/>
              </w:rPr>
            </w:pPr>
          </w:p>
          <w:p w:rsidR="007E7625" w:rsidRDefault="007E7625" w:rsidP="000A0CE1">
            <w:pPr>
              <w:autoSpaceDE w:val="0"/>
              <w:autoSpaceDN w:val="0"/>
              <w:adjustRightInd w:val="0"/>
              <w:rPr>
                <w:rFonts w:ascii="TTE179A848t00" w:hAnsi="TTE179A848t00" w:cs="TTE179A848t00"/>
                <w:sz w:val="20"/>
                <w:szCs w:val="20"/>
              </w:rPr>
            </w:pPr>
            <w:r w:rsidRPr="009F42A5">
              <w:rPr>
                <w:rFonts w:ascii="TTE179A848t00" w:hAnsi="TTE179A848t00" w:cs="TTE179A848t00"/>
                <w:sz w:val="20"/>
                <w:szCs w:val="20"/>
              </w:rPr>
              <w:t>Address</w:t>
            </w:r>
            <w:r>
              <w:rPr>
                <w:rFonts w:ascii="TTE179A848t00" w:hAnsi="TTE179A848t00" w:cs="TTE179A848t00"/>
                <w:sz w:val="20"/>
                <w:szCs w:val="20"/>
              </w:rPr>
              <w:t>:</w:t>
            </w:r>
            <w:r w:rsidRPr="009F42A5">
              <w:rPr>
                <w:rFonts w:ascii="TTE179A848t00" w:hAnsi="TTE179A848t00" w:cs="TTE179A848t00"/>
                <w:sz w:val="20"/>
                <w:szCs w:val="20"/>
              </w:rPr>
              <w:t xml:space="preserve"> </w:t>
            </w:r>
            <w:r>
              <w:rPr>
                <w:rFonts w:ascii="TTE179A848t00" w:hAnsi="TTE179A848t00" w:cs="TTE179A848t00"/>
                <w:sz w:val="20"/>
                <w:szCs w:val="20"/>
              </w:rPr>
              <w:t>3</w:t>
            </w:r>
            <w:r w:rsidRPr="00B96824">
              <w:rPr>
                <w:rFonts w:ascii="TTE179A848t00" w:hAnsi="TTE179A848t00" w:cs="TTE179A848t00"/>
                <w:sz w:val="20"/>
                <w:szCs w:val="20"/>
                <w:vertAlign w:val="superscript"/>
              </w:rPr>
              <w:t>rd</w:t>
            </w:r>
            <w:r>
              <w:rPr>
                <w:rFonts w:ascii="TTE179A848t00" w:hAnsi="TTE179A848t00" w:cs="TTE179A848t00"/>
                <w:sz w:val="20"/>
                <w:szCs w:val="20"/>
              </w:rPr>
              <w:t xml:space="preserve"> Floor, Tor Hill House, Union Street, Torquay, TQ1 5QW</w:t>
            </w:r>
          </w:p>
          <w:p w:rsidR="007E7625" w:rsidRPr="009F42A5" w:rsidRDefault="007E7625" w:rsidP="000A0CE1">
            <w:pPr>
              <w:autoSpaceDE w:val="0"/>
              <w:autoSpaceDN w:val="0"/>
              <w:adjustRightInd w:val="0"/>
              <w:rPr>
                <w:rFonts w:ascii="TTE179A848t00" w:hAnsi="TTE179A848t00" w:cs="TTE179A848t00"/>
                <w:sz w:val="20"/>
                <w:szCs w:val="20"/>
              </w:rPr>
            </w:pPr>
          </w:p>
          <w:p w:rsidR="007E7625" w:rsidRDefault="007E7625" w:rsidP="000A0CE1">
            <w:pPr>
              <w:autoSpaceDE w:val="0"/>
              <w:autoSpaceDN w:val="0"/>
              <w:adjustRightInd w:val="0"/>
              <w:rPr>
                <w:rFonts w:ascii="TTE179A848t00" w:hAnsi="TTE179A848t00" w:cs="TTE179A848t00"/>
                <w:sz w:val="20"/>
                <w:szCs w:val="20"/>
              </w:rPr>
            </w:pPr>
            <w:r w:rsidRPr="009F42A5">
              <w:rPr>
                <w:rFonts w:ascii="TTE179A848t00" w:hAnsi="TTE179A848t00" w:cs="TTE179A848t00"/>
                <w:sz w:val="20"/>
                <w:szCs w:val="20"/>
              </w:rPr>
              <w:lastRenderedPageBreak/>
              <w:t>Telephone</w:t>
            </w:r>
            <w:r>
              <w:rPr>
                <w:rFonts w:ascii="TTE179A848t00" w:hAnsi="TTE179A848t00" w:cs="TTE179A848t00"/>
                <w:sz w:val="20"/>
                <w:szCs w:val="20"/>
              </w:rPr>
              <w:t xml:space="preserve">: </w:t>
            </w:r>
            <w:r w:rsidR="006D6950" w:rsidRPr="006D6950">
              <w:rPr>
                <w:rFonts w:ascii="TTE179A848t00" w:hAnsi="TTE179A848t00" w:cs="TTE179A848t00"/>
                <w:sz w:val="20"/>
                <w:szCs w:val="20"/>
              </w:rPr>
              <w:t>01803 296296</w:t>
            </w:r>
          </w:p>
          <w:p w:rsidR="007E7625" w:rsidRPr="009F42A5" w:rsidRDefault="007E7625" w:rsidP="000A0CE1">
            <w:pPr>
              <w:autoSpaceDE w:val="0"/>
              <w:autoSpaceDN w:val="0"/>
              <w:adjustRightInd w:val="0"/>
              <w:rPr>
                <w:rFonts w:ascii="TTE179A848t00" w:hAnsi="TTE179A848t00" w:cs="TTE179A848t00"/>
                <w:sz w:val="20"/>
                <w:szCs w:val="20"/>
              </w:rPr>
            </w:pPr>
          </w:p>
          <w:p w:rsidR="007E7625" w:rsidRDefault="007E7625" w:rsidP="000A0CE1">
            <w:pPr>
              <w:autoSpaceDE w:val="0"/>
              <w:autoSpaceDN w:val="0"/>
              <w:adjustRightInd w:val="0"/>
              <w:rPr>
                <w:rFonts w:ascii="TTE179A848t00" w:hAnsi="TTE179A848t00" w:cs="TTE179A848t00"/>
                <w:sz w:val="20"/>
                <w:szCs w:val="20"/>
              </w:rPr>
            </w:pPr>
            <w:r w:rsidRPr="009F42A5">
              <w:rPr>
                <w:rFonts w:ascii="TTE179A848t00" w:hAnsi="TTE179A848t00" w:cs="TTE179A848t00"/>
                <w:sz w:val="20"/>
                <w:szCs w:val="20"/>
              </w:rPr>
              <w:t>E-mail address</w:t>
            </w:r>
            <w:r>
              <w:rPr>
                <w:rFonts w:ascii="TTE179A848t00" w:hAnsi="TTE179A848t00" w:cs="TTE179A848t00"/>
                <w:sz w:val="20"/>
                <w:szCs w:val="20"/>
              </w:rPr>
              <w:t>:</w:t>
            </w:r>
            <w:r w:rsidRPr="009F42A5">
              <w:rPr>
                <w:rFonts w:ascii="TTE179A848t00" w:hAnsi="TTE179A848t00" w:cs="TTE179A848t00"/>
                <w:sz w:val="20"/>
                <w:szCs w:val="20"/>
              </w:rPr>
              <w:t xml:space="preserve"> </w:t>
            </w:r>
            <w:r w:rsidR="006D6950">
              <w:rPr>
                <w:rFonts w:ascii="TTE179A848t00" w:hAnsi="TTE179A848t00" w:cs="TTE179A848t00"/>
                <w:sz w:val="20"/>
                <w:szCs w:val="20"/>
              </w:rPr>
              <w:t xml:space="preserve">  </w:t>
            </w:r>
            <w:r w:rsidR="007A3A7C">
              <w:rPr>
                <w:rFonts w:ascii="TTE179A848t00" w:hAnsi="TTE179A848t00" w:cs="TTE179A848t00"/>
                <w:sz w:val="20"/>
                <w:szCs w:val="20"/>
              </w:rPr>
              <w:t>nigel.mills@tedcltd.com</w:t>
            </w:r>
            <w:r w:rsidR="007A3A7C">
              <w:t>,</w:t>
            </w:r>
            <w:r w:rsidR="007A3A7C" w:rsidRPr="007A3A7C">
              <w:t xml:space="preserve"> </w:t>
            </w:r>
            <w:hyperlink r:id="rId7" w:history="1">
              <w:r w:rsidR="006D6950" w:rsidRPr="00F92994">
                <w:rPr>
                  <w:rStyle w:val="Hyperlink"/>
                  <w:rFonts w:ascii="TTE179A848t00" w:hAnsi="TTE179A848t00" w:cs="TTE179A848t00"/>
                  <w:sz w:val="20"/>
                  <w:szCs w:val="20"/>
                </w:rPr>
                <w:t>pat.steward@tedcltd.com</w:t>
              </w:r>
            </w:hyperlink>
          </w:p>
          <w:p w:rsidR="007E7625" w:rsidRPr="006E3402" w:rsidRDefault="007E7625" w:rsidP="000A0CE1">
            <w:pPr>
              <w:shd w:val="clear" w:color="auto" w:fill="000000" w:themeFill="text1"/>
              <w:ind w:left="-142" w:right="-188" w:firstLine="142"/>
              <w:jc w:val="center"/>
              <w:rPr>
                <w:rFonts w:cs="Arial"/>
                <w:sz w:val="52"/>
                <w:szCs w:val="52"/>
              </w:rPr>
            </w:pPr>
            <w:r>
              <w:rPr>
                <w:rFonts w:cs="Arial"/>
                <w:sz w:val="52"/>
                <w:szCs w:val="52"/>
              </w:rPr>
              <w:t>Part One</w:t>
            </w:r>
            <w:r w:rsidRPr="006E3402">
              <w:rPr>
                <w:rFonts w:cs="Arial"/>
                <w:sz w:val="52"/>
                <w:szCs w:val="52"/>
              </w:rPr>
              <w:t xml:space="preserve"> – Data Provided by Employer </w:t>
            </w:r>
          </w:p>
          <w:p w:rsidR="007E7625" w:rsidRPr="006E3402" w:rsidRDefault="007E7625" w:rsidP="000A0CE1"/>
          <w:p w:rsidR="007E7625" w:rsidRPr="00234028" w:rsidRDefault="007E7625" w:rsidP="007E7625">
            <w:pPr>
              <w:pStyle w:val="ListParagraph"/>
              <w:numPr>
                <w:ilvl w:val="0"/>
                <w:numId w:val="11"/>
              </w:numPr>
              <w:autoSpaceDE w:val="0"/>
              <w:autoSpaceDN w:val="0"/>
              <w:adjustRightInd w:val="0"/>
              <w:spacing w:after="0" w:line="240" w:lineRule="auto"/>
              <w:rPr>
                <w:rFonts w:ascii="TTE179A848t00" w:hAnsi="TTE179A848t00" w:cs="TTE179A848t00"/>
                <w:sz w:val="20"/>
                <w:szCs w:val="20"/>
              </w:rPr>
            </w:pPr>
            <w:r w:rsidRPr="006E3402">
              <w:rPr>
                <w:rFonts w:ascii="TTE179A848t00" w:hAnsi="TTE179A848t00" w:cs="TTE179A848t00"/>
                <w:sz w:val="20"/>
                <w:szCs w:val="20"/>
              </w:rPr>
              <w:t>General</w:t>
            </w:r>
            <w:r w:rsidRPr="00234028">
              <w:rPr>
                <w:rFonts w:ascii="TTE179A848t00" w:hAnsi="TTE179A848t00" w:cs="TTE179A848t00"/>
                <w:sz w:val="20"/>
                <w:szCs w:val="20"/>
              </w:rPr>
              <w:t xml:space="preserve"> </w:t>
            </w:r>
          </w:p>
          <w:p w:rsidR="007E7625" w:rsidRDefault="007E7625" w:rsidP="000A0CE1">
            <w:pPr>
              <w:autoSpaceDE w:val="0"/>
              <w:autoSpaceDN w:val="0"/>
              <w:adjustRightInd w:val="0"/>
              <w:rPr>
                <w:rFonts w:ascii="TTE179A848t00" w:hAnsi="TTE179A848t00" w:cs="TTE179A848t00"/>
                <w:sz w:val="20"/>
                <w:szCs w:val="20"/>
              </w:rPr>
            </w:pPr>
          </w:p>
          <w:p w:rsidR="007E7625" w:rsidRDefault="007E7625" w:rsidP="007E7625">
            <w:pPr>
              <w:pStyle w:val="ListParagraph"/>
              <w:numPr>
                <w:ilvl w:val="0"/>
                <w:numId w:val="8"/>
              </w:numPr>
              <w:autoSpaceDE w:val="0"/>
              <w:autoSpaceDN w:val="0"/>
              <w:adjustRightInd w:val="0"/>
              <w:spacing w:after="0" w:line="240" w:lineRule="auto"/>
              <w:rPr>
                <w:rFonts w:ascii="TTE179A848t00" w:hAnsi="TTE179A848t00" w:cs="TTE179A848t00"/>
                <w:sz w:val="20"/>
                <w:szCs w:val="20"/>
              </w:rPr>
            </w:pPr>
            <w:r>
              <w:rPr>
                <w:rFonts w:ascii="TTE179A848t00" w:hAnsi="TTE179A848t00" w:cs="TTE179A848t00"/>
                <w:sz w:val="20"/>
                <w:szCs w:val="20"/>
              </w:rPr>
              <w:t xml:space="preserve">The conditions of contract are the core clauses and the clauses for Main Option A and Secondary Options X5, X7, X8, X9 and X11 of the NEC3 Professional Services Contract June 2005 (with amendments June 2006, September 2011 and April 2013) [and the attached said clauses].  Dispute resolution will be as clause 9.2 of the SWCF Call-Off Contract Terms and Conditions.  </w:t>
            </w:r>
          </w:p>
          <w:p w:rsidR="007E7625" w:rsidRDefault="007E7625" w:rsidP="000A0CE1">
            <w:pPr>
              <w:pStyle w:val="ListParagraph"/>
              <w:autoSpaceDE w:val="0"/>
              <w:autoSpaceDN w:val="0"/>
              <w:adjustRightInd w:val="0"/>
              <w:rPr>
                <w:rFonts w:ascii="TTE179A848t00" w:hAnsi="TTE179A848t00" w:cs="TTE179A848t00"/>
                <w:sz w:val="20"/>
                <w:szCs w:val="20"/>
              </w:rPr>
            </w:pPr>
          </w:p>
          <w:p w:rsidR="007E7625" w:rsidRDefault="007E7625" w:rsidP="000A0CE1">
            <w:pPr>
              <w:pStyle w:val="ListParagraph"/>
              <w:rPr>
                <w:rFonts w:ascii="TTE179A848t00" w:hAnsi="TTE179A848t00" w:cs="TTE179A848t00"/>
                <w:sz w:val="20"/>
                <w:szCs w:val="20"/>
              </w:rPr>
            </w:pPr>
            <w:r>
              <w:rPr>
                <w:rFonts w:ascii="TTE179A848t00" w:hAnsi="TTE179A848t00" w:cs="TTE179A848t00"/>
                <w:sz w:val="20"/>
                <w:szCs w:val="20"/>
              </w:rPr>
              <w:t>The Employer is Torbay Development Agency, 3</w:t>
            </w:r>
            <w:r w:rsidRPr="00B96824">
              <w:rPr>
                <w:rFonts w:ascii="TTE179A848t00" w:hAnsi="TTE179A848t00" w:cs="TTE179A848t00"/>
                <w:sz w:val="20"/>
                <w:szCs w:val="20"/>
                <w:vertAlign w:val="superscript"/>
              </w:rPr>
              <w:t>rd</w:t>
            </w:r>
            <w:r>
              <w:rPr>
                <w:rFonts w:ascii="TTE179A848t00" w:hAnsi="TTE179A848t00" w:cs="TTE179A848t00"/>
                <w:sz w:val="20"/>
                <w:szCs w:val="20"/>
              </w:rPr>
              <w:t xml:space="preserve"> Floor, Tor Hill House, Union Street, Torquay, TQ1 5QW</w:t>
            </w:r>
            <w:r w:rsidRPr="00863694">
              <w:rPr>
                <w:rFonts w:ascii="TTE179A848t00" w:hAnsi="TTE179A848t00" w:cs="TTE179A848t00"/>
                <w:sz w:val="20"/>
                <w:szCs w:val="20"/>
              </w:rPr>
              <w:t xml:space="preserve"> </w:t>
            </w:r>
          </w:p>
          <w:p w:rsidR="007E7625" w:rsidRPr="00863694" w:rsidRDefault="007E7625" w:rsidP="000A0CE1">
            <w:pPr>
              <w:pStyle w:val="ListParagraph"/>
              <w:rPr>
                <w:rFonts w:ascii="TTE179A848t00" w:hAnsi="TTE179A848t00" w:cs="TTE179A848t00"/>
                <w:sz w:val="20"/>
                <w:szCs w:val="20"/>
              </w:rPr>
            </w:pPr>
          </w:p>
          <w:p w:rsidR="007E7625" w:rsidRDefault="007E7625" w:rsidP="007E7625">
            <w:pPr>
              <w:pStyle w:val="ListParagraph"/>
              <w:numPr>
                <w:ilvl w:val="0"/>
                <w:numId w:val="8"/>
              </w:numPr>
              <w:autoSpaceDE w:val="0"/>
              <w:autoSpaceDN w:val="0"/>
              <w:adjustRightInd w:val="0"/>
              <w:spacing w:after="0" w:line="240" w:lineRule="auto"/>
              <w:rPr>
                <w:rFonts w:ascii="TTE179A848t00" w:hAnsi="TTE179A848t00" w:cs="TTE179A848t00"/>
                <w:sz w:val="20"/>
                <w:szCs w:val="20"/>
              </w:rPr>
            </w:pPr>
            <w:r>
              <w:rPr>
                <w:rFonts w:ascii="TTE179A848t00" w:hAnsi="TTE179A848t00" w:cs="TTE179A848t00"/>
                <w:sz w:val="20"/>
                <w:szCs w:val="20"/>
              </w:rPr>
              <w:t>The Adjudicator shall be appointed by the President of the Royal Institution of Chartered Surveyors. In the event that the dispute relates to an issue outside of the scope of the Adjudicator, the Adjudicator shall appoint a substitute from an appropriate professional discipline. Such substitute shall in turn be selected by the Head of the relevant profession.</w:t>
            </w:r>
          </w:p>
          <w:p w:rsidR="007E7625" w:rsidRPr="00D3383E" w:rsidRDefault="007E7625" w:rsidP="000A0CE1">
            <w:pPr>
              <w:pStyle w:val="ListParagraph"/>
              <w:autoSpaceDE w:val="0"/>
              <w:autoSpaceDN w:val="0"/>
              <w:adjustRightInd w:val="0"/>
              <w:rPr>
                <w:rFonts w:ascii="TTE179A848t00" w:hAnsi="TTE179A848t00" w:cs="TTE179A848t00"/>
                <w:sz w:val="20"/>
                <w:szCs w:val="20"/>
              </w:rPr>
            </w:pPr>
          </w:p>
          <w:p w:rsidR="007E7625" w:rsidRDefault="007E7625" w:rsidP="007E7625">
            <w:pPr>
              <w:pStyle w:val="ListParagraph"/>
              <w:numPr>
                <w:ilvl w:val="0"/>
                <w:numId w:val="8"/>
              </w:numPr>
              <w:autoSpaceDE w:val="0"/>
              <w:autoSpaceDN w:val="0"/>
              <w:adjustRightInd w:val="0"/>
              <w:spacing w:after="0" w:line="240" w:lineRule="auto"/>
              <w:rPr>
                <w:rFonts w:ascii="TTE179A848t00" w:hAnsi="TTE179A848t00" w:cs="TTE179A848t00"/>
                <w:sz w:val="20"/>
                <w:szCs w:val="20"/>
              </w:rPr>
            </w:pPr>
            <w:r>
              <w:rPr>
                <w:rFonts w:ascii="TTE179A848t00" w:hAnsi="TTE179A848t00" w:cs="TTE179A848t00"/>
                <w:sz w:val="20"/>
                <w:szCs w:val="20"/>
              </w:rPr>
              <w:t>The services and scope are</w:t>
            </w:r>
          </w:p>
          <w:p w:rsidR="007E7625" w:rsidRPr="008213EA" w:rsidRDefault="007E7625" w:rsidP="000A0CE1">
            <w:pPr>
              <w:pStyle w:val="ListParagraph"/>
              <w:rPr>
                <w:rFonts w:ascii="TTE179A848t00" w:hAnsi="TTE179A848t00" w:cs="TTE179A848t00"/>
                <w:sz w:val="20"/>
                <w:szCs w:val="20"/>
              </w:rPr>
            </w:pPr>
          </w:p>
          <w:p w:rsidR="007E7625" w:rsidRDefault="007E7625" w:rsidP="000A0CE1">
            <w:pPr>
              <w:autoSpaceDE w:val="0"/>
              <w:autoSpaceDN w:val="0"/>
              <w:adjustRightInd w:val="0"/>
              <w:rPr>
                <w:rFonts w:ascii="TTE179A848t00" w:hAnsi="TTE179A848t00" w:cs="TTE179A848t00"/>
                <w:sz w:val="20"/>
                <w:szCs w:val="20"/>
              </w:rPr>
            </w:pPr>
            <w:r w:rsidRPr="009F42A5">
              <w:rPr>
                <w:rFonts w:ascii="TTE179A848t00" w:hAnsi="TTE179A848t00" w:cs="TTE179A848t00"/>
                <w:sz w:val="20"/>
                <w:szCs w:val="20"/>
              </w:rPr>
              <w:t xml:space="preserve">set out in </w:t>
            </w:r>
          </w:p>
          <w:p w:rsidR="007E7625" w:rsidRDefault="007E7625" w:rsidP="000A0CE1">
            <w:pPr>
              <w:autoSpaceDE w:val="0"/>
              <w:autoSpaceDN w:val="0"/>
              <w:adjustRightInd w:val="0"/>
              <w:rPr>
                <w:rFonts w:ascii="TTE179A848t00" w:hAnsi="TTE179A848t00" w:cs="TTE179A848t00"/>
                <w:sz w:val="20"/>
                <w:szCs w:val="20"/>
              </w:rPr>
            </w:pPr>
          </w:p>
          <w:p w:rsidR="007E7625" w:rsidRDefault="007E7625" w:rsidP="007E7625">
            <w:pPr>
              <w:pStyle w:val="ListParagraph"/>
              <w:numPr>
                <w:ilvl w:val="0"/>
                <w:numId w:val="9"/>
              </w:numPr>
              <w:autoSpaceDE w:val="0"/>
              <w:autoSpaceDN w:val="0"/>
              <w:adjustRightInd w:val="0"/>
              <w:spacing w:after="0" w:line="240" w:lineRule="auto"/>
              <w:rPr>
                <w:rFonts w:ascii="TTE179A848t00" w:hAnsi="TTE179A848t00" w:cs="TTE179A848t00"/>
                <w:sz w:val="20"/>
                <w:szCs w:val="20"/>
              </w:rPr>
            </w:pPr>
            <w:r>
              <w:rPr>
                <w:rFonts w:ascii="TTE179A848t00" w:hAnsi="TTE179A848t00" w:cs="TTE179A848t00"/>
                <w:sz w:val="20"/>
                <w:szCs w:val="20"/>
              </w:rPr>
              <w:t>The tender documents</w:t>
            </w:r>
          </w:p>
          <w:p w:rsidR="007E7625" w:rsidRPr="00403548" w:rsidRDefault="007E7625" w:rsidP="007E7625">
            <w:pPr>
              <w:pStyle w:val="ListParagraph"/>
              <w:numPr>
                <w:ilvl w:val="0"/>
                <w:numId w:val="9"/>
              </w:numPr>
              <w:autoSpaceDE w:val="0"/>
              <w:autoSpaceDN w:val="0"/>
              <w:adjustRightInd w:val="0"/>
              <w:spacing w:after="0" w:line="240" w:lineRule="auto"/>
              <w:rPr>
                <w:rFonts w:ascii="TTE179A848t00" w:hAnsi="TTE179A848t00" w:cs="TTE179A848t00"/>
                <w:sz w:val="20"/>
                <w:szCs w:val="20"/>
              </w:rPr>
            </w:pPr>
            <w:r w:rsidRPr="00B82CEB">
              <w:rPr>
                <w:rFonts w:ascii="TTE179A848t00" w:hAnsi="TTE179A848t00" w:cs="TTE179A848t00"/>
                <w:sz w:val="20"/>
                <w:szCs w:val="20"/>
              </w:rPr>
              <w:t xml:space="preserve">the Torbay </w:t>
            </w:r>
            <w:r>
              <w:rPr>
                <w:rFonts w:ascii="TTE179A848t00" w:hAnsi="TTE179A848t00" w:cs="TTE179A848t00"/>
                <w:sz w:val="20"/>
                <w:szCs w:val="20"/>
              </w:rPr>
              <w:t>Development Agency’s</w:t>
            </w:r>
            <w:r w:rsidRPr="00B82CEB">
              <w:rPr>
                <w:rFonts w:ascii="TTE179A848t00" w:hAnsi="TTE179A848t00" w:cs="TTE179A848t00"/>
                <w:sz w:val="20"/>
                <w:szCs w:val="20"/>
              </w:rPr>
              <w:t xml:space="preserve"> letter of successful tender dated </w:t>
            </w:r>
            <w:r w:rsidR="006D6950" w:rsidRPr="007A3A7C">
              <w:rPr>
                <w:rFonts w:ascii="TTE179A848t00" w:hAnsi="TTE179A848t00" w:cs="TTE179A848t00"/>
                <w:sz w:val="20"/>
                <w:szCs w:val="20"/>
                <w:highlight w:val="cyan"/>
              </w:rPr>
              <w:t>………………</w:t>
            </w:r>
          </w:p>
          <w:p w:rsidR="007E7625" w:rsidRPr="0066553D" w:rsidRDefault="007E7625" w:rsidP="007E7625">
            <w:pPr>
              <w:pStyle w:val="ListParagraph"/>
              <w:numPr>
                <w:ilvl w:val="0"/>
                <w:numId w:val="9"/>
              </w:numPr>
              <w:autoSpaceDE w:val="0"/>
              <w:autoSpaceDN w:val="0"/>
              <w:adjustRightInd w:val="0"/>
              <w:spacing w:after="0" w:line="240" w:lineRule="auto"/>
              <w:rPr>
                <w:rFonts w:ascii="TTE179A848t00" w:hAnsi="TTE179A848t00" w:cs="TTE179A848t00"/>
                <w:color w:val="0070C0"/>
                <w:sz w:val="20"/>
                <w:szCs w:val="20"/>
              </w:rPr>
            </w:pPr>
            <w:r>
              <w:rPr>
                <w:rFonts w:ascii="TTE179A848t00" w:hAnsi="TTE179A848t00" w:cs="TTE179A848t00"/>
                <w:sz w:val="20"/>
                <w:szCs w:val="20"/>
              </w:rPr>
              <w:t>the</w:t>
            </w:r>
            <w:r w:rsidRPr="00B82CEB">
              <w:rPr>
                <w:rFonts w:ascii="TTE179A848t00" w:hAnsi="TTE179A848t00" w:cs="TTE179A848t00"/>
                <w:sz w:val="20"/>
                <w:szCs w:val="20"/>
              </w:rPr>
              <w:t xml:space="preserve"> Consultant’s </w:t>
            </w:r>
            <w:r>
              <w:rPr>
                <w:rFonts w:ascii="TTE179A848t00" w:hAnsi="TTE179A848t00" w:cs="TTE179A848t00"/>
                <w:sz w:val="20"/>
                <w:szCs w:val="20"/>
              </w:rPr>
              <w:t>tender submission</w:t>
            </w:r>
            <w:r w:rsidRPr="00B82CEB">
              <w:rPr>
                <w:rFonts w:ascii="TTE179A848t00" w:hAnsi="TTE179A848t00" w:cs="TTE179A848t00"/>
                <w:sz w:val="20"/>
                <w:szCs w:val="20"/>
              </w:rPr>
              <w:t xml:space="preserve"> dated </w:t>
            </w:r>
            <w:r w:rsidR="007A3A7C" w:rsidRPr="007A3A7C">
              <w:rPr>
                <w:rFonts w:ascii="TTE179A848t00" w:hAnsi="TTE179A848t00" w:cs="TTE179A848t00"/>
                <w:sz w:val="20"/>
                <w:szCs w:val="20"/>
                <w:highlight w:val="cyan"/>
              </w:rPr>
              <w:t>………….........</w:t>
            </w:r>
          </w:p>
          <w:p w:rsidR="007E7625" w:rsidRDefault="007E7625" w:rsidP="007E7625">
            <w:pPr>
              <w:pStyle w:val="ListParagraph"/>
              <w:numPr>
                <w:ilvl w:val="0"/>
                <w:numId w:val="9"/>
              </w:numPr>
              <w:autoSpaceDE w:val="0"/>
              <w:autoSpaceDN w:val="0"/>
              <w:adjustRightInd w:val="0"/>
              <w:spacing w:after="0" w:line="240" w:lineRule="auto"/>
              <w:rPr>
                <w:rFonts w:ascii="TTE179A848t00" w:hAnsi="TTE179A848t00" w:cs="TTE179A848t00"/>
                <w:sz w:val="20"/>
                <w:szCs w:val="20"/>
              </w:rPr>
            </w:pPr>
            <w:r>
              <w:rPr>
                <w:rFonts w:ascii="TTE179A848t00" w:hAnsi="TTE179A848t00" w:cs="TTE179A848t00"/>
                <w:sz w:val="20"/>
                <w:szCs w:val="20"/>
              </w:rPr>
              <w:t>the post tender clarification responses</w:t>
            </w:r>
          </w:p>
          <w:p w:rsidR="007E7625" w:rsidRDefault="007E7625" w:rsidP="000A0CE1">
            <w:pPr>
              <w:autoSpaceDE w:val="0"/>
              <w:autoSpaceDN w:val="0"/>
              <w:adjustRightInd w:val="0"/>
              <w:rPr>
                <w:rFonts w:ascii="TTE179A848t00" w:hAnsi="TTE179A848t00" w:cs="TTE179A848t00"/>
                <w:sz w:val="20"/>
                <w:szCs w:val="20"/>
              </w:rPr>
            </w:pPr>
          </w:p>
          <w:p w:rsidR="007E7625" w:rsidRDefault="007E7625" w:rsidP="007E7625">
            <w:pPr>
              <w:pStyle w:val="ListParagraph"/>
              <w:numPr>
                <w:ilvl w:val="0"/>
                <w:numId w:val="10"/>
              </w:numPr>
              <w:autoSpaceDE w:val="0"/>
              <w:autoSpaceDN w:val="0"/>
              <w:adjustRightInd w:val="0"/>
              <w:spacing w:after="0" w:line="240" w:lineRule="auto"/>
              <w:rPr>
                <w:rFonts w:ascii="TTE179A848t00" w:hAnsi="TTE179A848t00" w:cs="TTE179A848t00"/>
                <w:sz w:val="20"/>
                <w:szCs w:val="20"/>
              </w:rPr>
            </w:pPr>
            <w:r>
              <w:rPr>
                <w:rFonts w:ascii="TTE179A848t00" w:hAnsi="TTE179A848t00" w:cs="TTE179A848t00"/>
                <w:sz w:val="20"/>
                <w:szCs w:val="20"/>
              </w:rPr>
              <w:t>The language of this contract is English</w:t>
            </w:r>
          </w:p>
          <w:p w:rsidR="007E7625" w:rsidRDefault="007E7625" w:rsidP="000A0CE1">
            <w:pPr>
              <w:pStyle w:val="ListParagraph"/>
              <w:autoSpaceDE w:val="0"/>
              <w:autoSpaceDN w:val="0"/>
              <w:adjustRightInd w:val="0"/>
              <w:rPr>
                <w:rFonts w:ascii="TTE179A848t00" w:hAnsi="TTE179A848t00" w:cs="TTE179A848t00"/>
                <w:sz w:val="20"/>
                <w:szCs w:val="20"/>
              </w:rPr>
            </w:pPr>
          </w:p>
          <w:p w:rsidR="007E7625" w:rsidRDefault="007E7625" w:rsidP="007E7625">
            <w:pPr>
              <w:pStyle w:val="ListParagraph"/>
              <w:numPr>
                <w:ilvl w:val="0"/>
                <w:numId w:val="10"/>
              </w:numPr>
              <w:autoSpaceDE w:val="0"/>
              <w:autoSpaceDN w:val="0"/>
              <w:adjustRightInd w:val="0"/>
              <w:spacing w:after="0" w:line="240" w:lineRule="auto"/>
              <w:rPr>
                <w:rFonts w:ascii="TTE179A848t00" w:hAnsi="TTE179A848t00" w:cs="TTE179A848t00"/>
                <w:sz w:val="20"/>
                <w:szCs w:val="20"/>
              </w:rPr>
            </w:pPr>
            <w:r>
              <w:rPr>
                <w:rFonts w:ascii="TTE179A848t00" w:hAnsi="TTE179A848t00" w:cs="TTE179A848t00"/>
                <w:sz w:val="20"/>
                <w:szCs w:val="20"/>
              </w:rPr>
              <w:t>The law of the contract is the law of England and Wales subject to the jurisdiction of the Courts of England and Wales.</w:t>
            </w:r>
          </w:p>
          <w:p w:rsidR="007E7625" w:rsidRPr="00C21889" w:rsidRDefault="007E7625" w:rsidP="000A0CE1">
            <w:pPr>
              <w:pStyle w:val="ListParagraph"/>
              <w:rPr>
                <w:rFonts w:ascii="TTE179A848t00" w:hAnsi="TTE179A848t00" w:cs="TTE179A848t00"/>
                <w:sz w:val="20"/>
                <w:szCs w:val="20"/>
              </w:rPr>
            </w:pPr>
          </w:p>
          <w:p w:rsidR="007E7625" w:rsidRDefault="007E7625" w:rsidP="007E7625">
            <w:pPr>
              <w:pStyle w:val="ListParagraph"/>
              <w:numPr>
                <w:ilvl w:val="0"/>
                <w:numId w:val="10"/>
              </w:numPr>
              <w:autoSpaceDE w:val="0"/>
              <w:autoSpaceDN w:val="0"/>
              <w:adjustRightInd w:val="0"/>
              <w:spacing w:after="0" w:line="240" w:lineRule="auto"/>
              <w:rPr>
                <w:rFonts w:ascii="TTE179A848t00" w:hAnsi="TTE179A848t00" w:cs="TTE179A848t00"/>
                <w:sz w:val="20"/>
                <w:szCs w:val="20"/>
              </w:rPr>
            </w:pPr>
            <w:r>
              <w:rPr>
                <w:rFonts w:ascii="TTE179A848t00" w:hAnsi="TTE179A848t00" w:cs="TTE179A848t00"/>
                <w:sz w:val="20"/>
                <w:szCs w:val="20"/>
              </w:rPr>
              <w:t>The period for reply is two weeks</w:t>
            </w:r>
          </w:p>
          <w:p w:rsidR="007E7625" w:rsidRPr="00C21889" w:rsidRDefault="007E7625" w:rsidP="000A0CE1">
            <w:pPr>
              <w:pStyle w:val="ListParagraph"/>
              <w:rPr>
                <w:rFonts w:ascii="TTE179A848t00" w:hAnsi="TTE179A848t00" w:cs="TTE179A848t00"/>
                <w:sz w:val="20"/>
                <w:szCs w:val="20"/>
              </w:rPr>
            </w:pPr>
          </w:p>
          <w:p w:rsidR="007E7625" w:rsidRDefault="007E7625" w:rsidP="007E7625">
            <w:pPr>
              <w:pStyle w:val="ListParagraph"/>
              <w:numPr>
                <w:ilvl w:val="0"/>
                <w:numId w:val="10"/>
              </w:numPr>
              <w:autoSpaceDE w:val="0"/>
              <w:autoSpaceDN w:val="0"/>
              <w:adjustRightInd w:val="0"/>
              <w:spacing w:after="0" w:line="240" w:lineRule="auto"/>
              <w:rPr>
                <w:rFonts w:ascii="TTE179A848t00" w:hAnsi="TTE179A848t00" w:cs="TTE179A848t00"/>
                <w:sz w:val="20"/>
                <w:szCs w:val="20"/>
              </w:rPr>
            </w:pPr>
            <w:r>
              <w:rPr>
                <w:rFonts w:ascii="TTE179A848t00" w:hAnsi="TTE179A848t00" w:cs="TTE179A848t00"/>
                <w:sz w:val="20"/>
                <w:szCs w:val="20"/>
              </w:rPr>
              <w:t>The period for retention is twelve months following completion or earlier termination</w:t>
            </w:r>
          </w:p>
          <w:p w:rsidR="007E7625" w:rsidRPr="00C21889" w:rsidRDefault="007E7625" w:rsidP="000A0CE1">
            <w:pPr>
              <w:pStyle w:val="ListParagraph"/>
              <w:rPr>
                <w:rFonts w:ascii="TTE179A848t00" w:hAnsi="TTE179A848t00" w:cs="TTE179A848t00"/>
                <w:sz w:val="20"/>
                <w:szCs w:val="20"/>
              </w:rPr>
            </w:pPr>
          </w:p>
          <w:p w:rsidR="007E7625" w:rsidRDefault="007E7625" w:rsidP="007E7625">
            <w:pPr>
              <w:pStyle w:val="ListParagraph"/>
              <w:numPr>
                <w:ilvl w:val="0"/>
                <w:numId w:val="10"/>
              </w:numPr>
              <w:autoSpaceDE w:val="0"/>
              <w:autoSpaceDN w:val="0"/>
              <w:adjustRightInd w:val="0"/>
              <w:spacing w:after="0" w:line="240" w:lineRule="auto"/>
              <w:rPr>
                <w:rFonts w:ascii="TTE179A848t00" w:hAnsi="TTE179A848t00" w:cs="TTE179A848t00"/>
                <w:sz w:val="20"/>
                <w:szCs w:val="20"/>
              </w:rPr>
            </w:pPr>
            <w:r>
              <w:rPr>
                <w:rFonts w:ascii="TTE179A848t00" w:hAnsi="TTE179A848t00" w:cs="TTE179A848t00"/>
                <w:sz w:val="20"/>
                <w:szCs w:val="20"/>
              </w:rPr>
              <w:t>The Adjudicator nominating body is RICS</w:t>
            </w:r>
          </w:p>
          <w:p w:rsidR="007E7625" w:rsidRPr="00C21889" w:rsidRDefault="007E7625" w:rsidP="000A0CE1">
            <w:pPr>
              <w:pStyle w:val="ListParagraph"/>
              <w:rPr>
                <w:rFonts w:ascii="TTE179A848t00" w:hAnsi="TTE179A848t00" w:cs="TTE179A848t00"/>
                <w:sz w:val="20"/>
                <w:szCs w:val="20"/>
              </w:rPr>
            </w:pPr>
          </w:p>
          <w:p w:rsidR="007E7625" w:rsidRDefault="007E7625" w:rsidP="007E7625">
            <w:pPr>
              <w:pStyle w:val="ListParagraph"/>
              <w:numPr>
                <w:ilvl w:val="0"/>
                <w:numId w:val="10"/>
              </w:numPr>
              <w:autoSpaceDE w:val="0"/>
              <w:autoSpaceDN w:val="0"/>
              <w:adjustRightInd w:val="0"/>
              <w:spacing w:after="0" w:line="240" w:lineRule="auto"/>
              <w:rPr>
                <w:rFonts w:ascii="TTE179A848t00" w:hAnsi="TTE179A848t00" w:cs="TTE179A848t00"/>
                <w:sz w:val="20"/>
                <w:szCs w:val="20"/>
              </w:rPr>
            </w:pPr>
            <w:r>
              <w:rPr>
                <w:rFonts w:ascii="TTE179A848t00" w:hAnsi="TTE179A848t00" w:cs="TTE179A848t00"/>
                <w:sz w:val="20"/>
                <w:szCs w:val="20"/>
              </w:rPr>
              <w:t>The tribunal is arbitration</w:t>
            </w:r>
          </w:p>
          <w:p w:rsidR="007E7625" w:rsidRPr="00C21889" w:rsidRDefault="007E7625" w:rsidP="000A0CE1">
            <w:pPr>
              <w:pStyle w:val="ListParagraph"/>
              <w:rPr>
                <w:rFonts w:ascii="TTE179A848t00" w:hAnsi="TTE179A848t00" w:cs="TTE179A848t00"/>
                <w:sz w:val="20"/>
                <w:szCs w:val="20"/>
              </w:rPr>
            </w:pPr>
          </w:p>
          <w:p w:rsidR="007E7625" w:rsidRDefault="007E7625" w:rsidP="007E7625">
            <w:pPr>
              <w:pStyle w:val="ListParagraph"/>
              <w:numPr>
                <w:ilvl w:val="0"/>
                <w:numId w:val="10"/>
              </w:numPr>
              <w:autoSpaceDE w:val="0"/>
              <w:autoSpaceDN w:val="0"/>
              <w:adjustRightInd w:val="0"/>
              <w:spacing w:after="0" w:line="240" w:lineRule="auto"/>
              <w:rPr>
                <w:rFonts w:ascii="TTE179A848t00" w:hAnsi="TTE179A848t00" w:cs="TTE179A848t00"/>
                <w:sz w:val="20"/>
                <w:szCs w:val="20"/>
              </w:rPr>
            </w:pPr>
            <w:r>
              <w:rPr>
                <w:rFonts w:ascii="TTE179A848t00" w:hAnsi="TTE179A848t00" w:cs="TTE179A848t00"/>
                <w:sz w:val="20"/>
                <w:szCs w:val="20"/>
              </w:rPr>
              <w:t>The following matters will be included in the Risk Register – to be identified</w:t>
            </w:r>
          </w:p>
          <w:p w:rsidR="007E7625" w:rsidRPr="00C21889" w:rsidRDefault="007E7625" w:rsidP="000A0CE1">
            <w:pPr>
              <w:pStyle w:val="ListParagraph"/>
              <w:rPr>
                <w:rFonts w:ascii="TTE179A848t00" w:hAnsi="TTE179A848t00" w:cs="TTE179A848t00"/>
                <w:sz w:val="20"/>
                <w:szCs w:val="20"/>
              </w:rPr>
            </w:pPr>
          </w:p>
          <w:p w:rsidR="007E7625" w:rsidRPr="00234028" w:rsidRDefault="007E7625" w:rsidP="007E7625">
            <w:pPr>
              <w:pStyle w:val="ListParagraph"/>
              <w:numPr>
                <w:ilvl w:val="0"/>
                <w:numId w:val="11"/>
              </w:numPr>
              <w:autoSpaceDE w:val="0"/>
              <w:autoSpaceDN w:val="0"/>
              <w:adjustRightInd w:val="0"/>
              <w:spacing w:after="0" w:line="240" w:lineRule="auto"/>
              <w:rPr>
                <w:rFonts w:ascii="TTE179A848t00" w:hAnsi="TTE179A848t00" w:cs="TTE179A848t00"/>
                <w:sz w:val="20"/>
                <w:szCs w:val="20"/>
              </w:rPr>
            </w:pPr>
            <w:r w:rsidRPr="006E3402">
              <w:rPr>
                <w:rFonts w:ascii="TTE179A848t00" w:hAnsi="TTE179A848t00" w:cs="TTE179A848t00"/>
                <w:sz w:val="20"/>
                <w:szCs w:val="20"/>
              </w:rPr>
              <w:t>The</w:t>
            </w:r>
            <w:r>
              <w:rPr>
                <w:rFonts w:ascii="TTE179A848t00" w:hAnsi="TTE179A848t00" w:cs="TTE179A848t00"/>
                <w:sz w:val="20"/>
                <w:szCs w:val="20"/>
              </w:rPr>
              <w:t xml:space="preserve"> </w:t>
            </w:r>
            <w:r w:rsidRPr="006E3402">
              <w:rPr>
                <w:rFonts w:ascii="TTE179A848t00" w:hAnsi="TTE179A848t00" w:cs="TTE179A848t00"/>
                <w:sz w:val="20"/>
                <w:szCs w:val="20"/>
              </w:rPr>
              <w:t>parties’ main responsibilities</w:t>
            </w:r>
          </w:p>
          <w:p w:rsidR="007E7625" w:rsidRDefault="007E7625" w:rsidP="000A0CE1">
            <w:pPr>
              <w:autoSpaceDE w:val="0"/>
              <w:autoSpaceDN w:val="0"/>
              <w:adjustRightInd w:val="0"/>
              <w:rPr>
                <w:rFonts w:ascii="TTE179A848t00" w:hAnsi="TTE179A848t00" w:cs="TTE179A848t00"/>
                <w:sz w:val="20"/>
                <w:szCs w:val="20"/>
              </w:rPr>
            </w:pPr>
          </w:p>
          <w:p w:rsidR="007E7625" w:rsidRPr="00234028" w:rsidRDefault="007E7625" w:rsidP="007E7625">
            <w:pPr>
              <w:pStyle w:val="ListParagraph"/>
              <w:numPr>
                <w:ilvl w:val="0"/>
                <w:numId w:val="12"/>
              </w:numPr>
              <w:autoSpaceDE w:val="0"/>
              <w:autoSpaceDN w:val="0"/>
              <w:adjustRightInd w:val="0"/>
              <w:spacing w:after="0" w:line="240" w:lineRule="auto"/>
              <w:rPr>
                <w:rFonts w:ascii="TTE179A848t00" w:hAnsi="TTE179A848t00" w:cs="TTE179A848t00"/>
                <w:sz w:val="20"/>
                <w:szCs w:val="20"/>
              </w:rPr>
            </w:pPr>
            <w:r w:rsidRPr="00234028">
              <w:rPr>
                <w:rFonts w:ascii="TTE179A848t00" w:hAnsi="TTE179A848t00" w:cs="TTE179A848t00"/>
                <w:sz w:val="20"/>
                <w:szCs w:val="20"/>
              </w:rPr>
              <w:t>The Employer provides access to the following persons, places and things – immediate access is available</w:t>
            </w:r>
          </w:p>
          <w:p w:rsidR="007E7625" w:rsidRDefault="007E7625" w:rsidP="000A0CE1">
            <w:pPr>
              <w:autoSpaceDE w:val="0"/>
              <w:autoSpaceDN w:val="0"/>
              <w:adjustRightInd w:val="0"/>
              <w:rPr>
                <w:rFonts w:ascii="TTE179A848t00" w:hAnsi="TTE179A848t00" w:cs="TTE179A848t00"/>
                <w:sz w:val="20"/>
                <w:szCs w:val="20"/>
              </w:rPr>
            </w:pPr>
          </w:p>
          <w:p w:rsidR="007E7625" w:rsidRPr="006E3402" w:rsidRDefault="007E7625" w:rsidP="007E7625">
            <w:pPr>
              <w:pStyle w:val="ListParagraph"/>
              <w:numPr>
                <w:ilvl w:val="0"/>
                <w:numId w:val="11"/>
              </w:numPr>
              <w:autoSpaceDE w:val="0"/>
              <w:autoSpaceDN w:val="0"/>
              <w:adjustRightInd w:val="0"/>
              <w:spacing w:after="0" w:line="240" w:lineRule="auto"/>
              <w:rPr>
                <w:rFonts w:ascii="TTE179A848t00" w:hAnsi="TTE179A848t00" w:cs="TTE179A848t00"/>
                <w:sz w:val="20"/>
                <w:szCs w:val="20"/>
              </w:rPr>
            </w:pPr>
            <w:r w:rsidRPr="006E3402">
              <w:rPr>
                <w:rFonts w:ascii="TTE179A848t00" w:hAnsi="TTE179A848t00" w:cs="TTE179A848t00"/>
                <w:sz w:val="20"/>
                <w:szCs w:val="20"/>
              </w:rPr>
              <w:t>Time</w:t>
            </w:r>
          </w:p>
          <w:p w:rsidR="007E7625" w:rsidRDefault="007E7625" w:rsidP="000A0CE1">
            <w:pPr>
              <w:autoSpaceDE w:val="0"/>
              <w:autoSpaceDN w:val="0"/>
              <w:adjustRightInd w:val="0"/>
              <w:rPr>
                <w:rFonts w:ascii="TTE179A848t00" w:hAnsi="TTE179A848t00" w:cs="TTE179A848t00"/>
                <w:sz w:val="20"/>
                <w:szCs w:val="20"/>
              </w:rPr>
            </w:pPr>
          </w:p>
          <w:p w:rsidR="007E7625" w:rsidRDefault="007E7625" w:rsidP="007E7625">
            <w:pPr>
              <w:pStyle w:val="ListParagraph"/>
              <w:numPr>
                <w:ilvl w:val="0"/>
                <w:numId w:val="12"/>
              </w:numPr>
              <w:autoSpaceDE w:val="0"/>
              <w:autoSpaceDN w:val="0"/>
              <w:adjustRightInd w:val="0"/>
              <w:spacing w:after="0" w:line="240" w:lineRule="auto"/>
              <w:rPr>
                <w:rFonts w:ascii="TTE179A848t00" w:hAnsi="TTE179A848t00" w:cs="TTE179A848t00"/>
                <w:sz w:val="20"/>
                <w:szCs w:val="20"/>
              </w:rPr>
            </w:pPr>
            <w:r>
              <w:rPr>
                <w:rFonts w:ascii="TTE179A848t00" w:hAnsi="TTE179A848t00" w:cs="TTE179A848t00"/>
                <w:sz w:val="20"/>
                <w:szCs w:val="20"/>
              </w:rPr>
              <w:t xml:space="preserve">The starting date is </w:t>
            </w:r>
            <w:r w:rsidR="007A3A7C" w:rsidRPr="007A3A7C">
              <w:rPr>
                <w:rFonts w:ascii="TTE179A848t00" w:hAnsi="TTE179A848t00" w:cs="TTE179A848t00"/>
                <w:sz w:val="20"/>
                <w:szCs w:val="20"/>
                <w:highlight w:val="cyan"/>
              </w:rPr>
              <w:t>14 March 2018</w:t>
            </w:r>
          </w:p>
          <w:p w:rsidR="007E7625" w:rsidRDefault="007E7625" w:rsidP="000A0CE1">
            <w:pPr>
              <w:autoSpaceDE w:val="0"/>
              <w:autoSpaceDN w:val="0"/>
              <w:adjustRightInd w:val="0"/>
              <w:rPr>
                <w:rFonts w:ascii="TTE179A848t00" w:hAnsi="TTE179A848t00" w:cs="TTE179A848t00"/>
                <w:sz w:val="20"/>
                <w:szCs w:val="20"/>
              </w:rPr>
            </w:pPr>
          </w:p>
          <w:p w:rsidR="007E7625" w:rsidRDefault="007E7625" w:rsidP="007E7625">
            <w:pPr>
              <w:pStyle w:val="ListParagraph"/>
              <w:numPr>
                <w:ilvl w:val="0"/>
                <w:numId w:val="12"/>
              </w:numPr>
              <w:autoSpaceDE w:val="0"/>
              <w:autoSpaceDN w:val="0"/>
              <w:adjustRightInd w:val="0"/>
              <w:spacing w:after="0" w:line="240" w:lineRule="auto"/>
              <w:rPr>
                <w:rFonts w:ascii="TTE179A848t00" w:hAnsi="TTE179A848t00" w:cs="TTE179A848t00"/>
                <w:sz w:val="20"/>
                <w:szCs w:val="20"/>
              </w:rPr>
            </w:pPr>
            <w:r>
              <w:rPr>
                <w:rFonts w:ascii="TTE179A848t00" w:hAnsi="TTE179A848t00" w:cs="TTE179A848t00"/>
                <w:sz w:val="20"/>
                <w:szCs w:val="20"/>
              </w:rPr>
              <w:t>The completion date for the whole of the services will be the date of practical completion of the project, which is yet to be determined or earlier if the project does not proceed to construction</w:t>
            </w:r>
          </w:p>
          <w:p w:rsidR="007E7625" w:rsidRPr="007A5B2A" w:rsidRDefault="007E7625" w:rsidP="000A0CE1">
            <w:pPr>
              <w:pStyle w:val="ListParagraph"/>
              <w:rPr>
                <w:rFonts w:ascii="TTE179A848t00" w:hAnsi="TTE179A848t00" w:cs="TTE179A848t00"/>
                <w:sz w:val="20"/>
                <w:szCs w:val="20"/>
              </w:rPr>
            </w:pPr>
          </w:p>
          <w:p w:rsidR="007E7625" w:rsidRPr="007A5B2A" w:rsidRDefault="007E7625" w:rsidP="007E7625">
            <w:pPr>
              <w:pStyle w:val="ListParagraph"/>
              <w:numPr>
                <w:ilvl w:val="0"/>
                <w:numId w:val="12"/>
              </w:numPr>
              <w:autoSpaceDE w:val="0"/>
              <w:autoSpaceDN w:val="0"/>
              <w:adjustRightInd w:val="0"/>
              <w:spacing w:after="0" w:line="240" w:lineRule="auto"/>
              <w:rPr>
                <w:rFonts w:ascii="TTE179A848t00" w:hAnsi="TTE179A848t00" w:cs="TTE179A848t00"/>
                <w:sz w:val="20"/>
                <w:szCs w:val="20"/>
              </w:rPr>
            </w:pPr>
            <w:r>
              <w:rPr>
                <w:rFonts w:ascii="TTE179A848t00" w:hAnsi="TTE179A848t00" w:cs="TTE179A848t00"/>
                <w:sz w:val="20"/>
                <w:szCs w:val="20"/>
              </w:rPr>
              <w:t>The Consultant is to submit a first programme for acceptance within eight weeks of the contract date</w:t>
            </w:r>
          </w:p>
          <w:p w:rsidR="007E7625" w:rsidRDefault="007E7625" w:rsidP="000A0CE1">
            <w:pPr>
              <w:pStyle w:val="ListParagraph"/>
              <w:autoSpaceDE w:val="0"/>
              <w:autoSpaceDN w:val="0"/>
              <w:adjustRightInd w:val="0"/>
              <w:rPr>
                <w:rFonts w:ascii="TTE179A848t00" w:hAnsi="TTE179A848t00" w:cs="TTE179A848t00"/>
                <w:sz w:val="20"/>
                <w:szCs w:val="20"/>
              </w:rPr>
            </w:pPr>
          </w:p>
          <w:p w:rsidR="007E7625" w:rsidRDefault="007E7625" w:rsidP="007E7625">
            <w:pPr>
              <w:pStyle w:val="ListParagraph"/>
              <w:numPr>
                <w:ilvl w:val="0"/>
                <w:numId w:val="12"/>
              </w:numPr>
              <w:autoSpaceDE w:val="0"/>
              <w:autoSpaceDN w:val="0"/>
              <w:adjustRightInd w:val="0"/>
              <w:spacing w:after="0" w:line="240" w:lineRule="auto"/>
              <w:rPr>
                <w:rFonts w:ascii="TTE179A848t00" w:hAnsi="TTE179A848t00" w:cs="TTE179A848t00"/>
                <w:sz w:val="20"/>
                <w:szCs w:val="20"/>
              </w:rPr>
            </w:pPr>
            <w:r>
              <w:rPr>
                <w:rFonts w:ascii="TTE179A848t00" w:hAnsi="TTE179A848t00" w:cs="TTE179A848t00"/>
                <w:sz w:val="20"/>
                <w:szCs w:val="20"/>
              </w:rPr>
              <w:t>The Consultant submits revised programmes at intervals no longer than four weeks</w:t>
            </w:r>
          </w:p>
          <w:p w:rsidR="007E7625" w:rsidRPr="00234028" w:rsidRDefault="007E7625" w:rsidP="000A0CE1">
            <w:pPr>
              <w:pStyle w:val="ListParagraph"/>
              <w:rPr>
                <w:rFonts w:ascii="TTE179A848t00" w:hAnsi="TTE179A848t00" w:cs="TTE179A848t00"/>
                <w:sz w:val="20"/>
                <w:szCs w:val="20"/>
              </w:rPr>
            </w:pPr>
          </w:p>
          <w:p w:rsidR="007E7625" w:rsidRPr="006E3402" w:rsidRDefault="007E7625" w:rsidP="007E7625">
            <w:pPr>
              <w:pStyle w:val="ListParagraph"/>
              <w:numPr>
                <w:ilvl w:val="0"/>
                <w:numId w:val="11"/>
              </w:numPr>
              <w:autoSpaceDE w:val="0"/>
              <w:autoSpaceDN w:val="0"/>
              <w:adjustRightInd w:val="0"/>
              <w:spacing w:after="0" w:line="240" w:lineRule="auto"/>
              <w:rPr>
                <w:rFonts w:ascii="TTE179A848t00" w:hAnsi="TTE179A848t00" w:cs="TTE179A848t00"/>
                <w:sz w:val="20"/>
                <w:szCs w:val="20"/>
              </w:rPr>
            </w:pPr>
            <w:r w:rsidRPr="006E3402">
              <w:rPr>
                <w:rFonts w:ascii="TTE179A848t00" w:hAnsi="TTE179A848t00" w:cs="TTE179A848t00"/>
                <w:sz w:val="20"/>
                <w:szCs w:val="20"/>
              </w:rPr>
              <w:t>Quality</w:t>
            </w:r>
          </w:p>
          <w:p w:rsidR="007E7625" w:rsidRPr="008213EA" w:rsidRDefault="007E7625" w:rsidP="000A0CE1">
            <w:pPr>
              <w:autoSpaceDE w:val="0"/>
              <w:autoSpaceDN w:val="0"/>
              <w:adjustRightInd w:val="0"/>
              <w:rPr>
                <w:rFonts w:ascii="TTE179A848t00" w:hAnsi="TTE179A848t00" w:cs="TTE179A848t00"/>
                <w:sz w:val="20"/>
                <w:szCs w:val="20"/>
              </w:rPr>
            </w:pPr>
          </w:p>
          <w:p w:rsidR="007E7625" w:rsidRDefault="007E7625" w:rsidP="007E7625">
            <w:pPr>
              <w:pStyle w:val="ListParagraph"/>
              <w:numPr>
                <w:ilvl w:val="0"/>
                <w:numId w:val="13"/>
              </w:numPr>
              <w:autoSpaceDE w:val="0"/>
              <w:autoSpaceDN w:val="0"/>
              <w:adjustRightInd w:val="0"/>
              <w:spacing w:after="0" w:line="240" w:lineRule="auto"/>
              <w:rPr>
                <w:rFonts w:ascii="TTE179A848t00" w:hAnsi="TTE179A848t00" w:cs="TTE179A848t00"/>
                <w:sz w:val="20"/>
                <w:szCs w:val="20"/>
              </w:rPr>
            </w:pPr>
            <w:r>
              <w:rPr>
                <w:rFonts w:ascii="TTE179A848t00" w:hAnsi="TTE179A848t00" w:cs="TTE179A848t00"/>
                <w:sz w:val="20"/>
                <w:szCs w:val="20"/>
              </w:rPr>
              <w:t>The quality policy statement and policy plan are provided within two weeks of the contract date</w:t>
            </w:r>
          </w:p>
          <w:p w:rsidR="007E7625" w:rsidRDefault="007E7625" w:rsidP="000A0CE1">
            <w:pPr>
              <w:pStyle w:val="ListParagraph"/>
              <w:autoSpaceDE w:val="0"/>
              <w:autoSpaceDN w:val="0"/>
              <w:adjustRightInd w:val="0"/>
              <w:rPr>
                <w:rFonts w:ascii="TTE179A848t00" w:hAnsi="TTE179A848t00" w:cs="TTE179A848t00"/>
                <w:sz w:val="20"/>
                <w:szCs w:val="20"/>
              </w:rPr>
            </w:pPr>
          </w:p>
          <w:p w:rsidR="007E7625" w:rsidRDefault="007E7625" w:rsidP="007E7625">
            <w:pPr>
              <w:pStyle w:val="ListParagraph"/>
              <w:numPr>
                <w:ilvl w:val="0"/>
                <w:numId w:val="13"/>
              </w:numPr>
              <w:autoSpaceDE w:val="0"/>
              <w:autoSpaceDN w:val="0"/>
              <w:adjustRightInd w:val="0"/>
              <w:spacing w:after="0" w:line="240" w:lineRule="auto"/>
              <w:rPr>
                <w:rFonts w:ascii="TTE179A848t00" w:hAnsi="TTE179A848t00" w:cs="TTE179A848t00"/>
                <w:sz w:val="20"/>
                <w:szCs w:val="20"/>
              </w:rPr>
            </w:pPr>
            <w:r>
              <w:rPr>
                <w:rFonts w:ascii="TTE179A848t00" w:hAnsi="TTE179A848t00" w:cs="TTE179A848t00"/>
                <w:sz w:val="20"/>
                <w:szCs w:val="20"/>
              </w:rPr>
              <w:t xml:space="preserve">The defects date is fifty two weeks after Completion of the whole of the services </w:t>
            </w:r>
          </w:p>
          <w:p w:rsidR="007E7625" w:rsidRPr="00234028" w:rsidRDefault="007E7625" w:rsidP="000A0CE1">
            <w:pPr>
              <w:pStyle w:val="ListParagraph"/>
              <w:rPr>
                <w:rFonts w:ascii="TTE179A848t00" w:hAnsi="TTE179A848t00" w:cs="TTE179A848t00"/>
                <w:sz w:val="20"/>
                <w:szCs w:val="20"/>
              </w:rPr>
            </w:pPr>
          </w:p>
          <w:p w:rsidR="007E7625" w:rsidRPr="00234028" w:rsidRDefault="007E7625" w:rsidP="007E7625">
            <w:pPr>
              <w:pStyle w:val="ListParagraph"/>
              <w:numPr>
                <w:ilvl w:val="0"/>
                <w:numId w:val="11"/>
              </w:numPr>
              <w:autoSpaceDE w:val="0"/>
              <w:autoSpaceDN w:val="0"/>
              <w:adjustRightInd w:val="0"/>
              <w:spacing w:after="0" w:line="240" w:lineRule="auto"/>
              <w:rPr>
                <w:rFonts w:ascii="TTE179A848t00" w:hAnsi="TTE179A848t00" w:cs="TTE179A848t00"/>
                <w:sz w:val="20"/>
                <w:szCs w:val="20"/>
              </w:rPr>
            </w:pPr>
            <w:r w:rsidRPr="006E3402">
              <w:rPr>
                <w:rFonts w:ascii="TTE179A848t00" w:hAnsi="TTE179A848t00" w:cs="TTE179A848t00"/>
                <w:sz w:val="20"/>
                <w:szCs w:val="20"/>
              </w:rPr>
              <w:t>Payment</w:t>
            </w:r>
          </w:p>
          <w:p w:rsidR="007E7625" w:rsidRDefault="007E7625" w:rsidP="000A0CE1">
            <w:pPr>
              <w:autoSpaceDE w:val="0"/>
              <w:autoSpaceDN w:val="0"/>
              <w:adjustRightInd w:val="0"/>
              <w:rPr>
                <w:rFonts w:ascii="TTE179A848t00" w:hAnsi="TTE179A848t00" w:cs="TTE179A848t00"/>
                <w:sz w:val="20"/>
                <w:szCs w:val="20"/>
              </w:rPr>
            </w:pPr>
          </w:p>
          <w:p w:rsidR="007E7625" w:rsidRDefault="007E7625" w:rsidP="007E7625">
            <w:pPr>
              <w:pStyle w:val="ListParagraph"/>
              <w:numPr>
                <w:ilvl w:val="0"/>
                <w:numId w:val="14"/>
              </w:numPr>
              <w:autoSpaceDE w:val="0"/>
              <w:autoSpaceDN w:val="0"/>
              <w:adjustRightInd w:val="0"/>
              <w:spacing w:after="0" w:line="240" w:lineRule="auto"/>
              <w:rPr>
                <w:rFonts w:ascii="TTE179A848t00" w:hAnsi="TTE179A848t00" w:cs="TTE179A848t00"/>
                <w:sz w:val="20"/>
                <w:szCs w:val="20"/>
              </w:rPr>
            </w:pPr>
            <w:r>
              <w:rPr>
                <w:rFonts w:ascii="TTE179A848t00" w:hAnsi="TTE179A848t00" w:cs="TTE179A848t00"/>
                <w:sz w:val="20"/>
                <w:szCs w:val="20"/>
              </w:rPr>
              <w:t>The assessment interval is monthly</w:t>
            </w:r>
          </w:p>
          <w:p w:rsidR="007E7625" w:rsidRDefault="007E7625" w:rsidP="000A0CE1">
            <w:pPr>
              <w:pStyle w:val="ListParagraph"/>
              <w:autoSpaceDE w:val="0"/>
              <w:autoSpaceDN w:val="0"/>
              <w:adjustRightInd w:val="0"/>
              <w:rPr>
                <w:rFonts w:ascii="TTE179A848t00" w:hAnsi="TTE179A848t00" w:cs="TTE179A848t00"/>
                <w:sz w:val="20"/>
                <w:szCs w:val="20"/>
              </w:rPr>
            </w:pPr>
          </w:p>
          <w:p w:rsidR="007E7625" w:rsidRDefault="007E7625" w:rsidP="007E7625">
            <w:pPr>
              <w:pStyle w:val="ListParagraph"/>
              <w:numPr>
                <w:ilvl w:val="0"/>
                <w:numId w:val="14"/>
              </w:numPr>
              <w:autoSpaceDE w:val="0"/>
              <w:autoSpaceDN w:val="0"/>
              <w:adjustRightInd w:val="0"/>
              <w:spacing w:after="0" w:line="240" w:lineRule="auto"/>
              <w:rPr>
                <w:rFonts w:ascii="TTE179A848t00" w:hAnsi="TTE179A848t00" w:cs="TTE179A848t00"/>
                <w:sz w:val="20"/>
                <w:szCs w:val="20"/>
              </w:rPr>
            </w:pPr>
            <w:r>
              <w:rPr>
                <w:rFonts w:ascii="TTE179A848t00" w:hAnsi="TTE179A848t00" w:cs="TTE179A848t00"/>
                <w:sz w:val="20"/>
                <w:szCs w:val="20"/>
              </w:rPr>
              <w:t>The currency of this contract is pounds sterling</w:t>
            </w:r>
          </w:p>
          <w:p w:rsidR="007E7625" w:rsidRPr="00F35252" w:rsidRDefault="007E7625" w:rsidP="000A0CE1">
            <w:pPr>
              <w:pStyle w:val="ListParagraph"/>
              <w:rPr>
                <w:rFonts w:ascii="TTE179A848t00" w:hAnsi="TTE179A848t00" w:cs="TTE179A848t00"/>
                <w:sz w:val="20"/>
                <w:szCs w:val="20"/>
              </w:rPr>
            </w:pPr>
          </w:p>
          <w:p w:rsidR="007E7625" w:rsidRDefault="007E7625" w:rsidP="007E7625">
            <w:pPr>
              <w:pStyle w:val="ListParagraph"/>
              <w:numPr>
                <w:ilvl w:val="0"/>
                <w:numId w:val="14"/>
              </w:numPr>
              <w:autoSpaceDE w:val="0"/>
              <w:autoSpaceDN w:val="0"/>
              <w:adjustRightInd w:val="0"/>
              <w:spacing w:after="0" w:line="240" w:lineRule="auto"/>
              <w:rPr>
                <w:rFonts w:ascii="TTE179A848t00" w:hAnsi="TTE179A848t00" w:cs="TTE179A848t00"/>
                <w:sz w:val="20"/>
                <w:szCs w:val="20"/>
              </w:rPr>
            </w:pPr>
            <w:r>
              <w:rPr>
                <w:rFonts w:ascii="TTE179A848t00" w:hAnsi="TTE179A848t00" w:cs="TTE179A848t00"/>
                <w:sz w:val="20"/>
                <w:szCs w:val="20"/>
              </w:rPr>
              <w:t>The interest rate is 2% per annum above the base rate of the NatWest Bank</w:t>
            </w:r>
          </w:p>
          <w:p w:rsidR="007E7625" w:rsidRPr="00EE311B" w:rsidRDefault="007E7625" w:rsidP="000A0CE1">
            <w:pPr>
              <w:pStyle w:val="ListParagraph"/>
              <w:rPr>
                <w:rFonts w:ascii="TTE179A848t00" w:hAnsi="TTE179A848t00" w:cs="TTE179A848t00"/>
                <w:sz w:val="20"/>
                <w:szCs w:val="20"/>
              </w:rPr>
            </w:pPr>
          </w:p>
          <w:p w:rsidR="007E7625" w:rsidRDefault="007E7625" w:rsidP="000A0CE1">
            <w:pPr>
              <w:pStyle w:val="ListParagraph"/>
              <w:autoSpaceDE w:val="0"/>
              <w:autoSpaceDN w:val="0"/>
              <w:adjustRightInd w:val="0"/>
              <w:rPr>
                <w:rFonts w:ascii="TTE179A848t00" w:hAnsi="TTE179A848t00" w:cs="TTE179A848t00"/>
                <w:sz w:val="20"/>
                <w:szCs w:val="20"/>
              </w:rPr>
            </w:pPr>
          </w:p>
          <w:p w:rsidR="007E7625" w:rsidRDefault="007E7625" w:rsidP="000A0CE1">
            <w:pPr>
              <w:pStyle w:val="ListParagraph"/>
              <w:autoSpaceDE w:val="0"/>
              <w:autoSpaceDN w:val="0"/>
              <w:adjustRightInd w:val="0"/>
              <w:rPr>
                <w:rFonts w:ascii="TTE179A848t00" w:hAnsi="TTE179A848t00" w:cs="TTE179A848t00"/>
                <w:sz w:val="20"/>
                <w:szCs w:val="20"/>
              </w:rPr>
            </w:pPr>
          </w:p>
          <w:p w:rsidR="007E7625" w:rsidRDefault="007E7625" w:rsidP="000A0CE1">
            <w:pPr>
              <w:pStyle w:val="ListParagraph"/>
              <w:autoSpaceDE w:val="0"/>
              <w:autoSpaceDN w:val="0"/>
              <w:adjustRightInd w:val="0"/>
              <w:rPr>
                <w:rFonts w:ascii="TTE179A848t00" w:hAnsi="TTE179A848t00" w:cs="TTE179A848t00"/>
                <w:sz w:val="20"/>
                <w:szCs w:val="20"/>
              </w:rPr>
            </w:pPr>
          </w:p>
          <w:p w:rsidR="007E7625" w:rsidRDefault="007E7625" w:rsidP="000A0CE1">
            <w:pPr>
              <w:pStyle w:val="ListParagraph"/>
              <w:autoSpaceDE w:val="0"/>
              <w:autoSpaceDN w:val="0"/>
              <w:adjustRightInd w:val="0"/>
              <w:rPr>
                <w:rFonts w:ascii="TTE179A848t00" w:hAnsi="TTE179A848t00" w:cs="TTE179A848t00"/>
                <w:sz w:val="20"/>
                <w:szCs w:val="20"/>
              </w:rPr>
            </w:pPr>
          </w:p>
          <w:p w:rsidR="007E7625" w:rsidRDefault="007E7625" w:rsidP="000A0CE1">
            <w:pPr>
              <w:pStyle w:val="ListParagraph"/>
              <w:autoSpaceDE w:val="0"/>
              <w:autoSpaceDN w:val="0"/>
              <w:adjustRightInd w:val="0"/>
              <w:rPr>
                <w:rFonts w:ascii="TTE179A848t00" w:hAnsi="TTE179A848t00" w:cs="TTE179A848t00"/>
                <w:sz w:val="20"/>
                <w:szCs w:val="20"/>
              </w:rPr>
            </w:pPr>
          </w:p>
          <w:p w:rsidR="007E7625" w:rsidRDefault="007E7625" w:rsidP="000A0CE1">
            <w:pPr>
              <w:pStyle w:val="ListParagraph"/>
              <w:autoSpaceDE w:val="0"/>
              <w:autoSpaceDN w:val="0"/>
              <w:adjustRightInd w:val="0"/>
              <w:rPr>
                <w:rFonts w:ascii="TTE179A848t00" w:hAnsi="TTE179A848t00" w:cs="TTE179A848t00"/>
                <w:sz w:val="20"/>
                <w:szCs w:val="20"/>
              </w:rPr>
            </w:pPr>
          </w:p>
          <w:p w:rsidR="007E7625" w:rsidRDefault="007E7625" w:rsidP="000A0CE1">
            <w:pPr>
              <w:pStyle w:val="ListParagraph"/>
              <w:autoSpaceDE w:val="0"/>
              <w:autoSpaceDN w:val="0"/>
              <w:adjustRightInd w:val="0"/>
              <w:rPr>
                <w:rFonts w:ascii="TTE179A848t00" w:hAnsi="TTE179A848t00" w:cs="TTE179A848t00"/>
                <w:sz w:val="20"/>
                <w:szCs w:val="20"/>
              </w:rPr>
            </w:pPr>
          </w:p>
          <w:p w:rsidR="007E7625" w:rsidRDefault="007E7625" w:rsidP="000A0CE1">
            <w:pPr>
              <w:pStyle w:val="ListParagraph"/>
              <w:autoSpaceDE w:val="0"/>
              <w:autoSpaceDN w:val="0"/>
              <w:adjustRightInd w:val="0"/>
              <w:rPr>
                <w:rFonts w:ascii="TTE179A848t00" w:hAnsi="TTE179A848t00" w:cs="TTE179A848t00"/>
                <w:sz w:val="20"/>
                <w:szCs w:val="20"/>
              </w:rPr>
            </w:pPr>
          </w:p>
          <w:p w:rsidR="007E7625" w:rsidRDefault="007E7625" w:rsidP="000A0CE1">
            <w:pPr>
              <w:pStyle w:val="ListParagraph"/>
              <w:autoSpaceDE w:val="0"/>
              <w:autoSpaceDN w:val="0"/>
              <w:adjustRightInd w:val="0"/>
              <w:rPr>
                <w:rFonts w:ascii="TTE179A848t00" w:hAnsi="TTE179A848t00" w:cs="TTE179A848t00"/>
                <w:sz w:val="20"/>
                <w:szCs w:val="20"/>
              </w:rPr>
            </w:pPr>
          </w:p>
          <w:p w:rsidR="007E7625" w:rsidRDefault="007E7625" w:rsidP="000A0CE1">
            <w:pPr>
              <w:pStyle w:val="ListParagraph"/>
              <w:autoSpaceDE w:val="0"/>
              <w:autoSpaceDN w:val="0"/>
              <w:adjustRightInd w:val="0"/>
              <w:rPr>
                <w:rFonts w:ascii="TTE179A848t00" w:hAnsi="TTE179A848t00" w:cs="TTE179A848t00"/>
                <w:sz w:val="20"/>
                <w:szCs w:val="20"/>
              </w:rPr>
            </w:pPr>
          </w:p>
          <w:p w:rsidR="00AC22DC" w:rsidRDefault="00AC22DC" w:rsidP="000A0CE1">
            <w:pPr>
              <w:pStyle w:val="ListParagraph"/>
              <w:autoSpaceDE w:val="0"/>
              <w:autoSpaceDN w:val="0"/>
              <w:adjustRightInd w:val="0"/>
              <w:rPr>
                <w:rFonts w:ascii="TTE179A848t00" w:hAnsi="TTE179A848t00" w:cs="TTE179A848t00"/>
                <w:sz w:val="20"/>
                <w:szCs w:val="20"/>
              </w:rPr>
            </w:pPr>
          </w:p>
          <w:p w:rsidR="00AC22DC" w:rsidRDefault="00AC22DC" w:rsidP="000A0CE1">
            <w:pPr>
              <w:pStyle w:val="ListParagraph"/>
              <w:autoSpaceDE w:val="0"/>
              <w:autoSpaceDN w:val="0"/>
              <w:adjustRightInd w:val="0"/>
              <w:rPr>
                <w:rFonts w:ascii="TTE179A848t00" w:hAnsi="TTE179A848t00" w:cs="TTE179A848t00"/>
                <w:sz w:val="20"/>
                <w:szCs w:val="20"/>
              </w:rPr>
            </w:pPr>
          </w:p>
          <w:p w:rsidR="00AC22DC" w:rsidRDefault="00AC22DC" w:rsidP="000A0CE1">
            <w:pPr>
              <w:pStyle w:val="ListParagraph"/>
              <w:autoSpaceDE w:val="0"/>
              <w:autoSpaceDN w:val="0"/>
              <w:adjustRightInd w:val="0"/>
              <w:rPr>
                <w:rFonts w:ascii="TTE179A848t00" w:hAnsi="TTE179A848t00" w:cs="TTE179A848t00"/>
                <w:sz w:val="20"/>
                <w:szCs w:val="20"/>
              </w:rPr>
            </w:pPr>
          </w:p>
          <w:p w:rsidR="00AC22DC" w:rsidRDefault="00AC22DC" w:rsidP="000A0CE1">
            <w:pPr>
              <w:pStyle w:val="ListParagraph"/>
              <w:autoSpaceDE w:val="0"/>
              <w:autoSpaceDN w:val="0"/>
              <w:adjustRightInd w:val="0"/>
              <w:rPr>
                <w:rFonts w:ascii="TTE179A848t00" w:hAnsi="TTE179A848t00" w:cs="TTE179A848t00"/>
                <w:sz w:val="20"/>
                <w:szCs w:val="20"/>
              </w:rPr>
            </w:pPr>
          </w:p>
          <w:p w:rsidR="00AC22DC" w:rsidRDefault="00AC22DC" w:rsidP="000A0CE1">
            <w:pPr>
              <w:pStyle w:val="ListParagraph"/>
              <w:autoSpaceDE w:val="0"/>
              <w:autoSpaceDN w:val="0"/>
              <w:adjustRightInd w:val="0"/>
              <w:rPr>
                <w:rFonts w:ascii="TTE179A848t00" w:hAnsi="TTE179A848t00" w:cs="TTE179A848t00"/>
                <w:sz w:val="20"/>
                <w:szCs w:val="20"/>
              </w:rPr>
            </w:pPr>
          </w:p>
          <w:p w:rsidR="00AC22DC" w:rsidRDefault="00AC22DC" w:rsidP="000A0CE1">
            <w:pPr>
              <w:pStyle w:val="ListParagraph"/>
              <w:autoSpaceDE w:val="0"/>
              <w:autoSpaceDN w:val="0"/>
              <w:adjustRightInd w:val="0"/>
              <w:rPr>
                <w:rFonts w:ascii="TTE179A848t00" w:hAnsi="TTE179A848t00" w:cs="TTE179A848t00"/>
                <w:sz w:val="20"/>
                <w:szCs w:val="20"/>
              </w:rPr>
            </w:pPr>
          </w:p>
          <w:p w:rsidR="00AC22DC" w:rsidRDefault="00AC22DC" w:rsidP="000A0CE1">
            <w:pPr>
              <w:pStyle w:val="ListParagraph"/>
              <w:autoSpaceDE w:val="0"/>
              <w:autoSpaceDN w:val="0"/>
              <w:adjustRightInd w:val="0"/>
              <w:rPr>
                <w:rFonts w:ascii="TTE179A848t00" w:hAnsi="TTE179A848t00" w:cs="TTE179A848t00"/>
                <w:sz w:val="20"/>
                <w:szCs w:val="20"/>
              </w:rPr>
            </w:pPr>
          </w:p>
          <w:p w:rsidR="00AC22DC" w:rsidRDefault="00AC22DC" w:rsidP="000A0CE1">
            <w:pPr>
              <w:pStyle w:val="ListParagraph"/>
              <w:autoSpaceDE w:val="0"/>
              <w:autoSpaceDN w:val="0"/>
              <w:adjustRightInd w:val="0"/>
              <w:rPr>
                <w:rFonts w:ascii="TTE179A848t00" w:hAnsi="TTE179A848t00" w:cs="TTE179A848t00"/>
                <w:sz w:val="20"/>
                <w:szCs w:val="20"/>
              </w:rPr>
            </w:pPr>
          </w:p>
          <w:p w:rsidR="00AC22DC" w:rsidRDefault="00AC22DC" w:rsidP="000A0CE1">
            <w:pPr>
              <w:pStyle w:val="ListParagraph"/>
              <w:autoSpaceDE w:val="0"/>
              <w:autoSpaceDN w:val="0"/>
              <w:adjustRightInd w:val="0"/>
              <w:rPr>
                <w:rFonts w:ascii="TTE179A848t00" w:hAnsi="TTE179A848t00" w:cs="TTE179A848t00"/>
                <w:sz w:val="20"/>
                <w:szCs w:val="20"/>
              </w:rPr>
            </w:pPr>
          </w:p>
          <w:p w:rsidR="00AC22DC" w:rsidRDefault="00AC22DC" w:rsidP="000A0CE1">
            <w:pPr>
              <w:pStyle w:val="ListParagraph"/>
              <w:autoSpaceDE w:val="0"/>
              <w:autoSpaceDN w:val="0"/>
              <w:adjustRightInd w:val="0"/>
              <w:rPr>
                <w:rFonts w:ascii="TTE179A848t00" w:hAnsi="TTE179A848t00" w:cs="TTE179A848t00"/>
                <w:sz w:val="20"/>
                <w:szCs w:val="20"/>
              </w:rPr>
            </w:pPr>
          </w:p>
          <w:p w:rsidR="007E7625" w:rsidRPr="006E3402" w:rsidRDefault="007E7625" w:rsidP="000A0CE1">
            <w:pPr>
              <w:rPr>
                <w:rFonts w:ascii="TTE179A848t00" w:hAnsi="TTE179A848t00" w:cs="TTE179A848t00"/>
                <w:sz w:val="20"/>
                <w:szCs w:val="20"/>
              </w:rPr>
            </w:pPr>
          </w:p>
        </w:tc>
      </w:tr>
      <w:tr w:rsidR="007E7625" w:rsidTr="000A0CE1">
        <w:tc>
          <w:tcPr>
            <w:tcW w:w="9242" w:type="dxa"/>
            <w:shd w:val="clear" w:color="auto" w:fill="000000" w:themeFill="text1"/>
          </w:tcPr>
          <w:p w:rsidR="007E7625" w:rsidRDefault="007E7625" w:rsidP="000A0CE1">
            <w:pPr>
              <w:autoSpaceDE w:val="0"/>
              <w:autoSpaceDN w:val="0"/>
              <w:adjustRightInd w:val="0"/>
              <w:rPr>
                <w:rFonts w:ascii="TTE179A848t00" w:hAnsi="TTE179A848t00" w:cs="TTE179A848t00"/>
                <w:sz w:val="20"/>
                <w:szCs w:val="20"/>
              </w:rPr>
            </w:pPr>
            <w:r>
              <w:rPr>
                <w:rFonts w:ascii="TTE179A848t00" w:hAnsi="TTE179A848t00" w:cs="TTE179A848t00"/>
                <w:sz w:val="20"/>
                <w:szCs w:val="20"/>
              </w:rPr>
              <w:lastRenderedPageBreak/>
              <w:t xml:space="preserve">    </w:t>
            </w:r>
          </w:p>
          <w:p w:rsidR="007E7625" w:rsidRDefault="007E7625" w:rsidP="000A0CE1">
            <w:pPr>
              <w:autoSpaceDE w:val="0"/>
              <w:autoSpaceDN w:val="0"/>
              <w:adjustRightInd w:val="0"/>
              <w:rPr>
                <w:rFonts w:ascii="TTE179A848t00" w:hAnsi="TTE179A848t00" w:cs="TTE179A848t00"/>
                <w:sz w:val="20"/>
                <w:szCs w:val="20"/>
              </w:rPr>
            </w:pPr>
          </w:p>
          <w:p w:rsidR="007E7625" w:rsidRPr="00BD5399" w:rsidRDefault="007E7625" w:rsidP="000A0CE1">
            <w:pPr>
              <w:autoSpaceDE w:val="0"/>
              <w:autoSpaceDN w:val="0"/>
              <w:adjustRightInd w:val="0"/>
              <w:jc w:val="center"/>
              <w:rPr>
                <w:rFonts w:cs="Arial"/>
                <w:sz w:val="52"/>
                <w:szCs w:val="52"/>
              </w:rPr>
            </w:pPr>
            <w:r>
              <w:rPr>
                <w:rFonts w:cs="Arial"/>
                <w:sz w:val="52"/>
                <w:szCs w:val="52"/>
              </w:rPr>
              <w:t>Contract Data</w:t>
            </w:r>
          </w:p>
        </w:tc>
      </w:tr>
      <w:tr w:rsidR="007E7625" w:rsidTr="000A0CE1">
        <w:tc>
          <w:tcPr>
            <w:tcW w:w="9242" w:type="dxa"/>
          </w:tcPr>
          <w:p w:rsidR="007E7625" w:rsidRDefault="007E7625" w:rsidP="000A0CE1">
            <w:pPr>
              <w:autoSpaceDE w:val="0"/>
              <w:autoSpaceDN w:val="0"/>
              <w:adjustRightInd w:val="0"/>
              <w:rPr>
                <w:rFonts w:ascii="TTE179A848t00" w:hAnsi="TTE179A848t00" w:cs="TTE179A848t00"/>
                <w:sz w:val="20"/>
                <w:szCs w:val="20"/>
              </w:rPr>
            </w:pPr>
          </w:p>
          <w:p w:rsidR="007E7625" w:rsidRPr="00F35252" w:rsidRDefault="007E7625" w:rsidP="000A0CE1">
            <w:pPr>
              <w:pStyle w:val="ListParagraph"/>
              <w:rPr>
                <w:rFonts w:ascii="TTE179A848t00" w:hAnsi="TTE179A848t00" w:cs="TTE179A848t00"/>
                <w:sz w:val="20"/>
                <w:szCs w:val="20"/>
              </w:rPr>
            </w:pPr>
          </w:p>
          <w:p w:rsidR="007E7625" w:rsidRDefault="007E7625" w:rsidP="000A0CE1">
            <w:pPr>
              <w:autoSpaceDE w:val="0"/>
              <w:autoSpaceDN w:val="0"/>
              <w:adjustRightInd w:val="0"/>
              <w:rPr>
                <w:rFonts w:ascii="TTE179A848t00" w:hAnsi="TTE179A848t00" w:cs="TTE179A848t00"/>
                <w:sz w:val="20"/>
                <w:szCs w:val="20"/>
              </w:rPr>
            </w:pPr>
            <w:r>
              <w:rPr>
                <w:rFonts w:ascii="TTE179A848t00" w:hAnsi="TTE179A848t00" w:cs="TTE179A848t00"/>
                <w:sz w:val="20"/>
                <w:szCs w:val="20"/>
              </w:rPr>
              <w:t xml:space="preserve">8. </w:t>
            </w:r>
            <w:r w:rsidRPr="00F35252">
              <w:rPr>
                <w:rFonts w:ascii="TTE179A848t00" w:hAnsi="TTE179A848t00" w:cs="TTE179A848t00"/>
                <w:b/>
                <w:sz w:val="20"/>
                <w:szCs w:val="20"/>
              </w:rPr>
              <w:t>Indemnity, Insurance and Liability</w:t>
            </w:r>
          </w:p>
          <w:p w:rsidR="007E7625" w:rsidRDefault="007E7625" w:rsidP="000A0CE1">
            <w:pPr>
              <w:autoSpaceDE w:val="0"/>
              <w:autoSpaceDN w:val="0"/>
              <w:adjustRightInd w:val="0"/>
              <w:rPr>
                <w:rFonts w:ascii="TTE179A848t00" w:hAnsi="TTE179A848t00" w:cs="TTE179A848t00"/>
                <w:sz w:val="20"/>
                <w:szCs w:val="20"/>
              </w:rPr>
            </w:pPr>
          </w:p>
          <w:p w:rsidR="007E7625" w:rsidRDefault="007E7625" w:rsidP="000A0CE1">
            <w:pPr>
              <w:autoSpaceDE w:val="0"/>
              <w:autoSpaceDN w:val="0"/>
              <w:adjustRightInd w:val="0"/>
              <w:rPr>
                <w:rFonts w:ascii="TTE179A848t00" w:hAnsi="TTE179A848t00" w:cs="TTE179A848t00"/>
                <w:sz w:val="20"/>
                <w:szCs w:val="20"/>
              </w:rPr>
            </w:pPr>
          </w:p>
          <w:p w:rsidR="007E7625" w:rsidRDefault="007E7625" w:rsidP="000A0CE1">
            <w:pPr>
              <w:autoSpaceDE w:val="0"/>
              <w:autoSpaceDN w:val="0"/>
              <w:adjustRightInd w:val="0"/>
              <w:rPr>
                <w:rFonts w:ascii="TTE179A848t00" w:hAnsi="TTE179A848t00" w:cs="TTE179A848t00"/>
                <w:sz w:val="20"/>
                <w:szCs w:val="20"/>
              </w:rPr>
            </w:pPr>
            <w:r>
              <w:rPr>
                <w:rFonts w:ascii="TTE179A848t00" w:hAnsi="TTE179A848t00" w:cs="TTE179A848t00"/>
                <w:sz w:val="20"/>
                <w:szCs w:val="20"/>
              </w:rPr>
              <w:t>The consultant is to provide the following insurances:</w:t>
            </w:r>
          </w:p>
          <w:p w:rsidR="007E7625" w:rsidRDefault="007E7625" w:rsidP="000A0CE1">
            <w:pPr>
              <w:autoSpaceDE w:val="0"/>
              <w:autoSpaceDN w:val="0"/>
              <w:adjustRightInd w:val="0"/>
              <w:rPr>
                <w:rFonts w:ascii="TTE179A848t00" w:hAnsi="TTE179A848t00" w:cs="TTE179A848t00"/>
                <w:sz w:val="20"/>
                <w:szCs w:val="20"/>
              </w:rPr>
            </w:pPr>
          </w:p>
          <w:p w:rsidR="007E7625" w:rsidRDefault="007E7625" w:rsidP="000A0CE1">
            <w:pPr>
              <w:autoSpaceDE w:val="0"/>
              <w:autoSpaceDN w:val="0"/>
              <w:adjustRightInd w:val="0"/>
              <w:rPr>
                <w:rFonts w:ascii="TTE179A848t00" w:hAnsi="TTE179A848t00" w:cs="TTE179A848t00"/>
                <w:sz w:val="20"/>
                <w:szCs w:val="20"/>
              </w:rPr>
            </w:pPr>
          </w:p>
          <w:tbl>
            <w:tblPr>
              <w:tblStyle w:val="TableGrid"/>
              <w:tblW w:w="0" w:type="auto"/>
              <w:tblLook w:val="04A0" w:firstRow="1" w:lastRow="0" w:firstColumn="1" w:lastColumn="0" w:noHBand="0" w:noVBand="1"/>
            </w:tblPr>
            <w:tblGrid>
              <w:gridCol w:w="3003"/>
              <w:gridCol w:w="3004"/>
              <w:gridCol w:w="3004"/>
            </w:tblGrid>
            <w:tr w:rsidR="007E7625" w:rsidTr="000A0CE1">
              <w:tc>
                <w:tcPr>
                  <w:tcW w:w="3003" w:type="dxa"/>
                </w:tcPr>
                <w:p w:rsidR="007E7625" w:rsidRPr="00BD5399" w:rsidRDefault="007E7625" w:rsidP="000A0CE1">
                  <w:pPr>
                    <w:autoSpaceDE w:val="0"/>
                    <w:autoSpaceDN w:val="0"/>
                    <w:adjustRightInd w:val="0"/>
                    <w:rPr>
                      <w:rFonts w:cs="Arial"/>
                      <w:b/>
                    </w:rPr>
                  </w:pPr>
                </w:p>
                <w:p w:rsidR="007E7625" w:rsidRPr="00BD5399" w:rsidRDefault="007E7625" w:rsidP="000A0CE1">
                  <w:pPr>
                    <w:autoSpaceDE w:val="0"/>
                    <w:autoSpaceDN w:val="0"/>
                    <w:adjustRightInd w:val="0"/>
                    <w:rPr>
                      <w:rFonts w:cs="Arial"/>
                      <w:b/>
                    </w:rPr>
                  </w:pPr>
                  <w:r w:rsidRPr="00BD5399">
                    <w:rPr>
                      <w:rFonts w:cs="Arial"/>
                      <w:b/>
                    </w:rPr>
                    <w:lastRenderedPageBreak/>
                    <w:t xml:space="preserve">Insurance against </w:t>
                  </w:r>
                </w:p>
                <w:p w:rsidR="007E7625" w:rsidRPr="00BD5399" w:rsidRDefault="007E7625" w:rsidP="000A0CE1">
                  <w:pPr>
                    <w:autoSpaceDE w:val="0"/>
                    <w:autoSpaceDN w:val="0"/>
                    <w:adjustRightInd w:val="0"/>
                    <w:rPr>
                      <w:rFonts w:cs="Arial"/>
                      <w:b/>
                    </w:rPr>
                  </w:pPr>
                </w:p>
              </w:tc>
              <w:tc>
                <w:tcPr>
                  <w:tcW w:w="3004" w:type="dxa"/>
                </w:tcPr>
                <w:p w:rsidR="007E7625" w:rsidRPr="00BD5399" w:rsidRDefault="007E7625" w:rsidP="000A0CE1">
                  <w:pPr>
                    <w:autoSpaceDE w:val="0"/>
                    <w:autoSpaceDN w:val="0"/>
                    <w:adjustRightInd w:val="0"/>
                    <w:rPr>
                      <w:rFonts w:cs="Arial"/>
                      <w:b/>
                    </w:rPr>
                  </w:pPr>
                </w:p>
                <w:p w:rsidR="007E7625" w:rsidRPr="00BD5399" w:rsidRDefault="007E7625" w:rsidP="000A0CE1">
                  <w:pPr>
                    <w:autoSpaceDE w:val="0"/>
                    <w:autoSpaceDN w:val="0"/>
                    <w:adjustRightInd w:val="0"/>
                    <w:rPr>
                      <w:rFonts w:cs="Arial"/>
                      <w:b/>
                    </w:rPr>
                  </w:pPr>
                  <w:r w:rsidRPr="00BD5399">
                    <w:rPr>
                      <w:rFonts w:cs="Arial"/>
                      <w:b/>
                    </w:rPr>
                    <w:lastRenderedPageBreak/>
                    <w:t>Minimum amount of</w:t>
                  </w:r>
                </w:p>
                <w:p w:rsidR="007E7625" w:rsidRPr="00BD5399" w:rsidRDefault="007E7625" w:rsidP="000A0CE1">
                  <w:pPr>
                    <w:autoSpaceDE w:val="0"/>
                    <w:autoSpaceDN w:val="0"/>
                    <w:adjustRightInd w:val="0"/>
                    <w:rPr>
                      <w:rFonts w:cs="Arial"/>
                      <w:b/>
                    </w:rPr>
                  </w:pPr>
                  <w:r w:rsidRPr="00BD5399">
                    <w:rPr>
                      <w:rFonts w:cs="Arial"/>
                      <w:b/>
                    </w:rPr>
                    <w:t>cover</w:t>
                  </w:r>
                </w:p>
                <w:p w:rsidR="007E7625" w:rsidRPr="00BD5399" w:rsidRDefault="007E7625" w:rsidP="000A0CE1">
                  <w:pPr>
                    <w:autoSpaceDE w:val="0"/>
                    <w:autoSpaceDN w:val="0"/>
                    <w:adjustRightInd w:val="0"/>
                    <w:rPr>
                      <w:rFonts w:cs="Arial"/>
                      <w:b/>
                    </w:rPr>
                  </w:pPr>
                </w:p>
              </w:tc>
              <w:tc>
                <w:tcPr>
                  <w:tcW w:w="3004" w:type="dxa"/>
                </w:tcPr>
                <w:p w:rsidR="007E7625" w:rsidRPr="00BD5399" w:rsidRDefault="007E7625" w:rsidP="000A0CE1">
                  <w:pPr>
                    <w:autoSpaceDE w:val="0"/>
                    <w:autoSpaceDN w:val="0"/>
                    <w:adjustRightInd w:val="0"/>
                    <w:rPr>
                      <w:rFonts w:cs="Arial"/>
                      <w:b/>
                    </w:rPr>
                  </w:pPr>
                </w:p>
                <w:p w:rsidR="007E7625" w:rsidRPr="00BD5399" w:rsidRDefault="007E7625" w:rsidP="000A0CE1">
                  <w:pPr>
                    <w:autoSpaceDE w:val="0"/>
                    <w:autoSpaceDN w:val="0"/>
                    <w:adjustRightInd w:val="0"/>
                    <w:rPr>
                      <w:rFonts w:cs="Arial"/>
                      <w:b/>
                    </w:rPr>
                  </w:pPr>
                  <w:r w:rsidRPr="00BD5399">
                    <w:rPr>
                      <w:rFonts w:cs="Arial"/>
                      <w:b/>
                    </w:rPr>
                    <w:lastRenderedPageBreak/>
                    <w:t>Period following</w:t>
                  </w:r>
                </w:p>
                <w:p w:rsidR="007E7625" w:rsidRPr="00BD5399" w:rsidRDefault="007E7625" w:rsidP="000A0CE1">
                  <w:pPr>
                    <w:autoSpaceDE w:val="0"/>
                    <w:autoSpaceDN w:val="0"/>
                    <w:adjustRightInd w:val="0"/>
                    <w:rPr>
                      <w:rFonts w:cs="Arial"/>
                      <w:b/>
                    </w:rPr>
                  </w:pPr>
                  <w:r w:rsidRPr="00BD5399">
                    <w:rPr>
                      <w:rFonts w:cs="Arial"/>
                      <w:b/>
                    </w:rPr>
                    <w:t>Completion or earlier</w:t>
                  </w:r>
                </w:p>
                <w:p w:rsidR="007E7625" w:rsidRPr="00BD5399" w:rsidRDefault="007E7625" w:rsidP="000A0CE1">
                  <w:pPr>
                    <w:autoSpaceDE w:val="0"/>
                    <w:autoSpaceDN w:val="0"/>
                    <w:adjustRightInd w:val="0"/>
                    <w:rPr>
                      <w:rFonts w:cs="Arial"/>
                      <w:b/>
                    </w:rPr>
                  </w:pPr>
                  <w:r w:rsidRPr="00BD5399">
                    <w:rPr>
                      <w:rFonts w:cs="Arial"/>
                      <w:b/>
                    </w:rPr>
                    <w:t>Termination</w:t>
                  </w:r>
                </w:p>
              </w:tc>
            </w:tr>
            <w:tr w:rsidR="007E7625" w:rsidTr="000A0CE1">
              <w:tc>
                <w:tcPr>
                  <w:tcW w:w="3003" w:type="dxa"/>
                </w:tcPr>
                <w:p w:rsidR="007E7625" w:rsidRDefault="007E7625" w:rsidP="000A0CE1">
                  <w:pPr>
                    <w:autoSpaceDE w:val="0"/>
                    <w:autoSpaceDN w:val="0"/>
                    <w:adjustRightInd w:val="0"/>
                    <w:rPr>
                      <w:rFonts w:ascii="TTE179A848t00" w:hAnsi="TTE179A848t00" w:cs="TTE179A848t00"/>
                      <w:sz w:val="20"/>
                      <w:szCs w:val="20"/>
                    </w:rPr>
                  </w:pPr>
                </w:p>
                <w:p w:rsidR="007E7625" w:rsidRPr="00DA5346" w:rsidRDefault="007E7625" w:rsidP="000A0CE1">
                  <w:pPr>
                    <w:autoSpaceDE w:val="0"/>
                    <w:autoSpaceDN w:val="0"/>
                    <w:adjustRightInd w:val="0"/>
                    <w:rPr>
                      <w:rFonts w:ascii="TTE179A848t00" w:hAnsi="TTE179A848t00" w:cs="TTE179A848t00"/>
                      <w:sz w:val="20"/>
                      <w:szCs w:val="20"/>
                    </w:rPr>
                  </w:pPr>
                  <w:r w:rsidRPr="00DA5346">
                    <w:rPr>
                      <w:rFonts w:ascii="TTE179A848t00" w:hAnsi="TTE179A848t00" w:cs="TTE179A848t00"/>
                      <w:sz w:val="20"/>
                      <w:szCs w:val="20"/>
                    </w:rPr>
                    <w:t>Failure of the Consultant</w:t>
                  </w:r>
                </w:p>
                <w:p w:rsidR="007E7625" w:rsidRPr="00DA5346" w:rsidRDefault="007E7625" w:rsidP="000A0CE1">
                  <w:pPr>
                    <w:autoSpaceDE w:val="0"/>
                    <w:autoSpaceDN w:val="0"/>
                    <w:adjustRightInd w:val="0"/>
                    <w:rPr>
                      <w:rFonts w:ascii="TTE179A848t00" w:hAnsi="TTE179A848t00" w:cs="TTE179A848t00"/>
                      <w:sz w:val="20"/>
                      <w:szCs w:val="20"/>
                    </w:rPr>
                  </w:pPr>
                  <w:r w:rsidRPr="00DA5346">
                    <w:rPr>
                      <w:rFonts w:ascii="TTE179A848t00" w:hAnsi="TTE179A848t00" w:cs="TTE179A848t00"/>
                      <w:sz w:val="20"/>
                      <w:szCs w:val="20"/>
                    </w:rPr>
                    <w:t>to use the skill and care</w:t>
                  </w:r>
                </w:p>
                <w:p w:rsidR="007E7625" w:rsidRPr="00DA5346" w:rsidRDefault="007E7625" w:rsidP="000A0CE1">
                  <w:pPr>
                    <w:autoSpaceDE w:val="0"/>
                    <w:autoSpaceDN w:val="0"/>
                    <w:adjustRightInd w:val="0"/>
                    <w:rPr>
                      <w:rFonts w:ascii="TTE179A848t00" w:hAnsi="TTE179A848t00" w:cs="TTE179A848t00"/>
                      <w:sz w:val="20"/>
                      <w:szCs w:val="20"/>
                    </w:rPr>
                  </w:pPr>
                  <w:r w:rsidRPr="00DA5346">
                    <w:rPr>
                      <w:rFonts w:ascii="TTE179A848t00" w:hAnsi="TTE179A848t00" w:cs="TTE179A848t00"/>
                      <w:sz w:val="20"/>
                      <w:szCs w:val="20"/>
                    </w:rPr>
                    <w:t>normally used by</w:t>
                  </w:r>
                </w:p>
                <w:p w:rsidR="007E7625" w:rsidRPr="00DA5346" w:rsidRDefault="007E7625" w:rsidP="000A0CE1">
                  <w:pPr>
                    <w:autoSpaceDE w:val="0"/>
                    <w:autoSpaceDN w:val="0"/>
                    <w:adjustRightInd w:val="0"/>
                    <w:rPr>
                      <w:rFonts w:ascii="TTE179A848t00" w:hAnsi="TTE179A848t00" w:cs="TTE179A848t00"/>
                      <w:sz w:val="20"/>
                      <w:szCs w:val="20"/>
                    </w:rPr>
                  </w:pPr>
                  <w:r w:rsidRPr="00DA5346">
                    <w:rPr>
                      <w:rFonts w:ascii="TTE179A848t00" w:hAnsi="TTE179A848t00" w:cs="TTE179A848t00"/>
                      <w:sz w:val="20"/>
                      <w:szCs w:val="20"/>
                    </w:rPr>
                    <w:t>professionals providing</w:t>
                  </w:r>
                </w:p>
                <w:p w:rsidR="007E7625" w:rsidRPr="00DA5346" w:rsidRDefault="007E7625" w:rsidP="000A0CE1">
                  <w:pPr>
                    <w:autoSpaceDE w:val="0"/>
                    <w:autoSpaceDN w:val="0"/>
                    <w:adjustRightInd w:val="0"/>
                    <w:rPr>
                      <w:rFonts w:ascii="TTE179A848t00" w:hAnsi="TTE179A848t00" w:cs="TTE179A848t00"/>
                      <w:sz w:val="20"/>
                      <w:szCs w:val="20"/>
                    </w:rPr>
                  </w:pPr>
                  <w:r w:rsidRPr="00DA5346">
                    <w:rPr>
                      <w:rFonts w:ascii="TTE179A848t00" w:hAnsi="TTE179A848t00" w:cs="TTE179A848t00"/>
                      <w:sz w:val="20"/>
                      <w:szCs w:val="20"/>
                    </w:rPr>
                    <w:t>services similar to the</w:t>
                  </w:r>
                </w:p>
                <w:p w:rsidR="007E7625" w:rsidRDefault="007E7625" w:rsidP="000A0CE1">
                  <w:pPr>
                    <w:autoSpaceDE w:val="0"/>
                    <w:autoSpaceDN w:val="0"/>
                    <w:adjustRightInd w:val="0"/>
                    <w:rPr>
                      <w:rFonts w:ascii="TTE179A848t00" w:hAnsi="TTE179A848t00" w:cs="TTE179A848t00"/>
                      <w:sz w:val="20"/>
                      <w:szCs w:val="20"/>
                    </w:rPr>
                  </w:pPr>
                  <w:r w:rsidRPr="00DA5346">
                    <w:rPr>
                      <w:rFonts w:ascii="TTE179A848t00" w:hAnsi="TTE179A848t00" w:cs="TTE179A848t00"/>
                      <w:sz w:val="20"/>
                      <w:szCs w:val="20"/>
                    </w:rPr>
                    <w:t>services</w:t>
                  </w:r>
                </w:p>
                <w:p w:rsidR="007E7625" w:rsidRDefault="007E7625" w:rsidP="000A0CE1">
                  <w:pPr>
                    <w:autoSpaceDE w:val="0"/>
                    <w:autoSpaceDN w:val="0"/>
                    <w:adjustRightInd w:val="0"/>
                    <w:rPr>
                      <w:rFonts w:ascii="TTE179A848t00" w:hAnsi="TTE179A848t00" w:cs="TTE179A848t00"/>
                      <w:sz w:val="20"/>
                      <w:szCs w:val="20"/>
                    </w:rPr>
                  </w:pPr>
                </w:p>
                <w:p w:rsidR="007E7625" w:rsidRDefault="007E7625" w:rsidP="000A0CE1">
                  <w:pPr>
                    <w:autoSpaceDE w:val="0"/>
                    <w:autoSpaceDN w:val="0"/>
                    <w:adjustRightInd w:val="0"/>
                    <w:rPr>
                      <w:rFonts w:ascii="TTE179A848t00" w:hAnsi="TTE179A848t00" w:cs="TTE179A848t00"/>
                      <w:sz w:val="20"/>
                      <w:szCs w:val="20"/>
                    </w:rPr>
                  </w:pPr>
                </w:p>
              </w:tc>
              <w:tc>
                <w:tcPr>
                  <w:tcW w:w="3004" w:type="dxa"/>
                </w:tcPr>
                <w:p w:rsidR="007E7625" w:rsidRDefault="007E7625" w:rsidP="000A0CE1">
                  <w:pPr>
                    <w:autoSpaceDE w:val="0"/>
                    <w:autoSpaceDN w:val="0"/>
                    <w:adjustRightInd w:val="0"/>
                    <w:rPr>
                      <w:rFonts w:ascii="TTE179A848t00" w:hAnsi="TTE179A848t00" w:cs="TTE179A848t00"/>
                      <w:sz w:val="20"/>
                      <w:szCs w:val="20"/>
                    </w:rPr>
                  </w:pPr>
                </w:p>
                <w:p w:rsidR="007E7625" w:rsidRPr="00DA5346" w:rsidRDefault="007E7625" w:rsidP="000A0CE1">
                  <w:pPr>
                    <w:autoSpaceDE w:val="0"/>
                    <w:autoSpaceDN w:val="0"/>
                    <w:adjustRightInd w:val="0"/>
                    <w:rPr>
                      <w:rFonts w:ascii="TTE179A848t00" w:hAnsi="TTE179A848t00" w:cs="TTE179A848t00"/>
                      <w:sz w:val="20"/>
                      <w:szCs w:val="20"/>
                    </w:rPr>
                  </w:pPr>
                  <w:r>
                    <w:rPr>
                      <w:rFonts w:ascii="TTE179A848t00" w:hAnsi="TTE179A848t00" w:cs="TTE179A848t00"/>
                      <w:sz w:val="20"/>
                      <w:szCs w:val="20"/>
                    </w:rPr>
                    <w:t xml:space="preserve">£5,000,000 </w:t>
                  </w:r>
                </w:p>
                <w:p w:rsidR="007E7625" w:rsidRPr="00DA5346" w:rsidRDefault="007E7625" w:rsidP="000A0CE1">
                  <w:pPr>
                    <w:autoSpaceDE w:val="0"/>
                    <w:autoSpaceDN w:val="0"/>
                    <w:adjustRightInd w:val="0"/>
                    <w:rPr>
                      <w:rFonts w:ascii="TTE179A848t00" w:hAnsi="TTE179A848t00" w:cs="TTE179A848t00"/>
                      <w:sz w:val="20"/>
                      <w:szCs w:val="20"/>
                    </w:rPr>
                  </w:pPr>
                  <w:r w:rsidRPr="00DA5346">
                    <w:rPr>
                      <w:rFonts w:ascii="TTE179A848t00" w:hAnsi="TTE179A848t00" w:cs="TTE179A848t00"/>
                      <w:sz w:val="20"/>
                      <w:szCs w:val="20"/>
                    </w:rPr>
                    <w:t>in respect of each claim,</w:t>
                  </w:r>
                </w:p>
                <w:p w:rsidR="007E7625" w:rsidRPr="00DA5346" w:rsidRDefault="007E7625" w:rsidP="000A0CE1">
                  <w:pPr>
                    <w:autoSpaceDE w:val="0"/>
                    <w:autoSpaceDN w:val="0"/>
                    <w:adjustRightInd w:val="0"/>
                    <w:rPr>
                      <w:rFonts w:ascii="TTE179A848t00" w:hAnsi="TTE179A848t00" w:cs="TTE179A848t00"/>
                      <w:i/>
                      <w:iCs/>
                      <w:sz w:val="20"/>
                      <w:szCs w:val="20"/>
                    </w:rPr>
                  </w:pPr>
                  <w:r w:rsidRPr="00DA5346">
                    <w:rPr>
                      <w:rFonts w:ascii="TTE179A848t00" w:hAnsi="TTE179A848t00" w:cs="TTE179A848t00"/>
                      <w:i/>
                      <w:iCs/>
                      <w:sz w:val="20"/>
                      <w:szCs w:val="20"/>
                    </w:rPr>
                    <w:t>or series of claims</w:t>
                  </w:r>
                </w:p>
                <w:p w:rsidR="007E7625" w:rsidRPr="00DA5346" w:rsidRDefault="007E7625" w:rsidP="000A0CE1">
                  <w:pPr>
                    <w:autoSpaceDE w:val="0"/>
                    <w:autoSpaceDN w:val="0"/>
                    <w:adjustRightInd w:val="0"/>
                    <w:rPr>
                      <w:rFonts w:ascii="TTE179A848t00" w:hAnsi="TTE179A848t00" w:cs="TTE179A848t00"/>
                      <w:i/>
                      <w:iCs/>
                      <w:sz w:val="20"/>
                      <w:szCs w:val="20"/>
                    </w:rPr>
                  </w:pPr>
                  <w:r w:rsidRPr="00DA5346">
                    <w:rPr>
                      <w:rFonts w:ascii="TTE179A848t00" w:hAnsi="TTE179A848t00" w:cs="TTE179A848t00"/>
                      <w:i/>
                      <w:iCs/>
                      <w:sz w:val="20"/>
                      <w:szCs w:val="20"/>
                    </w:rPr>
                    <w:t>arising from the same</w:t>
                  </w:r>
                </w:p>
                <w:p w:rsidR="007E7625" w:rsidRDefault="007E7625" w:rsidP="000A0CE1">
                  <w:pPr>
                    <w:autoSpaceDE w:val="0"/>
                    <w:autoSpaceDN w:val="0"/>
                    <w:adjustRightInd w:val="0"/>
                    <w:rPr>
                      <w:rFonts w:ascii="TTE179A848t00" w:hAnsi="TTE179A848t00" w:cs="TTE179A848t00"/>
                      <w:sz w:val="20"/>
                      <w:szCs w:val="20"/>
                    </w:rPr>
                  </w:pPr>
                  <w:r w:rsidRPr="00DA5346">
                    <w:rPr>
                      <w:rFonts w:ascii="TTE179A848t00" w:hAnsi="TTE179A848t00" w:cs="TTE179A848t00"/>
                      <w:i/>
                      <w:iCs/>
                      <w:sz w:val="20"/>
                      <w:szCs w:val="20"/>
                    </w:rPr>
                    <w:t>originating cause</w:t>
                  </w:r>
                </w:p>
              </w:tc>
              <w:tc>
                <w:tcPr>
                  <w:tcW w:w="3004" w:type="dxa"/>
                </w:tcPr>
                <w:p w:rsidR="007E7625" w:rsidRDefault="007E7625" w:rsidP="000A0CE1">
                  <w:pPr>
                    <w:autoSpaceDE w:val="0"/>
                    <w:autoSpaceDN w:val="0"/>
                    <w:adjustRightInd w:val="0"/>
                    <w:rPr>
                      <w:rFonts w:ascii="TTE179A848t00" w:hAnsi="TTE179A848t00" w:cs="TTE179A848t00"/>
                      <w:sz w:val="20"/>
                      <w:szCs w:val="20"/>
                    </w:rPr>
                  </w:pPr>
                </w:p>
                <w:p w:rsidR="007E7625" w:rsidRDefault="007E7625" w:rsidP="000A0CE1">
                  <w:pPr>
                    <w:autoSpaceDE w:val="0"/>
                    <w:autoSpaceDN w:val="0"/>
                    <w:adjustRightInd w:val="0"/>
                    <w:rPr>
                      <w:rFonts w:ascii="TTE179A848t00" w:hAnsi="TTE179A848t00" w:cs="TTE179A848t00"/>
                      <w:sz w:val="20"/>
                      <w:szCs w:val="20"/>
                    </w:rPr>
                  </w:pPr>
                  <w:r>
                    <w:rPr>
                      <w:rFonts w:ascii="TTE179A848t00" w:hAnsi="TTE179A848t00" w:cs="TTE179A848t00"/>
                      <w:sz w:val="20"/>
                      <w:szCs w:val="20"/>
                    </w:rPr>
                    <w:t>6 years</w:t>
                  </w:r>
                </w:p>
              </w:tc>
            </w:tr>
            <w:tr w:rsidR="007E7625" w:rsidTr="000A0CE1">
              <w:tc>
                <w:tcPr>
                  <w:tcW w:w="3003" w:type="dxa"/>
                </w:tcPr>
                <w:p w:rsidR="007E7625" w:rsidRDefault="007E7625" w:rsidP="000A0CE1">
                  <w:pPr>
                    <w:autoSpaceDE w:val="0"/>
                    <w:autoSpaceDN w:val="0"/>
                    <w:adjustRightInd w:val="0"/>
                    <w:rPr>
                      <w:rFonts w:ascii="TTE179A848t00" w:hAnsi="TTE179A848t00" w:cs="TTE179A848t00"/>
                      <w:sz w:val="20"/>
                      <w:szCs w:val="20"/>
                    </w:rPr>
                  </w:pPr>
                </w:p>
                <w:p w:rsidR="007E7625" w:rsidRPr="00DA5346" w:rsidRDefault="007E7625" w:rsidP="000A0CE1">
                  <w:pPr>
                    <w:autoSpaceDE w:val="0"/>
                    <w:autoSpaceDN w:val="0"/>
                    <w:adjustRightInd w:val="0"/>
                    <w:rPr>
                      <w:rFonts w:ascii="TTE179A848t00" w:hAnsi="TTE179A848t00" w:cs="TTE179A848t00"/>
                      <w:sz w:val="20"/>
                      <w:szCs w:val="20"/>
                    </w:rPr>
                  </w:pPr>
                  <w:r w:rsidRPr="00DA5346">
                    <w:rPr>
                      <w:rFonts w:ascii="TTE179A848t00" w:hAnsi="TTE179A848t00" w:cs="TTE179A848t00"/>
                      <w:sz w:val="20"/>
                      <w:szCs w:val="20"/>
                    </w:rPr>
                    <w:t>Death of or bodily injury</w:t>
                  </w:r>
                </w:p>
                <w:p w:rsidR="007E7625" w:rsidRPr="00DA5346" w:rsidRDefault="007E7625" w:rsidP="000A0CE1">
                  <w:pPr>
                    <w:autoSpaceDE w:val="0"/>
                    <w:autoSpaceDN w:val="0"/>
                    <w:adjustRightInd w:val="0"/>
                    <w:rPr>
                      <w:rFonts w:ascii="TTE179A848t00" w:hAnsi="TTE179A848t00" w:cs="TTE179A848t00"/>
                      <w:sz w:val="20"/>
                      <w:szCs w:val="20"/>
                    </w:rPr>
                  </w:pPr>
                  <w:r w:rsidRPr="00DA5346">
                    <w:rPr>
                      <w:rFonts w:ascii="TTE179A848t00" w:hAnsi="TTE179A848t00" w:cs="TTE179A848t00"/>
                      <w:sz w:val="20"/>
                      <w:szCs w:val="20"/>
                    </w:rPr>
                    <w:t>to a person (not an</w:t>
                  </w:r>
                </w:p>
                <w:p w:rsidR="007E7625" w:rsidRPr="00DA5346" w:rsidRDefault="007E7625" w:rsidP="000A0CE1">
                  <w:pPr>
                    <w:autoSpaceDE w:val="0"/>
                    <w:autoSpaceDN w:val="0"/>
                    <w:adjustRightInd w:val="0"/>
                    <w:rPr>
                      <w:rFonts w:ascii="TTE179A848t00" w:hAnsi="TTE179A848t00" w:cs="TTE179A848t00"/>
                      <w:sz w:val="20"/>
                      <w:szCs w:val="20"/>
                    </w:rPr>
                  </w:pPr>
                  <w:r w:rsidRPr="00DA5346">
                    <w:rPr>
                      <w:rFonts w:ascii="TTE179A848t00" w:hAnsi="TTE179A848t00" w:cs="TTE179A848t00"/>
                      <w:sz w:val="20"/>
                      <w:szCs w:val="20"/>
                    </w:rPr>
                    <w:t>employee of the</w:t>
                  </w:r>
                </w:p>
                <w:p w:rsidR="007E7625" w:rsidRPr="00DA5346" w:rsidRDefault="007E7625" w:rsidP="000A0CE1">
                  <w:pPr>
                    <w:autoSpaceDE w:val="0"/>
                    <w:autoSpaceDN w:val="0"/>
                    <w:adjustRightInd w:val="0"/>
                    <w:rPr>
                      <w:rFonts w:ascii="TTE179A848t00" w:hAnsi="TTE179A848t00" w:cs="TTE179A848t00"/>
                      <w:sz w:val="20"/>
                      <w:szCs w:val="20"/>
                    </w:rPr>
                  </w:pPr>
                  <w:r w:rsidRPr="00DA5346">
                    <w:rPr>
                      <w:rFonts w:ascii="TTE179A848t00" w:hAnsi="TTE179A848t00" w:cs="TTE179A848t00"/>
                      <w:sz w:val="20"/>
                      <w:szCs w:val="20"/>
                    </w:rPr>
                    <w:t>Consultant) or loss of or</w:t>
                  </w:r>
                </w:p>
                <w:p w:rsidR="007E7625" w:rsidRPr="00DA5346" w:rsidRDefault="007E7625" w:rsidP="000A0CE1">
                  <w:pPr>
                    <w:autoSpaceDE w:val="0"/>
                    <w:autoSpaceDN w:val="0"/>
                    <w:adjustRightInd w:val="0"/>
                    <w:rPr>
                      <w:rFonts w:ascii="TTE179A848t00" w:hAnsi="TTE179A848t00" w:cs="TTE179A848t00"/>
                      <w:sz w:val="20"/>
                      <w:szCs w:val="20"/>
                    </w:rPr>
                  </w:pPr>
                  <w:r w:rsidRPr="00DA5346">
                    <w:rPr>
                      <w:rFonts w:ascii="TTE179A848t00" w:hAnsi="TTE179A848t00" w:cs="TTE179A848t00"/>
                      <w:sz w:val="20"/>
                      <w:szCs w:val="20"/>
                    </w:rPr>
                    <w:t>damage to property</w:t>
                  </w:r>
                </w:p>
                <w:p w:rsidR="007E7625" w:rsidRPr="00DA5346" w:rsidRDefault="007E7625" w:rsidP="000A0CE1">
                  <w:pPr>
                    <w:autoSpaceDE w:val="0"/>
                    <w:autoSpaceDN w:val="0"/>
                    <w:adjustRightInd w:val="0"/>
                    <w:rPr>
                      <w:rFonts w:ascii="TTE179A848t00" w:hAnsi="TTE179A848t00" w:cs="TTE179A848t00"/>
                      <w:sz w:val="20"/>
                      <w:szCs w:val="20"/>
                    </w:rPr>
                  </w:pPr>
                  <w:r w:rsidRPr="00DA5346">
                    <w:rPr>
                      <w:rFonts w:ascii="TTE179A848t00" w:hAnsi="TTE179A848t00" w:cs="TTE179A848t00"/>
                      <w:sz w:val="20"/>
                      <w:szCs w:val="20"/>
                    </w:rPr>
                    <w:t>resulting from an action</w:t>
                  </w:r>
                </w:p>
                <w:p w:rsidR="007E7625" w:rsidRPr="00DA5346" w:rsidRDefault="007E7625" w:rsidP="000A0CE1">
                  <w:pPr>
                    <w:autoSpaceDE w:val="0"/>
                    <w:autoSpaceDN w:val="0"/>
                    <w:adjustRightInd w:val="0"/>
                    <w:rPr>
                      <w:rFonts w:ascii="TTE179A848t00" w:hAnsi="TTE179A848t00" w:cs="TTE179A848t00"/>
                      <w:sz w:val="20"/>
                      <w:szCs w:val="20"/>
                    </w:rPr>
                  </w:pPr>
                  <w:r w:rsidRPr="00DA5346">
                    <w:rPr>
                      <w:rFonts w:ascii="TTE179A848t00" w:hAnsi="TTE179A848t00" w:cs="TTE179A848t00"/>
                      <w:sz w:val="20"/>
                      <w:szCs w:val="20"/>
                    </w:rPr>
                    <w:t>or failure to take action</w:t>
                  </w:r>
                </w:p>
                <w:p w:rsidR="007E7625" w:rsidRDefault="007E7625" w:rsidP="000A0CE1">
                  <w:pPr>
                    <w:autoSpaceDE w:val="0"/>
                    <w:autoSpaceDN w:val="0"/>
                    <w:adjustRightInd w:val="0"/>
                    <w:rPr>
                      <w:rFonts w:ascii="TTE179A848t00" w:hAnsi="TTE179A848t00" w:cs="TTE179A848t00"/>
                      <w:sz w:val="20"/>
                      <w:szCs w:val="20"/>
                    </w:rPr>
                  </w:pPr>
                  <w:r w:rsidRPr="00DA5346">
                    <w:rPr>
                      <w:rFonts w:ascii="TTE179A848t00" w:hAnsi="TTE179A848t00" w:cs="TTE179A848t00"/>
                      <w:sz w:val="20"/>
                      <w:szCs w:val="20"/>
                    </w:rPr>
                    <w:t>by the Consultant</w:t>
                  </w:r>
                </w:p>
                <w:p w:rsidR="007E7625" w:rsidRDefault="007E7625" w:rsidP="000A0CE1">
                  <w:pPr>
                    <w:autoSpaceDE w:val="0"/>
                    <w:autoSpaceDN w:val="0"/>
                    <w:adjustRightInd w:val="0"/>
                    <w:rPr>
                      <w:rFonts w:ascii="TTE179A848t00" w:hAnsi="TTE179A848t00" w:cs="TTE179A848t00"/>
                      <w:sz w:val="20"/>
                      <w:szCs w:val="20"/>
                    </w:rPr>
                  </w:pPr>
                </w:p>
                <w:p w:rsidR="007E7625" w:rsidRDefault="007E7625" w:rsidP="000A0CE1">
                  <w:pPr>
                    <w:autoSpaceDE w:val="0"/>
                    <w:autoSpaceDN w:val="0"/>
                    <w:adjustRightInd w:val="0"/>
                    <w:rPr>
                      <w:rFonts w:ascii="TTE179A848t00" w:hAnsi="TTE179A848t00" w:cs="TTE179A848t00"/>
                      <w:sz w:val="20"/>
                      <w:szCs w:val="20"/>
                    </w:rPr>
                  </w:pPr>
                </w:p>
              </w:tc>
              <w:tc>
                <w:tcPr>
                  <w:tcW w:w="3004" w:type="dxa"/>
                </w:tcPr>
                <w:p w:rsidR="007E7625" w:rsidRDefault="007E7625" w:rsidP="000A0CE1">
                  <w:pPr>
                    <w:autoSpaceDE w:val="0"/>
                    <w:autoSpaceDN w:val="0"/>
                    <w:adjustRightInd w:val="0"/>
                    <w:rPr>
                      <w:rFonts w:ascii="TTE179A848t00" w:hAnsi="TTE179A848t00" w:cs="TTE179A848t00"/>
                      <w:sz w:val="20"/>
                      <w:szCs w:val="20"/>
                    </w:rPr>
                  </w:pPr>
                </w:p>
                <w:p w:rsidR="007E7625" w:rsidRPr="00DA5346" w:rsidRDefault="007E7625" w:rsidP="000A0CE1">
                  <w:pPr>
                    <w:autoSpaceDE w:val="0"/>
                    <w:autoSpaceDN w:val="0"/>
                    <w:adjustRightInd w:val="0"/>
                    <w:rPr>
                      <w:rFonts w:ascii="TTE179A848t00" w:hAnsi="TTE179A848t00" w:cs="TTE179A848t00"/>
                      <w:sz w:val="20"/>
                      <w:szCs w:val="20"/>
                    </w:rPr>
                  </w:pPr>
                  <w:r w:rsidRPr="00DA5346">
                    <w:rPr>
                      <w:rFonts w:ascii="TTE179A848t00" w:hAnsi="TTE179A848t00" w:cs="TTE179A848t00"/>
                      <w:sz w:val="20"/>
                      <w:szCs w:val="20"/>
                    </w:rPr>
                    <w:t>£5,000,000</w:t>
                  </w:r>
                </w:p>
                <w:p w:rsidR="007E7625" w:rsidRPr="00DA5346" w:rsidRDefault="007E7625" w:rsidP="000A0CE1">
                  <w:pPr>
                    <w:autoSpaceDE w:val="0"/>
                    <w:autoSpaceDN w:val="0"/>
                    <w:adjustRightInd w:val="0"/>
                    <w:rPr>
                      <w:rFonts w:ascii="TTE179A848t00" w:hAnsi="TTE179A848t00" w:cs="TTE179A848t00"/>
                      <w:sz w:val="20"/>
                      <w:szCs w:val="20"/>
                    </w:rPr>
                  </w:pPr>
                  <w:r w:rsidRPr="00DA5346">
                    <w:rPr>
                      <w:rFonts w:ascii="TTE179A848t00" w:hAnsi="TTE179A848t00" w:cs="TTE179A848t00"/>
                      <w:sz w:val="20"/>
                      <w:szCs w:val="20"/>
                    </w:rPr>
                    <w:t>for each occurrence or</w:t>
                  </w:r>
                </w:p>
                <w:p w:rsidR="007E7625" w:rsidRPr="00DA5346" w:rsidRDefault="007E7625" w:rsidP="000A0CE1">
                  <w:pPr>
                    <w:autoSpaceDE w:val="0"/>
                    <w:autoSpaceDN w:val="0"/>
                    <w:adjustRightInd w:val="0"/>
                    <w:rPr>
                      <w:rFonts w:ascii="TTE179A848t00" w:hAnsi="TTE179A848t00" w:cs="TTE179A848t00"/>
                      <w:sz w:val="20"/>
                      <w:szCs w:val="20"/>
                    </w:rPr>
                  </w:pPr>
                  <w:r w:rsidRPr="00DA5346">
                    <w:rPr>
                      <w:rFonts w:ascii="TTE179A848t00" w:hAnsi="TTE179A848t00" w:cs="TTE179A848t00"/>
                      <w:sz w:val="20"/>
                      <w:szCs w:val="20"/>
                    </w:rPr>
                    <w:t>series of occurrences</w:t>
                  </w:r>
                </w:p>
                <w:p w:rsidR="007E7625" w:rsidRPr="00DA5346" w:rsidRDefault="007E7625" w:rsidP="000A0CE1">
                  <w:pPr>
                    <w:autoSpaceDE w:val="0"/>
                    <w:autoSpaceDN w:val="0"/>
                    <w:adjustRightInd w:val="0"/>
                    <w:rPr>
                      <w:rFonts w:ascii="TTE179A848t00" w:hAnsi="TTE179A848t00" w:cs="TTE179A848t00"/>
                      <w:sz w:val="20"/>
                      <w:szCs w:val="20"/>
                    </w:rPr>
                  </w:pPr>
                  <w:r w:rsidRPr="00DA5346">
                    <w:rPr>
                      <w:rFonts w:ascii="TTE179A848t00" w:hAnsi="TTE179A848t00" w:cs="TTE179A848t00"/>
                      <w:sz w:val="20"/>
                      <w:szCs w:val="20"/>
                    </w:rPr>
                    <w:t>arising out of the same</w:t>
                  </w:r>
                </w:p>
                <w:p w:rsidR="007E7625" w:rsidRDefault="007E7625" w:rsidP="000A0CE1">
                  <w:pPr>
                    <w:autoSpaceDE w:val="0"/>
                    <w:autoSpaceDN w:val="0"/>
                    <w:adjustRightInd w:val="0"/>
                    <w:rPr>
                      <w:rFonts w:ascii="TTE179A848t00" w:hAnsi="TTE179A848t00" w:cs="TTE179A848t00"/>
                      <w:sz w:val="20"/>
                      <w:szCs w:val="20"/>
                    </w:rPr>
                  </w:pPr>
                  <w:r w:rsidRPr="00DA5346">
                    <w:rPr>
                      <w:rFonts w:ascii="TTE179A848t00" w:hAnsi="TTE179A848t00" w:cs="TTE179A848t00"/>
                      <w:sz w:val="20"/>
                      <w:szCs w:val="20"/>
                    </w:rPr>
                    <w:t>event</w:t>
                  </w:r>
                </w:p>
              </w:tc>
              <w:tc>
                <w:tcPr>
                  <w:tcW w:w="3004" w:type="dxa"/>
                </w:tcPr>
                <w:p w:rsidR="007E7625" w:rsidRDefault="007E7625" w:rsidP="000A0CE1">
                  <w:pPr>
                    <w:autoSpaceDE w:val="0"/>
                    <w:autoSpaceDN w:val="0"/>
                    <w:adjustRightInd w:val="0"/>
                    <w:rPr>
                      <w:rFonts w:ascii="TTE179A848t00" w:hAnsi="TTE179A848t00" w:cs="TTE179A848t00"/>
                      <w:sz w:val="20"/>
                      <w:szCs w:val="20"/>
                    </w:rPr>
                  </w:pPr>
                </w:p>
                <w:p w:rsidR="007E7625" w:rsidRDefault="007E7625" w:rsidP="000A0CE1">
                  <w:pPr>
                    <w:autoSpaceDE w:val="0"/>
                    <w:autoSpaceDN w:val="0"/>
                    <w:adjustRightInd w:val="0"/>
                    <w:rPr>
                      <w:rFonts w:ascii="TTE179A848t00" w:hAnsi="TTE179A848t00" w:cs="TTE179A848t00"/>
                      <w:sz w:val="20"/>
                      <w:szCs w:val="20"/>
                    </w:rPr>
                  </w:pPr>
                  <w:r>
                    <w:rPr>
                      <w:rFonts w:ascii="TTE179A848t00" w:hAnsi="TTE179A848t00" w:cs="TTE179A848t00"/>
                      <w:sz w:val="20"/>
                      <w:szCs w:val="20"/>
                    </w:rPr>
                    <w:t>8 weeks</w:t>
                  </w:r>
                </w:p>
              </w:tc>
            </w:tr>
            <w:tr w:rsidR="007E7625" w:rsidTr="000A0CE1">
              <w:tc>
                <w:tcPr>
                  <w:tcW w:w="3003" w:type="dxa"/>
                </w:tcPr>
                <w:p w:rsidR="007E7625" w:rsidRDefault="007E7625" w:rsidP="000A0CE1">
                  <w:pPr>
                    <w:autoSpaceDE w:val="0"/>
                    <w:autoSpaceDN w:val="0"/>
                    <w:adjustRightInd w:val="0"/>
                    <w:rPr>
                      <w:rFonts w:ascii="TTE179A848t00" w:hAnsi="TTE179A848t00" w:cs="TTE179A848t00"/>
                      <w:sz w:val="20"/>
                      <w:szCs w:val="20"/>
                    </w:rPr>
                  </w:pPr>
                </w:p>
                <w:p w:rsidR="007E7625" w:rsidRPr="00DA5346" w:rsidRDefault="007E7625" w:rsidP="000A0CE1">
                  <w:pPr>
                    <w:autoSpaceDE w:val="0"/>
                    <w:autoSpaceDN w:val="0"/>
                    <w:adjustRightInd w:val="0"/>
                    <w:rPr>
                      <w:rFonts w:ascii="TTE179A848t00" w:hAnsi="TTE179A848t00" w:cs="TTE179A848t00"/>
                      <w:sz w:val="20"/>
                      <w:szCs w:val="20"/>
                    </w:rPr>
                  </w:pPr>
                  <w:r w:rsidRPr="00DA5346">
                    <w:rPr>
                      <w:rFonts w:ascii="TTE179A848t00" w:hAnsi="TTE179A848t00" w:cs="TTE179A848t00"/>
                      <w:sz w:val="20"/>
                      <w:szCs w:val="20"/>
                    </w:rPr>
                    <w:t>Death of or bodily injury</w:t>
                  </w:r>
                </w:p>
                <w:p w:rsidR="007E7625" w:rsidRPr="00DA5346" w:rsidRDefault="007E7625" w:rsidP="000A0CE1">
                  <w:pPr>
                    <w:autoSpaceDE w:val="0"/>
                    <w:autoSpaceDN w:val="0"/>
                    <w:adjustRightInd w:val="0"/>
                    <w:rPr>
                      <w:rFonts w:ascii="TTE179A848t00" w:hAnsi="TTE179A848t00" w:cs="TTE179A848t00"/>
                      <w:sz w:val="20"/>
                      <w:szCs w:val="20"/>
                    </w:rPr>
                  </w:pPr>
                  <w:r w:rsidRPr="00DA5346">
                    <w:rPr>
                      <w:rFonts w:ascii="TTE179A848t00" w:hAnsi="TTE179A848t00" w:cs="TTE179A848t00"/>
                      <w:sz w:val="20"/>
                      <w:szCs w:val="20"/>
                    </w:rPr>
                    <w:t>to employees of the</w:t>
                  </w:r>
                </w:p>
                <w:p w:rsidR="007E7625" w:rsidRPr="00DA5346" w:rsidRDefault="007E7625" w:rsidP="000A0CE1">
                  <w:pPr>
                    <w:autoSpaceDE w:val="0"/>
                    <w:autoSpaceDN w:val="0"/>
                    <w:adjustRightInd w:val="0"/>
                    <w:rPr>
                      <w:rFonts w:ascii="TTE179A848t00" w:hAnsi="TTE179A848t00" w:cs="TTE179A848t00"/>
                      <w:sz w:val="20"/>
                      <w:szCs w:val="20"/>
                    </w:rPr>
                  </w:pPr>
                  <w:r w:rsidRPr="00DA5346">
                    <w:rPr>
                      <w:rFonts w:ascii="TTE179A848t00" w:hAnsi="TTE179A848t00" w:cs="TTE179A848t00"/>
                      <w:sz w:val="20"/>
                      <w:szCs w:val="20"/>
                    </w:rPr>
                    <w:t>Consultant arising out of</w:t>
                  </w:r>
                </w:p>
                <w:p w:rsidR="007E7625" w:rsidRPr="00DA5346" w:rsidRDefault="007E7625" w:rsidP="000A0CE1">
                  <w:pPr>
                    <w:autoSpaceDE w:val="0"/>
                    <w:autoSpaceDN w:val="0"/>
                    <w:adjustRightInd w:val="0"/>
                    <w:rPr>
                      <w:rFonts w:ascii="TTE179A848t00" w:hAnsi="TTE179A848t00" w:cs="TTE179A848t00"/>
                      <w:sz w:val="20"/>
                      <w:szCs w:val="20"/>
                    </w:rPr>
                  </w:pPr>
                  <w:r w:rsidRPr="00DA5346">
                    <w:rPr>
                      <w:rFonts w:ascii="TTE179A848t00" w:hAnsi="TTE179A848t00" w:cs="TTE179A848t00"/>
                      <w:sz w:val="20"/>
                      <w:szCs w:val="20"/>
                    </w:rPr>
                    <w:t>and in the course of their</w:t>
                  </w:r>
                </w:p>
                <w:p w:rsidR="007E7625" w:rsidRPr="00DA5346" w:rsidRDefault="007E7625" w:rsidP="000A0CE1">
                  <w:pPr>
                    <w:autoSpaceDE w:val="0"/>
                    <w:autoSpaceDN w:val="0"/>
                    <w:adjustRightInd w:val="0"/>
                    <w:rPr>
                      <w:rFonts w:ascii="TTE179A848t00" w:hAnsi="TTE179A848t00" w:cs="TTE179A848t00"/>
                      <w:sz w:val="20"/>
                      <w:szCs w:val="20"/>
                    </w:rPr>
                  </w:pPr>
                  <w:r w:rsidRPr="00DA5346">
                    <w:rPr>
                      <w:rFonts w:ascii="TTE179A848t00" w:hAnsi="TTE179A848t00" w:cs="TTE179A848t00"/>
                      <w:sz w:val="20"/>
                      <w:szCs w:val="20"/>
                    </w:rPr>
                    <w:t>employment in</w:t>
                  </w:r>
                </w:p>
                <w:p w:rsidR="007E7625" w:rsidRPr="00DA5346" w:rsidRDefault="007E7625" w:rsidP="000A0CE1">
                  <w:pPr>
                    <w:autoSpaceDE w:val="0"/>
                    <w:autoSpaceDN w:val="0"/>
                    <w:adjustRightInd w:val="0"/>
                    <w:rPr>
                      <w:rFonts w:ascii="TTE179A848t00" w:hAnsi="TTE179A848t00" w:cs="TTE179A848t00"/>
                      <w:sz w:val="20"/>
                      <w:szCs w:val="20"/>
                    </w:rPr>
                  </w:pPr>
                  <w:r w:rsidRPr="00DA5346">
                    <w:rPr>
                      <w:rFonts w:ascii="TTE179A848t00" w:hAnsi="TTE179A848t00" w:cs="TTE179A848t00"/>
                      <w:sz w:val="20"/>
                      <w:szCs w:val="20"/>
                    </w:rPr>
                    <w:t>connection with this</w:t>
                  </w:r>
                </w:p>
                <w:p w:rsidR="007E7625" w:rsidRDefault="007E7625" w:rsidP="000A0CE1">
                  <w:pPr>
                    <w:autoSpaceDE w:val="0"/>
                    <w:autoSpaceDN w:val="0"/>
                    <w:adjustRightInd w:val="0"/>
                    <w:rPr>
                      <w:rFonts w:ascii="TTE179A848t00" w:hAnsi="TTE179A848t00" w:cs="TTE179A848t00"/>
                      <w:sz w:val="20"/>
                      <w:szCs w:val="20"/>
                    </w:rPr>
                  </w:pPr>
                  <w:r w:rsidRPr="00DA5346">
                    <w:rPr>
                      <w:rFonts w:ascii="TTE179A848t00" w:hAnsi="TTE179A848t00" w:cs="TTE179A848t00"/>
                      <w:sz w:val="20"/>
                      <w:szCs w:val="20"/>
                    </w:rPr>
                    <w:t>contract</w:t>
                  </w:r>
                </w:p>
                <w:p w:rsidR="007E7625" w:rsidRDefault="007E7625" w:rsidP="000A0CE1">
                  <w:pPr>
                    <w:autoSpaceDE w:val="0"/>
                    <w:autoSpaceDN w:val="0"/>
                    <w:adjustRightInd w:val="0"/>
                    <w:rPr>
                      <w:rFonts w:ascii="TTE179A848t00" w:hAnsi="TTE179A848t00" w:cs="TTE179A848t00"/>
                      <w:sz w:val="20"/>
                      <w:szCs w:val="20"/>
                    </w:rPr>
                  </w:pPr>
                </w:p>
                <w:p w:rsidR="007E7625" w:rsidRDefault="007E7625" w:rsidP="000A0CE1">
                  <w:pPr>
                    <w:autoSpaceDE w:val="0"/>
                    <w:autoSpaceDN w:val="0"/>
                    <w:adjustRightInd w:val="0"/>
                    <w:rPr>
                      <w:rFonts w:ascii="TTE179A848t00" w:hAnsi="TTE179A848t00" w:cs="TTE179A848t00"/>
                      <w:sz w:val="20"/>
                      <w:szCs w:val="20"/>
                    </w:rPr>
                  </w:pPr>
                </w:p>
              </w:tc>
              <w:tc>
                <w:tcPr>
                  <w:tcW w:w="3004" w:type="dxa"/>
                </w:tcPr>
                <w:p w:rsidR="007E7625" w:rsidRDefault="007E7625" w:rsidP="000A0CE1">
                  <w:pPr>
                    <w:autoSpaceDE w:val="0"/>
                    <w:autoSpaceDN w:val="0"/>
                    <w:adjustRightInd w:val="0"/>
                    <w:rPr>
                      <w:rFonts w:ascii="TTE179A848t00" w:hAnsi="TTE179A848t00" w:cs="TTE179A848t00"/>
                      <w:sz w:val="20"/>
                      <w:szCs w:val="20"/>
                    </w:rPr>
                  </w:pPr>
                </w:p>
                <w:p w:rsidR="007E7625" w:rsidRPr="00DA5346" w:rsidRDefault="007E7625" w:rsidP="000A0CE1">
                  <w:pPr>
                    <w:autoSpaceDE w:val="0"/>
                    <w:autoSpaceDN w:val="0"/>
                    <w:adjustRightInd w:val="0"/>
                    <w:rPr>
                      <w:rFonts w:ascii="TTE179A848t00" w:hAnsi="TTE179A848t00" w:cs="TTE179A848t00"/>
                      <w:sz w:val="20"/>
                      <w:szCs w:val="20"/>
                    </w:rPr>
                  </w:pPr>
                  <w:r w:rsidRPr="00DA5346">
                    <w:rPr>
                      <w:rFonts w:ascii="TTE179A848t00" w:hAnsi="TTE179A848t00" w:cs="TTE179A848t00"/>
                      <w:sz w:val="20"/>
                      <w:szCs w:val="20"/>
                    </w:rPr>
                    <w:t>£5,000,000</w:t>
                  </w:r>
                </w:p>
                <w:p w:rsidR="007E7625" w:rsidRPr="00DA5346" w:rsidRDefault="007E7625" w:rsidP="000A0CE1">
                  <w:pPr>
                    <w:autoSpaceDE w:val="0"/>
                    <w:autoSpaceDN w:val="0"/>
                    <w:adjustRightInd w:val="0"/>
                    <w:rPr>
                      <w:rFonts w:ascii="TTE179A848t00" w:hAnsi="TTE179A848t00" w:cs="TTE179A848t00"/>
                      <w:sz w:val="20"/>
                      <w:szCs w:val="20"/>
                    </w:rPr>
                  </w:pPr>
                  <w:r w:rsidRPr="00DA5346">
                    <w:rPr>
                      <w:rFonts w:ascii="TTE179A848t00" w:hAnsi="TTE179A848t00" w:cs="TTE179A848t00"/>
                      <w:sz w:val="20"/>
                      <w:szCs w:val="20"/>
                    </w:rPr>
                    <w:t>for each occurrence or</w:t>
                  </w:r>
                </w:p>
                <w:p w:rsidR="007E7625" w:rsidRPr="00DA5346" w:rsidRDefault="007E7625" w:rsidP="000A0CE1">
                  <w:pPr>
                    <w:autoSpaceDE w:val="0"/>
                    <w:autoSpaceDN w:val="0"/>
                    <w:adjustRightInd w:val="0"/>
                    <w:rPr>
                      <w:rFonts w:ascii="TTE179A848t00" w:hAnsi="TTE179A848t00" w:cs="TTE179A848t00"/>
                      <w:sz w:val="20"/>
                      <w:szCs w:val="20"/>
                    </w:rPr>
                  </w:pPr>
                  <w:r w:rsidRPr="00DA5346">
                    <w:rPr>
                      <w:rFonts w:ascii="TTE179A848t00" w:hAnsi="TTE179A848t00" w:cs="TTE179A848t00"/>
                      <w:sz w:val="20"/>
                      <w:szCs w:val="20"/>
                    </w:rPr>
                    <w:t>series of occurrences</w:t>
                  </w:r>
                </w:p>
                <w:p w:rsidR="007E7625" w:rsidRPr="00DA5346" w:rsidRDefault="007E7625" w:rsidP="000A0CE1">
                  <w:pPr>
                    <w:autoSpaceDE w:val="0"/>
                    <w:autoSpaceDN w:val="0"/>
                    <w:adjustRightInd w:val="0"/>
                    <w:rPr>
                      <w:rFonts w:ascii="TTE179A848t00" w:hAnsi="TTE179A848t00" w:cs="TTE179A848t00"/>
                      <w:sz w:val="20"/>
                      <w:szCs w:val="20"/>
                    </w:rPr>
                  </w:pPr>
                  <w:r w:rsidRPr="00DA5346">
                    <w:rPr>
                      <w:rFonts w:ascii="TTE179A848t00" w:hAnsi="TTE179A848t00" w:cs="TTE179A848t00"/>
                      <w:sz w:val="20"/>
                      <w:szCs w:val="20"/>
                    </w:rPr>
                    <w:t>arising out of the same</w:t>
                  </w:r>
                </w:p>
                <w:p w:rsidR="007E7625" w:rsidRDefault="007E7625" w:rsidP="000A0CE1">
                  <w:pPr>
                    <w:autoSpaceDE w:val="0"/>
                    <w:autoSpaceDN w:val="0"/>
                    <w:adjustRightInd w:val="0"/>
                    <w:rPr>
                      <w:rFonts w:ascii="TTE179A848t00" w:hAnsi="TTE179A848t00" w:cs="TTE179A848t00"/>
                      <w:sz w:val="20"/>
                      <w:szCs w:val="20"/>
                    </w:rPr>
                  </w:pPr>
                  <w:r w:rsidRPr="00DA5346">
                    <w:rPr>
                      <w:rFonts w:ascii="TTE179A848t00" w:hAnsi="TTE179A848t00" w:cs="TTE179A848t00"/>
                      <w:sz w:val="20"/>
                      <w:szCs w:val="20"/>
                    </w:rPr>
                    <w:t>event</w:t>
                  </w:r>
                </w:p>
              </w:tc>
              <w:tc>
                <w:tcPr>
                  <w:tcW w:w="3004" w:type="dxa"/>
                </w:tcPr>
                <w:p w:rsidR="007E7625" w:rsidRDefault="007E7625" w:rsidP="000A0CE1">
                  <w:pPr>
                    <w:autoSpaceDE w:val="0"/>
                    <w:autoSpaceDN w:val="0"/>
                    <w:adjustRightInd w:val="0"/>
                    <w:rPr>
                      <w:rFonts w:ascii="TTE179A848t00" w:hAnsi="TTE179A848t00" w:cs="TTE179A848t00"/>
                      <w:sz w:val="20"/>
                      <w:szCs w:val="20"/>
                    </w:rPr>
                  </w:pPr>
                </w:p>
                <w:p w:rsidR="007E7625" w:rsidRDefault="007E7625" w:rsidP="000A0CE1">
                  <w:pPr>
                    <w:autoSpaceDE w:val="0"/>
                    <w:autoSpaceDN w:val="0"/>
                    <w:adjustRightInd w:val="0"/>
                    <w:rPr>
                      <w:rFonts w:ascii="TTE179A848t00" w:hAnsi="TTE179A848t00" w:cs="TTE179A848t00"/>
                      <w:sz w:val="20"/>
                      <w:szCs w:val="20"/>
                    </w:rPr>
                  </w:pPr>
                  <w:r>
                    <w:rPr>
                      <w:rFonts w:ascii="TTE179A848t00" w:hAnsi="TTE179A848t00" w:cs="TTE179A848t00"/>
                      <w:sz w:val="20"/>
                      <w:szCs w:val="20"/>
                    </w:rPr>
                    <w:t>8 weeks</w:t>
                  </w:r>
                </w:p>
              </w:tc>
            </w:tr>
          </w:tbl>
          <w:p w:rsidR="007E7625" w:rsidRDefault="007E7625" w:rsidP="000A0CE1">
            <w:pPr>
              <w:autoSpaceDE w:val="0"/>
              <w:autoSpaceDN w:val="0"/>
              <w:adjustRightInd w:val="0"/>
              <w:rPr>
                <w:rFonts w:ascii="TTE179A848t00" w:hAnsi="TTE179A848t00" w:cs="TTE179A848t00"/>
                <w:sz w:val="20"/>
                <w:szCs w:val="20"/>
              </w:rPr>
            </w:pPr>
            <w:r w:rsidRPr="009F42A5">
              <w:rPr>
                <w:rFonts w:ascii="TTE179A848t00" w:hAnsi="TTE179A848t00" w:cs="TTE179A848t00"/>
                <w:sz w:val="20"/>
                <w:szCs w:val="20"/>
              </w:rPr>
              <w:t>.</w:t>
            </w:r>
          </w:p>
          <w:p w:rsidR="007E7625" w:rsidRDefault="007E7625" w:rsidP="000A0CE1">
            <w:pPr>
              <w:autoSpaceDE w:val="0"/>
              <w:autoSpaceDN w:val="0"/>
              <w:adjustRightInd w:val="0"/>
              <w:rPr>
                <w:rFonts w:ascii="TTE179A848t00" w:hAnsi="TTE179A848t00" w:cs="TTE179A848t00"/>
                <w:sz w:val="20"/>
                <w:szCs w:val="20"/>
              </w:rPr>
            </w:pPr>
          </w:p>
          <w:p w:rsidR="007E7625" w:rsidRDefault="007E7625" w:rsidP="007E7625">
            <w:pPr>
              <w:pStyle w:val="ListParagraph"/>
              <w:numPr>
                <w:ilvl w:val="0"/>
                <w:numId w:val="15"/>
              </w:numPr>
              <w:autoSpaceDE w:val="0"/>
              <w:autoSpaceDN w:val="0"/>
              <w:adjustRightInd w:val="0"/>
              <w:spacing w:after="0" w:line="240" w:lineRule="auto"/>
              <w:rPr>
                <w:rFonts w:ascii="TTE179A848t00" w:hAnsi="TTE179A848t00" w:cs="TTE179A848t00"/>
                <w:sz w:val="20"/>
                <w:szCs w:val="20"/>
              </w:rPr>
            </w:pPr>
            <w:r>
              <w:rPr>
                <w:rFonts w:ascii="TTE179A848t00" w:hAnsi="TTE179A848t00" w:cs="TTE179A848t00"/>
                <w:sz w:val="20"/>
                <w:szCs w:val="20"/>
              </w:rPr>
              <w:t>The Employer provides the following insurances – as per the South West Consultancy Framework</w:t>
            </w:r>
          </w:p>
          <w:p w:rsidR="007E7625" w:rsidRDefault="007E7625" w:rsidP="000A0CE1">
            <w:pPr>
              <w:autoSpaceDE w:val="0"/>
              <w:autoSpaceDN w:val="0"/>
              <w:adjustRightInd w:val="0"/>
              <w:rPr>
                <w:rFonts w:ascii="TTE179A848t00" w:hAnsi="TTE179A848t00" w:cs="TTE179A848t00"/>
                <w:sz w:val="20"/>
                <w:szCs w:val="20"/>
              </w:rPr>
            </w:pPr>
          </w:p>
          <w:p w:rsidR="007E7625" w:rsidRPr="007A5B2A" w:rsidRDefault="007E7625" w:rsidP="007E7625">
            <w:pPr>
              <w:pStyle w:val="ListParagraph"/>
              <w:numPr>
                <w:ilvl w:val="0"/>
                <w:numId w:val="15"/>
              </w:numPr>
              <w:autoSpaceDE w:val="0"/>
              <w:autoSpaceDN w:val="0"/>
              <w:adjustRightInd w:val="0"/>
              <w:spacing w:after="0" w:line="240" w:lineRule="auto"/>
              <w:rPr>
                <w:rFonts w:ascii="TTE179A848t00" w:hAnsi="TTE179A848t00" w:cs="TTE179A848t00"/>
                <w:sz w:val="20"/>
                <w:szCs w:val="20"/>
              </w:rPr>
            </w:pPr>
            <w:r>
              <w:rPr>
                <w:rFonts w:ascii="TTE179A848t00" w:hAnsi="TTE179A848t00" w:cs="TTE179A848t00"/>
                <w:sz w:val="20"/>
                <w:szCs w:val="20"/>
              </w:rPr>
              <w:t>The Consultants’ total liability to the Employer for all matters arising under or in connection with this contract, other than the excluded matters, is limited to £5,000,000.</w:t>
            </w:r>
          </w:p>
          <w:p w:rsidR="007E7625" w:rsidRDefault="007E7625" w:rsidP="000A0CE1">
            <w:pPr>
              <w:autoSpaceDE w:val="0"/>
              <w:autoSpaceDN w:val="0"/>
              <w:adjustRightInd w:val="0"/>
              <w:rPr>
                <w:rFonts w:ascii="TTE179A848t00" w:hAnsi="TTE179A848t00" w:cs="TTE179A848t00"/>
                <w:sz w:val="20"/>
                <w:szCs w:val="20"/>
              </w:rPr>
            </w:pPr>
          </w:p>
          <w:p w:rsidR="007E7625" w:rsidRDefault="007E7625" w:rsidP="000A0CE1">
            <w:pPr>
              <w:autoSpaceDE w:val="0"/>
              <w:autoSpaceDN w:val="0"/>
              <w:adjustRightInd w:val="0"/>
              <w:rPr>
                <w:rFonts w:ascii="TTE179A848t00" w:hAnsi="TTE179A848t00" w:cs="TTE179A848t00"/>
                <w:sz w:val="20"/>
                <w:szCs w:val="20"/>
              </w:rPr>
            </w:pPr>
          </w:p>
          <w:p w:rsidR="007E7625" w:rsidRDefault="007E7625" w:rsidP="000A0CE1">
            <w:pPr>
              <w:autoSpaceDE w:val="0"/>
              <w:autoSpaceDN w:val="0"/>
              <w:adjustRightInd w:val="0"/>
              <w:rPr>
                <w:rFonts w:ascii="TTE179A848t00" w:hAnsi="TTE179A848t00" w:cs="TTE179A848t00"/>
                <w:sz w:val="20"/>
                <w:szCs w:val="20"/>
              </w:rPr>
            </w:pPr>
          </w:p>
          <w:p w:rsidR="007E7625" w:rsidRDefault="007E7625" w:rsidP="000A0CE1">
            <w:pPr>
              <w:autoSpaceDE w:val="0"/>
              <w:autoSpaceDN w:val="0"/>
              <w:adjustRightInd w:val="0"/>
              <w:rPr>
                <w:rFonts w:ascii="TTE179A848t00" w:hAnsi="TTE179A848t00" w:cs="TTE179A848t00"/>
                <w:sz w:val="20"/>
                <w:szCs w:val="20"/>
              </w:rPr>
            </w:pPr>
          </w:p>
          <w:p w:rsidR="007E7625" w:rsidRPr="005D3F05" w:rsidRDefault="007E7625" w:rsidP="000A0CE1">
            <w:pPr>
              <w:autoSpaceDE w:val="0"/>
              <w:autoSpaceDN w:val="0"/>
              <w:adjustRightInd w:val="0"/>
              <w:rPr>
                <w:rFonts w:ascii="TTE179A848t00" w:hAnsi="TTE179A848t00" w:cs="TTE179A848t00"/>
                <w:sz w:val="20"/>
                <w:szCs w:val="20"/>
              </w:rPr>
            </w:pPr>
            <w:r w:rsidRPr="005D3F05">
              <w:rPr>
                <w:rFonts w:ascii="TTE179A848t00" w:hAnsi="TTE179A848t00" w:cs="TTE179A848t00"/>
                <w:sz w:val="20"/>
                <w:szCs w:val="20"/>
              </w:rPr>
              <w:t>Option X5</w:t>
            </w:r>
          </w:p>
          <w:p w:rsidR="007E7625" w:rsidRDefault="007E7625" w:rsidP="000A0CE1">
            <w:pPr>
              <w:pStyle w:val="ListParagraph"/>
              <w:autoSpaceDE w:val="0"/>
              <w:autoSpaceDN w:val="0"/>
              <w:adjustRightInd w:val="0"/>
              <w:rPr>
                <w:rFonts w:ascii="TTE179A848t00" w:hAnsi="TTE179A848t00" w:cs="TTE179A848t00"/>
                <w:sz w:val="20"/>
                <w:szCs w:val="20"/>
              </w:rPr>
            </w:pPr>
          </w:p>
          <w:p w:rsidR="007E7625" w:rsidRDefault="007E7625" w:rsidP="007E7625">
            <w:pPr>
              <w:pStyle w:val="ListParagraph"/>
              <w:numPr>
                <w:ilvl w:val="0"/>
                <w:numId w:val="17"/>
              </w:numPr>
              <w:autoSpaceDE w:val="0"/>
              <w:autoSpaceDN w:val="0"/>
              <w:adjustRightInd w:val="0"/>
              <w:spacing w:after="0" w:line="240" w:lineRule="auto"/>
              <w:ind w:left="709" w:hanging="283"/>
              <w:rPr>
                <w:rFonts w:ascii="TTE179A848t00" w:hAnsi="TTE179A848t00" w:cs="TTE179A848t00"/>
                <w:sz w:val="20"/>
                <w:szCs w:val="20"/>
              </w:rPr>
            </w:pPr>
            <w:r>
              <w:rPr>
                <w:rFonts w:ascii="TTE179A848t00" w:hAnsi="TTE179A848t00" w:cs="TTE179A848t00"/>
                <w:sz w:val="20"/>
                <w:szCs w:val="20"/>
              </w:rPr>
              <w:t xml:space="preserve">   The completion date for each section of the services is</w:t>
            </w:r>
          </w:p>
          <w:p w:rsidR="007E7625" w:rsidRDefault="007E7625" w:rsidP="000A0CE1">
            <w:pPr>
              <w:autoSpaceDE w:val="0"/>
              <w:autoSpaceDN w:val="0"/>
              <w:adjustRightInd w:val="0"/>
              <w:rPr>
                <w:rFonts w:ascii="TTE179A848t00" w:hAnsi="TTE179A848t00" w:cs="TTE179A848t00"/>
                <w:sz w:val="20"/>
                <w:szCs w:val="20"/>
              </w:rPr>
            </w:pPr>
          </w:p>
          <w:tbl>
            <w:tblPr>
              <w:tblStyle w:val="TableGrid"/>
              <w:tblW w:w="0" w:type="auto"/>
              <w:tblLook w:val="04A0" w:firstRow="1" w:lastRow="0" w:firstColumn="1" w:lastColumn="0" w:noHBand="0" w:noVBand="1"/>
            </w:tblPr>
            <w:tblGrid>
              <w:gridCol w:w="1413"/>
              <w:gridCol w:w="4594"/>
              <w:gridCol w:w="3004"/>
            </w:tblGrid>
            <w:tr w:rsidR="007E7625" w:rsidTr="000A0CE1">
              <w:tc>
                <w:tcPr>
                  <w:tcW w:w="1413" w:type="dxa"/>
                </w:tcPr>
                <w:p w:rsidR="007E7625" w:rsidRDefault="007E7625" w:rsidP="000A0CE1">
                  <w:pPr>
                    <w:autoSpaceDE w:val="0"/>
                    <w:autoSpaceDN w:val="0"/>
                    <w:adjustRightInd w:val="0"/>
                    <w:rPr>
                      <w:rFonts w:ascii="TTE179A848t00" w:hAnsi="TTE179A848t00" w:cs="TTE179A848t00"/>
                      <w:sz w:val="20"/>
                      <w:szCs w:val="20"/>
                    </w:rPr>
                  </w:pPr>
                  <w:r>
                    <w:rPr>
                      <w:rFonts w:ascii="TTE179A848t00" w:hAnsi="TTE179A848t00" w:cs="TTE179A848t00"/>
                      <w:sz w:val="20"/>
                      <w:szCs w:val="20"/>
                    </w:rPr>
                    <w:t>Stage</w:t>
                  </w:r>
                </w:p>
              </w:tc>
              <w:tc>
                <w:tcPr>
                  <w:tcW w:w="4594" w:type="dxa"/>
                </w:tcPr>
                <w:p w:rsidR="007E7625" w:rsidRDefault="007E7625" w:rsidP="000A0CE1">
                  <w:pPr>
                    <w:autoSpaceDE w:val="0"/>
                    <w:autoSpaceDN w:val="0"/>
                    <w:adjustRightInd w:val="0"/>
                    <w:rPr>
                      <w:rFonts w:ascii="TTE179A848t00" w:hAnsi="TTE179A848t00" w:cs="TTE179A848t00"/>
                      <w:sz w:val="20"/>
                      <w:szCs w:val="20"/>
                    </w:rPr>
                  </w:pPr>
                  <w:r>
                    <w:rPr>
                      <w:rFonts w:ascii="TTE179A848t00" w:hAnsi="TTE179A848t00" w:cs="TTE179A848t00"/>
                      <w:sz w:val="20"/>
                      <w:szCs w:val="20"/>
                    </w:rPr>
                    <w:t>Description</w:t>
                  </w:r>
                </w:p>
              </w:tc>
              <w:tc>
                <w:tcPr>
                  <w:tcW w:w="3004" w:type="dxa"/>
                </w:tcPr>
                <w:p w:rsidR="007E7625" w:rsidRDefault="007E7625" w:rsidP="000A0CE1">
                  <w:pPr>
                    <w:autoSpaceDE w:val="0"/>
                    <w:autoSpaceDN w:val="0"/>
                    <w:adjustRightInd w:val="0"/>
                    <w:rPr>
                      <w:rFonts w:ascii="TTE179A848t00" w:hAnsi="TTE179A848t00" w:cs="TTE179A848t00"/>
                      <w:sz w:val="20"/>
                      <w:szCs w:val="20"/>
                    </w:rPr>
                  </w:pPr>
                  <w:r>
                    <w:rPr>
                      <w:rFonts w:ascii="TTE179A848t00" w:hAnsi="TTE179A848t00" w:cs="TTE179A848t00"/>
                      <w:sz w:val="20"/>
                      <w:szCs w:val="20"/>
                    </w:rPr>
                    <w:t>Completion/Commencement</w:t>
                  </w:r>
                </w:p>
                <w:p w:rsidR="007E7625" w:rsidRDefault="007E7625" w:rsidP="000A0CE1">
                  <w:pPr>
                    <w:autoSpaceDE w:val="0"/>
                    <w:autoSpaceDN w:val="0"/>
                    <w:adjustRightInd w:val="0"/>
                    <w:rPr>
                      <w:rFonts w:ascii="TTE179A848t00" w:hAnsi="TTE179A848t00" w:cs="TTE179A848t00"/>
                      <w:sz w:val="20"/>
                      <w:szCs w:val="20"/>
                    </w:rPr>
                  </w:pPr>
                </w:p>
              </w:tc>
            </w:tr>
            <w:tr w:rsidR="00513EF0" w:rsidTr="000A0CE1">
              <w:tc>
                <w:tcPr>
                  <w:tcW w:w="1413" w:type="dxa"/>
                </w:tcPr>
                <w:p w:rsidR="00513EF0" w:rsidRDefault="00513EF0" w:rsidP="000A0CE1">
                  <w:pPr>
                    <w:autoSpaceDE w:val="0"/>
                    <w:autoSpaceDN w:val="0"/>
                    <w:adjustRightInd w:val="0"/>
                    <w:rPr>
                      <w:rFonts w:ascii="TTE179A848t00" w:hAnsi="TTE179A848t00" w:cs="TTE179A848t00"/>
                      <w:sz w:val="20"/>
                      <w:szCs w:val="20"/>
                    </w:rPr>
                  </w:pPr>
                  <w:r>
                    <w:rPr>
                      <w:rFonts w:ascii="TTE179A848t00" w:hAnsi="TTE179A848t00" w:cs="TTE179A848t00"/>
                      <w:sz w:val="20"/>
                      <w:szCs w:val="20"/>
                    </w:rPr>
                    <w:lastRenderedPageBreak/>
                    <w:t>1</w:t>
                  </w:r>
                </w:p>
              </w:tc>
              <w:tc>
                <w:tcPr>
                  <w:tcW w:w="4594" w:type="dxa"/>
                </w:tcPr>
                <w:p w:rsidR="00513EF0" w:rsidRPr="00657E03" w:rsidRDefault="00513EF0" w:rsidP="00626096">
                  <w:pPr>
                    <w:autoSpaceDE w:val="0"/>
                    <w:autoSpaceDN w:val="0"/>
                    <w:adjustRightInd w:val="0"/>
                    <w:rPr>
                      <w:rFonts w:ascii="TTE179A848t00" w:hAnsi="TTE179A848t00" w:cs="TTE179A848t00"/>
                      <w:sz w:val="20"/>
                      <w:szCs w:val="20"/>
                    </w:rPr>
                  </w:pPr>
                  <w:r>
                    <w:rPr>
                      <w:rFonts w:ascii="TTE179A848t00" w:hAnsi="TTE179A848t00" w:cs="TTE179A848t00"/>
                      <w:sz w:val="20"/>
                      <w:szCs w:val="20"/>
                    </w:rPr>
                    <w:t>Client briefing, engagement, familiarisation</w:t>
                  </w:r>
                  <w:r w:rsidR="00626096">
                    <w:rPr>
                      <w:rFonts w:ascii="TTE179A848t00" w:hAnsi="TTE179A848t00" w:cs="TTE179A848t00"/>
                      <w:sz w:val="20"/>
                      <w:szCs w:val="20"/>
                    </w:rPr>
                    <w:t xml:space="preserve"> </w:t>
                  </w:r>
                  <w:r>
                    <w:rPr>
                      <w:rFonts w:ascii="TTE179A848t00" w:hAnsi="TTE179A848t00" w:cs="TTE179A848t00"/>
                      <w:sz w:val="20"/>
                      <w:szCs w:val="20"/>
                    </w:rPr>
                    <w:t>and</w:t>
                  </w:r>
                  <w:r w:rsidR="00626096">
                    <w:rPr>
                      <w:rFonts w:ascii="TTE179A848t00" w:hAnsi="TTE179A848t00" w:cs="TTE179A848t00"/>
                      <w:sz w:val="20"/>
                      <w:szCs w:val="20"/>
                    </w:rPr>
                    <w:t xml:space="preserve"> preparation of </w:t>
                  </w:r>
                  <w:r>
                    <w:rPr>
                      <w:rFonts w:ascii="TTE179A848t00" w:hAnsi="TTE179A848t00" w:cs="TTE179A848t00"/>
                      <w:sz w:val="20"/>
                      <w:szCs w:val="20"/>
                    </w:rPr>
                    <w:t>RIBA P</w:t>
                  </w:r>
                  <w:r w:rsidR="007A3A7C">
                    <w:rPr>
                      <w:rFonts w:ascii="TTE179A848t00" w:hAnsi="TTE179A848t00" w:cs="TTE179A848t00"/>
                      <w:sz w:val="20"/>
                      <w:szCs w:val="20"/>
                    </w:rPr>
                    <w:t>l</w:t>
                  </w:r>
                  <w:r>
                    <w:rPr>
                      <w:rFonts w:ascii="TTE179A848t00" w:hAnsi="TTE179A848t00" w:cs="TTE179A848t00"/>
                      <w:sz w:val="20"/>
                      <w:szCs w:val="20"/>
                    </w:rPr>
                    <w:t>an of Work</w:t>
                  </w:r>
                  <w:r w:rsidR="00626096">
                    <w:rPr>
                      <w:rFonts w:ascii="TTE179A848t00" w:hAnsi="TTE179A848t00" w:cs="TTE179A848t00"/>
                      <w:sz w:val="20"/>
                      <w:szCs w:val="20"/>
                    </w:rPr>
                    <w:t>, stages 0 to 1.</w:t>
                  </w:r>
                </w:p>
              </w:tc>
              <w:tc>
                <w:tcPr>
                  <w:tcW w:w="3004" w:type="dxa"/>
                </w:tcPr>
                <w:p w:rsidR="00513EF0" w:rsidRDefault="00513EF0" w:rsidP="000A0CE1">
                  <w:pPr>
                    <w:autoSpaceDE w:val="0"/>
                    <w:autoSpaceDN w:val="0"/>
                    <w:adjustRightInd w:val="0"/>
                    <w:rPr>
                      <w:rFonts w:ascii="TTE179A848t00" w:hAnsi="TTE179A848t00" w:cs="TTE179A848t00"/>
                      <w:sz w:val="20"/>
                      <w:szCs w:val="20"/>
                    </w:rPr>
                  </w:pPr>
                  <w:r w:rsidRPr="00513EF0">
                    <w:rPr>
                      <w:rFonts w:ascii="TTE179A848t00" w:hAnsi="TTE179A848t00" w:cs="TTE179A848t00"/>
                      <w:sz w:val="20"/>
                      <w:szCs w:val="20"/>
                    </w:rPr>
                    <w:t>Commence upon formal instruction from the Contracting Authority Representative</w:t>
                  </w:r>
                </w:p>
              </w:tc>
            </w:tr>
            <w:tr w:rsidR="00513EF0" w:rsidTr="000A0CE1">
              <w:tc>
                <w:tcPr>
                  <w:tcW w:w="1413" w:type="dxa"/>
                </w:tcPr>
                <w:p w:rsidR="00513EF0" w:rsidRDefault="00513EF0" w:rsidP="000A0CE1">
                  <w:pPr>
                    <w:autoSpaceDE w:val="0"/>
                    <w:autoSpaceDN w:val="0"/>
                    <w:adjustRightInd w:val="0"/>
                    <w:rPr>
                      <w:rFonts w:ascii="TTE179A848t00" w:hAnsi="TTE179A848t00" w:cs="TTE179A848t00"/>
                      <w:sz w:val="20"/>
                      <w:szCs w:val="20"/>
                    </w:rPr>
                  </w:pPr>
                  <w:r>
                    <w:rPr>
                      <w:rFonts w:ascii="TTE179A848t00" w:hAnsi="TTE179A848t00" w:cs="TTE179A848t00"/>
                      <w:sz w:val="20"/>
                      <w:szCs w:val="20"/>
                    </w:rPr>
                    <w:t>2</w:t>
                  </w:r>
                </w:p>
              </w:tc>
              <w:tc>
                <w:tcPr>
                  <w:tcW w:w="4594" w:type="dxa"/>
                </w:tcPr>
                <w:p w:rsidR="00513EF0" w:rsidRPr="00657E03" w:rsidRDefault="00513EF0" w:rsidP="00BA3AF4">
                  <w:pPr>
                    <w:autoSpaceDE w:val="0"/>
                    <w:autoSpaceDN w:val="0"/>
                    <w:adjustRightInd w:val="0"/>
                    <w:rPr>
                      <w:rFonts w:ascii="TTE179A848t00" w:hAnsi="TTE179A848t00" w:cs="TTE179A848t00"/>
                      <w:sz w:val="20"/>
                      <w:szCs w:val="20"/>
                    </w:rPr>
                  </w:pPr>
                  <w:r>
                    <w:rPr>
                      <w:rFonts w:ascii="TTE179A848t00" w:hAnsi="TTE179A848t00" w:cs="TTE179A848t00"/>
                      <w:sz w:val="20"/>
                      <w:szCs w:val="20"/>
                    </w:rPr>
                    <w:t>Options generation</w:t>
                  </w:r>
                  <w:r w:rsidR="00BA3AF4">
                    <w:rPr>
                      <w:rFonts w:ascii="TTE179A848t00" w:hAnsi="TTE179A848t00" w:cs="TTE179A848t00"/>
                      <w:sz w:val="20"/>
                      <w:szCs w:val="20"/>
                    </w:rPr>
                    <w:t xml:space="preserve"> -</w:t>
                  </w:r>
                  <w:r w:rsidR="00626096">
                    <w:rPr>
                      <w:rFonts w:ascii="TTE179A848t00" w:hAnsi="TTE179A848t00" w:cs="TTE179A848t00"/>
                      <w:sz w:val="20"/>
                      <w:szCs w:val="20"/>
                    </w:rPr>
                    <w:t xml:space="preserve"> from concept to </w:t>
                  </w:r>
                  <w:r w:rsidR="00EF41F2">
                    <w:rPr>
                      <w:rFonts w:ascii="TTE179A848t00" w:hAnsi="TTE179A848t00" w:cs="TTE179A848t00"/>
                      <w:sz w:val="20"/>
                      <w:szCs w:val="20"/>
                    </w:rPr>
                    <w:t>developed d</w:t>
                  </w:r>
                  <w:r w:rsidRPr="00513EF0">
                    <w:rPr>
                      <w:rFonts w:ascii="TTE179A848t00" w:hAnsi="TTE179A848t00" w:cs="TTE179A848t00"/>
                      <w:sz w:val="20"/>
                      <w:szCs w:val="20"/>
                    </w:rPr>
                    <w:t>esign</w:t>
                  </w:r>
                  <w:r w:rsidR="00BA3AF4">
                    <w:rPr>
                      <w:rFonts w:ascii="TTE179A848t00" w:hAnsi="TTE179A848t00" w:cs="TTE179A848t00"/>
                      <w:sz w:val="20"/>
                      <w:szCs w:val="20"/>
                    </w:rPr>
                    <w:t xml:space="preserve"> - </w:t>
                  </w:r>
                  <w:r w:rsidR="00EF41F2">
                    <w:rPr>
                      <w:rFonts w:ascii="TTE179A848t00" w:hAnsi="TTE179A848t00" w:cs="TTE179A848t00"/>
                      <w:sz w:val="20"/>
                      <w:szCs w:val="20"/>
                    </w:rPr>
                    <w:t xml:space="preserve">with associated </w:t>
                  </w:r>
                  <w:r w:rsidR="00626096">
                    <w:rPr>
                      <w:rFonts w:ascii="TTE179A848t00" w:hAnsi="TTE179A848t00" w:cs="TTE179A848t00"/>
                      <w:sz w:val="20"/>
                      <w:szCs w:val="20"/>
                    </w:rPr>
                    <w:t xml:space="preserve">Consultation Engagement, </w:t>
                  </w:r>
                  <w:r w:rsidR="00EF41F2">
                    <w:rPr>
                      <w:rFonts w:ascii="TTE179A848t00" w:hAnsi="TTE179A848t00" w:cs="TTE179A848t00"/>
                      <w:sz w:val="20"/>
                      <w:szCs w:val="20"/>
                    </w:rPr>
                    <w:t>Management Plan</w:t>
                  </w:r>
                  <w:r w:rsidR="00626096">
                    <w:rPr>
                      <w:rFonts w:ascii="TTE179A848t00" w:hAnsi="TTE179A848t00" w:cs="TTE179A848t00"/>
                      <w:sz w:val="20"/>
                      <w:szCs w:val="20"/>
                    </w:rPr>
                    <w:t>, Program, Costing, Feasibility Development; RIBA 2 to 3</w:t>
                  </w:r>
                </w:p>
              </w:tc>
              <w:tc>
                <w:tcPr>
                  <w:tcW w:w="3004" w:type="dxa"/>
                </w:tcPr>
                <w:p w:rsidR="00513EF0" w:rsidRDefault="00513EF0" w:rsidP="000A0CE1">
                  <w:pPr>
                    <w:autoSpaceDE w:val="0"/>
                    <w:autoSpaceDN w:val="0"/>
                    <w:adjustRightInd w:val="0"/>
                    <w:rPr>
                      <w:rFonts w:ascii="TTE179A848t00" w:hAnsi="TTE179A848t00" w:cs="TTE179A848t00"/>
                      <w:sz w:val="20"/>
                      <w:szCs w:val="20"/>
                    </w:rPr>
                  </w:pPr>
                  <w:r w:rsidRPr="00513EF0">
                    <w:rPr>
                      <w:rFonts w:ascii="TTE179A848t00" w:hAnsi="TTE179A848t00" w:cs="TTE179A848t00"/>
                      <w:sz w:val="20"/>
                      <w:szCs w:val="20"/>
                    </w:rPr>
                    <w:t>Commence upon formal instruction from the Contracting Authority Representative</w:t>
                  </w:r>
                </w:p>
              </w:tc>
            </w:tr>
            <w:tr w:rsidR="00513EF0" w:rsidTr="000A0CE1">
              <w:tc>
                <w:tcPr>
                  <w:tcW w:w="1413" w:type="dxa"/>
                </w:tcPr>
                <w:p w:rsidR="00513EF0" w:rsidRDefault="00EF41F2" w:rsidP="000A0CE1">
                  <w:pPr>
                    <w:autoSpaceDE w:val="0"/>
                    <w:autoSpaceDN w:val="0"/>
                    <w:adjustRightInd w:val="0"/>
                    <w:rPr>
                      <w:rFonts w:ascii="TTE179A848t00" w:hAnsi="TTE179A848t00" w:cs="TTE179A848t00"/>
                      <w:sz w:val="20"/>
                      <w:szCs w:val="20"/>
                    </w:rPr>
                  </w:pPr>
                  <w:r>
                    <w:rPr>
                      <w:rFonts w:ascii="TTE179A848t00" w:hAnsi="TTE179A848t00" w:cs="TTE179A848t00"/>
                      <w:sz w:val="20"/>
                      <w:szCs w:val="20"/>
                    </w:rPr>
                    <w:t>3</w:t>
                  </w:r>
                </w:p>
              </w:tc>
              <w:tc>
                <w:tcPr>
                  <w:tcW w:w="4594" w:type="dxa"/>
                </w:tcPr>
                <w:p w:rsidR="00513EF0" w:rsidRPr="00657E03" w:rsidRDefault="00EF41F2" w:rsidP="00BA3AF4">
                  <w:pPr>
                    <w:autoSpaceDE w:val="0"/>
                    <w:autoSpaceDN w:val="0"/>
                    <w:adjustRightInd w:val="0"/>
                    <w:rPr>
                      <w:rFonts w:ascii="TTE179A848t00" w:hAnsi="TTE179A848t00" w:cs="TTE179A848t00"/>
                      <w:sz w:val="20"/>
                      <w:szCs w:val="20"/>
                    </w:rPr>
                  </w:pPr>
                  <w:r>
                    <w:rPr>
                      <w:rFonts w:ascii="TTE179A848t00" w:hAnsi="TTE179A848t00" w:cs="TTE179A848t00"/>
                      <w:sz w:val="20"/>
                      <w:szCs w:val="20"/>
                    </w:rPr>
                    <w:t>Client agreement - selection of preferred option. Final</w:t>
                  </w:r>
                  <w:r w:rsidR="00BA3AF4">
                    <w:rPr>
                      <w:rFonts w:ascii="TTE179A848t00" w:hAnsi="TTE179A848t00" w:cs="TTE179A848t00"/>
                      <w:sz w:val="20"/>
                      <w:szCs w:val="20"/>
                    </w:rPr>
                    <w:t xml:space="preserve"> Costing </w:t>
                  </w:r>
                  <w:r w:rsidR="00626096">
                    <w:rPr>
                      <w:rFonts w:ascii="TTE179A848t00" w:hAnsi="TTE179A848t00" w:cs="TTE179A848t00"/>
                      <w:sz w:val="20"/>
                      <w:szCs w:val="20"/>
                    </w:rPr>
                    <w:t xml:space="preserve">and </w:t>
                  </w:r>
                  <w:r>
                    <w:rPr>
                      <w:rFonts w:ascii="TTE179A848t00" w:hAnsi="TTE179A848t00" w:cs="TTE179A848t00"/>
                      <w:sz w:val="20"/>
                      <w:szCs w:val="20"/>
                    </w:rPr>
                    <w:t xml:space="preserve">Management Plan. Production of visuals and associated reports presenting scheme design with </w:t>
                  </w:r>
                  <w:r w:rsidR="00BA3AF4">
                    <w:rPr>
                      <w:rFonts w:ascii="TTE179A848t00" w:hAnsi="TTE179A848t00" w:cs="TTE179A848t00"/>
                      <w:sz w:val="20"/>
                      <w:szCs w:val="20"/>
                    </w:rPr>
                    <w:t>supporting</w:t>
                  </w:r>
                  <w:r>
                    <w:rPr>
                      <w:rFonts w:ascii="TTE179A848t00" w:hAnsi="TTE179A848t00" w:cs="TTE179A848t00"/>
                      <w:sz w:val="20"/>
                      <w:szCs w:val="20"/>
                    </w:rPr>
                    <w:t xml:space="preserve"> documentation.   </w:t>
                  </w:r>
                </w:p>
              </w:tc>
              <w:tc>
                <w:tcPr>
                  <w:tcW w:w="3004" w:type="dxa"/>
                </w:tcPr>
                <w:p w:rsidR="00513EF0" w:rsidRDefault="00513EF0" w:rsidP="000A0CE1">
                  <w:pPr>
                    <w:autoSpaceDE w:val="0"/>
                    <w:autoSpaceDN w:val="0"/>
                    <w:adjustRightInd w:val="0"/>
                    <w:rPr>
                      <w:rFonts w:ascii="TTE179A848t00" w:hAnsi="TTE179A848t00" w:cs="TTE179A848t00"/>
                      <w:sz w:val="20"/>
                      <w:szCs w:val="20"/>
                    </w:rPr>
                  </w:pPr>
                </w:p>
              </w:tc>
            </w:tr>
          </w:tbl>
          <w:p w:rsidR="007E7625" w:rsidRPr="00657E03" w:rsidRDefault="007E7625" w:rsidP="000A0CE1">
            <w:pPr>
              <w:autoSpaceDE w:val="0"/>
              <w:autoSpaceDN w:val="0"/>
              <w:adjustRightInd w:val="0"/>
              <w:rPr>
                <w:rFonts w:ascii="TTE179A848t00" w:hAnsi="TTE179A848t00" w:cs="TTE179A848t00"/>
                <w:sz w:val="20"/>
                <w:szCs w:val="20"/>
              </w:rPr>
            </w:pPr>
          </w:p>
          <w:p w:rsidR="007E7625" w:rsidRDefault="007E7625" w:rsidP="000A0CE1">
            <w:pPr>
              <w:autoSpaceDE w:val="0"/>
              <w:autoSpaceDN w:val="0"/>
              <w:adjustRightInd w:val="0"/>
              <w:rPr>
                <w:rFonts w:ascii="TTE179A848t00" w:hAnsi="TTE179A848t00" w:cs="TTE179A848t00"/>
                <w:sz w:val="20"/>
                <w:szCs w:val="20"/>
              </w:rPr>
            </w:pPr>
            <w:r>
              <w:rPr>
                <w:rFonts w:ascii="TTE179A848t00" w:hAnsi="TTE179A848t00" w:cs="TTE179A848t00"/>
                <w:sz w:val="20"/>
                <w:szCs w:val="20"/>
              </w:rPr>
              <w:t>Option X7 – Not used</w:t>
            </w:r>
          </w:p>
          <w:p w:rsidR="007E7625" w:rsidRDefault="007E7625" w:rsidP="000A0CE1">
            <w:pPr>
              <w:autoSpaceDE w:val="0"/>
              <w:autoSpaceDN w:val="0"/>
              <w:adjustRightInd w:val="0"/>
              <w:rPr>
                <w:rFonts w:ascii="TTE179A848t00" w:hAnsi="TTE179A848t00" w:cs="TTE179A848t00"/>
                <w:sz w:val="20"/>
                <w:szCs w:val="20"/>
              </w:rPr>
            </w:pPr>
          </w:p>
          <w:p w:rsidR="007E7625" w:rsidRDefault="007E7625" w:rsidP="007E7625">
            <w:pPr>
              <w:pStyle w:val="ListParagraph"/>
              <w:numPr>
                <w:ilvl w:val="0"/>
                <w:numId w:val="17"/>
              </w:numPr>
              <w:autoSpaceDE w:val="0"/>
              <w:autoSpaceDN w:val="0"/>
              <w:adjustRightInd w:val="0"/>
              <w:spacing w:after="0" w:line="240" w:lineRule="auto"/>
              <w:ind w:left="851" w:hanging="425"/>
              <w:rPr>
                <w:rFonts w:ascii="TTE179A848t00" w:hAnsi="TTE179A848t00" w:cs="TTE179A848t00"/>
                <w:sz w:val="20"/>
                <w:szCs w:val="20"/>
              </w:rPr>
            </w:pPr>
            <w:r>
              <w:rPr>
                <w:rFonts w:ascii="TTE179A848t00" w:hAnsi="TTE179A848t00" w:cs="TTE179A848t00"/>
                <w:sz w:val="20"/>
                <w:szCs w:val="20"/>
              </w:rPr>
              <w:t>Delay damages for each section of the services are</w:t>
            </w:r>
          </w:p>
          <w:p w:rsidR="007E7625" w:rsidRPr="005D3F05" w:rsidRDefault="007E7625" w:rsidP="000A0CE1">
            <w:pPr>
              <w:pStyle w:val="ListParagraph"/>
              <w:autoSpaceDE w:val="0"/>
              <w:autoSpaceDN w:val="0"/>
              <w:adjustRightInd w:val="0"/>
              <w:ind w:left="851"/>
              <w:rPr>
                <w:rFonts w:ascii="TTE179A848t00" w:hAnsi="TTE179A848t00" w:cs="TTE179A848t00"/>
                <w:sz w:val="20"/>
                <w:szCs w:val="20"/>
              </w:rPr>
            </w:pPr>
          </w:p>
          <w:p w:rsidR="007E7625" w:rsidRDefault="007E7625" w:rsidP="000A0CE1">
            <w:pPr>
              <w:autoSpaceDE w:val="0"/>
              <w:autoSpaceDN w:val="0"/>
              <w:adjustRightInd w:val="0"/>
              <w:rPr>
                <w:rFonts w:ascii="TTE179A848t00" w:hAnsi="TTE179A848t00" w:cs="TTE179A848t00"/>
                <w:sz w:val="20"/>
                <w:szCs w:val="20"/>
              </w:rPr>
            </w:pPr>
          </w:p>
          <w:p w:rsidR="007E7625" w:rsidRDefault="007E7625" w:rsidP="000A0CE1">
            <w:pPr>
              <w:autoSpaceDE w:val="0"/>
              <w:autoSpaceDN w:val="0"/>
              <w:adjustRightInd w:val="0"/>
              <w:rPr>
                <w:rFonts w:ascii="TTE179A848t00" w:hAnsi="TTE179A848t00" w:cs="TTE179A848t00"/>
                <w:sz w:val="20"/>
                <w:szCs w:val="20"/>
              </w:rPr>
            </w:pPr>
            <w:r>
              <w:rPr>
                <w:rFonts w:ascii="TTE179A848t00" w:hAnsi="TTE179A848t00" w:cs="TTE179A848t00"/>
                <w:sz w:val="20"/>
                <w:szCs w:val="20"/>
              </w:rPr>
              <w:t>Stage                                 description                                                        amount per day</w:t>
            </w:r>
          </w:p>
          <w:p w:rsidR="007E7625" w:rsidRDefault="007E7625" w:rsidP="000A0CE1">
            <w:pPr>
              <w:autoSpaceDE w:val="0"/>
              <w:autoSpaceDN w:val="0"/>
              <w:adjustRightInd w:val="0"/>
              <w:rPr>
                <w:rFonts w:ascii="TTE179A848t00" w:hAnsi="TTE179A848t00" w:cs="TTE179A848t00"/>
                <w:sz w:val="20"/>
                <w:szCs w:val="20"/>
              </w:rPr>
            </w:pPr>
          </w:p>
          <w:p w:rsidR="007E7625" w:rsidRDefault="007E7625" w:rsidP="000A0CE1">
            <w:pPr>
              <w:autoSpaceDE w:val="0"/>
              <w:autoSpaceDN w:val="0"/>
              <w:adjustRightInd w:val="0"/>
              <w:rPr>
                <w:rFonts w:ascii="TTE179A848t00" w:hAnsi="TTE179A848t00" w:cs="TTE179A848t00"/>
                <w:sz w:val="20"/>
                <w:szCs w:val="20"/>
              </w:rPr>
            </w:pPr>
            <w:r>
              <w:rPr>
                <w:rFonts w:ascii="TTE179A848t00" w:hAnsi="TTE179A848t00" w:cs="TTE179A848t00"/>
                <w:sz w:val="20"/>
                <w:szCs w:val="20"/>
              </w:rPr>
              <w:t>Stage 1                             .......................................                                   ...........................</w:t>
            </w:r>
          </w:p>
          <w:p w:rsidR="007E7625" w:rsidRDefault="007E7625" w:rsidP="000A0CE1">
            <w:pPr>
              <w:autoSpaceDE w:val="0"/>
              <w:autoSpaceDN w:val="0"/>
              <w:adjustRightInd w:val="0"/>
              <w:rPr>
                <w:rFonts w:ascii="TTE179A848t00" w:hAnsi="TTE179A848t00" w:cs="TTE179A848t00"/>
                <w:sz w:val="20"/>
                <w:szCs w:val="20"/>
              </w:rPr>
            </w:pPr>
          </w:p>
          <w:p w:rsidR="007E7625" w:rsidRDefault="007E7625" w:rsidP="000A0CE1">
            <w:pPr>
              <w:autoSpaceDE w:val="0"/>
              <w:autoSpaceDN w:val="0"/>
              <w:adjustRightInd w:val="0"/>
              <w:rPr>
                <w:rFonts w:ascii="TTE179A848t00" w:hAnsi="TTE179A848t00" w:cs="TTE179A848t00"/>
                <w:sz w:val="20"/>
                <w:szCs w:val="20"/>
              </w:rPr>
            </w:pPr>
            <w:r>
              <w:rPr>
                <w:rFonts w:ascii="TTE179A848t00" w:hAnsi="TTE179A848t00" w:cs="TTE179A848t00"/>
                <w:sz w:val="20"/>
                <w:szCs w:val="20"/>
              </w:rPr>
              <w:t>Stage 2                             .......................................                                  ............................</w:t>
            </w:r>
          </w:p>
          <w:p w:rsidR="007E7625" w:rsidRDefault="007E7625" w:rsidP="000A0CE1">
            <w:pPr>
              <w:autoSpaceDE w:val="0"/>
              <w:autoSpaceDN w:val="0"/>
              <w:adjustRightInd w:val="0"/>
              <w:rPr>
                <w:rFonts w:ascii="TTE179A848t00" w:hAnsi="TTE179A848t00" w:cs="TTE179A848t00"/>
                <w:sz w:val="20"/>
                <w:szCs w:val="20"/>
              </w:rPr>
            </w:pPr>
          </w:p>
          <w:p w:rsidR="007E7625" w:rsidRPr="00A65724" w:rsidRDefault="007E7625" w:rsidP="000A0CE1">
            <w:pPr>
              <w:autoSpaceDE w:val="0"/>
              <w:autoSpaceDN w:val="0"/>
              <w:adjustRightInd w:val="0"/>
              <w:rPr>
                <w:rFonts w:ascii="TTE179A848t00" w:hAnsi="TTE179A848t00" w:cs="TTE179A848t00"/>
                <w:sz w:val="20"/>
                <w:szCs w:val="20"/>
              </w:rPr>
            </w:pPr>
            <w:r>
              <w:rPr>
                <w:rFonts w:ascii="TTE179A848t00" w:hAnsi="TTE179A848t00" w:cs="TTE179A848t00"/>
                <w:sz w:val="20"/>
                <w:szCs w:val="20"/>
              </w:rPr>
              <w:t>Stage 3                             .......................................                                  .............................</w:t>
            </w:r>
          </w:p>
          <w:p w:rsidR="007E7625" w:rsidRDefault="007E7625" w:rsidP="000A0CE1">
            <w:pPr>
              <w:autoSpaceDE w:val="0"/>
              <w:autoSpaceDN w:val="0"/>
              <w:adjustRightInd w:val="0"/>
              <w:rPr>
                <w:rFonts w:ascii="TTE179A848t00" w:hAnsi="TTE179A848t00" w:cs="TTE179A848t00"/>
                <w:sz w:val="20"/>
                <w:szCs w:val="20"/>
              </w:rPr>
            </w:pPr>
          </w:p>
          <w:p w:rsidR="007E7625" w:rsidRDefault="007E7625" w:rsidP="000A0CE1">
            <w:pPr>
              <w:autoSpaceDE w:val="0"/>
              <w:autoSpaceDN w:val="0"/>
              <w:adjustRightInd w:val="0"/>
              <w:rPr>
                <w:rFonts w:ascii="TTE179A848t00" w:hAnsi="TTE179A848t00" w:cs="TTE179A848t00"/>
                <w:sz w:val="20"/>
                <w:szCs w:val="20"/>
              </w:rPr>
            </w:pPr>
            <w:r>
              <w:rPr>
                <w:rFonts w:ascii="TTE179A848t00" w:hAnsi="TTE179A848t00" w:cs="TTE179A848t00"/>
                <w:sz w:val="20"/>
                <w:szCs w:val="20"/>
              </w:rPr>
              <w:t>Remainder of the services.....................................................................................................</w:t>
            </w:r>
          </w:p>
          <w:p w:rsidR="007E7625" w:rsidRDefault="007E7625" w:rsidP="000A0CE1">
            <w:pPr>
              <w:autoSpaceDE w:val="0"/>
              <w:autoSpaceDN w:val="0"/>
              <w:adjustRightInd w:val="0"/>
              <w:rPr>
                <w:rFonts w:ascii="TTE179A848t00" w:hAnsi="TTE179A848t00" w:cs="TTE179A848t00"/>
                <w:sz w:val="20"/>
                <w:szCs w:val="20"/>
              </w:rPr>
            </w:pPr>
          </w:p>
          <w:p w:rsidR="007E7625" w:rsidRDefault="007E7625" w:rsidP="000A0CE1">
            <w:pPr>
              <w:autoSpaceDE w:val="0"/>
              <w:autoSpaceDN w:val="0"/>
              <w:adjustRightInd w:val="0"/>
              <w:rPr>
                <w:rFonts w:ascii="TTE179A848t00" w:hAnsi="TTE179A848t00" w:cs="TTE179A848t00"/>
                <w:sz w:val="20"/>
                <w:szCs w:val="20"/>
              </w:rPr>
            </w:pPr>
          </w:p>
          <w:p w:rsidR="007E7625" w:rsidRDefault="007E7625" w:rsidP="000A0CE1">
            <w:pPr>
              <w:autoSpaceDE w:val="0"/>
              <w:autoSpaceDN w:val="0"/>
              <w:adjustRightInd w:val="0"/>
              <w:rPr>
                <w:rFonts w:ascii="TTE179A848t00" w:hAnsi="TTE179A848t00" w:cs="TTE179A848t00"/>
                <w:sz w:val="20"/>
                <w:szCs w:val="20"/>
              </w:rPr>
            </w:pPr>
            <w:r>
              <w:rPr>
                <w:rFonts w:ascii="TTE179A848t00" w:hAnsi="TTE179A848t00" w:cs="TTE179A848t00"/>
                <w:sz w:val="20"/>
                <w:szCs w:val="20"/>
              </w:rPr>
              <w:t>Option X8 –Not used</w:t>
            </w:r>
          </w:p>
          <w:p w:rsidR="007E7625" w:rsidRDefault="007E7625" w:rsidP="000A0CE1">
            <w:pPr>
              <w:autoSpaceDE w:val="0"/>
              <w:autoSpaceDN w:val="0"/>
              <w:adjustRightInd w:val="0"/>
              <w:rPr>
                <w:rFonts w:ascii="TTE179A848t00" w:hAnsi="TTE179A848t00" w:cs="TTE179A848t00"/>
                <w:sz w:val="20"/>
                <w:szCs w:val="20"/>
              </w:rPr>
            </w:pPr>
          </w:p>
          <w:p w:rsidR="007E7625" w:rsidRDefault="007E7625" w:rsidP="007E7625">
            <w:pPr>
              <w:pStyle w:val="ListParagraph"/>
              <w:numPr>
                <w:ilvl w:val="0"/>
                <w:numId w:val="17"/>
              </w:numPr>
              <w:autoSpaceDE w:val="0"/>
              <w:autoSpaceDN w:val="0"/>
              <w:adjustRightInd w:val="0"/>
              <w:spacing w:after="0" w:line="240" w:lineRule="auto"/>
              <w:ind w:left="709" w:hanging="283"/>
              <w:rPr>
                <w:rFonts w:ascii="TTE179A848t00" w:hAnsi="TTE179A848t00" w:cs="TTE179A848t00"/>
                <w:sz w:val="20"/>
                <w:szCs w:val="20"/>
              </w:rPr>
            </w:pPr>
            <w:r>
              <w:rPr>
                <w:rFonts w:ascii="TTE179A848t00" w:hAnsi="TTE179A848t00" w:cs="TTE179A848t00"/>
                <w:sz w:val="20"/>
                <w:szCs w:val="20"/>
              </w:rPr>
              <w:t>The collateral warranty agreements are</w:t>
            </w:r>
          </w:p>
          <w:p w:rsidR="007E7625" w:rsidRDefault="007E7625" w:rsidP="000A0CE1">
            <w:pPr>
              <w:pStyle w:val="ListParagraph"/>
              <w:autoSpaceDE w:val="0"/>
              <w:autoSpaceDN w:val="0"/>
              <w:adjustRightInd w:val="0"/>
              <w:ind w:left="709"/>
              <w:rPr>
                <w:rFonts w:ascii="TTE179A848t00" w:hAnsi="TTE179A848t00" w:cs="TTE179A848t00"/>
                <w:sz w:val="20"/>
                <w:szCs w:val="20"/>
              </w:rPr>
            </w:pPr>
          </w:p>
          <w:p w:rsidR="007E7625" w:rsidRDefault="007E7625" w:rsidP="000A0CE1">
            <w:pPr>
              <w:autoSpaceDE w:val="0"/>
              <w:autoSpaceDN w:val="0"/>
              <w:adjustRightInd w:val="0"/>
              <w:rPr>
                <w:rFonts w:ascii="TTE179A848t00" w:hAnsi="TTE179A848t00" w:cs="TTE179A848t00"/>
                <w:sz w:val="20"/>
                <w:szCs w:val="20"/>
              </w:rPr>
            </w:pPr>
          </w:p>
          <w:p w:rsidR="007E7625" w:rsidRDefault="007E7625" w:rsidP="000A0CE1">
            <w:pPr>
              <w:autoSpaceDE w:val="0"/>
              <w:autoSpaceDN w:val="0"/>
              <w:adjustRightInd w:val="0"/>
              <w:rPr>
                <w:rFonts w:ascii="TTE179A848t00" w:hAnsi="TTE179A848t00" w:cs="TTE179A848t00"/>
                <w:sz w:val="20"/>
                <w:szCs w:val="20"/>
              </w:rPr>
            </w:pPr>
            <w:r>
              <w:rPr>
                <w:rFonts w:ascii="TTE179A848t00" w:hAnsi="TTE179A848t00" w:cs="TTE179A848t00"/>
                <w:sz w:val="20"/>
                <w:szCs w:val="20"/>
              </w:rPr>
              <w:t>Agreement reference                                                       Third party</w:t>
            </w:r>
          </w:p>
          <w:p w:rsidR="007E7625" w:rsidRDefault="007E7625" w:rsidP="000A0CE1">
            <w:pPr>
              <w:autoSpaceDE w:val="0"/>
              <w:autoSpaceDN w:val="0"/>
              <w:adjustRightInd w:val="0"/>
              <w:rPr>
                <w:rFonts w:ascii="TTE179A848t00" w:hAnsi="TTE179A848t00" w:cs="TTE179A848t00"/>
                <w:sz w:val="20"/>
                <w:szCs w:val="20"/>
              </w:rPr>
            </w:pPr>
          </w:p>
          <w:p w:rsidR="007E7625" w:rsidRDefault="007E7625" w:rsidP="000A0CE1">
            <w:pPr>
              <w:autoSpaceDE w:val="0"/>
              <w:autoSpaceDN w:val="0"/>
              <w:adjustRightInd w:val="0"/>
              <w:rPr>
                <w:rFonts w:ascii="TTE179A848t00" w:hAnsi="TTE179A848t00" w:cs="TTE179A848t00"/>
                <w:sz w:val="20"/>
                <w:szCs w:val="20"/>
              </w:rPr>
            </w:pPr>
            <w:r>
              <w:rPr>
                <w:rFonts w:ascii="TTE179A848t00" w:hAnsi="TTE179A848t00" w:cs="TTE179A848t00"/>
                <w:sz w:val="20"/>
                <w:szCs w:val="20"/>
              </w:rPr>
              <w:t>..................................                                                       .....................................................</w:t>
            </w:r>
          </w:p>
          <w:p w:rsidR="007E7625" w:rsidRDefault="007E7625" w:rsidP="000A0CE1">
            <w:pPr>
              <w:autoSpaceDE w:val="0"/>
              <w:autoSpaceDN w:val="0"/>
              <w:adjustRightInd w:val="0"/>
              <w:rPr>
                <w:rFonts w:ascii="TTE179A848t00" w:hAnsi="TTE179A848t00" w:cs="TTE179A848t00"/>
                <w:sz w:val="20"/>
                <w:szCs w:val="20"/>
              </w:rPr>
            </w:pPr>
          </w:p>
          <w:p w:rsidR="007E7625" w:rsidRDefault="007E7625" w:rsidP="000A0CE1">
            <w:pPr>
              <w:autoSpaceDE w:val="0"/>
              <w:autoSpaceDN w:val="0"/>
              <w:adjustRightInd w:val="0"/>
              <w:rPr>
                <w:rFonts w:ascii="TTE179A848t00" w:hAnsi="TTE179A848t00" w:cs="TTE179A848t00"/>
                <w:sz w:val="20"/>
                <w:szCs w:val="20"/>
              </w:rPr>
            </w:pPr>
            <w:r>
              <w:rPr>
                <w:rFonts w:ascii="TTE179A848t00" w:hAnsi="TTE179A848t00" w:cs="TTE179A848t00"/>
                <w:sz w:val="20"/>
                <w:szCs w:val="20"/>
              </w:rPr>
              <w:t>..................................                                                      .......................................................</w:t>
            </w:r>
          </w:p>
          <w:p w:rsidR="007E7625" w:rsidRDefault="007E7625" w:rsidP="000A0CE1">
            <w:pPr>
              <w:autoSpaceDE w:val="0"/>
              <w:autoSpaceDN w:val="0"/>
              <w:adjustRightInd w:val="0"/>
              <w:rPr>
                <w:rFonts w:ascii="TTE179A848t00" w:hAnsi="TTE179A848t00" w:cs="TTE179A848t00"/>
                <w:sz w:val="20"/>
                <w:szCs w:val="20"/>
              </w:rPr>
            </w:pPr>
          </w:p>
          <w:p w:rsidR="007E7625" w:rsidRDefault="007E7625" w:rsidP="000A0CE1">
            <w:pPr>
              <w:autoSpaceDE w:val="0"/>
              <w:autoSpaceDN w:val="0"/>
              <w:adjustRightInd w:val="0"/>
              <w:rPr>
                <w:rFonts w:ascii="TTE179A848t00" w:hAnsi="TTE179A848t00" w:cs="TTE179A848t00"/>
                <w:sz w:val="20"/>
                <w:szCs w:val="20"/>
              </w:rPr>
            </w:pPr>
            <w:r>
              <w:rPr>
                <w:rFonts w:ascii="TTE179A848t00" w:hAnsi="TTE179A848t00" w:cs="TTE179A848t00"/>
                <w:sz w:val="20"/>
                <w:szCs w:val="20"/>
              </w:rPr>
              <w:t>...................................                                                     .......................................................</w:t>
            </w:r>
          </w:p>
          <w:p w:rsidR="007E7625" w:rsidRDefault="007E7625" w:rsidP="000A0CE1">
            <w:pPr>
              <w:autoSpaceDE w:val="0"/>
              <w:autoSpaceDN w:val="0"/>
              <w:adjustRightInd w:val="0"/>
              <w:rPr>
                <w:rFonts w:ascii="TTE179A848t00" w:hAnsi="TTE179A848t00" w:cs="TTE179A848t00"/>
                <w:sz w:val="20"/>
                <w:szCs w:val="20"/>
              </w:rPr>
            </w:pPr>
          </w:p>
          <w:p w:rsidR="007E7625" w:rsidRDefault="007E7625" w:rsidP="000A0CE1">
            <w:pPr>
              <w:autoSpaceDE w:val="0"/>
              <w:autoSpaceDN w:val="0"/>
              <w:adjustRightInd w:val="0"/>
              <w:rPr>
                <w:rFonts w:ascii="TTE179A848t00" w:hAnsi="TTE179A848t00" w:cs="TTE179A848t00"/>
                <w:sz w:val="20"/>
                <w:szCs w:val="20"/>
              </w:rPr>
            </w:pPr>
          </w:p>
          <w:p w:rsidR="007E7625" w:rsidRDefault="007E7625" w:rsidP="000A0CE1">
            <w:pPr>
              <w:autoSpaceDE w:val="0"/>
              <w:autoSpaceDN w:val="0"/>
              <w:adjustRightInd w:val="0"/>
              <w:rPr>
                <w:rFonts w:ascii="TTE179A848t00" w:hAnsi="TTE179A848t00" w:cs="TTE179A848t00"/>
                <w:sz w:val="20"/>
                <w:szCs w:val="20"/>
              </w:rPr>
            </w:pPr>
          </w:p>
          <w:p w:rsidR="007E7625" w:rsidRDefault="007E7625" w:rsidP="000A0CE1">
            <w:pPr>
              <w:autoSpaceDE w:val="0"/>
              <w:autoSpaceDN w:val="0"/>
              <w:adjustRightInd w:val="0"/>
              <w:rPr>
                <w:rFonts w:ascii="TTE179A848t00" w:hAnsi="TTE179A848t00" w:cs="TTE179A848t00"/>
                <w:sz w:val="20"/>
                <w:szCs w:val="20"/>
              </w:rPr>
            </w:pPr>
          </w:p>
          <w:p w:rsidR="007E7625" w:rsidRDefault="007E7625" w:rsidP="000A0CE1">
            <w:pPr>
              <w:autoSpaceDE w:val="0"/>
              <w:autoSpaceDN w:val="0"/>
              <w:adjustRightInd w:val="0"/>
              <w:rPr>
                <w:rFonts w:ascii="TTE179A848t00" w:hAnsi="TTE179A848t00" w:cs="TTE179A848t00"/>
                <w:sz w:val="20"/>
                <w:szCs w:val="20"/>
              </w:rPr>
            </w:pPr>
          </w:p>
          <w:p w:rsidR="007E7625" w:rsidRDefault="007E7625" w:rsidP="000A0CE1">
            <w:pPr>
              <w:autoSpaceDE w:val="0"/>
              <w:autoSpaceDN w:val="0"/>
              <w:adjustRightInd w:val="0"/>
              <w:rPr>
                <w:rFonts w:ascii="TTE179A848t00" w:hAnsi="TTE179A848t00" w:cs="TTE179A848t00"/>
                <w:sz w:val="20"/>
                <w:szCs w:val="20"/>
              </w:rPr>
            </w:pPr>
          </w:p>
          <w:p w:rsidR="007E7625" w:rsidRDefault="007E7625" w:rsidP="000A0CE1">
            <w:pPr>
              <w:autoSpaceDE w:val="0"/>
              <w:autoSpaceDN w:val="0"/>
              <w:adjustRightInd w:val="0"/>
              <w:rPr>
                <w:rFonts w:ascii="TTE179A848t00" w:hAnsi="TTE179A848t00" w:cs="TTE179A848t00"/>
                <w:sz w:val="20"/>
                <w:szCs w:val="20"/>
              </w:rPr>
            </w:pPr>
          </w:p>
          <w:p w:rsidR="007E7625" w:rsidRDefault="007E7625" w:rsidP="000A0CE1">
            <w:pPr>
              <w:autoSpaceDE w:val="0"/>
              <w:autoSpaceDN w:val="0"/>
              <w:adjustRightInd w:val="0"/>
              <w:rPr>
                <w:rFonts w:ascii="TTE179A848t00" w:hAnsi="TTE179A848t00" w:cs="TTE179A848t00"/>
                <w:sz w:val="20"/>
                <w:szCs w:val="20"/>
              </w:rPr>
            </w:pPr>
          </w:p>
          <w:p w:rsidR="007E7625" w:rsidRDefault="007E7625" w:rsidP="000A0CE1">
            <w:pPr>
              <w:autoSpaceDE w:val="0"/>
              <w:autoSpaceDN w:val="0"/>
              <w:adjustRightInd w:val="0"/>
              <w:rPr>
                <w:rFonts w:ascii="TTE179A848t00" w:hAnsi="TTE179A848t00" w:cs="TTE179A848t00"/>
                <w:sz w:val="20"/>
                <w:szCs w:val="20"/>
              </w:rPr>
            </w:pPr>
          </w:p>
          <w:p w:rsidR="007E7625" w:rsidRDefault="007E7625" w:rsidP="000A0CE1">
            <w:pPr>
              <w:autoSpaceDE w:val="0"/>
              <w:autoSpaceDN w:val="0"/>
              <w:adjustRightInd w:val="0"/>
              <w:rPr>
                <w:rFonts w:ascii="TTE179A848t00" w:hAnsi="TTE179A848t00" w:cs="TTE179A848t00"/>
                <w:sz w:val="20"/>
                <w:szCs w:val="20"/>
              </w:rPr>
            </w:pPr>
          </w:p>
          <w:p w:rsidR="007E7625" w:rsidRDefault="007E7625" w:rsidP="000A0CE1">
            <w:pPr>
              <w:autoSpaceDE w:val="0"/>
              <w:autoSpaceDN w:val="0"/>
              <w:adjustRightInd w:val="0"/>
              <w:rPr>
                <w:rFonts w:ascii="TTE179A848t00" w:hAnsi="TTE179A848t00" w:cs="TTE179A848t00"/>
                <w:sz w:val="20"/>
                <w:szCs w:val="20"/>
              </w:rPr>
            </w:pPr>
          </w:p>
          <w:p w:rsidR="007E7625" w:rsidRDefault="007E7625" w:rsidP="000A0CE1">
            <w:pPr>
              <w:autoSpaceDE w:val="0"/>
              <w:autoSpaceDN w:val="0"/>
              <w:adjustRightInd w:val="0"/>
              <w:rPr>
                <w:rFonts w:ascii="TTE179A848t00" w:hAnsi="TTE179A848t00" w:cs="TTE179A848t00"/>
                <w:sz w:val="20"/>
                <w:szCs w:val="20"/>
              </w:rPr>
            </w:pPr>
          </w:p>
          <w:p w:rsidR="007E7625" w:rsidRDefault="007E7625" w:rsidP="000A0CE1">
            <w:pPr>
              <w:autoSpaceDE w:val="0"/>
              <w:autoSpaceDN w:val="0"/>
              <w:adjustRightInd w:val="0"/>
              <w:rPr>
                <w:rFonts w:ascii="TTE179A848t00" w:hAnsi="TTE179A848t00" w:cs="TTE179A848t00"/>
                <w:sz w:val="20"/>
                <w:szCs w:val="20"/>
              </w:rPr>
            </w:pPr>
          </w:p>
          <w:p w:rsidR="007E7625" w:rsidRDefault="007E7625" w:rsidP="000A0CE1">
            <w:pPr>
              <w:autoSpaceDE w:val="0"/>
              <w:autoSpaceDN w:val="0"/>
              <w:adjustRightInd w:val="0"/>
              <w:rPr>
                <w:rFonts w:ascii="TTE179A848t00" w:hAnsi="TTE179A848t00" w:cs="TTE179A848t00"/>
                <w:sz w:val="20"/>
                <w:szCs w:val="20"/>
              </w:rPr>
            </w:pPr>
          </w:p>
        </w:tc>
      </w:tr>
      <w:tr w:rsidR="007E7625" w:rsidTr="000A0CE1">
        <w:tc>
          <w:tcPr>
            <w:tcW w:w="9242" w:type="dxa"/>
          </w:tcPr>
          <w:p w:rsidR="007E7625" w:rsidRDefault="007E7625" w:rsidP="000A0CE1">
            <w:pPr>
              <w:autoSpaceDE w:val="0"/>
              <w:autoSpaceDN w:val="0"/>
              <w:adjustRightInd w:val="0"/>
              <w:rPr>
                <w:rFonts w:ascii="TTE179A848t00" w:hAnsi="TTE179A848t00" w:cs="TTE179A848t00"/>
                <w:sz w:val="20"/>
                <w:szCs w:val="20"/>
              </w:rPr>
            </w:pPr>
          </w:p>
        </w:tc>
      </w:tr>
      <w:tr w:rsidR="007E7625" w:rsidTr="000A0CE1">
        <w:tc>
          <w:tcPr>
            <w:tcW w:w="9242" w:type="dxa"/>
            <w:shd w:val="clear" w:color="auto" w:fill="000000" w:themeFill="text1"/>
          </w:tcPr>
          <w:p w:rsidR="007E7625" w:rsidRDefault="007E7625" w:rsidP="000A0CE1">
            <w:pPr>
              <w:autoSpaceDE w:val="0"/>
              <w:autoSpaceDN w:val="0"/>
              <w:adjustRightInd w:val="0"/>
              <w:rPr>
                <w:rFonts w:ascii="TTE179A848t00" w:hAnsi="TTE179A848t00" w:cs="TTE179A848t00"/>
                <w:sz w:val="20"/>
                <w:szCs w:val="20"/>
              </w:rPr>
            </w:pPr>
          </w:p>
          <w:p w:rsidR="007E7625" w:rsidRPr="005E07FB" w:rsidRDefault="007E7625" w:rsidP="000A0CE1">
            <w:pPr>
              <w:autoSpaceDE w:val="0"/>
              <w:autoSpaceDN w:val="0"/>
              <w:adjustRightInd w:val="0"/>
              <w:jc w:val="center"/>
              <w:rPr>
                <w:rFonts w:cs="Arial"/>
                <w:b/>
                <w:sz w:val="52"/>
                <w:szCs w:val="52"/>
              </w:rPr>
            </w:pPr>
            <w:r>
              <w:rPr>
                <w:rFonts w:cs="Arial"/>
                <w:b/>
                <w:color w:val="FFFFFF"/>
                <w:sz w:val="52"/>
                <w:szCs w:val="52"/>
              </w:rPr>
              <w:t>Part Two – Data Provided by the Consultant</w:t>
            </w:r>
          </w:p>
        </w:tc>
      </w:tr>
      <w:tr w:rsidR="007E7625" w:rsidTr="000A0CE1">
        <w:tc>
          <w:tcPr>
            <w:tcW w:w="9242" w:type="dxa"/>
            <w:shd w:val="clear" w:color="auto" w:fill="auto"/>
          </w:tcPr>
          <w:p w:rsidR="007E7625" w:rsidRDefault="007E7625" w:rsidP="000A0CE1">
            <w:pPr>
              <w:autoSpaceDE w:val="0"/>
              <w:autoSpaceDN w:val="0"/>
              <w:adjustRightInd w:val="0"/>
              <w:rPr>
                <w:rFonts w:ascii="TTE179A848t00" w:hAnsi="TTE179A848t00" w:cs="TTE179A848t00"/>
                <w:sz w:val="20"/>
                <w:szCs w:val="20"/>
              </w:rPr>
            </w:pPr>
          </w:p>
          <w:p w:rsidR="007E7625" w:rsidRPr="00B373A3" w:rsidRDefault="007E7625" w:rsidP="007E7625">
            <w:pPr>
              <w:pStyle w:val="ListParagraph"/>
              <w:numPr>
                <w:ilvl w:val="0"/>
                <w:numId w:val="16"/>
              </w:numPr>
              <w:autoSpaceDE w:val="0"/>
              <w:autoSpaceDN w:val="0"/>
              <w:adjustRightInd w:val="0"/>
              <w:spacing w:after="0" w:line="240" w:lineRule="auto"/>
              <w:rPr>
                <w:rFonts w:ascii="TTE179A848t00" w:hAnsi="TTE179A848t00" w:cs="TTE179A848t00"/>
                <w:sz w:val="20"/>
                <w:szCs w:val="20"/>
              </w:rPr>
            </w:pPr>
            <w:r w:rsidRPr="00B373A3">
              <w:rPr>
                <w:rFonts w:ascii="TTE179A848t00" w:hAnsi="TTE179A848t00" w:cs="TTE179A848t00"/>
                <w:sz w:val="20"/>
                <w:szCs w:val="20"/>
              </w:rPr>
              <w:t>The Consultant is</w:t>
            </w:r>
          </w:p>
          <w:p w:rsidR="007E7625" w:rsidRPr="00651BF9" w:rsidRDefault="007E7625" w:rsidP="000A0CE1">
            <w:pPr>
              <w:autoSpaceDE w:val="0"/>
              <w:autoSpaceDN w:val="0"/>
              <w:adjustRightInd w:val="0"/>
              <w:rPr>
                <w:rFonts w:ascii="TTE179A848t00" w:hAnsi="TTE179A848t00" w:cs="TTE179A848t00"/>
                <w:sz w:val="20"/>
                <w:szCs w:val="20"/>
              </w:rPr>
            </w:pPr>
          </w:p>
          <w:p w:rsidR="007E7625" w:rsidRPr="00651BF9" w:rsidRDefault="007E7625" w:rsidP="000A0CE1">
            <w:pPr>
              <w:autoSpaceDE w:val="0"/>
              <w:autoSpaceDN w:val="0"/>
              <w:adjustRightInd w:val="0"/>
              <w:rPr>
                <w:rFonts w:ascii="TTE179A848t00" w:hAnsi="TTE179A848t00" w:cs="TTE179A848t00"/>
                <w:sz w:val="20"/>
                <w:szCs w:val="20"/>
              </w:rPr>
            </w:pPr>
            <w:r w:rsidRPr="00651BF9">
              <w:rPr>
                <w:rFonts w:ascii="TTE179A848t00" w:hAnsi="TTE179A848t00" w:cs="TTE179A848t00"/>
                <w:sz w:val="20"/>
                <w:szCs w:val="20"/>
              </w:rPr>
              <w:t>Name</w:t>
            </w:r>
            <w:r>
              <w:rPr>
                <w:rFonts w:ascii="TTE179A848t00" w:hAnsi="TTE179A848t00" w:cs="TTE179A848t00"/>
                <w:sz w:val="20"/>
                <w:szCs w:val="20"/>
              </w:rPr>
              <w:t xml:space="preserve">                               </w:t>
            </w:r>
          </w:p>
          <w:p w:rsidR="007E7625" w:rsidRPr="00651BF9" w:rsidRDefault="007E7625" w:rsidP="000A0CE1">
            <w:pPr>
              <w:autoSpaceDE w:val="0"/>
              <w:autoSpaceDN w:val="0"/>
              <w:adjustRightInd w:val="0"/>
              <w:rPr>
                <w:rFonts w:ascii="TTE179A848t00" w:hAnsi="TTE179A848t00" w:cs="TTE179A848t00"/>
                <w:sz w:val="20"/>
                <w:szCs w:val="20"/>
              </w:rPr>
            </w:pPr>
            <w:r w:rsidRPr="00651BF9">
              <w:rPr>
                <w:rFonts w:ascii="TTE179A848t00" w:hAnsi="TTE179A848t00" w:cs="TTE179A848t00"/>
                <w:sz w:val="20"/>
                <w:szCs w:val="20"/>
              </w:rPr>
              <w:t>Address</w:t>
            </w:r>
            <w:r>
              <w:rPr>
                <w:rFonts w:ascii="TTE179A848t00" w:hAnsi="TTE179A848t00" w:cs="TTE179A848t00"/>
                <w:sz w:val="20"/>
                <w:szCs w:val="20"/>
              </w:rPr>
              <w:t xml:space="preserve">                           </w:t>
            </w:r>
          </w:p>
          <w:p w:rsidR="007E7625" w:rsidRPr="00651BF9" w:rsidRDefault="007E7625" w:rsidP="000A0CE1">
            <w:pPr>
              <w:autoSpaceDE w:val="0"/>
              <w:autoSpaceDN w:val="0"/>
              <w:adjustRightInd w:val="0"/>
              <w:rPr>
                <w:rFonts w:ascii="TTE179A848t00" w:hAnsi="TTE179A848t00" w:cs="TTE179A848t00"/>
                <w:sz w:val="20"/>
                <w:szCs w:val="20"/>
              </w:rPr>
            </w:pPr>
            <w:r w:rsidRPr="00651BF9">
              <w:rPr>
                <w:rFonts w:ascii="TTE179A848t00" w:hAnsi="TTE179A848t00" w:cs="TTE179A848t00"/>
                <w:sz w:val="20"/>
                <w:szCs w:val="20"/>
              </w:rPr>
              <w:t>Telephone</w:t>
            </w:r>
            <w:r>
              <w:rPr>
                <w:rFonts w:ascii="TTE179A848t00" w:hAnsi="TTE179A848t00" w:cs="TTE179A848t00"/>
                <w:sz w:val="20"/>
                <w:szCs w:val="20"/>
              </w:rPr>
              <w:t xml:space="preserve">                       </w:t>
            </w:r>
          </w:p>
          <w:p w:rsidR="007E7625" w:rsidRDefault="007E7625" w:rsidP="000A0CE1">
            <w:pPr>
              <w:autoSpaceDE w:val="0"/>
              <w:autoSpaceDN w:val="0"/>
              <w:adjustRightInd w:val="0"/>
              <w:rPr>
                <w:rFonts w:ascii="TTE179A848t00" w:hAnsi="TTE179A848t00" w:cs="TTE179A848t00"/>
                <w:sz w:val="20"/>
                <w:szCs w:val="20"/>
              </w:rPr>
            </w:pPr>
            <w:r w:rsidRPr="00651BF9">
              <w:rPr>
                <w:rFonts w:ascii="TTE179A848t00" w:hAnsi="TTE179A848t00" w:cs="TTE179A848t00"/>
                <w:sz w:val="20"/>
                <w:szCs w:val="20"/>
              </w:rPr>
              <w:t>E-mail address</w:t>
            </w:r>
            <w:r>
              <w:rPr>
                <w:rFonts w:ascii="TTE179A848t00" w:hAnsi="TTE179A848t00" w:cs="TTE179A848t00"/>
                <w:sz w:val="20"/>
                <w:szCs w:val="20"/>
              </w:rPr>
              <w:t xml:space="preserve">                </w:t>
            </w:r>
          </w:p>
          <w:p w:rsidR="007E7625" w:rsidRDefault="007E7625" w:rsidP="000A0CE1">
            <w:pPr>
              <w:autoSpaceDE w:val="0"/>
              <w:autoSpaceDN w:val="0"/>
              <w:adjustRightInd w:val="0"/>
              <w:rPr>
                <w:rFonts w:ascii="TTE179A848t00" w:hAnsi="TTE179A848t00" w:cs="TTE179A848t00"/>
                <w:sz w:val="20"/>
                <w:szCs w:val="20"/>
              </w:rPr>
            </w:pPr>
          </w:p>
          <w:p w:rsidR="007E7625" w:rsidRPr="00B373A3" w:rsidRDefault="007E7625" w:rsidP="007E7625">
            <w:pPr>
              <w:pStyle w:val="ListParagraph"/>
              <w:numPr>
                <w:ilvl w:val="0"/>
                <w:numId w:val="16"/>
              </w:numPr>
              <w:autoSpaceDE w:val="0"/>
              <w:autoSpaceDN w:val="0"/>
              <w:adjustRightInd w:val="0"/>
              <w:spacing w:after="0" w:line="240" w:lineRule="auto"/>
              <w:rPr>
                <w:rFonts w:ascii="TTE179A848t00" w:hAnsi="TTE179A848t00" w:cs="TTE179A848t00"/>
                <w:sz w:val="20"/>
                <w:szCs w:val="20"/>
              </w:rPr>
            </w:pPr>
            <w:r w:rsidRPr="00B373A3">
              <w:rPr>
                <w:rFonts w:ascii="TTE179A848t00" w:hAnsi="TTE179A848t00" w:cs="TTE179A848t00"/>
                <w:sz w:val="20"/>
                <w:szCs w:val="20"/>
              </w:rPr>
              <w:t>The name, job, qualifications and</w:t>
            </w:r>
          </w:p>
          <w:p w:rsidR="007E7625" w:rsidRDefault="007E7625" w:rsidP="000A0CE1">
            <w:pPr>
              <w:autoSpaceDE w:val="0"/>
              <w:autoSpaceDN w:val="0"/>
              <w:adjustRightInd w:val="0"/>
              <w:rPr>
                <w:rFonts w:ascii="TTE179A848t00" w:hAnsi="TTE179A848t00" w:cs="TTE179A848t00"/>
                <w:sz w:val="20"/>
                <w:szCs w:val="20"/>
              </w:rPr>
            </w:pPr>
            <w:r w:rsidRPr="00651BF9">
              <w:rPr>
                <w:rFonts w:ascii="TTE179A848t00" w:hAnsi="TTE179A848t00" w:cs="TTE179A848t00"/>
                <w:sz w:val="20"/>
                <w:szCs w:val="20"/>
              </w:rPr>
              <w:t>experience of Consultant’s key</w:t>
            </w:r>
            <w:r>
              <w:rPr>
                <w:rFonts w:ascii="TTE179A848t00" w:hAnsi="TTE179A848t00" w:cs="TTE179A848t00"/>
                <w:sz w:val="20"/>
                <w:szCs w:val="20"/>
              </w:rPr>
              <w:t xml:space="preserve"> </w:t>
            </w:r>
            <w:r w:rsidRPr="00651BF9">
              <w:rPr>
                <w:rFonts w:ascii="TTE179A848t00" w:hAnsi="TTE179A848t00" w:cs="TTE179A848t00"/>
                <w:sz w:val="20"/>
                <w:szCs w:val="20"/>
              </w:rPr>
              <w:t xml:space="preserve">people </w:t>
            </w:r>
            <w:r w:rsidRPr="00BA3AF4">
              <w:rPr>
                <w:rFonts w:ascii="TTE179A848t00" w:hAnsi="TTE179A848t00" w:cs="TTE179A848t00"/>
                <w:sz w:val="20"/>
                <w:szCs w:val="20"/>
                <w:highlight w:val="cyan"/>
              </w:rPr>
              <w:t>are  in                                               ’s tender response dated….</w:t>
            </w:r>
          </w:p>
          <w:p w:rsidR="007E7625" w:rsidRDefault="007E7625" w:rsidP="000A0CE1">
            <w:pPr>
              <w:autoSpaceDE w:val="0"/>
              <w:autoSpaceDN w:val="0"/>
              <w:adjustRightInd w:val="0"/>
              <w:rPr>
                <w:rFonts w:ascii="TTE179A848t00" w:hAnsi="TTE179A848t00" w:cs="TTE179A848t00"/>
                <w:sz w:val="20"/>
                <w:szCs w:val="20"/>
              </w:rPr>
            </w:pPr>
          </w:p>
          <w:p w:rsidR="007E7625" w:rsidRDefault="007E7625" w:rsidP="007E7625">
            <w:pPr>
              <w:pStyle w:val="ListParagraph"/>
              <w:numPr>
                <w:ilvl w:val="0"/>
                <w:numId w:val="16"/>
              </w:numPr>
              <w:autoSpaceDE w:val="0"/>
              <w:autoSpaceDN w:val="0"/>
              <w:adjustRightInd w:val="0"/>
              <w:spacing w:after="0" w:line="240" w:lineRule="auto"/>
              <w:rPr>
                <w:rFonts w:ascii="TTE179A848t00" w:hAnsi="TTE179A848t00" w:cs="TTE179A848t00"/>
                <w:sz w:val="20"/>
                <w:szCs w:val="20"/>
              </w:rPr>
            </w:pPr>
            <w:r>
              <w:rPr>
                <w:rFonts w:ascii="TTE179A848t00" w:hAnsi="TTE179A848t00" w:cs="TTE179A848t00"/>
                <w:sz w:val="20"/>
                <w:szCs w:val="20"/>
              </w:rPr>
              <w:t>The staff rates are not applicable except for additional services – refer to Pricing Schedule</w:t>
            </w:r>
          </w:p>
          <w:p w:rsidR="007E7625" w:rsidRDefault="007E7625" w:rsidP="000A0CE1">
            <w:pPr>
              <w:pStyle w:val="ListParagraph"/>
              <w:autoSpaceDE w:val="0"/>
              <w:autoSpaceDN w:val="0"/>
              <w:adjustRightInd w:val="0"/>
              <w:rPr>
                <w:rFonts w:ascii="TTE179A848t00" w:hAnsi="TTE179A848t00" w:cs="TTE179A848t00"/>
                <w:sz w:val="20"/>
                <w:szCs w:val="20"/>
              </w:rPr>
            </w:pPr>
          </w:p>
          <w:p w:rsidR="007E7625" w:rsidRPr="00B373A3" w:rsidRDefault="007E7625" w:rsidP="007E7625">
            <w:pPr>
              <w:pStyle w:val="ListParagraph"/>
              <w:numPr>
                <w:ilvl w:val="0"/>
                <w:numId w:val="16"/>
              </w:numPr>
              <w:autoSpaceDE w:val="0"/>
              <w:autoSpaceDN w:val="0"/>
              <w:adjustRightInd w:val="0"/>
              <w:spacing w:after="0" w:line="240" w:lineRule="auto"/>
              <w:rPr>
                <w:rFonts w:ascii="TTE179A848t00" w:hAnsi="TTE179A848t00" w:cs="TTE179A848t00"/>
                <w:sz w:val="20"/>
                <w:szCs w:val="20"/>
              </w:rPr>
            </w:pPr>
            <w:r>
              <w:rPr>
                <w:rFonts w:ascii="TTE179A848t00" w:hAnsi="TTE179A848t00" w:cs="TTE179A848t00"/>
                <w:sz w:val="20"/>
                <w:szCs w:val="20"/>
              </w:rPr>
              <w:t>The following matters will be included in the Risk Register – to be determined</w:t>
            </w:r>
          </w:p>
          <w:p w:rsidR="007E7625" w:rsidRDefault="007E7625" w:rsidP="000A0CE1">
            <w:pPr>
              <w:autoSpaceDE w:val="0"/>
              <w:autoSpaceDN w:val="0"/>
              <w:adjustRightInd w:val="0"/>
              <w:rPr>
                <w:rFonts w:ascii="TTE179A848t00" w:hAnsi="TTE179A848t00" w:cs="TTE179A848t00"/>
                <w:sz w:val="20"/>
                <w:szCs w:val="20"/>
              </w:rPr>
            </w:pPr>
          </w:p>
          <w:p w:rsidR="007E7625" w:rsidRDefault="007E7625" w:rsidP="000A0CE1">
            <w:pPr>
              <w:autoSpaceDE w:val="0"/>
              <w:autoSpaceDN w:val="0"/>
              <w:adjustRightInd w:val="0"/>
              <w:rPr>
                <w:rFonts w:ascii="TTE179A848t00" w:hAnsi="TTE179A848t00" w:cs="TTE179A848t00"/>
                <w:sz w:val="20"/>
                <w:szCs w:val="20"/>
              </w:rPr>
            </w:pPr>
          </w:p>
          <w:p w:rsidR="007E7625" w:rsidRDefault="007E7625" w:rsidP="000A0CE1">
            <w:pPr>
              <w:autoSpaceDE w:val="0"/>
              <w:autoSpaceDN w:val="0"/>
              <w:adjustRightInd w:val="0"/>
              <w:rPr>
                <w:rFonts w:ascii="TTE179A848t00" w:hAnsi="TTE179A848t00" w:cs="TTE179A848t00"/>
                <w:sz w:val="20"/>
                <w:szCs w:val="20"/>
              </w:rPr>
            </w:pPr>
          </w:p>
          <w:p w:rsidR="007E7625" w:rsidRDefault="007E7625" w:rsidP="000A0CE1">
            <w:pPr>
              <w:autoSpaceDE w:val="0"/>
              <w:autoSpaceDN w:val="0"/>
              <w:adjustRightInd w:val="0"/>
              <w:rPr>
                <w:rFonts w:ascii="TTE179A848t00" w:hAnsi="TTE179A848t00" w:cs="TTE179A848t00"/>
                <w:sz w:val="20"/>
                <w:szCs w:val="20"/>
              </w:rPr>
            </w:pPr>
          </w:p>
        </w:tc>
      </w:tr>
    </w:tbl>
    <w:p w:rsidR="007E7625" w:rsidRDefault="007E7625" w:rsidP="007E7625"/>
    <w:p w:rsidR="007E7625" w:rsidRPr="007E7625" w:rsidRDefault="007E7625" w:rsidP="007E7625"/>
    <w:sectPr w:rsidR="007E7625" w:rsidRPr="007E7625" w:rsidSect="00B30E37">
      <w:pgSz w:w="11907" w:h="16840" w:code="9"/>
      <w:pgMar w:top="1134" w:right="1134" w:bottom="1134" w:left="1134" w:header="992" w:footer="992" w:gutter="0"/>
      <w:pgBorders w:offsetFrom="page">
        <w:top w:val="single" w:sz="12" w:space="24" w:color="33CCCC"/>
        <w:left w:val="single" w:sz="12" w:space="24" w:color="33CCCC"/>
        <w:bottom w:val="single" w:sz="12" w:space="24" w:color="33CCCC"/>
        <w:right w:val="single" w:sz="12" w:space="24" w:color="33CCCC"/>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CE1" w:rsidRDefault="000A0CE1">
      <w:r>
        <w:separator/>
      </w:r>
    </w:p>
  </w:endnote>
  <w:endnote w:type="continuationSeparator" w:id="0">
    <w:p w:rsidR="000A0CE1" w:rsidRDefault="000A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ZapfHumnst Ult B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TTE179A84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CE1" w:rsidRDefault="000A0CE1">
      <w:r>
        <w:separator/>
      </w:r>
    </w:p>
  </w:footnote>
  <w:footnote w:type="continuationSeparator" w:id="0">
    <w:p w:rsidR="000A0CE1" w:rsidRDefault="000A0C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024ED5"/>
    <w:multiLevelType w:val="hybridMultilevel"/>
    <w:tmpl w:val="93A6A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1C433A"/>
    <w:multiLevelType w:val="hybridMultilevel"/>
    <w:tmpl w:val="EDD6AD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07F14E3"/>
    <w:multiLevelType w:val="hybridMultilevel"/>
    <w:tmpl w:val="238E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68655F"/>
    <w:multiLevelType w:val="hybridMultilevel"/>
    <w:tmpl w:val="95206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1D2D01"/>
    <w:multiLevelType w:val="hybridMultilevel"/>
    <w:tmpl w:val="95F8E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252851"/>
    <w:multiLevelType w:val="hybridMultilevel"/>
    <w:tmpl w:val="A54C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E46B25"/>
    <w:multiLevelType w:val="hybridMultilevel"/>
    <w:tmpl w:val="30B6F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113B0B"/>
    <w:multiLevelType w:val="multilevel"/>
    <w:tmpl w:val="15AA80B2"/>
    <w:lvl w:ilvl="0">
      <w:start w:val="1"/>
      <w:numFmt w:val="decimal"/>
      <w:pStyle w:val="Heading1"/>
      <w:lvlText w:val="%1"/>
      <w:lvlJc w:val="left"/>
      <w:pPr>
        <w:tabs>
          <w:tab w:val="num" w:pos="3126"/>
        </w:tabs>
        <w:ind w:left="3126" w:hanging="432"/>
      </w:pPr>
      <w:rPr>
        <w:rFonts w:hint="default"/>
        <w:color w:val="FFFF00"/>
      </w:rPr>
    </w:lvl>
    <w:lvl w:ilvl="1">
      <w:start w:val="1"/>
      <w:numFmt w:val="decimal"/>
      <w:pStyle w:val="Heading2"/>
      <w:lvlText w:val="%1.%2"/>
      <w:lvlJc w:val="left"/>
      <w:pPr>
        <w:tabs>
          <w:tab w:val="num" w:pos="576"/>
        </w:tabs>
        <w:ind w:left="576" w:hanging="576"/>
      </w:pPr>
      <w:rPr>
        <w:rFonts w:hint="default"/>
        <w:sz w:val="28"/>
        <w:szCs w:val="28"/>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3CCA58B6"/>
    <w:multiLevelType w:val="hybridMultilevel"/>
    <w:tmpl w:val="A198C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915D57"/>
    <w:multiLevelType w:val="hybridMultilevel"/>
    <w:tmpl w:val="D4204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5">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070E2C"/>
    <w:multiLevelType w:val="hybridMultilevel"/>
    <w:tmpl w:val="5FFE1C4A"/>
    <w:lvl w:ilvl="0" w:tplc="CDD28E4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5"/>
  </w:num>
  <w:num w:numId="5">
    <w:abstractNumId w:val="3"/>
  </w:num>
  <w:num w:numId="6">
    <w:abstractNumId w:val="14"/>
  </w:num>
  <w:num w:numId="7">
    <w:abstractNumId w:val="11"/>
  </w:num>
  <w:num w:numId="8">
    <w:abstractNumId w:val="12"/>
  </w:num>
  <w:num w:numId="9">
    <w:abstractNumId w:val="16"/>
  </w:num>
  <w:num w:numId="10">
    <w:abstractNumId w:val="6"/>
  </w:num>
  <w:num w:numId="11">
    <w:abstractNumId w:val="7"/>
  </w:num>
  <w:num w:numId="12">
    <w:abstractNumId w:val="9"/>
  </w:num>
  <w:num w:numId="13">
    <w:abstractNumId w:val="8"/>
  </w:num>
  <w:num w:numId="14">
    <w:abstractNumId w:val="13"/>
  </w:num>
  <w:num w:numId="15">
    <w:abstractNumId w:val="10"/>
  </w:num>
  <w:num w:numId="16">
    <w:abstractNumId w:val="4"/>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6385">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CE1"/>
    <w:rsid w:val="00001725"/>
    <w:rsid w:val="00003672"/>
    <w:rsid w:val="00004792"/>
    <w:rsid w:val="0000503E"/>
    <w:rsid w:val="00006D70"/>
    <w:rsid w:val="00011646"/>
    <w:rsid w:val="000129E2"/>
    <w:rsid w:val="00013221"/>
    <w:rsid w:val="000226CF"/>
    <w:rsid w:val="00025321"/>
    <w:rsid w:val="000307A3"/>
    <w:rsid w:val="000312C6"/>
    <w:rsid w:val="0003424B"/>
    <w:rsid w:val="000350E4"/>
    <w:rsid w:val="00036252"/>
    <w:rsid w:val="00041D5A"/>
    <w:rsid w:val="000435DE"/>
    <w:rsid w:val="00051468"/>
    <w:rsid w:val="000572AE"/>
    <w:rsid w:val="000608F9"/>
    <w:rsid w:val="00062FA6"/>
    <w:rsid w:val="00067F59"/>
    <w:rsid w:val="00071A02"/>
    <w:rsid w:val="000755F8"/>
    <w:rsid w:val="00080553"/>
    <w:rsid w:val="000837F3"/>
    <w:rsid w:val="00083B9E"/>
    <w:rsid w:val="00083C40"/>
    <w:rsid w:val="00084668"/>
    <w:rsid w:val="00090552"/>
    <w:rsid w:val="00092960"/>
    <w:rsid w:val="00093BF8"/>
    <w:rsid w:val="000A093F"/>
    <w:rsid w:val="000A0CE1"/>
    <w:rsid w:val="000A4818"/>
    <w:rsid w:val="000A4FD1"/>
    <w:rsid w:val="000A59F7"/>
    <w:rsid w:val="000A6E68"/>
    <w:rsid w:val="000B1F0F"/>
    <w:rsid w:val="000B2E7C"/>
    <w:rsid w:val="000B5B53"/>
    <w:rsid w:val="000C075B"/>
    <w:rsid w:val="000C68AE"/>
    <w:rsid w:val="000D0368"/>
    <w:rsid w:val="000D3D1E"/>
    <w:rsid w:val="000D4507"/>
    <w:rsid w:val="000D5A4B"/>
    <w:rsid w:val="000D757E"/>
    <w:rsid w:val="000E0526"/>
    <w:rsid w:val="000E64E3"/>
    <w:rsid w:val="000F7A2D"/>
    <w:rsid w:val="00111172"/>
    <w:rsid w:val="0013192B"/>
    <w:rsid w:val="00132860"/>
    <w:rsid w:val="001339F1"/>
    <w:rsid w:val="00133F32"/>
    <w:rsid w:val="001364EF"/>
    <w:rsid w:val="001463CD"/>
    <w:rsid w:val="00147984"/>
    <w:rsid w:val="00153516"/>
    <w:rsid w:val="00154252"/>
    <w:rsid w:val="00155296"/>
    <w:rsid w:val="00156CB1"/>
    <w:rsid w:val="001578B9"/>
    <w:rsid w:val="001635B8"/>
    <w:rsid w:val="001642A9"/>
    <w:rsid w:val="00165596"/>
    <w:rsid w:val="00167FA0"/>
    <w:rsid w:val="001709C0"/>
    <w:rsid w:val="00181478"/>
    <w:rsid w:val="00183498"/>
    <w:rsid w:val="001864E8"/>
    <w:rsid w:val="001901D5"/>
    <w:rsid w:val="0019143B"/>
    <w:rsid w:val="00192093"/>
    <w:rsid w:val="00195239"/>
    <w:rsid w:val="001A1978"/>
    <w:rsid w:val="001A30DD"/>
    <w:rsid w:val="001A3489"/>
    <w:rsid w:val="001A3673"/>
    <w:rsid w:val="001A3847"/>
    <w:rsid w:val="001B0787"/>
    <w:rsid w:val="001B369E"/>
    <w:rsid w:val="001B7C39"/>
    <w:rsid w:val="001C5C5D"/>
    <w:rsid w:val="001D2917"/>
    <w:rsid w:val="001D586D"/>
    <w:rsid w:val="001E0C70"/>
    <w:rsid w:val="001E1780"/>
    <w:rsid w:val="001E470D"/>
    <w:rsid w:val="001F04CE"/>
    <w:rsid w:val="001F5077"/>
    <w:rsid w:val="001F53C6"/>
    <w:rsid w:val="00201DF8"/>
    <w:rsid w:val="00213751"/>
    <w:rsid w:val="0021726D"/>
    <w:rsid w:val="002223A3"/>
    <w:rsid w:val="002262BA"/>
    <w:rsid w:val="00227FF0"/>
    <w:rsid w:val="0023347A"/>
    <w:rsid w:val="00234A08"/>
    <w:rsid w:val="002352EA"/>
    <w:rsid w:val="0023669B"/>
    <w:rsid w:val="00237DB2"/>
    <w:rsid w:val="00240CEE"/>
    <w:rsid w:val="002421A9"/>
    <w:rsid w:val="0024469D"/>
    <w:rsid w:val="0024668A"/>
    <w:rsid w:val="00246706"/>
    <w:rsid w:val="00246C3E"/>
    <w:rsid w:val="00247000"/>
    <w:rsid w:val="00260D61"/>
    <w:rsid w:val="00265768"/>
    <w:rsid w:val="00271CD1"/>
    <w:rsid w:val="002738D7"/>
    <w:rsid w:val="00273F6C"/>
    <w:rsid w:val="00286779"/>
    <w:rsid w:val="002869D6"/>
    <w:rsid w:val="00287133"/>
    <w:rsid w:val="0029063E"/>
    <w:rsid w:val="0029327F"/>
    <w:rsid w:val="0029544D"/>
    <w:rsid w:val="002A205B"/>
    <w:rsid w:val="002A6E37"/>
    <w:rsid w:val="002B0FCA"/>
    <w:rsid w:val="002B1525"/>
    <w:rsid w:val="002B48B3"/>
    <w:rsid w:val="002B7A90"/>
    <w:rsid w:val="002C7164"/>
    <w:rsid w:val="002C74AB"/>
    <w:rsid w:val="002C79FD"/>
    <w:rsid w:val="002D186E"/>
    <w:rsid w:val="002D4360"/>
    <w:rsid w:val="002D4E74"/>
    <w:rsid w:val="002F033D"/>
    <w:rsid w:val="002F0542"/>
    <w:rsid w:val="002F3FAF"/>
    <w:rsid w:val="002F42C5"/>
    <w:rsid w:val="002F4FB5"/>
    <w:rsid w:val="00305393"/>
    <w:rsid w:val="00307729"/>
    <w:rsid w:val="003103DB"/>
    <w:rsid w:val="00314D9C"/>
    <w:rsid w:val="00316931"/>
    <w:rsid w:val="003177A3"/>
    <w:rsid w:val="00321B8B"/>
    <w:rsid w:val="00325A4C"/>
    <w:rsid w:val="0033077E"/>
    <w:rsid w:val="00331499"/>
    <w:rsid w:val="00345CE2"/>
    <w:rsid w:val="00347C4E"/>
    <w:rsid w:val="00355CB9"/>
    <w:rsid w:val="00373F03"/>
    <w:rsid w:val="0037685C"/>
    <w:rsid w:val="00381764"/>
    <w:rsid w:val="00382AD3"/>
    <w:rsid w:val="0039403B"/>
    <w:rsid w:val="003964AB"/>
    <w:rsid w:val="003B1C3D"/>
    <w:rsid w:val="003C4F81"/>
    <w:rsid w:val="003C7DCB"/>
    <w:rsid w:val="003D051B"/>
    <w:rsid w:val="003D3E9A"/>
    <w:rsid w:val="003D57E2"/>
    <w:rsid w:val="003D6ACF"/>
    <w:rsid w:val="003D6EC7"/>
    <w:rsid w:val="003D76FE"/>
    <w:rsid w:val="003D7FB5"/>
    <w:rsid w:val="003E0FB7"/>
    <w:rsid w:val="003E75F0"/>
    <w:rsid w:val="003E7894"/>
    <w:rsid w:val="003F47D7"/>
    <w:rsid w:val="00401465"/>
    <w:rsid w:val="00402217"/>
    <w:rsid w:val="00406938"/>
    <w:rsid w:val="00412342"/>
    <w:rsid w:val="00415709"/>
    <w:rsid w:val="0044167B"/>
    <w:rsid w:val="004424E0"/>
    <w:rsid w:val="00443C02"/>
    <w:rsid w:val="004441B5"/>
    <w:rsid w:val="00454FD7"/>
    <w:rsid w:val="00455FFA"/>
    <w:rsid w:val="0047172B"/>
    <w:rsid w:val="00472D20"/>
    <w:rsid w:val="00473200"/>
    <w:rsid w:val="00474FBF"/>
    <w:rsid w:val="004801A1"/>
    <w:rsid w:val="00483797"/>
    <w:rsid w:val="004854B2"/>
    <w:rsid w:val="00486397"/>
    <w:rsid w:val="00490963"/>
    <w:rsid w:val="00492A02"/>
    <w:rsid w:val="00495D38"/>
    <w:rsid w:val="004962DA"/>
    <w:rsid w:val="004A033F"/>
    <w:rsid w:val="004A5D2F"/>
    <w:rsid w:val="004B0A68"/>
    <w:rsid w:val="004B0FB1"/>
    <w:rsid w:val="004B29D8"/>
    <w:rsid w:val="004B3731"/>
    <w:rsid w:val="004B65CF"/>
    <w:rsid w:val="004C4CFC"/>
    <w:rsid w:val="004C55F2"/>
    <w:rsid w:val="004C5687"/>
    <w:rsid w:val="004D3B3A"/>
    <w:rsid w:val="004D63AB"/>
    <w:rsid w:val="004E2A68"/>
    <w:rsid w:val="004F40D9"/>
    <w:rsid w:val="004F4F94"/>
    <w:rsid w:val="004F56B2"/>
    <w:rsid w:val="004F7223"/>
    <w:rsid w:val="005021B1"/>
    <w:rsid w:val="00505BB5"/>
    <w:rsid w:val="005107A1"/>
    <w:rsid w:val="00511FF4"/>
    <w:rsid w:val="00513EF0"/>
    <w:rsid w:val="005258F2"/>
    <w:rsid w:val="005354ED"/>
    <w:rsid w:val="00535850"/>
    <w:rsid w:val="00537054"/>
    <w:rsid w:val="00540DA3"/>
    <w:rsid w:val="00542369"/>
    <w:rsid w:val="00543DCB"/>
    <w:rsid w:val="005537E5"/>
    <w:rsid w:val="0055385D"/>
    <w:rsid w:val="00563BF0"/>
    <w:rsid w:val="00570948"/>
    <w:rsid w:val="00570E1C"/>
    <w:rsid w:val="00571E0B"/>
    <w:rsid w:val="00572438"/>
    <w:rsid w:val="00572711"/>
    <w:rsid w:val="00575D73"/>
    <w:rsid w:val="00577992"/>
    <w:rsid w:val="00580AC3"/>
    <w:rsid w:val="005856F3"/>
    <w:rsid w:val="00587EED"/>
    <w:rsid w:val="00596333"/>
    <w:rsid w:val="005A0DEE"/>
    <w:rsid w:val="005A33AE"/>
    <w:rsid w:val="005A5C31"/>
    <w:rsid w:val="005A6F4F"/>
    <w:rsid w:val="005B0ABC"/>
    <w:rsid w:val="005B5655"/>
    <w:rsid w:val="005C2931"/>
    <w:rsid w:val="005C4ECB"/>
    <w:rsid w:val="005C76BD"/>
    <w:rsid w:val="005D0B86"/>
    <w:rsid w:val="005D2417"/>
    <w:rsid w:val="005D4231"/>
    <w:rsid w:val="005D55F3"/>
    <w:rsid w:val="005D5BA3"/>
    <w:rsid w:val="005E1F39"/>
    <w:rsid w:val="005E3448"/>
    <w:rsid w:val="005E70F4"/>
    <w:rsid w:val="005F1050"/>
    <w:rsid w:val="005F6217"/>
    <w:rsid w:val="005F7CF9"/>
    <w:rsid w:val="0060360F"/>
    <w:rsid w:val="00607C8D"/>
    <w:rsid w:val="00613F4F"/>
    <w:rsid w:val="00614588"/>
    <w:rsid w:val="00617333"/>
    <w:rsid w:val="00617FDD"/>
    <w:rsid w:val="00620968"/>
    <w:rsid w:val="006221AB"/>
    <w:rsid w:val="00622214"/>
    <w:rsid w:val="00626096"/>
    <w:rsid w:val="00627040"/>
    <w:rsid w:val="00633445"/>
    <w:rsid w:val="00634264"/>
    <w:rsid w:val="006406A8"/>
    <w:rsid w:val="00647BB9"/>
    <w:rsid w:val="00655E68"/>
    <w:rsid w:val="00656C6B"/>
    <w:rsid w:val="0066030B"/>
    <w:rsid w:val="0066132B"/>
    <w:rsid w:val="00671325"/>
    <w:rsid w:val="00681239"/>
    <w:rsid w:val="00682920"/>
    <w:rsid w:val="006829A7"/>
    <w:rsid w:val="0068484D"/>
    <w:rsid w:val="0068518D"/>
    <w:rsid w:val="00691E35"/>
    <w:rsid w:val="00693AB4"/>
    <w:rsid w:val="00694560"/>
    <w:rsid w:val="0069577C"/>
    <w:rsid w:val="00696F7B"/>
    <w:rsid w:val="006A02E1"/>
    <w:rsid w:val="006A0F2E"/>
    <w:rsid w:val="006B5A9F"/>
    <w:rsid w:val="006B5E67"/>
    <w:rsid w:val="006C28CB"/>
    <w:rsid w:val="006C4915"/>
    <w:rsid w:val="006D1985"/>
    <w:rsid w:val="006D5B56"/>
    <w:rsid w:val="006D6950"/>
    <w:rsid w:val="006D7F41"/>
    <w:rsid w:val="006E71D8"/>
    <w:rsid w:val="006F5FCA"/>
    <w:rsid w:val="006F6D35"/>
    <w:rsid w:val="006F75C4"/>
    <w:rsid w:val="0070293C"/>
    <w:rsid w:val="00705175"/>
    <w:rsid w:val="00705685"/>
    <w:rsid w:val="00710AD5"/>
    <w:rsid w:val="00712634"/>
    <w:rsid w:val="007134A5"/>
    <w:rsid w:val="00715AC2"/>
    <w:rsid w:val="00715EB2"/>
    <w:rsid w:val="00717C8C"/>
    <w:rsid w:val="007201AD"/>
    <w:rsid w:val="00720390"/>
    <w:rsid w:val="00720B8A"/>
    <w:rsid w:val="00720F1E"/>
    <w:rsid w:val="00721C98"/>
    <w:rsid w:val="007239C9"/>
    <w:rsid w:val="00725FEC"/>
    <w:rsid w:val="007367F8"/>
    <w:rsid w:val="00736CAD"/>
    <w:rsid w:val="00736DAA"/>
    <w:rsid w:val="007379D2"/>
    <w:rsid w:val="0074136A"/>
    <w:rsid w:val="007415D0"/>
    <w:rsid w:val="00743826"/>
    <w:rsid w:val="007461FD"/>
    <w:rsid w:val="007470B1"/>
    <w:rsid w:val="00752576"/>
    <w:rsid w:val="007546CE"/>
    <w:rsid w:val="00763086"/>
    <w:rsid w:val="00772B5B"/>
    <w:rsid w:val="007739E9"/>
    <w:rsid w:val="007744AE"/>
    <w:rsid w:val="00780324"/>
    <w:rsid w:val="00783294"/>
    <w:rsid w:val="00786809"/>
    <w:rsid w:val="00787C8A"/>
    <w:rsid w:val="00791846"/>
    <w:rsid w:val="00792B22"/>
    <w:rsid w:val="007940D8"/>
    <w:rsid w:val="007A0FF1"/>
    <w:rsid w:val="007A1116"/>
    <w:rsid w:val="007A178E"/>
    <w:rsid w:val="007A2468"/>
    <w:rsid w:val="007A3A7C"/>
    <w:rsid w:val="007B60DD"/>
    <w:rsid w:val="007B70D2"/>
    <w:rsid w:val="007C2F6F"/>
    <w:rsid w:val="007C3D8C"/>
    <w:rsid w:val="007D0038"/>
    <w:rsid w:val="007D04D9"/>
    <w:rsid w:val="007D326B"/>
    <w:rsid w:val="007D3F6D"/>
    <w:rsid w:val="007D4587"/>
    <w:rsid w:val="007D5C9D"/>
    <w:rsid w:val="007D64CA"/>
    <w:rsid w:val="007D6B25"/>
    <w:rsid w:val="007E0D24"/>
    <w:rsid w:val="007E170F"/>
    <w:rsid w:val="007E59E7"/>
    <w:rsid w:val="007E7625"/>
    <w:rsid w:val="007F046C"/>
    <w:rsid w:val="007F132A"/>
    <w:rsid w:val="007F69A0"/>
    <w:rsid w:val="00803DC7"/>
    <w:rsid w:val="008057B5"/>
    <w:rsid w:val="008139BF"/>
    <w:rsid w:val="00824270"/>
    <w:rsid w:val="00824931"/>
    <w:rsid w:val="0082722C"/>
    <w:rsid w:val="0083181D"/>
    <w:rsid w:val="0083367D"/>
    <w:rsid w:val="0083720B"/>
    <w:rsid w:val="00840F4E"/>
    <w:rsid w:val="0084126E"/>
    <w:rsid w:val="00842B27"/>
    <w:rsid w:val="008550C3"/>
    <w:rsid w:val="008553DE"/>
    <w:rsid w:val="00861615"/>
    <w:rsid w:val="008724D4"/>
    <w:rsid w:val="008768AD"/>
    <w:rsid w:val="00880753"/>
    <w:rsid w:val="0088448F"/>
    <w:rsid w:val="00890EF0"/>
    <w:rsid w:val="00892AA2"/>
    <w:rsid w:val="0089749D"/>
    <w:rsid w:val="008979A4"/>
    <w:rsid w:val="008A356A"/>
    <w:rsid w:val="008A43F4"/>
    <w:rsid w:val="008A4F41"/>
    <w:rsid w:val="008B1BB4"/>
    <w:rsid w:val="008B2008"/>
    <w:rsid w:val="008B3848"/>
    <w:rsid w:val="008C05C7"/>
    <w:rsid w:val="008C5512"/>
    <w:rsid w:val="008E3350"/>
    <w:rsid w:val="008F139C"/>
    <w:rsid w:val="008F4996"/>
    <w:rsid w:val="00900086"/>
    <w:rsid w:val="009003B0"/>
    <w:rsid w:val="0090112D"/>
    <w:rsid w:val="00906F3F"/>
    <w:rsid w:val="009105BB"/>
    <w:rsid w:val="00910CCC"/>
    <w:rsid w:val="009124AF"/>
    <w:rsid w:val="00913874"/>
    <w:rsid w:val="009178AA"/>
    <w:rsid w:val="0092698E"/>
    <w:rsid w:val="00927514"/>
    <w:rsid w:val="00931BE2"/>
    <w:rsid w:val="009360EA"/>
    <w:rsid w:val="00941D96"/>
    <w:rsid w:val="00942D77"/>
    <w:rsid w:val="00951B4E"/>
    <w:rsid w:val="00951E26"/>
    <w:rsid w:val="009530E4"/>
    <w:rsid w:val="00955D6E"/>
    <w:rsid w:val="0095657A"/>
    <w:rsid w:val="00956740"/>
    <w:rsid w:val="0095676F"/>
    <w:rsid w:val="00956F22"/>
    <w:rsid w:val="0096485D"/>
    <w:rsid w:val="00964BEF"/>
    <w:rsid w:val="009657DB"/>
    <w:rsid w:val="00973F99"/>
    <w:rsid w:val="00974D77"/>
    <w:rsid w:val="009759B4"/>
    <w:rsid w:val="0097750F"/>
    <w:rsid w:val="009807DF"/>
    <w:rsid w:val="00983623"/>
    <w:rsid w:val="00983BFC"/>
    <w:rsid w:val="009908BD"/>
    <w:rsid w:val="009914D7"/>
    <w:rsid w:val="00994648"/>
    <w:rsid w:val="009A12C5"/>
    <w:rsid w:val="009A244B"/>
    <w:rsid w:val="009A279D"/>
    <w:rsid w:val="009A654A"/>
    <w:rsid w:val="009B0A63"/>
    <w:rsid w:val="009B612E"/>
    <w:rsid w:val="009E5C8A"/>
    <w:rsid w:val="009E683A"/>
    <w:rsid w:val="009F19F8"/>
    <w:rsid w:val="009F209A"/>
    <w:rsid w:val="009F2C5E"/>
    <w:rsid w:val="009F4A9E"/>
    <w:rsid w:val="00A022AA"/>
    <w:rsid w:val="00A04C62"/>
    <w:rsid w:val="00A064B9"/>
    <w:rsid w:val="00A10201"/>
    <w:rsid w:val="00A10747"/>
    <w:rsid w:val="00A129C0"/>
    <w:rsid w:val="00A1336F"/>
    <w:rsid w:val="00A1366E"/>
    <w:rsid w:val="00A15443"/>
    <w:rsid w:val="00A17A09"/>
    <w:rsid w:val="00A17C1F"/>
    <w:rsid w:val="00A259BD"/>
    <w:rsid w:val="00A315EE"/>
    <w:rsid w:val="00A31880"/>
    <w:rsid w:val="00A31CB9"/>
    <w:rsid w:val="00A324EA"/>
    <w:rsid w:val="00A35C41"/>
    <w:rsid w:val="00A37A20"/>
    <w:rsid w:val="00A401FD"/>
    <w:rsid w:val="00A44E87"/>
    <w:rsid w:val="00A4608F"/>
    <w:rsid w:val="00A467AA"/>
    <w:rsid w:val="00A537B6"/>
    <w:rsid w:val="00A5766F"/>
    <w:rsid w:val="00A6509A"/>
    <w:rsid w:val="00A66263"/>
    <w:rsid w:val="00A70E0D"/>
    <w:rsid w:val="00A71426"/>
    <w:rsid w:val="00A76DD4"/>
    <w:rsid w:val="00A823A2"/>
    <w:rsid w:val="00A84844"/>
    <w:rsid w:val="00A86DA7"/>
    <w:rsid w:val="00A93B44"/>
    <w:rsid w:val="00A93D32"/>
    <w:rsid w:val="00AA3C03"/>
    <w:rsid w:val="00AC1A90"/>
    <w:rsid w:val="00AC22DC"/>
    <w:rsid w:val="00AC4E56"/>
    <w:rsid w:val="00AD1FB5"/>
    <w:rsid w:val="00AD2797"/>
    <w:rsid w:val="00AD5F7C"/>
    <w:rsid w:val="00AD6656"/>
    <w:rsid w:val="00AD69E7"/>
    <w:rsid w:val="00AE32E0"/>
    <w:rsid w:val="00AE7DF2"/>
    <w:rsid w:val="00AF5CBC"/>
    <w:rsid w:val="00AF6F0A"/>
    <w:rsid w:val="00B041D8"/>
    <w:rsid w:val="00B0525E"/>
    <w:rsid w:val="00B06582"/>
    <w:rsid w:val="00B068DD"/>
    <w:rsid w:val="00B0743F"/>
    <w:rsid w:val="00B11C58"/>
    <w:rsid w:val="00B169AE"/>
    <w:rsid w:val="00B213D2"/>
    <w:rsid w:val="00B24EBD"/>
    <w:rsid w:val="00B27E8A"/>
    <w:rsid w:val="00B304E0"/>
    <w:rsid w:val="00B30E37"/>
    <w:rsid w:val="00B31A1E"/>
    <w:rsid w:val="00B35746"/>
    <w:rsid w:val="00B35B57"/>
    <w:rsid w:val="00B51D88"/>
    <w:rsid w:val="00B57685"/>
    <w:rsid w:val="00B729D6"/>
    <w:rsid w:val="00B72B29"/>
    <w:rsid w:val="00B7363E"/>
    <w:rsid w:val="00B75049"/>
    <w:rsid w:val="00B8002D"/>
    <w:rsid w:val="00B90471"/>
    <w:rsid w:val="00BA09C7"/>
    <w:rsid w:val="00BA1BA9"/>
    <w:rsid w:val="00BA3AF4"/>
    <w:rsid w:val="00BB2C7D"/>
    <w:rsid w:val="00BB3A79"/>
    <w:rsid w:val="00BB5C1E"/>
    <w:rsid w:val="00BC4906"/>
    <w:rsid w:val="00BD5A2E"/>
    <w:rsid w:val="00BE0E33"/>
    <w:rsid w:val="00BE16F1"/>
    <w:rsid w:val="00BE5457"/>
    <w:rsid w:val="00BE580A"/>
    <w:rsid w:val="00BF1762"/>
    <w:rsid w:val="00BF5AF3"/>
    <w:rsid w:val="00C0592A"/>
    <w:rsid w:val="00C12621"/>
    <w:rsid w:val="00C13F61"/>
    <w:rsid w:val="00C14C14"/>
    <w:rsid w:val="00C172BD"/>
    <w:rsid w:val="00C214FA"/>
    <w:rsid w:val="00C22911"/>
    <w:rsid w:val="00C26C63"/>
    <w:rsid w:val="00C31496"/>
    <w:rsid w:val="00C33A6C"/>
    <w:rsid w:val="00C344F1"/>
    <w:rsid w:val="00C36015"/>
    <w:rsid w:val="00C366E7"/>
    <w:rsid w:val="00C4691A"/>
    <w:rsid w:val="00C50E8F"/>
    <w:rsid w:val="00C52592"/>
    <w:rsid w:val="00C52EA7"/>
    <w:rsid w:val="00C55604"/>
    <w:rsid w:val="00C56DA1"/>
    <w:rsid w:val="00C60C85"/>
    <w:rsid w:val="00C63256"/>
    <w:rsid w:val="00C645D9"/>
    <w:rsid w:val="00C64FDD"/>
    <w:rsid w:val="00C6599B"/>
    <w:rsid w:val="00C65E74"/>
    <w:rsid w:val="00C7105B"/>
    <w:rsid w:val="00C72B1A"/>
    <w:rsid w:val="00C75F12"/>
    <w:rsid w:val="00C83B9D"/>
    <w:rsid w:val="00C85212"/>
    <w:rsid w:val="00C858F7"/>
    <w:rsid w:val="00CA1C9A"/>
    <w:rsid w:val="00CA25E3"/>
    <w:rsid w:val="00CA520D"/>
    <w:rsid w:val="00CB0D92"/>
    <w:rsid w:val="00CB3E35"/>
    <w:rsid w:val="00CB51B0"/>
    <w:rsid w:val="00CC0C86"/>
    <w:rsid w:val="00CC1B5E"/>
    <w:rsid w:val="00CC3CDB"/>
    <w:rsid w:val="00CC40F8"/>
    <w:rsid w:val="00CC585E"/>
    <w:rsid w:val="00CC60BC"/>
    <w:rsid w:val="00CC74CB"/>
    <w:rsid w:val="00CD11FF"/>
    <w:rsid w:val="00CD52E8"/>
    <w:rsid w:val="00CD5CAD"/>
    <w:rsid w:val="00CE02A8"/>
    <w:rsid w:val="00CE02CE"/>
    <w:rsid w:val="00CE4949"/>
    <w:rsid w:val="00CE50DB"/>
    <w:rsid w:val="00CE57CB"/>
    <w:rsid w:val="00CE6C6A"/>
    <w:rsid w:val="00CE6CE7"/>
    <w:rsid w:val="00CE6F83"/>
    <w:rsid w:val="00CE7EDA"/>
    <w:rsid w:val="00CF2AB3"/>
    <w:rsid w:val="00CF3790"/>
    <w:rsid w:val="00CF5B8A"/>
    <w:rsid w:val="00D0335D"/>
    <w:rsid w:val="00D06DA3"/>
    <w:rsid w:val="00D07120"/>
    <w:rsid w:val="00D07C2B"/>
    <w:rsid w:val="00D13A84"/>
    <w:rsid w:val="00D14C51"/>
    <w:rsid w:val="00D277B3"/>
    <w:rsid w:val="00D357C3"/>
    <w:rsid w:val="00D372BD"/>
    <w:rsid w:val="00D4318B"/>
    <w:rsid w:val="00D43C17"/>
    <w:rsid w:val="00D554F0"/>
    <w:rsid w:val="00D56539"/>
    <w:rsid w:val="00D56A10"/>
    <w:rsid w:val="00D61530"/>
    <w:rsid w:val="00D7011F"/>
    <w:rsid w:val="00D74D34"/>
    <w:rsid w:val="00D778E8"/>
    <w:rsid w:val="00D84C13"/>
    <w:rsid w:val="00D86840"/>
    <w:rsid w:val="00D868EE"/>
    <w:rsid w:val="00D96102"/>
    <w:rsid w:val="00DA1B90"/>
    <w:rsid w:val="00DA7B68"/>
    <w:rsid w:val="00DB001F"/>
    <w:rsid w:val="00DB1B56"/>
    <w:rsid w:val="00DC4B31"/>
    <w:rsid w:val="00DC7C1F"/>
    <w:rsid w:val="00DD143A"/>
    <w:rsid w:val="00DD2EB9"/>
    <w:rsid w:val="00DD43F2"/>
    <w:rsid w:val="00DD4552"/>
    <w:rsid w:val="00DE17E3"/>
    <w:rsid w:val="00DE3697"/>
    <w:rsid w:val="00DE3A9E"/>
    <w:rsid w:val="00DE50DF"/>
    <w:rsid w:val="00DE5EC3"/>
    <w:rsid w:val="00DE6746"/>
    <w:rsid w:val="00DE7E08"/>
    <w:rsid w:val="00DF05CD"/>
    <w:rsid w:val="00DF28D5"/>
    <w:rsid w:val="00DF36BB"/>
    <w:rsid w:val="00DF42E8"/>
    <w:rsid w:val="00DF4F9E"/>
    <w:rsid w:val="00E00F13"/>
    <w:rsid w:val="00E02DD3"/>
    <w:rsid w:val="00E05C0E"/>
    <w:rsid w:val="00E07AC9"/>
    <w:rsid w:val="00E13A1B"/>
    <w:rsid w:val="00E16FD9"/>
    <w:rsid w:val="00E20A45"/>
    <w:rsid w:val="00E21C6E"/>
    <w:rsid w:val="00E25C68"/>
    <w:rsid w:val="00E2791B"/>
    <w:rsid w:val="00E331DE"/>
    <w:rsid w:val="00E404E7"/>
    <w:rsid w:val="00E501CF"/>
    <w:rsid w:val="00E536CA"/>
    <w:rsid w:val="00E54FD0"/>
    <w:rsid w:val="00E563E9"/>
    <w:rsid w:val="00E624F7"/>
    <w:rsid w:val="00E63CEF"/>
    <w:rsid w:val="00E67899"/>
    <w:rsid w:val="00E679FC"/>
    <w:rsid w:val="00E73BCE"/>
    <w:rsid w:val="00E75096"/>
    <w:rsid w:val="00E809C9"/>
    <w:rsid w:val="00E81084"/>
    <w:rsid w:val="00E8298D"/>
    <w:rsid w:val="00E855A4"/>
    <w:rsid w:val="00E855B3"/>
    <w:rsid w:val="00E91676"/>
    <w:rsid w:val="00E93C2B"/>
    <w:rsid w:val="00E94965"/>
    <w:rsid w:val="00EA0C15"/>
    <w:rsid w:val="00EA2ECE"/>
    <w:rsid w:val="00EA30AD"/>
    <w:rsid w:val="00EB6474"/>
    <w:rsid w:val="00EB65A4"/>
    <w:rsid w:val="00EC23D7"/>
    <w:rsid w:val="00EC2C93"/>
    <w:rsid w:val="00EC68B4"/>
    <w:rsid w:val="00ED1043"/>
    <w:rsid w:val="00ED48C8"/>
    <w:rsid w:val="00ED4E46"/>
    <w:rsid w:val="00EE1AE6"/>
    <w:rsid w:val="00EE7C46"/>
    <w:rsid w:val="00EF0C09"/>
    <w:rsid w:val="00EF2E79"/>
    <w:rsid w:val="00EF383C"/>
    <w:rsid w:val="00EF41F2"/>
    <w:rsid w:val="00EF5743"/>
    <w:rsid w:val="00EF6F07"/>
    <w:rsid w:val="00F14309"/>
    <w:rsid w:val="00F20CB2"/>
    <w:rsid w:val="00F23B0F"/>
    <w:rsid w:val="00F24040"/>
    <w:rsid w:val="00F25B9C"/>
    <w:rsid w:val="00F30B2E"/>
    <w:rsid w:val="00F33A3A"/>
    <w:rsid w:val="00F35601"/>
    <w:rsid w:val="00F46870"/>
    <w:rsid w:val="00F469B0"/>
    <w:rsid w:val="00F46AF5"/>
    <w:rsid w:val="00F47F6D"/>
    <w:rsid w:val="00F504C8"/>
    <w:rsid w:val="00F5268A"/>
    <w:rsid w:val="00F533D4"/>
    <w:rsid w:val="00F55768"/>
    <w:rsid w:val="00F579B0"/>
    <w:rsid w:val="00F62FA7"/>
    <w:rsid w:val="00F66B33"/>
    <w:rsid w:val="00F73381"/>
    <w:rsid w:val="00F7509D"/>
    <w:rsid w:val="00F76DE6"/>
    <w:rsid w:val="00F84C97"/>
    <w:rsid w:val="00F8554E"/>
    <w:rsid w:val="00F9300B"/>
    <w:rsid w:val="00F97BAB"/>
    <w:rsid w:val="00FA59B4"/>
    <w:rsid w:val="00FA6BEC"/>
    <w:rsid w:val="00FA72ED"/>
    <w:rsid w:val="00FB452A"/>
    <w:rsid w:val="00FB4875"/>
    <w:rsid w:val="00FC3F8C"/>
    <w:rsid w:val="00FC60BD"/>
    <w:rsid w:val="00FC7075"/>
    <w:rsid w:val="00FC749C"/>
    <w:rsid w:val="00FD2EFA"/>
    <w:rsid w:val="00FD3B36"/>
    <w:rsid w:val="00FE16BC"/>
    <w:rsid w:val="00FE3179"/>
    <w:rsid w:val="00FF064A"/>
    <w:rsid w:val="00FF0CA8"/>
    <w:rsid w:val="00FF511F"/>
    <w:rsid w:val="00FF59F6"/>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enu v:ext="edit" fillcolor="none" strokecolor="none"/>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15:docId w15:val="{222422B9-443F-4E12-BAB0-DC6BFC7F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F6D"/>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qFormat/>
    <w:rsid w:val="00613F4F"/>
    <w:pPr>
      <w:keepNext/>
      <w:numPr>
        <w:numId w:val="7"/>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613F4F"/>
    <w:pPr>
      <w:keepNext/>
      <w:numPr>
        <w:ilvl w:val="1"/>
        <w:numId w:val="7"/>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613F4F"/>
    <w:pPr>
      <w:keepNext/>
      <w:numPr>
        <w:ilvl w:val="2"/>
        <w:numId w:val="7"/>
      </w:numPr>
      <w:spacing w:after="120"/>
      <w:outlineLvl w:val="2"/>
    </w:pPr>
    <w:rPr>
      <w:b/>
      <w:color w:val="000000"/>
      <w:sz w:val="28"/>
    </w:rPr>
  </w:style>
  <w:style w:type="paragraph" w:styleId="Heading4">
    <w:name w:val="heading 4"/>
    <w:basedOn w:val="Normal"/>
    <w:next w:val="Normal"/>
    <w:qFormat/>
    <w:rsid w:val="00613F4F"/>
    <w:pPr>
      <w:keepNext/>
      <w:numPr>
        <w:ilvl w:val="3"/>
        <w:numId w:val="7"/>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613F4F"/>
    <w:pPr>
      <w:keepNext/>
      <w:numPr>
        <w:ilvl w:val="4"/>
        <w:numId w:val="7"/>
      </w:numPr>
      <w:outlineLvl w:val="4"/>
    </w:pPr>
    <w:rPr>
      <w:b/>
    </w:rPr>
  </w:style>
  <w:style w:type="paragraph" w:styleId="Heading6">
    <w:name w:val="heading 6"/>
    <w:basedOn w:val="Normal"/>
    <w:next w:val="Normal"/>
    <w:qFormat/>
    <w:rsid w:val="00613F4F"/>
    <w:pPr>
      <w:keepNext/>
      <w:numPr>
        <w:ilvl w:val="5"/>
        <w:numId w:val="7"/>
      </w:numPr>
      <w:pBdr>
        <w:bottom w:val="single" w:sz="4" w:space="6" w:color="auto"/>
      </w:pBdr>
      <w:spacing w:after="480"/>
      <w:outlineLvl w:val="5"/>
    </w:pPr>
    <w:rPr>
      <w:b/>
      <w:sz w:val="36"/>
    </w:rPr>
  </w:style>
  <w:style w:type="paragraph" w:styleId="Heading7">
    <w:name w:val="heading 7"/>
    <w:basedOn w:val="Normal"/>
    <w:next w:val="Normal"/>
    <w:qFormat/>
    <w:rsid w:val="00613F4F"/>
    <w:pPr>
      <w:keepNext/>
      <w:numPr>
        <w:ilvl w:val="6"/>
        <w:numId w:val="7"/>
      </w:numPr>
      <w:spacing w:after="60"/>
      <w:outlineLvl w:val="6"/>
    </w:pPr>
    <w:rPr>
      <w:sz w:val="24"/>
      <w:szCs w:val="24"/>
    </w:rPr>
  </w:style>
  <w:style w:type="paragraph" w:styleId="Heading8">
    <w:name w:val="heading 8"/>
    <w:basedOn w:val="Normal"/>
    <w:next w:val="Normal"/>
    <w:qFormat/>
    <w:rsid w:val="00613F4F"/>
    <w:pPr>
      <w:keepNext/>
      <w:numPr>
        <w:ilvl w:val="7"/>
        <w:numId w:val="7"/>
      </w:numPr>
      <w:spacing w:before="80"/>
      <w:outlineLvl w:val="7"/>
    </w:pPr>
    <w:rPr>
      <w:i/>
    </w:rPr>
  </w:style>
  <w:style w:type="paragraph" w:styleId="Heading9">
    <w:name w:val="heading 9"/>
    <w:basedOn w:val="Normal"/>
    <w:next w:val="Normal"/>
    <w:qFormat/>
    <w:rsid w:val="00613F4F"/>
    <w:pPr>
      <w:numPr>
        <w:ilvl w:val="8"/>
        <w:numId w:val="7"/>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3F4F"/>
    <w:pPr>
      <w:tabs>
        <w:tab w:val="right" w:pos="9072"/>
      </w:tabs>
      <w:spacing w:after="0" w:line="280" w:lineRule="atLeast"/>
    </w:pPr>
    <w:rPr>
      <w:sz w:val="20"/>
    </w:rPr>
  </w:style>
  <w:style w:type="paragraph" w:styleId="Footer">
    <w:name w:val="footer"/>
    <w:basedOn w:val="Normal"/>
    <w:rsid w:val="00613F4F"/>
    <w:pPr>
      <w:pBdr>
        <w:top w:val="single" w:sz="4" w:space="16" w:color="808080"/>
      </w:pBdr>
      <w:spacing w:after="120"/>
    </w:pPr>
    <w:rPr>
      <w:sz w:val="20"/>
    </w:rPr>
  </w:style>
  <w:style w:type="character" w:styleId="PageNumber">
    <w:name w:val="page number"/>
    <w:rsid w:val="00613F4F"/>
    <w:rPr>
      <w:rFonts w:ascii="Arial" w:hAnsi="Arial"/>
      <w:sz w:val="20"/>
      <w:szCs w:val="20"/>
    </w:rPr>
  </w:style>
  <w:style w:type="paragraph" w:styleId="FootnoteText">
    <w:name w:val="footnote text"/>
    <w:basedOn w:val="Normal"/>
    <w:semiHidden/>
    <w:rsid w:val="00613F4F"/>
    <w:pPr>
      <w:spacing w:after="0" w:line="240" w:lineRule="auto"/>
    </w:pPr>
    <w:rPr>
      <w:color w:val="000080"/>
      <w:sz w:val="20"/>
      <w:szCs w:val="20"/>
    </w:rPr>
  </w:style>
  <w:style w:type="character" w:styleId="Hyperlink">
    <w:name w:val="Hyperlink"/>
    <w:basedOn w:val="DefaultParagraphFont"/>
    <w:rsid w:val="00613F4F"/>
    <w:rPr>
      <w:rFonts w:ascii="Arial" w:hAnsi="Arial"/>
      <w:color w:val="auto"/>
      <w:sz w:val="22"/>
      <w:u w:val="none"/>
    </w:rPr>
  </w:style>
  <w:style w:type="character" w:customStyle="1" w:styleId="Heading2Char">
    <w:name w:val="Heading 2 Char"/>
    <w:basedOn w:val="DefaultParagraphFont"/>
    <w:rsid w:val="00613F4F"/>
    <w:rPr>
      <w:rFonts w:ascii="Arial" w:hAnsi="Arial"/>
      <w:b/>
      <w:sz w:val="28"/>
      <w:szCs w:val="22"/>
      <w:lang w:val="en-GB" w:eastAsia="en-US" w:bidi="ar-SA"/>
    </w:rPr>
  </w:style>
  <w:style w:type="character" w:styleId="LineNumber">
    <w:name w:val="line number"/>
    <w:basedOn w:val="DefaultParagraphFont"/>
    <w:rsid w:val="00613F4F"/>
  </w:style>
  <w:style w:type="paragraph" w:styleId="BodyText">
    <w:name w:val="Body Text"/>
    <w:basedOn w:val="Normal"/>
    <w:rsid w:val="00613F4F"/>
  </w:style>
  <w:style w:type="paragraph" w:styleId="TOC1">
    <w:name w:val="toc 1"/>
    <w:basedOn w:val="Normal"/>
    <w:next w:val="Normal"/>
    <w:semiHidden/>
    <w:rsid w:val="00613F4F"/>
    <w:pPr>
      <w:tabs>
        <w:tab w:val="left" w:pos="709"/>
        <w:tab w:val="right" w:leader="dot" w:pos="9072"/>
      </w:tabs>
      <w:spacing w:before="240"/>
    </w:pPr>
    <w:rPr>
      <w:rFonts w:ascii="ZapfHumnst Ult BT" w:hAnsi="ZapfHumnst Ult BT"/>
    </w:rPr>
  </w:style>
  <w:style w:type="paragraph" w:styleId="TOC2">
    <w:name w:val="toc 2"/>
    <w:basedOn w:val="Normal"/>
    <w:next w:val="Normal"/>
    <w:autoRedefine/>
    <w:semiHidden/>
    <w:rsid w:val="00613F4F"/>
    <w:pPr>
      <w:tabs>
        <w:tab w:val="left" w:pos="960"/>
        <w:tab w:val="left" w:pos="1418"/>
        <w:tab w:val="right" w:leader="dot" w:pos="9062"/>
      </w:tabs>
      <w:ind w:left="709"/>
    </w:pPr>
  </w:style>
  <w:style w:type="character" w:styleId="FootnoteReference">
    <w:name w:val="footnote reference"/>
    <w:basedOn w:val="DefaultParagraphFont"/>
    <w:semiHidden/>
    <w:rsid w:val="009360EA"/>
    <w:rPr>
      <w:vertAlign w:val="superscript"/>
    </w:rPr>
  </w:style>
  <w:style w:type="paragraph" w:customStyle="1" w:styleId="TableText">
    <w:name w:val="Table Text"/>
    <w:rsid w:val="00613F4F"/>
    <w:rPr>
      <w:rFonts w:ascii="Arial" w:hAnsi="Arial"/>
      <w:color w:val="000000"/>
      <w:lang w:val="en-US" w:eastAsia="en-US"/>
    </w:rPr>
  </w:style>
  <w:style w:type="character" w:customStyle="1" w:styleId="Heading1Char">
    <w:name w:val="Heading 1 Char"/>
    <w:basedOn w:val="DefaultParagraphFont"/>
    <w:rsid w:val="00613F4F"/>
    <w:rPr>
      <w:rFonts w:ascii="Arial" w:hAnsi="Arial"/>
      <w:b/>
      <w:sz w:val="36"/>
      <w:szCs w:val="22"/>
      <w:lang w:val="en-GB" w:eastAsia="en-US" w:bidi="ar-SA"/>
    </w:rPr>
  </w:style>
  <w:style w:type="paragraph" w:customStyle="1" w:styleId="indentbodytext">
    <w:name w:val="indent body text"/>
    <w:basedOn w:val="BodyText"/>
    <w:rsid w:val="00613F4F"/>
  </w:style>
  <w:style w:type="character" w:customStyle="1" w:styleId="cald-definition1">
    <w:name w:val="cald-definition1"/>
    <w:basedOn w:val="DefaultParagraphFont"/>
    <w:rsid w:val="00613F4F"/>
    <w:rPr>
      <w:rFonts w:ascii="Verdana" w:hAnsi="Verdana" w:hint="default"/>
      <w:i w:val="0"/>
      <w:iCs w:val="0"/>
      <w:color w:val="000000"/>
      <w:sz w:val="24"/>
      <w:szCs w:val="24"/>
    </w:rPr>
  </w:style>
  <w:style w:type="paragraph" w:styleId="NormalWeb">
    <w:name w:val="Normal (Web)"/>
    <w:basedOn w:val="Normal"/>
    <w:rsid w:val="00613F4F"/>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613F4F"/>
    <w:pPr>
      <w:spacing w:after="120" w:line="480" w:lineRule="auto"/>
      <w:ind w:left="283"/>
    </w:pPr>
  </w:style>
  <w:style w:type="paragraph" w:customStyle="1" w:styleId="Captions">
    <w:name w:val="Captions"/>
    <w:basedOn w:val="Normal"/>
    <w:rsid w:val="00613F4F"/>
    <w:rPr>
      <w:i/>
      <w:sz w:val="24"/>
      <w:szCs w:val="24"/>
    </w:rPr>
  </w:style>
  <w:style w:type="paragraph" w:styleId="ListBullet2">
    <w:name w:val="List Bullet 2"/>
    <w:basedOn w:val="Normal"/>
    <w:rsid w:val="00613F4F"/>
    <w:pPr>
      <w:numPr>
        <w:numId w:val="2"/>
      </w:numPr>
      <w:tabs>
        <w:tab w:val="clear" w:pos="643"/>
        <w:tab w:val="left" w:pos="1134"/>
      </w:tabs>
      <w:spacing w:after="120"/>
      <w:ind w:left="1134" w:hanging="425"/>
    </w:pPr>
  </w:style>
  <w:style w:type="paragraph" w:styleId="ListBullet4">
    <w:name w:val="List Bullet 4"/>
    <w:basedOn w:val="Normal"/>
    <w:rsid w:val="00613F4F"/>
    <w:pPr>
      <w:numPr>
        <w:numId w:val="4"/>
      </w:numPr>
      <w:spacing w:after="120"/>
    </w:pPr>
  </w:style>
  <w:style w:type="paragraph" w:styleId="BodyText2">
    <w:name w:val="Body Text 2"/>
    <w:basedOn w:val="Normal"/>
    <w:rsid w:val="00613F4F"/>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613F4F"/>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613F4F"/>
    <w:pPr>
      <w:numPr>
        <w:numId w:val="1"/>
      </w:numPr>
      <w:spacing w:after="120"/>
      <w:ind w:left="425" w:hanging="425"/>
    </w:pPr>
  </w:style>
  <w:style w:type="paragraph" w:styleId="BodyTextIndent">
    <w:name w:val="Body Text Indent"/>
    <w:basedOn w:val="Normal"/>
    <w:rsid w:val="00613F4F"/>
    <w:pPr>
      <w:spacing w:after="120"/>
      <w:ind w:left="283"/>
    </w:pPr>
  </w:style>
  <w:style w:type="paragraph" w:styleId="List">
    <w:name w:val="List"/>
    <w:basedOn w:val="Normal"/>
    <w:rsid w:val="00613F4F"/>
    <w:pPr>
      <w:spacing w:after="0" w:line="240" w:lineRule="auto"/>
      <w:jc w:val="both"/>
    </w:pPr>
    <w:rPr>
      <w:rFonts w:ascii="Times New Roman" w:hAnsi="Times New Roman"/>
      <w:color w:val="000000"/>
      <w:sz w:val="20"/>
      <w:szCs w:val="20"/>
      <w:lang w:eastAsia="en-GB"/>
    </w:rPr>
  </w:style>
  <w:style w:type="paragraph" w:customStyle="1" w:styleId="CharCharCharCharChar">
    <w:name w:val="Char Char Char Char Char"/>
    <w:basedOn w:val="Normal"/>
    <w:rsid w:val="009B612E"/>
    <w:pPr>
      <w:spacing w:after="160" w:line="240" w:lineRule="exact"/>
    </w:pPr>
    <w:rPr>
      <w:rFonts w:ascii="Verdana" w:hAnsi="Verdana" w:cs="Verdana"/>
      <w:sz w:val="20"/>
      <w:szCs w:val="20"/>
      <w:lang w:val="en-US"/>
    </w:rPr>
  </w:style>
  <w:style w:type="paragraph" w:styleId="List2">
    <w:name w:val="List 2"/>
    <w:basedOn w:val="Normal"/>
    <w:rsid w:val="00613F4F"/>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613F4F"/>
    <w:pPr>
      <w:spacing w:after="120" w:line="240" w:lineRule="auto"/>
      <w:ind w:left="283"/>
      <w:jc w:val="both"/>
    </w:pPr>
    <w:rPr>
      <w:rFonts w:ascii="Times New Roman" w:hAnsi="Times New Roman"/>
      <w:sz w:val="24"/>
      <w:szCs w:val="20"/>
      <w:lang w:eastAsia="en-GB"/>
    </w:rPr>
  </w:style>
  <w:style w:type="paragraph" w:styleId="List3">
    <w:name w:val="List 3"/>
    <w:basedOn w:val="Normal"/>
    <w:rsid w:val="00613F4F"/>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613F4F"/>
    <w:pPr>
      <w:tabs>
        <w:tab w:val="clear" w:pos="1843"/>
        <w:tab w:val="num" w:pos="2268"/>
      </w:tabs>
      <w:ind w:left="2268"/>
    </w:pPr>
  </w:style>
  <w:style w:type="paragraph" w:styleId="BalloonText">
    <w:name w:val="Balloon Text"/>
    <w:basedOn w:val="Normal"/>
    <w:semiHidden/>
    <w:rsid w:val="00613F4F"/>
    <w:pPr>
      <w:spacing w:after="0" w:line="240" w:lineRule="auto"/>
      <w:jc w:val="both"/>
    </w:pPr>
    <w:rPr>
      <w:rFonts w:ascii="Tahoma" w:hAnsi="Tahoma" w:cs="Tahoma"/>
      <w:sz w:val="16"/>
      <w:szCs w:val="16"/>
      <w:lang w:eastAsia="en-GB"/>
    </w:rPr>
  </w:style>
  <w:style w:type="paragraph" w:customStyle="1" w:styleId="text">
    <w:name w:val="text"/>
    <w:basedOn w:val="Normal"/>
    <w:rsid w:val="00613F4F"/>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613F4F"/>
    <w:rPr>
      <w:rFonts w:ascii="Arial" w:hAnsi="Arial"/>
      <w:sz w:val="24"/>
      <w:szCs w:val="24"/>
      <w:lang w:val="en-GB" w:eastAsia="en-US" w:bidi="ar-SA"/>
    </w:rPr>
  </w:style>
  <w:style w:type="character" w:styleId="FollowedHyperlink">
    <w:name w:val="FollowedHyperlink"/>
    <w:basedOn w:val="DefaultParagraphFont"/>
    <w:rsid w:val="00613F4F"/>
    <w:rPr>
      <w:rFonts w:ascii="Arial" w:hAnsi="Arial"/>
      <w:color w:val="auto"/>
      <w:sz w:val="22"/>
      <w:u w:val="none"/>
    </w:rPr>
  </w:style>
  <w:style w:type="paragraph" w:styleId="BodyTextIndent3">
    <w:name w:val="Body Text Indent 3"/>
    <w:basedOn w:val="Normal"/>
    <w:rsid w:val="00613F4F"/>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613F4F"/>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613F4F"/>
    <w:rPr>
      <w:sz w:val="16"/>
      <w:szCs w:val="16"/>
    </w:rPr>
  </w:style>
  <w:style w:type="paragraph" w:styleId="BodyText3">
    <w:name w:val="Body Text 3"/>
    <w:basedOn w:val="Normal"/>
    <w:rsid w:val="00613F4F"/>
    <w:pPr>
      <w:spacing w:after="120"/>
    </w:pPr>
    <w:rPr>
      <w:sz w:val="16"/>
      <w:szCs w:val="16"/>
    </w:rPr>
  </w:style>
  <w:style w:type="paragraph" w:customStyle="1" w:styleId="TableGrid1">
    <w:name w:val="Table Grid1"/>
    <w:rsid w:val="00613F4F"/>
    <w:pPr>
      <w:spacing w:after="240" w:line="300" w:lineRule="atLeast"/>
    </w:pPr>
    <w:rPr>
      <w:rFonts w:eastAsia="ヒラギノ角ゴ Pro W3"/>
      <w:color w:val="000000"/>
    </w:rPr>
  </w:style>
  <w:style w:type="paragraph" w:customStyle="1" w:styleId="Bullet">
    <w:name w:val="Bullet"/>
    <w:basedOn w:val="Normal"/>
    <w:rsid w:val="00613F4F"/>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613F4F"/>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table" w:styleId="TableGrid">
    <w:name w:val="Table Grid"/>
    <w:basedOn w:val="TableNormal"/>
    <w:uiPriority w:val="59"/>
    <w:rsid w:val="006F75C4"/>
    <w:pPr>
      <w:spacing w:after="2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Sub">
    <w:name w:val="Number Sub"/>
    <w:basedOn w:val="Normal"/>
    <w:rsid w:val="00613F4F"/>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613F4F"/>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613F4F"/>
    <w:pPr>
      <w:numPr>
        <w:numId w:val="3"/>
      </w:numPr>
    </w:pPr>
  </w:style>
  <w:style w:type="paragraph" w:customStyle="1" w:styleId="Table">
    <w:name w:val="Table"/>
    <w:basedOn w:val="Header"/>
    <w:autoRedefine/>
    <w:rsid w:val="00613F4F"/>
    <w:pPr>
      <w:tabs>
        <w:tab w:val="clear" w:pos="9072"/>
        <w:tab w:val="center" w:pos="4153"/>
        <w:tab w:val="right" w:pos="8306"/>
      </w:tabs>
      <w:spacing w:line="240" w:lineRule="auto"/>
      <w:ind w:left="57"/>
    </w:pPr>
    <w:rPr>
      <w:szCs w:val="20"/>
    </w:rPr>
  </w:style>
  <w:style w:type="character" w:customStyle="1" w:styleId="DeltaViewDeletion">
    <w:name w:val="DeltaView Deletion"/>
    <w:rsid w:val="00613F4F"/>
    <w:rPr>
      <w:strike/>
      <w:color w:val="FF0000"/>
      <w:spacing w:val="0"/>
    </w:rPr>
  </w:style>
  <w:style w:type="character" w:styleId="Strong">
    <w:name w:val="Strong"/>
    <w:basedOn w:val="DefaultParagraphFont"/>
    <w:qFormat/>
    <w:rsid w:val="00613F4F"/>
    <w:rPr>
      <w:b/>
      <w:bCs/>
    </w:rPr>
  </w:style>
  <w:style w:type="paragraph" w:customStyle="1" w:styleId="CharCharCharCharCharCharCharCharChar">
    <w:name w:val="Char Char Char Char Char Char Char Char Char"/>
    <w:basedOn w:val="Normal"/>
    <w:rsid w:val="00956740"/>
    <w:pPr>
      <w:spacing w:after="160" w:line="240" w:lineRule="exact"/>
    </w:pPr>
    <w:rPr>
      <w:rFonts w:ascii="Verdana" w:eastAsia="MS Mincho" w:hAnsi="Verdana"/>
      <w:sz w:val="20"/>
      <w:szCs w:val="20"/>
    </w:rPr>
  </w:style>
  <w:style w:type="paragraph" w:customStyle="1" w:styleId="CharChar">
    <w:name w:val="Char Char"/>
    <w:basedOn w:val="Normal"/>
    <w:rsid w:val="00D13A84"/>
    <w:pPr>
      <w:spacing w:after="160" w:line="240" w:lineRule="exact"/>
    </w:pPr>
    <w:rPr>
      <w:rFonts w:ascii="Verdana" w:hAnsi="Verdana" w:cs="Verdana"/>
      <w:sz w:val="20"/>
      <w:szCs w:val="20"/>
      <w:lang w:val="en-US"/>
    </w:rPr>
  </w:style>
  <w:style w:type="paragraph" w:customStyle="1" w:styleId="legclearfixlegp3container1">
    <w:name w:val="legclearfix legp3container1"/>
    <w:basedOn w:val="Normal"/>
    <w:rsid w:val="009A654A"/>
    <w:pPr>
      <w:shd w:val="clear" w:color="auto" w:fill="FFFFFF"/>
      <w:spacing w:after="120" w:line="360" w:lineRule="atLeast"/>
    </w:pPr>
    <w:rPr>
      <w:rFonts w:ascii="Times New Roman" w:hAnsi="Times New Roman"/>
      <w:color w:val="000000"/>
      <w:sz w:val="19"/>
      <w:szCs w:val="19"/>
      <w:lang w:eastAsia="en-GB"/>
    </w:rPr>
  </w:style>
  <w:style w:type="character" w:customStyle="1" w:styleId="legdsleglhslegp3no1">
    <w:name w:val="legds leglhs legp3no1"/>
    <w:basedOn w:val="DefaultParagraphFont"/>
    <w:rsid w:val="009A654A"/>
    <w:rPr>
      <w:vanish w:val="0"/>
      <w:webHidden w:val="0"/>
      <w:sz w:val="30"/>
      <w:szCs w:val="30"/>
      <w:shd w:val="clear" w:color="auto" w:fill="FFFFFF"/>
      <w:specVanish w:val="0"/>
    </w:rPr>
  </w:style>
  <w:style w:type="paragraph" w:customStyle="1" w:styleId="legp2paratext2">
    <w:name w:val="legp2paratext2"/>
    <w:basedOn w:val="Normal"/>
    <w:rsid w:val="009A654A"/>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styleId="ListParagraph">
    <w:name w:val="List Paragraph"/>
    <w:basedOn w:val="Normal"/>
    <w:uiPriority w:val="34"/>
    <w:qFormat/>
    <w:rsid w:val="007E7625"/>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100">
      <w:bodyDiv w:val="1"/>
      <w:marLeft w:val="0"/>
      <w:marRight w:val="0"/>
      <w:marTop w:val="0"/>
      <w:marBottom w:val="0"/>
      <w:divBdr>
        <w:top w:val="none" w:sz="0" w:space="0" w:color="auto"/>
        <w:left w:val="none" w:sz="0" w:space="0" w:color="auto"/>
        <w:bottom w:val="none" w:sz="0" w:space="0" w:color="auto"/>
        <w:right w:val="none" w:sz="0" w:space="0" w:color="auto"/>
      </w:divBdr>
    </w:div>
    <w:div w:id="147988688">
      <w:bodyDiv w:val="1"/>
      <w:marLeft w:val="0"/>
      <w:marRight w:val="0"/>
      <w:marTop w:val="0"/>
      <w:marBottom w:val="0"/>
      <w:divBdr>
        <w:top w:val="none" w:sz="0" w:space="0" w:color="auto"/>
        <w:left w:val="none" w:sz="0" w:space="0" w:color="auto"/>
        <w:bottom w:val="none" w:sz="0" w:space="0" w:color="auto"/>
        <w:right w:val="none" w:sz="0" w:space="0" w:color="auto"/>
      </w:divBdr>
    </w:div>
    <w:div w:id="299773058">
      <w:bodyDiv w:val="1"/>
      <w:marLeft w:val="0"/>
      <w:marRight w:val="0"/>
      <w:marTop w:val="0"/>
      <w:marBottom w:val="0"/>
      <w:divBdr>
        <w:top w:val="none" w:sz="0" w:space="0" w:color="auto"/>
        <w:left w:val="none" w:sz="0" w:space="0" w:color="auto"/>
        <w:bottom w:val="none" w:sz="0" w:space="0" w:color="auto"/>
        <w:right w:val="none" w:sz="0" w:space="0" w:color="auto"/>
      </w:divBdr>
    </w:div>
    <w:div w:id="479462235">
      <w:bodyDiv w:val="1"/>
      <w:marLeft w:val="0"/>
      <w:marRight w:val="0"/>
      <w:marTop w:val="0"/>
      <w:marBottom w:val="0"/>
      <w:divBdr>
        <w:top w:val="none" w:sz="0" w:space="0" w:color="auto"/>
        <w:left w:val="none" w:sz="0" w:space="0" w:color="auto"/>
        <w:bottom w:val="none" w:sz="0" w:space="0" w:color="auto"/>
        <w:right w:val="none" w:sz="0" w:space="0" w:color="auto"/>
      </w:divBdr>
      <w:divsChild>
        <w:div w:id="740833988">
          <w:marLeft w:val="0"/>
          <w:marRight w:val="0"/>
          <w:marTop w:val="0"/>
          <w:marBottom w:val="0"/>
          <w:divBdr>
            <w:top w:val="none" w:sz="0" w:space="0" w:color="auto"/>
            <w:left w:val="none" w:sz="0" w:space="0" w:color="auto"/>
            <w:bottom w:val="none" w:sz="0" w:space="0" w:color="auto"/>
            <w:right w:val="none" w:sz="0" w:space="0" w:color="auto"/>
          </w:divBdr>
          <w:divsChild>
            <w:div w:id="266892954">
              <w:marLeft w:val="0"/>
              <w:marRight w:val="0"/>
              <w:marTop w:val="0"/>
              <w:marBottom w:val="0"/>
              <w:divBdr>
                <w:top w:val="single" w:sz="2" w:space="0" w:color="FFFFFF"/>
                <w:left w:val="single" w:sz="6" w:space="0" w:color="FFFFFF"/>
                <w:bottom w:val="single" w:sz="6" w:space="0" w:color="FFFFFF"/>
                <w:right w:val="single" w:sz="6" w:space="0" w:color="FFFFFF"/>
              </w:divBdr>
              <w:divsChild>
                <w:div w:id="1869294182">
                  <w:marLeft w:val="0"/>
                  <w:marRight w:val="0"/>
                  <w:marTop w:val="0"/>
                  <w:marBottom w:val="0"/>
                  <w:divBdr>
                    <w:top w:val="single" w:sz="6" w:space="1" w:color="D3D3D3"/>
                    <w:left w:val="single" w:sz="6" w:space="0" w:color="FFFFFF"/>
                    <w:bottom w:val="none" w:sz="0" w:space="24" w:color="auto"/>
                    <w:right w:val="single" w:sz="6" w:space="0" w:color="FFFFFF"/>
                  </w:divBdr>
                  <w:divsChild>
                    <w:div w:id="260339890">
                      <w:marLeft w:val="0"/>
                      <w:marRight w:val="0"/>
                      <w:marTop w:val="0"/>
                      <w:marBottom w:val="0"/>
                      <w:divBdr>
                        <w:top w:val="single" w:sz="6" w:space="1" w:color="D3D3D3"/>
                        <w:left w:val="single" w:sz="6" w:space="0" w:color="FFFFFF"/>
                        <w:bottom w:val="none" w:sz="0" w:space="24" w:color="auto"/>
                        <w:right w:val="single" w:sz="6" w:space="0" w:color="FFFFFF"/>
                      </w:divBdr>
                      <w:divsChild>
                        <w:div w:id="1634171556">
                          <w:marLeft w:val="0"/>
                          <w:marRight w:val="0"/>
                          <w:marTop w:val="0"/>
                          <w:marBottom w:val="0"/>
                          <w:divBdr>
                            <w:top w:val="single" w:sz="6" w:space="1" w:color="D3D3D3"/>
                            <w:left w:val="single" w:sz="6" w:space="0" w:color="FFFFFF"/>
                            <w:bottom w:val="none" w:sz="0" w:space="24" w:color="auto"/>
                            <w:right w:val="single" w:sz="6" w:space="0" w:color="FFFFFF"/>
                          </w:divBdr>
                        </w:div>
                      </w:divsChild>
                    </w:div>
                  </w:divsChild>
                </w:div>
              </w:divsChild>
            </w:div>
          </w:divsChild>
        </w:div>
      </w:divsChild>
    </w:div>
    <w:div w:id="634792665">
      <w:bodyDiv w:val="1"/>
      <w:marLeft w:val="0"/>
      <w:marRight w:val="0"/>
      <w:marTop w:val="0"/>
      <w:marBottom w:val="0"/>
      <w:divBdr>
        <w:top w:val="none" w:sz="0" w:space="0" w:color="auto"/>
        <w:left w:val="none" w:sz="0" w:space="0" w:color="auto"/>
        <w:bottom w:val="none" w:sz="0" w:space="0" w:color="auto"/>
        <w:right w:val="none" w:sz="0" w:space="0" w:color="auto"/>
      </w:divBdr>
    </w:div>
    <w:div w:id="747310963">
      <w:bodyDiv w:val="1"/>
      <w:marLeft w:val="0"/>
      <w:marRight w:val="0"/>
      <w:marTop w:val="0"/>
      <w:marBottom w:val="0"/>
      <w:divBdr>
        <w:top w:val="none" w:sz="0" w:space="0" w:color="auto"/>
        <w:left w:val="none" w:sz="0" w:space="0" w:color="auto"/>
        <w:bottom w:val="none" w:sz="0" w:space="0" w:color="auto"/>
        <w:right w:val="none" w:sz="0" w:space="0" w:color="auto"/>
      </w:divBdr>
    </w:div>
    <w:div w:id="1569456986">
      <w:bodyDiv w:val="1"/>
      <w:marLeft w:val="0"/>
      <w:marRight w:val="0"/>
      <w:marTop w:val="0"/>
      <w:marBottom w:val="0"/>
      <w:divBdr>
        <w:top w:val="none" w:sz="0" w:space="0" w:color="auto"/>
        <w:left w:val="none" w:sz="0" w:space="0" w:color="auto"/>
        <w:bottom w:val="none" w:sz="0" w:space="0" w:color="auto"/>
        <w:right w:val="none" w:sz="0" w:space="0" w:color="auto"/>
      </w:divBdr>
    </w:div>
    <w:div w:id="1733969907">
      <w:bodyDiv w:val="1"/>
      <w:marLeft w:val="0"/>
      <w:marRight w:val="0"/>
      <w:marTop w:val="0"/>
      <w:marBottom w:val="0"/>
      <w:divBdr>
        <w:top w:val="none" w:sz="0" w:space="0" w:color="auto"/>
        <w:left w:val="none" w:sz="0" w:space="0" w:color="auto"/>
        <w:bottom w:val="none" w:sz="0" w:space="0" w:color="auto"/>
        <w:right w:val="none" w:sz="0" w:space="0" w:color="auto"/>
      </w:divBdr>
    </w:div>
    <w:div w:id="1908957154">
      <w:bodyDiv w:val="1"/>
      <w:marLeft w:val="0"/>
      <w:marRight w:val="0"/>
      <w:marTop w:val="0"/>
      <w:marBottom w:val="0"/>
      <w:divBdr>
        <w:top w:val="none" w:sz="0" w:space="0" w:color="auto"/>
        <w:left w:val="none" w:sz="0" w:space="0" w:color="auto"/>
        <w:bottom w:val="none" w:sz="0" w:space="0" w:color="auto"/>
        <w:right w:val="none" w:sz="0" w:space="0" w:color="auto"/>
      </w:divBdr>
    </w:div>
    <w:div w:id="20293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t.steward@tedclt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866</Words>
  <Characters>5984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Torbay Council</vt:lpstr>
    </vt:vector>
  </TitlesOfParts>
  <Company>Gateway</Company>
  <LinksUpToDate>false</LinksUpToDate>
  <CharactersWithSpaces>6837</CharactersWithSpaces>
  <SharedDoc>false</SharedDoc>
  <HLinks>
    <vt:vector size="6" baseType="variant">
      <vt:variant>
        <vt:i4>8126547</vt:i4>
      </vt:variant>
      <vt:variant>
        <vt:i4>0</vt:i4>
      </vt:variant>
      <vt:variant>
        <vt:i4>0</vt:i4>
      </vt:variant>
      <vt:variant>
        <vt:i4>5</vt:i4>
      </vt:variant>
      <vt:variant>
        <vt:lpwstr>http://www.cre.gov.uk/downloads/proc_public.pdf</vt:lpwstr>
      </vt:variant>
      <vt:variant>
        <vt:lpwstr>search=%22procurement%22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creator>Joanna Pascoe</dc:creator>
  <cp:lastModifiedBy>Pascoe, Joanna</cp:lastModifiedBy>
  <cp:revision>2</cp:revision>
  <cp:lastPrinted>2010-01-27T10:13:00Z</cp:lastPrinted>
  <dcterms:created xsi:type="dcterms:W3CDTF">2018-02-19T12:44:00Z</dcterms:created>
  <dcterms:modified xsi:type="dcterms:W3CDTF">2018-02-19T12:44:00Z</dcterms:modified>
</cp:coreProperties>
</file>