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237396458"/>
        <w:docPartObj>
          <w:docPartGallery w:val="Cover Pages"/>
          <w:docPartUnique/>
        </w:docPartObj>
      </w:sdtPr>
      <w:sdtEndPr>
        <w:rPr>
          <w:rFonts w:ascii="Arial" w:hAnsi="Arial" w:cs="Arial"/>
          <w:i/>
          <w:iCs/>
          <w:color w:val="00B0F0"/>
        </w:rPr>
      </w:sdtEndPr>
      <w:sdtContent>
        <w:p w14:paraId="1282DE8C" w14:textId="77777777" w:rsidR="009B0950" w:rsidRDefault="009B0950"/>
        <w:p w14:paraId="41A057EF" w14:textId="77777777" w:rsidR="009B0950" w:rsidRDefault="009B0950">
          <w:pPr>
            <w:rPr>
              <w:rFonts w:ascii="Arial" w:hAnsi="Arial" w:cs="Arial"/>
              <w:i/>
              <w:iCs/>
              <w:color w:val="00B0F0"/>
            </w:rPr>
          </w:pPr>
          <w:r>
            <w:rPr>
              <w:noProof/>
              <w:lang w:eastAsia="en-GB"/>
            </w:rPr>
            <mc:AlternateContent>
              <mc:Choice Requires="wps">
                <w:drawing>
                  <wp:anchor distT="0" distB="0" distL="182880" distR="182880" simplePos="0" relativeHeight="251660288" behindDoc="0" locked="0" layoutInCell="1" allowOverlap="1" wp14:anchorId="5265AA9E" wp14:editId="214F4CD6">
                    <wp:simplePos x="0" y="0"/>
                    <mc:AlternateContent>
                      <mc:Choice Requires="wp14">
                        <wp:positionH relativeFrom="margin">
                          <wp14:pctPosHOffset>7700</wp14:pctPosHOffset>
                        </wp:positionH>
                      </mc:Choice>
                      <mc:Fallback>
                        <wp:positionH relativeFrom="page">
                          <wp:posOffset>1355725</wp:posOffset>
                        </wp:positionH>
                      </mc:Fallback>
                    </mc:AlternateContent>
                    <mc:AlternateContent>
                      <mc:Choice Requires="wp14">
                        <wp:positionV relativeFrom="page">
                          <wp14:pctPosVOffset>54000</wp14:pctPosVOffset>
                        </wp:positionV>
                      </mc:Choice>
                      <mc:Fallback>
                        <wp:positionV relativeFrom="page">
                          <wp:posOffset>5773420</wp:posOffset>
                        </wp:positionV>
                      </mc:Fallback>
                    </mc:AlternateContent>
                    <wp:extent cx="4686300" cy="6720840"/>
                    <wp:effectExtent l="0" t="0" r="10160" b="3810"/>
                    <wp:wrapSquare wrapText="bothSides"/>
                    <wp:docPr id="131" name="Text Box 131"/>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2D93DF6" w14:textId="77777777" w:rsidR="009B0950" w:rsidRDefault="00143FBE">
                                <w:pPr>
                                  <w:pStyle w:val="NoSpacing"/>
                                  <w:spacing w:before="40" w:after="560" w:line="216" w:lineRule="auto"/>
                                  <w:rPr>
                                    <w:color w:val="5B9BD5" w:themeColor="accent1"/>
                                    <w:sz w:val="72"/>
                                    <w:szCs w:val="72"/>
                                  </w:rPr>
                                </w:pPr>
                                <w:sdt>
                                  <w:sdtPr>
                                    <w:rPr>
                                      <w:color w:val="5B9BD5" w:themeColor="accent1"/>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9B0950">
                                      <w:rPr>
                                        <w:color w:val="5B9BD5" w:themeColor="accent1"/>
                                        <w:sz w:val="72"/>
                                        <w:szCs w:val="72"/>
                                      </w:rPr>
                                      <w:t>Cost Benefit and Value Analysis Report</w:t>
                                    </w:r>
                                  </w:sdtContent>
                                </w:sdt>
                              </w:p>
                              <w:sdt>
                                <w:sdtPr>
                                  <w:rPr>
                                    <w:caps/>
                                    <w:color w:val="1F3864" w:themeColor="accent5" w:themeShade="80"/>
                                    <w:sz w:val="28"/>
                                    <w:szCs w:val="28"/>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14:paraId="532ADFE8" w14:textId="77777777" w:rsidR="009B0950" w:rsidRDefault="009B0950">
                                    <w:pPr>
                                      <w:pStyle w:val="NoSpacing"/>
                                      <w:spacing w:before="40" w:after="40"/>
                                      <w:rPr>
                                        <w:caps/>
                                        <w:color w:val="1F3864" w:themeColor="accent5" w:themeShade="80"/>
                                        <w:sz w:val="28"/>
                                        <w:szCs w:val="28"/>
                                      </w:rPr>
                                    </w:pPr>
                                    <w:r>
                                      <w:rPr>
                                        <w:caps/>
                                        <w:color w:val="1F3864" w:themeColor="accent5" w:themeShade="80"/>
                                        <w:sz w:val="28"/>
                                        <w:szCs w:val="28"/>
                                      </w:rPr>
                                      <w:t>Soft market testing</w:t>
                                    </w:r>
                                  </w:p>
                                </w:sdtContent>
                              </w:sdt>
                              <w:sdt>
                                <w:sdtPr>
                                  <w:rPr>
                                    <w:caps/>
                                    <w:color w:val="4472C4" w:themeColor="accent5"/>
                                    <w:sz w:val="24"/>
                                    <w:szCs w:val="24"/>
                                  </w:rPr>
                                  <w:alias w:val="Author"/>
                                  <w:tag w:val=""/>
                                  <w:id w:val="-1536112409"/>
                                  <w:dataBinding w:prefixMappings="xmlns:ns0='http://purl.org/dc/elements/1.1/' xmlns:ns1='http://schemas.openxmlformats.org/package/2006/metadata/core-properties' " w:xpath="/ns1:coreProperties[1]/ns0:creator[1]" w:storeItemID="{6C3C8BC8-F283-45AE-878A-BAB7291924A1}"/>
                                  <w:text/>
                                </w:sdtPr>
                                <w:sdtEndPr/>
                                <w:sdtContent>
                                  <w:p w14:paraId="2EDCA372" w14:textId="77777777" w:rsidR="009B0950" w:rsidRDefault="00990046">
                                    <w:pPr>
                                      <w:pStyle w:val="NoSpacing"/>
                                      <w:spacing w:before="80" w:after="40"/>
                                      <w:rPr>
                                        <w:caps/>
                                        <w:color w:val="4472C4" w:themeColor="accent5"/>
                                        <w:sz w:val="24"/>
                                        <w:szCs w:val="24"/>
                                      </w:rPr>
                                    </w:pPr>
                                    <w:r>
                                      <w:rPr>
                                        <w:caps/>
                                        <w:color w:val="4472C4" w:themeColor="accent5"/>
                                        <w:sz w:val="24"/>
                                        <w:szCs w:val="24"/>
                                      </w:rPr>
                                      <w:t>National Anti-Fraud Network</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w:pict>
                  <v:shapetype id="_x0000_t202" coordsize="21600,21600" o:spt="202" path="m,l,21600r21600,l21600,xe">
                    <v:stroke joinstyle="miter"/>
                    <v:path gradientshapeok="t" o:connecttype="rect"/>
                  </v:shapetype>
                  <v:shape id="Text Box 131" o:spid="_x0000_s1026" type="#_x0000_t202" style="position:absolute;margin-left:0;margin-top:0;width:369pt;height:529.2pt;z-index:251660288;visibility:visible;mso-wrap-style:square;mso-width-percent:790;mso-height-percent:350;mso-left-percent:77;mso-top-percent:540;mso-wrap-distance-left:14.4pt;mso-wrap-distance-top:0;mso-wrap-distance-right:14.4pt;mso-wrap-distance-bottom:0;mso-position-horizontal-relative:margin;mso-position-vertical-relative:page;mso-width-percent:790;mso-height-percent:350;mso-left-percent:77;mso-top-percent:54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" filled="f" stroked="f" strokeweight=".5pt">
                    <v:textbox style="mso-fit-shape-to-text:t" inset="0,0,0,0">
                      <w:txbxContent>
                        <w:p w:rsidR="009B0950" w:rsidRDefault="009B0950">
                          <w:pPr>
                            <w:pStyle w:val="NoSpacing"/>
                            <w:spacing w:before="40" w:after="560" w:line="216" w:lineRule="auto"/>
                            <w:rPr>
                              <w:color w:val="5B9BD5" w:themeColor="accent1"/>
                              <w:sz w:val="72"/>
                              <w:szCs w:val="72"/>
                            </w:rPr>
                          </w:pPr>
                          <w:sdt>
                            <w:sdtPr>
                              <w:rPr>
                                <w:color w:val="5B9BD5" w:themeColor="accent1"/>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Content>
                              <w:r>
                                <w:rPr>
                                  <w:color w:val="5B9BD5" w:themeColor="accent1"/>
                                  <w:sz w:val="72"/>
                                  <w:szCs w:val="72"/>
                                </w:rPr>
                                <w:t>Cost Benefit and Value Analysis Report</w:t>
                              </w:r>
                            </w:sdtContent>
                          </w:sdt>
                        </w:p>
                        <w:sdt>
                          <w:sdtPr>
                            <w:rPr>
                              <w:caps/>
                              <w:color w:val="1F3864" w:themeColor="accent5" w:themeShade="80"/>
                              <w:sz w:val="28"/>
                              <w:szCs w:val="28"/>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Content>
                            <w:p w:rsidR="009B0950" w:rsidRDefault="009B0950">
                              <w:pPr>
                                <w:pStyle w:val="NoSpacing"/>
                                <w:spacing w:before="40" w:after="40"/>
                                <w:rPr>
                                  <w:caps/>
                                  <w:color w:val="1F3864" w:themeColor="accent5" w:themeShade="80"/>
                                  <w:sz w:val="28"/>
                                  <w:szCs w:val="28"/>
                                </w:rPr>
                              </w:pPr>
                              <w:r>
                                <w:rPr>
                                  <w:caps/>
                                  <w:color w:val="1F3864" w:themeColor="accent5" w:themeShade="80"/>
                                  <w:sz w:val="28"/>
                                  <w:szCs w:val="28"/>
                                </w:rPr>
                                <w:t>Soft market testing</w:t>
                              </w:r>
                            </w:p>
                          </w:sdtContent>
                        </w:sdt>
                        <w:sdt>
                          <w:sdtPr>
                            <w:rPr>
                              <w:caps/>
                              <w:color w:val="4472C4" w:themeColor="accent5"/>
                              <w:sz w:val="24"/>
                              <w:szCs w:val="24"/>
                            </w:rPr>
                            <w:alias w:val="Author"/>
                            <w:tag w:val=""/>
                            <w:id w:val="-1536112409"/>
                            <w:dataBinding w:prefixMappings="xmlns:ns0='http://purl.org/dc/elements/1.1/' xmlns:ns1='http://schemas.openxmlformats.org/package/2006/metadata/core-properties' " w:xpath="/ns1:coreProperties[1]/ns0:creator[1]" w:storeItemID="{6C3C8BC8-F283-45AE-878A-BAB7291924A1}"/>
                            <w:text/>
                          </w:sdtPr>
                          <w:sdtContent>
                            <w:p w:rsidR="009B0950" w:rsidRDefault="00990046">
                              <w:pPr>
                                <w:pStyle w:val="NoSpacing"/>
                                <w:spacing w:before="80" w:after="40"/>
                                <w:rPr>
                                  <w:caps/>
                                  <w:color w:val="4472C4" w:themeColor="accent5"/>
                                  <w:sz w:val="24"/>
                                  <w:szCs w:val="24"/>
                                </w:rPr>
                              </w:pPr>
                              <w:r>
                                <w:rPr>
                                  <w:caps/>
                                  <w:color w:val="4472C4" w:themeColor="accent5"/>
                                  <w:sz w:val="24"/>
                                  <w:szCs w:val="24"/>
                                </w:rPr>
                                <w:t>National Anti-Fraud Network</w:t>
                              </w:r>
                            </w:p>
                          </w:sdtContent>
                        </w:sdt>
                      </w:txbxContent>
                    </v:textbox>
                    <w10:wrap type="square" anchorx="margin" anchory="page"/>
                  </v:shape>
                </w:pict>
              </mc:Fallback>
            </mc:AlternateContent>
          </w:r>
          <w:r>
            <w:rPr>
              <w:noProof/>
              <w:lang w:eastAsia="en-GB"/>
            </w:rPr>
            <mc:AlternateContent>
              <mc:Choice Requires="wps">
                <w:drawing>
                  <wp:anchor distT="0" distB="0" distL="114300" distR="114300" simplePos="0" relativeHeight="251659264" behindDoc="0" locked="0" layoutInCell="1" allowOverlap="1" wp14:anchorId="7A43749F" wp14:editId="08DDF186">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594360" cy="987552"/>
                    <wp:effectExtent l="0" t="0" r="0" b="5080"/>
                    <wp:wrapNone/>
                    <wp:docPr id="132" name="Rectangle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Year"/>
                                  <w:tag w:val=""/>
                                  <w:id w:val="-785116381"/>
                                  <w:dataBinding w:prefixMappings="xmlns:ns0='http://schemas.microsoft.com/office/2006/coverPageProps' " w:xpath="/ns0:CoverPageProperties[1]/ns0:PublishDate[1]" w:storeItemID="{55AF091B-3C7A-41E3-B477-F2FDAA23CFDA}"/>
                                  <w:date w:fullDate="2022-01-01T00:00:00Z">
                                    <w:dateFormat w:val="yyyy"/>
                                    <w:lid w:val="en-US"/>
                                    <w:storeMappedDataAs w:val="dateTime"/>
                                    <w:calendar w:val="gregorian"/>
                                  </w:date>
                                </w:sdtPr>
                                <w:sdtEndPr/>
                                <w:sdtContent>
                                  <w:p w14:paraId="2FAAC3D3" w14:textId="77777777" w:rsidR="009B0950" w:rsidRDefault="009B0950">
                                    <w:pPr>
                                      <w:pStyle w:val="NoSpacing"/>
                                      <w:jc w:val="right"/>
                                      <w:rPr>
                                        <w:color w:val="FFFFFF" w:themeColor="background1"/>
                                        <w:sz w:val="24"/>
                                        <w:szCs w:val="24"/>
                                      </w:rPr>
                                    </w:pPr>
                                    <w:r>
                                      <w:rPr>
                                        <w:color w:val="FFFFFF" w:themeColor="background1"/>
                                        <w:sz w:val="24"/>
                                        <w:szCs w:val="24"/>
                                      </w:rPr>
                                      <w:t>2022</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id="Rectangle 132" o:spid="_x0000_s1027" style="position:absolute;margin-left:-4.4pt;margin-top:0;width:46.8pt;height:77.75pt;z-index:251659264;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" fillcolor="#5b9bd5 [3204]" stroked="f" strokeweight="1pt">
                    <v:path arrowok="t"/>
                    <o:lock v:ext="edit" aspectratio="t"/>
                    <v:textbox inset="3.6pt,,3.6pt">
                      <w:txbxContent>
                        <w:sdt>
                          <w:sdtPr>
                            <w:rPr>
                              <w:color w:val="FFFFFF" w:themeColor="background1"/>
                              <w:sz w:val="24"/>
                              <w:szCs w:val="24"/>
                            </w:rPr>
                            <w:alias w:val="Year"/>
                            <w:tag w:val=""/>
                            <w:id w:val="-785116381"/>
                            <w:dataBinding w:prefixMappings="xmlns:ns0='http://schemas.microsoft.com/office/2006/coverPageProps' " w:xpath="/ns0:CoverPageProperties[1]/ns0:PublishDate[1]" w:storeItemID="{55AF091B-3C7A-41E3-B477-F2FDAA23CFDA}"/>
                            <w:date w:fullDate="2022-01-01T00:00:00Z">
                              <w:dateFormat w:val="yyyy"/>
                              <w:lid w:val="en-US"/>
                              <w:storeMappedDataAs w:val="dateTime"/>
                              <w:calendar w:val="gregorian"/>
                            </w:date>
                          </w:sdtPr>
                          <w:sdtContent>
                            <w:p w:rsidR="009B0950" w:rsidRDefault="009B0950">
                              <w:pPr>
                                <w:pStyle w:val="NoSpacing"/>
                                <w:jc w:val="right"/>
                                <w:rPr>
                                  <w:color w:val="FFFFFF" w:themeColor="background1"/>
                                  <w:sz w:val="24"/>
                                  <w:szCs w:val="24"/>
                                </w:rPr>
                              </w:pPr>
                              <w:r>
                                <w:rPr>
                                  <w:color w:val="FFFFFF" w:themeColor="background1"/>
                                  <w:sz w:val="24"/>
                                  <w:szCs w:val="24"/>
                                </w:rPr>
                                <w:t>2022</w:t>
                              </w:r>
                            </w:p>
                          </w:sdtContent>
                        </w:sdt>
                      </w:txbxContent>
                    </v:textbox>
                    <w10:wrap anchorx="margin" anchory="page"/>
                  </v:rect>
                </w:pict>
              </mc:Fallback>
            </mc:AlternateContent>
          </w:r>
          <w:r>
            <w:rPr>
              <w:rFonts w:ascii="Arial" w:hAnsi="Arial" w:cs="Arial"/>
              <w:i/>
              <w:iCs/>
              <w:color w:val="00B0F0"/>
            </w:rPr>
            <w:br w:type="page"/>
          </w:r>
        </w:p>
      </w:sdtContent>
    </w:sdt>
    <w:p w14:paraId="3F5A32B5" w14:textId="77777777" w:rsidR="00047504" w:rsidRPr="00D505A5" w:rsidRDefault="00047504" w:rsidP="00047504">
      <w:pPr>
        <w:jc w:val="both"/>
        <w:rPr>
          <w:rFonts w:ascii="Arial" w:hAnsi="Arial" w:cs="Arial"/>
          <w:i/>
          <w:iCs/>
          <w:color w:val="00B0F0"/>
        </w:rPr>
      </w:pPr>
    </w:p>
    <w:p w14:paraId="02581D27" w14:textId="77777777" w:rsidR="00232017" w:rsidRDefault="00232017" w:rsidP="004872BF">
      <w:pPr>
        <w:jc w:val="both"/>
        <w:rPr>
          <w:rFonts w:ascii="Arial" w:hAnsi="Arial" w:cs="Arial"/>
          <w:b/>
          <w:i/>
          <w:iCs/>
          <w:sz w:val="21"/>
          <w:szCs w:val="21"/>
        </w:rPr>
      </w:pPr>
    </w:p>
    <w:p w14:paraId="09631B04" w14:textId="77777777" w:rsidR="00047504" w:rsidRPr="004872BF" w:rsidRDefault="00047504" w:rsidP="004872BF">
      <w:pPr>
        <w:jc w:val="both"/>
        <w:rPr>
          <w:rFonts w:ascii="Arial" w:hAnsi="Arial" w:cs="Arial"/>
          <w:b/>
          <w:i/>
          <w:iCs/>
          <w:sz w:val="21"/>
          <w:szCs w:val="21"/>
        </w:rPr>
      </w:pPr>
      <w:r w:rsidRPr="004872BF">
        <w:rPr>
          <w:rFonts w:ascii="Arial" w:hAnsi="Arial" w:cs="Arial"/>
          <w:b/>
          <w:i/>
          <w:iCs/>
          <w:sz w:val="21"/>
          <w:szCs w:val="21"/>
        </w:rPr>
        <w:t xml:space="preserve">The National Anti-Fraud </w:t>
      </w:r>
      <w:r w:rsidR="00514150">
        <w:rPr>
          <w:rFonts w:ascii="Arial" w:hAnsi="Arial" w:cs="Arial"/>
          <w:b/>
          <w:i/>
          <w:iCs/>
          <w:sz w:val="21"/>
          <w:szCs w:val="21"/>
        </w:rPr>
        <w:t>N</w:t>
      </w:r>
      <w:r w:rsidRPr="004872BF">
        <w:rPr>
          <w:rFonts w:ascii="Arial" w:hAnsi="Arial" w:cs="Arial"/>
          <w:b/>
          <w:i/>
          <w:iCs/>
          <w:sz w:val="21"/>
          <w:szCs w:val="21"/>
        </w:rPr>
        <w:t xml:space="preserve">etwork (NAFN) is a not-for-profit organisation </w:t>
      </w:r>
      <w:r w:rsidR="00A33584" w:rsidRPr="004872BF">
        <w:rPr>
          <w:rFonts w:ascii="Arial" w:hAnsi="Arial" w:cs="Arial"/>
          <w:b/>
          <w:i/>
          <w:iCs/>
          <w:sz w:val="21"/>
          <w:szCs w:val="21"/>
        </w:rPr>
        <w:t>which operates</w:t>
      </w:r>
      <w:r w:rsidR="000562A9" w:rsidRPr="004872BF">
        <w:rPr>
          <w:rFonts w:ascii="Arial" w:hAnsi="Arial" w:cs="Arial"/>
          <w:b/>
          <w:i/>
          <w:iCs/>
          <w:sz w:val="21"/>
          <w:szCs w:val="21"/>
        </w:rPr>
        <w:t xml:space="preserve"> </w:t>
      </w:r>
      <w:r w:rsidR="00A33584" w:rsidRPr="004872BF">
        <w:rPr>
          <w:rFonts w:ascii="Arial" w:hAnsi="Arial" w:cs="Arial"/>
          <w:b/>
          <w:i/>
          <w:iCs/>
          <w:sz w:val="21"/>
          <w:szCs w:val="21"/>
        </w:rPr>
        <w:t xml:space="preserve">on </w:t>
      </w:r>
      <w:r w:rsidR="000562A9" w:rsidRPr="004872BF">
        <w:rPr>
          <w:rFonts w:ascii="Arial" w:hAnsi="Arial" w:cs="Arial"/>
          <w:b/>
          <w:i/>
          <w:iCs/>
          <w:sz w:val="21"/>
          <w:szCs w:val="21"/>
        </w:rPr>
        <w:t xml:space="preserve">a cost recovery model </w:t>
      </w:r>
      <w:r w:rsidR="00A33584" w:rsidRPr="004872BF">
        <w:rPr>
          <w:rFonts w:ascii="Arial" w:hAnsi="Arial" w:cs="Arial"/>
          <w:b/>
          <w:i/>
          <w:iCs/>
          <w:sz w:val="21"/>
          <w:szCs w:val="21"/>
        </w:rPr>
        <w:t>to</w:t>
      </w:r>
      <w:r w:rsidRPr="004872BF">
        <w:rPr>
          <w:rFonts w:ascii="Arial" w:hAnsi="Arial" w:cs="Arial"/>
          <w:b/>
          <w:i/>
          <w:iCs/>
          <w:sz w:val="21"/>
          <w:szCs w:val="21"/>
        </w:rPr>
        <w:t xml:space="preserve"> support its members in the fight against crime and the protection of the public purse</w:t>
      </w:r>
      <w:r w:rsidR="000562A9" w:rsidRPr="004872BF">
        <w:rPr>
          <w:rFonts w:ascii="Arial" w:hAnsi="Arial" w:cs="Arial"/>
          <w:b/>
          <w:i/>
          <w:iCs/>
          <w:sz w:val="21"/>
          <w:szCs w:val="21"/>
        </w:rPr>
        <w:t>. We do this by</w:t>
      </w:r>
      <w:r w:rsidRPr="004872BF">
        <w:rPr>
          <w:rFonts w:ascii="Arial" w:hAnsi="Arial" w:cs="Arial"/>
          <w:b/>
          <w:i/>
          <w:iCs/>
          <w:sz w:val="21"/>
          <w:szCs w:val="21"/>
        </w:rPr>
        <w:t xml:space="preserve"> providing a secure single point of access </w:t>
      </w:r>
      <w:r w:rsidR="004872BF">
        <w:rPr>
          <w:rFonts w:ascii="Arial" w:hAnsi="Arial" w:cs="Arial"/>
          <w:b/>
          <w:i/>
          <w:iCs/>
          <w:sz w:val="21"/>
          <w:szCs w:val="21"/>
        </w:rPr>
        <w:t xml:space="preserve">to </w:t>
      </w:r>
      <w:r w:rsidRPr="004872BF">
        <w:rPr>
          <w:rFonts w:ascii="Arial" w:hAnsi="Arial" w:cs="Arial"/>
          <w:b/>
          <w:i/>
          <w:iCs/>
          <w:sz w:val="21"/>
          <w:szCs w:val="21"/>
        </w:rPr>
        <w:t xml:space="preserve">a wide range of information from multiple </w:t>
      </w:r>
      <w:proofErr w:type="gramStart"/>
      <w:r w:rsidRPr="004872BF">
        <w:rPr>
          <w:rFonts w:ascii="Arial" w:hAnsi="Arial" w:cs="Arial"/>
          <w:b/>
          <w:i/>
          <w:iCs/>
          <w:sz w:val="21"/>
          <w:szCs w:val="21"/>
        </w:rPr>
        <w:t>third party</w:t>
      </w:r>
      <w:proofErr w:type="gramEnd"/>
      <w:r w:rsidRPr="004872BF">
        <w:rPr>
          <w:rFonts w:ascii="Arial" w:hAnsi="Arial" w:cs="Arial"/>
          <w:b/>
          <w:i/>
          <w:iCs/>
          <w:sz w:val="21"/>
          <w:szCs w:val="21"/>
        </w:rPr>
        <w:t xml:space="preserve"> providers</w:t>
      </w:r>
      <w:r w:rsidR="000562A9" w:rsidRPr="004872BF">
        <w:rPr>
          <w:rFonts w:ascii="Arial" w:hAnsi="Arial" w:cs="Arial"/>
          <w:b/>
          <w:i/>
          <w:iCs/>
          <w:sz w:val="21"/>
          <w:szCs w:val="21"/>
        </w:rPr>
        <w:t>, passing on the significant cost savings delivered by the collaborative advantage.</w:t>
      </w:r>
      <w:r w:rsidRPr="004872BF">
        <w:rPr>
          <w:rFonts w:ascii="Arial" w:hAnsi="Arial" w:cs="Arial"/>
          <w:b/>
          <w:i/>
          <w:iCs/>
          <w:sz w:val="21"/>
          <w:szCs w:val="21"/>
        </w:rPr>
        <w:t xml:space="preserve"> Both gateway and gatekeeper, NAFN uses robust legal gateways and processes to meet the highest standards of legislative compliance.</w:t>
      </w:r>
    </w:p>
    <w:p w14:paraId="3A1024A0" w14:textId="77777777" w:rsidR="00D505A5" w:rsidRDefault="00D505A5" w:rsidP="004872BF">
      <w:pPr>
        <w:pStyle w:val="ListParagraph"/>
        <w:numPr>
          <w:ilvl w:val="0"/>
          <w:numId w:val="4"/>
        </w:numPr>
        <w:jc w:val="both"/>
        <w:rPr>
          <w:rFonts w:ascii="Arial" w:hAnsi="Arial" w:cs="Arial"/>
          <w:b/>
          <w:sz w:val="21"/>
          <w:szCs w:val="21"/>
        </w:rPr>
      </w:pPr>
      <w:r w:rsidRPr="004872BF">
        <w:rPr>
          <w:rFonts w:ascii="Arial" w:hAnsi="Arial" w:cs="Arial"/>
          <w:b/>
          <w:sz w:val="21"/>
          <w:szCs w:val="21"/>
        </w:rPr>
        <w:t>Background</w:t>
      </w:r>
    </w:p>
    <w:p w14:paraId="1859D321" w14:textId="77777777" w:rsidR="004872BF" w:rsidRPr="004872BF" w:rsidRDefault="004872BF" w:rsidP="004872BF">
      <w:pPr>
        <w:pStyle w:val="ListParagraph"/>
        <w:ind w:left="360"/>
        <w:jc w:val="both"/>
        <w:rPr>
          <w:rFonts w:ascii="Arial" w:hAnsi="Arial" w:cs="Arial"/>
          <w:b/>
          <w:sz w:val="21"/>
          <w:szCs w:val="21"/>
        </w:rPr>
      </w:pPr>
    </w:p>
    <w:p w14:paraId="49054858" w14:textId="77777777" w:rsidR="00D505A5" w:rsidRPr="004872BF" w:rsidRDefault="0062460D" w:rsidP="004872BF">
      <w:pPr>
        <w:ind w:left="360"/>
        <w:jc w:val="both"/>
        <w:rPr>
          <w:rFonts w:ascii="Arial" w:hAnsi="Arial" w:cs="Arial"/>
          <w:bCs/>
          <w:sz w:val="21"/>
          <w:szCs w:val="21"/>
        </w:rPr>
      </w:pPr>
      <w:r w:rsidRPr="004872BF">
        <w:rPr>
          <w:rFonts w:ascii="Arial" w:hAnsi="Arial" w:cs="Arial"/>
          <w:sz w:val="21"/>
          <w:szCs w:val="21"/>
        </w:rPr>
        <w:t xml:space="preserve">NAFN (the National Anti-Fraud Network) wish to commission an independent </w:t>
      </w:r>
      <w:r w:rsidRPr="004872BF">
        <w:rPr>
          <w:rFonts w:ascii="Arial" w:hAnsi="Arial" w:cs="Arial"/>
          <w:bCs/>
          <w:sz w:val="21"/>
          <w:szCs w:val="21"/>
        </w:rPr>
        <w:t xml:space="preserve">cost benefit and value analysis report to establish the benefits of NAFN membership in quantifiable terms, </w:t>
      </w:r>
      <w:proofErr w:type="gramStart"/>
      <w:r w:rsidRPr="004872BF">
        <w:rPr>
          <w:rFonts w:ascii="Arial" w:hAnsi="Arial" w:cs="Arial"/>
          <w:bCs/>
          <w:sz w:val="21"/>
          <w:szCs w:val="21"/>
        </w:rPr>
        <w:t>i.e.</w:t>
      </w:r>
      <w:proofErr w:type="gramEnd"/>
      <w:r w:rsidRPr="004872BF">
        <w:rPr>
          <w:rFonts w:ascii="Arial" w:hAnsi="Arial" w:cs="Arial"/>
          <w:bCs/>
          <w:sz w:val="21"/>
          <w:szCs w:val="21"/>
        </w:rPr>
        <w:t xml:space="preserve"> every £1 spent returns cost-saving/benefit of £x, and to further demonstrate the value of NAFN membership in business efficiencies and wider organisational impact. </w:t>
      </w:r>
    </w:p>
    <w:p w14:paraId="6AB52A03" w14:textId="77777777" w:rsidR="0062460D" w:rsidRPr="004872BF" w:rsidRDefault="0062460D" w:rsidP="004872BF">
      <w:pPr>
        <w:ind w:left="360"/>
        <w:jc w:val="both"/>
        <w:rPr>
          <w:rFonts w:ascii="Arial" w:hAnsi="Arial" w:cs="Arial"/>
          <w:bCs/>
          <w:sz w:val="21"/>
          <w:szCs w:val="21"/>
        </w:rPr>
      </w:pPr>
      <w:r w:rsidRPr="004872BF">
        <w:rPr>
          <w:rFonts w:ascii="Arial" w:hAnsi="Arial" w:cs="Arial"/>
          <w:bCs/>
          <w:sz w:val="21"/>
          <w:szCs w:val="21"/>
        </w:rPr>
        <w:t xml:space="preserve">The current economic climate and consequent cost of living crisis are catalysts for fiscal change, particularly within the public sector where budgets are under pressure and spending is carefully scrutinised. In this landscape, budget holders must rationalise costs and demonstrate clear value to the organisation. </w:t>
      </w:r>
    </w:p>
    <w:p w14:paraId="4319B152" w14:textId="77777777" w:rsidR="0062460D" w:rsidRPr="004872BF" w:rsidRDefault="0062460D" w:rsidP="004872BF">
      <w:pPr>
        <w:ind w:left="360"/>
        <w:jc w:val="both"/>
        <w:rPr>
          <w:rFonts w:ascii="Arial" w:hAnsi="Arial" w:cs="Arial"/>
          <w:bCs/>
          <w:sz w:val="21"/>
          <w:szCs w:val="21"/>
        </w:rPr>
      </w:pPr>
      <w:r w:rsidRPr="004872BF">
        <w:rPr>
          <w:rFonts w:ascii="Arial" w:hAnsi="Arial" w:cs="Arial"/>
          <w:bCs/>
          <w:sz w:val="21"/>
          <w:szCs w:val="21"/>
        </w:rPr>
        <w:t xml:space="preserve">A common perception both within NAFN and without, is that the full range of NAFN services is underutilised due to a multitude of factors including: </w:t>
      </w:r>
    </w:p>
    <w:p w14:paraId="4BB476C6" w14:textId="77777777" w:rsidR="0062460D" w:rsidRPr="004872BF" w:rsidRDefault="0062460D" w:rsidP="004872BF">
      <w:pPr>
        <w:pStyle w:val="ListParagraph"/>
        <w:numPr>
          <w:ilvl w:val="0"/>
          <w:numId w:val="2"/>
        </w:numPr>
        <w:ind w:left="720"/>
        <w:jc w:val="both"/>
        <w:rPr>
          <w:rFonts w:ascii="Arial" w:hAnsi="Arial" w:cs="Arial"/>
          <w:bCs/>
          <w:sz w:val="21"/>
          <w:szCs w:val="21"/>
        </w:rPr>
      </w:pPr>
      <w:r w:rsidRPr="004872BF">
        <w:rPr>
          <w:rFonts w:ascii="Arial" w:hAnsi="Arial" w:cs="Arial"/>
          <w:bCs/>
          <w:sz w:val="21"/>
          <w:szCs w:val="21"/>
        </w:rPr>
        <w:t>Awareness and perception</w:t>
      </w:r>
    </w:p>
    <w:p w14:paraId="653D578E" w14:textId="77777777" w:rsidR="0062460D" w:rsidRPr="004872BF" w:rsidRDefault="0062460D" w:rsidP="004872BF">
      <w:pPr>
        <w:pStyle w:val="ListParagraph"/>
        <w:numPr>
          <w:ilvl w:val="0"/>
          <w:numId w:val="2"/>
        </w:numPr>
        <w:ind w:left="720"/>
        <w:jc w:val="both"/>
        <w:rPr>
          <w:rFonts w:ascii="Arial" w:hAnsi="Arial" w:cs="Arial"/>
          <w:bCs/>
          <w:sz w:val="21"/>
          <w:szCs w:val="21"/>
        </w:rPr>
      </w:pPr>
      <w:r w:rsidRPr="004872BF">
        <w:rPr>
          <w:rFonts w:ascii="Arial" w:hAnsi="Arial" w:cs="Arial"/>
          <w:bCs/>
          <w:sz w:val="21"/>
          <w:szCs w:val="21"/>
        </w:rPr>
        <w:t>Capacity and capability</w:t>
      </w:r>
    </w:p>
    <w:p w14:paraId="7D54C351" w14:textId="77777777" w:rsidR="0062460D" w:rsidRPr="004872BF" w:rsidRDefault="0062460D" w:rsidP="004872BF">
      <w:pPr>
        <w:pStyle w:val="ListParagraph"/>
        <w:jc w:val="both"/>
        <w:rPr>
          <w:rFonts w:ascii="Arial" w:hAnsi="Arial" w:cs="Arial"/>
          <w:bCs/>
          <w:sz w:val="21"/>
          <w:szCs w:val="21"/>
        </w:rPr>
      </w:pPr>
    </w:p>
    <w:p w14:paraId="37D5E75F" w14:textId="77777777" w:rsidR="0062460D" w:rsidRPr="004872BF" w:rsidRDefault="0062460D" w:rsidP="004872BF">
      <w:pPr>
        <w:ind w:left="360"/>
        <w:jc w:val="both"/>
        <w:rPr>
          <w:rFonts w:ascii="Arial" w:hAnsi="Arial" w:cs="Arial"/>
          <w:bCs/>
          <w:sz w:val="21"/>
          <w:szCs w:val="21"/>
        </w:rPr>
      </w:pPr>
      <w:proofErr w:type="gramStart"/>
      <w:r w:rsidRPr="004872BF">
        <w:rPr>
          <w:rFonts w:ascii="Arial" w:hAnsi="Arial" w:cs="Arial"/>
          <w:bCs/>
          <w:sz w:val="21"/>
          <w:szCs w:val="21"/>
        </w:rPr>
        <w:t>In order to</w:t>
      </w:r>
      <w:proofErr w:type="gramEnd"/>
      <w:r w:rsidRPr="004872BF">
        <w:rPr>
          <w:rFonts w:ascii="Arial" w:hAnsi="Arial" w:cs="Arial"/>
          <w:bCs/>
          <w:sz w:val="21"/>
          <w:szCs w:val="21"/>
        </w:rPr>
        <w:t xml:space="preserve"> </w:t>
      </w:r>
      <w:r w:rsidR="004872BF" w:rsidRPr="004872BF">
        <w:rPr>
          <w:rFonts w:ascii="Arial" w:hAnsi="Arial" w:cs="Arial"/>
          <w:bCs/>
          <w:sz w:val="21"/>
          <w:szCs w:val="21"/>
        </w:rPr>
        <w:t>change</w:t>
      </w:r>
      <w:r w:rsidRPr="004872BF">
        <w:rPr>
          <w:rFonts w:ascii="Arial" w:hAnsi="Arial" w:cs="Arial"/>
          <w:bCs/>
          <w:sz w:val="21"/>
          <w:szCs w:val="21"/>
        </w:rPr>
        <w:t xml:space="preserve"> perception, increase awareness, drive usage and secure sustainability NAFN must substantiate the cost of membership by demonstrating the financial benefit, the broader value proposition and the wider organisational and public impact.</w:t>
      </w:r>
    </w:p>
    <w:p w14:paraId="241A058C" w14:textId="77777777" w:rsidR="00566946" w:rsidRDefault="00566946" w:rsidP="004872BF">
      <w:pPr>
        <w:pStyle w:val="ListParagraph"/>
        <w:numPr>
          <w:ilvl w:val="0"/>
          <w:numId w:val="4"/>
        </w:numPr>
        <w:jc w:val="both"/>
        <w:rPr>
          <w:rFonts w:ascii="Arial" w:hAnsi="Arial" w:cs="Arial"/>
          <w:b/>
          <w:sz w:val="21"/>
          <w:szCs w:val="21"/>
        </w:rPr>
      </w:pPr>
      <w:r w:rsidRPr="004872BF">
        <w:rPr>
          <w:rFonts w:ascii="Arial" w:hAnsi="Arial" w:cs="Arial"/>
          <w:b/>
          <w:sz w:val="21"/>
          <w:szCs w:val="21"/>
        </w:rPr>
        <w:t xml:space="preserve">Scope of the work </w:t>
      </w:r>
    </w:p>
    <w:p w14:paraId="1553A421" w14:textId="77777777" w:rsidR="004872BF" w:rsidRPr="004872BF" w:rsidRDefault="004872BF" w:rsidP="004872BF">
      <w:pPr>
        <w:pStyle w:val="ListParagraph"/>
        <w:ind w:left="360"/>
        <w:jc w:val="both"/>
        <w:rPr>
          <w:rFonts w:ascii="Arial" w:hAnsi="Arial" w:cs="Arial"/>
          <w:b/>
          <w:sz w:val="21"/>
          <w:szCs w:val="21"/>
        </w:rPr>
      </w:pPr>
    </w:p>
    <w:p w14:paraId="44CC386A" w14:textId="77777777" w:rsidR="000562A9" w:rsidRPr="004872BF" w:rsidRDefault="00047504" w:rsidP="004872BF">
      <w:pPr>
        <w:ind w:left="360"/>
        <w:jc w:val="both"/>
        <w:rPr>
          <w:rFonts w:ascii="Arial" w:hAnsi="Arial" w:cs="Arial"/>
          <w:sz w:val="21"/>
          <w:szCs w:val="21"/>
        </w:rPr>
      </w:pPr>
      <w:r w:rsidRPr="004872BF">
        <w:rPr>
          <w:rFonts w:ascii="Arial" w:hAnsi="Arial" w:cs="Arial"/>
          <w:sz w:val="21"/>
          <w:szCs w:val="21"/>
        </w:rPr>
        <w:t>The study will assess the value of</w:t>
      </w:r>
      <w:r w:rsidR="000562A9" w:rsidRPr="004872BF">
        <w:rPr>
          <w:rFonts w:ascii="Arial" w:hAnsi="Arial" w:cs="Arial"/>
          <w:sz w:val="21"/>
          <w:szCs w:val="21"/>
        </w:rPr>
        <w:t xml:space="preserve"> the annual </w:t>
      </w:r>
      <w:r w:rsidRPr="004872BF">
        <w:rPr>
          <w:rFonts w:ascii="Arial" w:hAnsi="Arial" w:cs="Arial"/>
          <w:sz w:val="21"/>
          <w:szCs w:val="21"/>
        </w:rPr>
        <w:t>NAFN membership</w:t>
      </w:r>
      <w:r w:rsidR="000562A9" w:rsidRPr="004872BF">
        <w:rPr>
          <w:rFonts w:ascii="Arial" w:hAnsi="Arial" w:cs="Arial"/>
          <w:sz w:val="21"/>
          <w:szCs w:val="21"/>
        </w:rPr>
        <w:t xml:space="preserve"> fee </w:t>
      </w:r>
      <w:r w:rsidR="00E109F5">
        <w:rPr>
          <w:rFonts w:ascii="Arial" w:hAnsi="Arial" w:cs="Arial"/>
          <w:sz w:val="21"/>
          <w:szCs w:val="21"/>
        </w:rPr>
        <w:t>(currently</w:t>
      </w:r>
      <w:r w:rsidR="000562A9" w:rsidRPr="004872BF">
        <w:rPr>
          <w:rFonts w:ascii="Arial" w:hAnsi="Arial" w:cs="Arial"/>
          <w:sz w:val="21"/>
          <w:szCs w:val="21"/>
        </w:rPr>
        <w:t xml:space="preserve"> £1,7</w:t>
      </w:r>
      <w:r w:rsidR="00E109F5">
        <w:rPr>
          <w:rFonts w:ascii="Arial" w:hAnsi="Arial" w:cs="Arial"/>
          <w:sz w:val="21"/>
          <w:szCs w:val="21"/>
        </w:rPr>
        <w:t>0</w:t>
      </w:r>
      <w:r w:rsidR="000562A9" w:rsidRPr="004872BF">
        <w:rPr>
          <w:rFonts w:ascii="Arial" w:hAnsi="Arial" w:cs="Arial"/>
          <w:sz w:val="21"/>
          <w:szCs w:val="21"/>
        </w:rPr>
        <w:t>0</w:t>
      </w:r>
      <w:r w:rsidR="00E109F5">
        <w:rPr>
          <w:rFonts w:ascii="Arial" w:hAnsi="Arial" w:cs="Arial"/>
          <w:sz w:val="21"/>
          <w:szCs w:val="21"/>
        </w:rPr>
        <w:t>)</w:t>
      </w:r>
      <w:r w:rsidRPr="004872BF">
        <w:rPr>
          <w:rFonts w:ascii="Arial" w:hAnsi="Arial" w:cs="Arial"/>
          <w:sz w:val="21"/>
          <w:szCs w:val="21"/>
        </w:rPr>
        <w:t xml:space="preserve"> </w:t>
      </w:r>
      <w:r w:rsidR="00A33584" w:rsidRPr="004872BF">
        <w:rPr>
          <w:rFonts w:ascii="Arial" w:hAnsi="Arial" w:cs="Arial"/>
          <w:sz w:val="21"/>
          <w:szCs w:val="21"/>
        </w:rPr>
        <w:t xml:space="preserve">against the </w:t>
      </w:r>
      <w:r w:rsidRPr="004872BF">
        <w:rPr>
          <w:rFonts w:ascii="Arial" w:hAnsi="Arial" w:cs="Arial"/>
          <w:sz w:val="21"/>
          <w:szCs w:val="21"/>
        </w:rPr>
        <w:t>benefits and efficiencies</w:t>
      </w:r>
      <w:r w:rsidR="00A33584" w:rsidRPr="004872BF">
        <w:rPr>
          <w:rFonts w:ascii="Arial" w:hAnsi="Arial" w:cs="Arial"/>
          <w:sz w:val="21"/>
          <w:szCs w:val="21"/>
        </w:rPr>
        <w:t xml:space="preserve"> received</w:t>
      </w:r>
      <w:r w:rsidR="004872BF" w:rsidRPr="004872BF">
        <w:rPr>
          <w:rFonts w:ascii="Arial" w:hAnsi="Arial" w:cs="Arial"/>
          <w:sz w:val="21"/>
          <w:szCs w:val="21"/>
        </w:rPr>
        <w:t>,</w:t>
      </w:r>
      <w:r w:rsidR="000562A9" w:rsidRPr="004872BF">
        <w:rPr>
          <w:rFonts w:ascii="Arial" w:hAnsi="Arial" w:cs="Arial"/>
          <w:sz w:val="21"/>
          <w:szCs w:val="21"/>
        </w:rPr>
        <w:t xml:space="preserve"> by analysing the following: </w:t>
      </w:r>
    </w:p>
    <w:p w14:paraId="699D1DB6" w14:textId="77777777" w:rsidR="00A33584" w:rsidRPr="004872BF" w:rsidRDefault="00A33584" w:rsidP="004872BF">
      <w:pPr>
        <w:pStyle w:val="ListParagraph"/>
        <w:numPr>
          <w:ilvl w:val="0"/>
          <w:numId w:val="5"/>
        </w:numPr>
        <w:jc w:val="both"/>
        <w:rPr>
          <w:rFonts w:ascii="Arial" w:hAnsi="Arial" w:cs="Arial"/>
          <w:sz w:val="21"/>
          <w:szCs w:val="21"/>
        </w:rPr>
      </w:pPr>
      <w:r w:rsidRPr="004872BF">
        <w:rPr>
          <w:rFonts w:ascii="Arial" w:hAnsi="Arial" w:cs="Arial"/>
          <w:sz w:val="21"/>
          <w:szCs w:val="21"/>
        </w:rPr>
        <w:t xml:space="preserve">Efficiencies: </w:t>
      </w:r>
      <w:r w:rsidR="000C75C9" w:rsidRPr="004872BF">
        <w:rPr>
          <w:rFonts w:ascii="Arial" w:hAnsi="Arial" w:cs="Arial"/>
          <w:sz w:val="21"/>
          <w:szCs w:val="21"/>
        </w:rPr>
        <w:t xml:space="preserve">everything in one place - </w:t>
      </w:r>
      <w:r w:rsidRPr="004872BF">
        <w:rPr>
          <w:rFonts w:ascii="Arial" w:hAnsi="Arial" w:cs="Arial"/>
          <w:sz w:val="21"/>
          <w:szCs w:val="21"/>
        </w:rPr>
        <w:t>single point of access</w:t>
      </w:r>
      <w:r w:rsidR="000C75C9" w:rsidRPr="004872BF">
        <w:rPr>
          <w:rFonts w:ascii="Arial" w:hAnsi="Arial" w:cs="Arial"/>
          <w:sz w:val="21"/>
          <w:szCs w:val="21"/>
        </w:rPr>
        <w:t xml:space="preserve"> via a secure portal</w:t>
      </w:r>
    </w:p>
    <w:p w14:paraId="4B89BBD6" w14:textId="77777777" w:rsidR="000562A9" w:rsidRPr="004872BF" w:rsidRDefault="00A33584" w:rsidP="004872BF">
      <w:pPr>
        <w:pStyle w:val="ListParagraph"/>
        <w:numPr>
          <w:ilvl w:val="0"/>
          <w:numId w:val="5"/>
        </w:numPr>
        <w:jc w:val="both"/>
        <w:rPr>
          <w:rFonts w:ascii="Arial" w:hAnsi="Arial" w:cs="Arial"/>
          <w:sz w:val="21"/>
          <w:szCs w:val="21"/>
        </w:rPr>
      </w:pPr>
      <w:r w:rsidRPr="004872BF">
        <w:rPr>
          <w:rFonts w:ascii="Arial" w:hAnsi="Arial" w:cs="Arial"/>
          <w:sz w:val="21"/>
          <w:szCs w:val="21"/>
        </w:rPr>
        <w:t>Third party</w:t>
      </w:r>
      <w:r w:rsidR="000562A9" w:rsidRPr="004872BF">
        <w:rPr>
          <w:rFonts w:ascii="Arial" w:hAnsi="Arial" w:cs="Arial"/>
          <w:sz w:val="21"/>
          <w:szCs w:val="21"/>
        </w:rPr>
        <w:t xml:space="preserve"> data </w:t>
      </w:r>
      <w:r w:rsidR="00E109F5">
        <w:rPr>
          <w:rFonts w:ascii="Arial" w:hAnsi="Arial" w:cs="Arial"/>
          <w:sz w:val="21"/>
          <w:szCs w:val="21"/>
        </w:rPr>
        <w:t>sets/</w:t>
      </w:r>
      <w:r w:rsidR="000562A9" w:rsidRPr="004872BF">
        <w:rPr>
          <w:rFonts w:ascii="Arial" w:hAnsi="Arial" w:cs="Arial"/>
          <w:sz w:val="21"/>
          <w:szCs w:val="21"/>
        </w:rPr>
        <w:t>sources</w:t>
      </w:r>
      <w:r w:rsidR="000C75C9" w:rsidRPr="004872BF">
        <w:rPr>
          <w:rFonts w:ascii="Arial" w:hAnsi="Arial" w:cs="Arial"/>
          <w:sz w:val="21"/>
          <w:szCs w:val="21"/>
        </w:rPr>
        <w:t xml:space="preserve"> (30+): single contract(s) with significant volume efficiencies</w:t>
      </w:r>
    </w:p>
    <w:p w14:paraId="7DF7F015" w14:textId="77777777" w:rsidR="000C75C9" w:rsidRPr="004872BF" w:rsidRDefault="000C75C9" w:rsidP="004872BF">
      <w:pPr>
        <w:pStyle w:val="ListParagraph"/>
        <w:numPr>
          <w:ilvl w:val="0"/>
          <w:numId w:val="5"/>
        </w:numPr>
        <w:jc w:val="both"/>
        <w:rPr>
          <w:rFonts w:ascii="Arial" w:hAnsi="Arial" w:cs="Arial"/>
          <w:sz w:val="21"/>
          <w:szCs w:val="21"/>
        </w:rPr>
      </w:pPr>
      <w:r w:rsidRPr="004872BF">
        <w:rPr>
          <w:rFonts w:ascii="Arial" w:hAnsi="Arial" w:cs="Arial"/>
          <w:sz w:val="21"/>
          <w:szCs w:val="21"/>
        </w:rPr>
        <w:t>Usage charges: legal compliance and business efficiencies</w:t>
      </w:r>
    </w:p>
    <w:p w14:paraId="2BC252B0" w14:textId="77777777" w:rsidR="000C75C9" w:rsidRPr="004872BF" w:rsidRDefault="00A33584" w:rsidP="004872BF">
      <w:pPr>
        <w:pStyle w:val="ListParagraph"/>
        <w:numPr>
          <w:ilvl w:val="0"/>
          <w:numId w:val="5"/>
        </w:numPr>
        <w:jc w:val="both"/>
        <w:rPr>
          <w:rFonts w:ascii="Arial" w:hAnsi="Arial" w:cs="Arial"/>
          <w:sz w:val="21"/>
          <w:szCs w:val="21"/>
        </w:rPr>
      </w:pPr>
      <w:r w:rsidRPr="004872BF">
        <w:rPr>
          <w:rFonts w:ascii="Arial" w:hAnsi="Arial" w:cs="Arial"/>
          <w:sz w:val="21"/>
          <w:szCs w:val="21"/>
        </w:rPr>
        <w:t>Authorised Officer Services</w:t>
      </w:r>
      <w:r w:rsidR="000C75C9" w:rsidRPr="004872BF">
        <w:rPr>
          <w:rFonts w:ascii="Arial" w:hAnsi="Arial" w:cs="Arial"/>
          <w:sz w:val="21"/>
          <w:szCs w:val="21"/>
        </w:rPr>
        <w:t>: Prevention of Social Housing Fraud Act (</w:t>
      </w:r>
      <w:proofErr w:type="spellStart"/>
      <w:r w:rsidR="000C75C9" w:rsidRPr="004872BF">
        <w:rPr>
          <w:rFonts w:ascii="Arial" w:hAnsi="Arial" w:cs="Arial"/>
          <w:sz w:val="21"/>
          <w:szCs w:val="21"/>
        </w:rPr>
        <w:t>PoSHFA</w:t>
      </w:r>
      <w:proofErr w:type="spellEnd"/>
      <w:r w:rsidR="000C75C9" w:rsidRPr="004872BF">
        <w:rPr>
          <w:rFonts w:ascii="Arial" w:hAnsi="Arial" w:cs="Arial"/>
          <w:sz w:val="21"/>
          <w:szCs w:val="21"/>
        </w:rPr>
        <w:t xml:space="preserve">), Council Tax Reduction Scheme (CTRS) and National Hunter Service </w:t>
      </w:r>
    </w:p>
    <w:p w14:paraId="58EAE38E" w14:textId="77777777" w:rsidR="00A33584" w:rsidRPr="004872BF" w:rsidRDefault="00A33584" w:rsidP="004872BF">
      <w:pPr>
        <w:pStyle w:val="ListParagraph"/>
        <w:numPr>
          <w:ilvl w:val="0"/>
          <w:numId w:val="5"/>
        </w:numPr>
        <w:jc w:val="both"/>
        <w:rPr>
          <w:rFonts w:ascii="Arial" w:hAnsi="Arial" w:cs="Arial"/>
          <w:sz w:val="21"/>
          <w:szCs w:val="21"/>
        </w:rPr>
      </w:pPr>
      <w:r w:rsidRPr="004872BF">
        <w:rPr>
          <w:rFonts w:ascii="Arial" w:hAnsi="Arial" w:cs="Arial"/>
          <w:sz w:val="21"/>
          <w:szCs w:val="21"/>
        </w:rPr>
        <w:t>SPOC S</w:t>
      </w:r>
      <w:r w:rsidR="000C75C9" w:rsidRPr="004872BF">
        <w:rPr>
          <w:rFonts w:ascii="Arial" w:hAnsi="Arial" w:cs="Arial"/>
          <w:sz w:val="21"/>
          <w:szCs w:val="21"/>
        </w:rPr>
        <w:t xml:space="preserve">ervices: IPA </w:t>
      </w:r>
      <w:r w:rsidR="00514150">
        <w:rPr>
          <w:rFonts w:ascii="Arial" w:hAnsi="Arial" w:cs="Arial"/>
          <w:sz w:val="21"/>
          <w:szCs w:val="21"/>
        </w:rPr>
        <w:t xml:space="preserve">CD </w:t>
      </w:r>
      <w:proofErr w:type="spellStart"/>
      <w:r w:rsidR="00514150">
        <w:rPr>
          <w:rFonts w:ascii="Arial" w:hAnsi="Arial" w:cs="Arial"/>
          <w:sz w:val="21"/>
          <w:szCs w:val="21"/>
        </w:rPr>
        <w:t>SPoC</w:t>
      </w:r>
      <w:proofErr w:type="spellEnd"/>
      <w:r w:rsidR="00514150">
        <w:rPr>
          <w:rFonts w:ascii="Arial" w:hAnsi="Arial" w:cs="Arial"/>
          <w:sz w:val="21"/>
          <w:szCs w:val="21"/>
        </w:rPr>
        <w:t xml:space="preserve"> services </w:t>
      </w:r>
    </w:p>
    <w:p w14:paraId="4628B293" w14:textId="77777777" w:rsidR="00A33584" w:rsidRPr="004872BF" w:rsidRDefault="000C75C9" w:rsidP="004872BF">
      <w:pPr>
        <w:pStyle w:val="ListParagraph"/>
        <w:numPr>
          <w:ilvl w:val="0"/>
          <w:numId w:val="5"/>
        </w:numPr>
        <w:jc w:val="both"/>
        <w:rPr>
          <w:rFonts w:ascii="Arial" w:hAnsi="Arial" w:cs="Arial"/>
          <w:sz w:val="21"/>
          <w:szCs w:val="21"/>
        </w:rPr>
      </w:pPr>
      <w:r w:rsidRPr="004872BF">
        <w:rPr>
          <w:rFonts w:ascii="Arial" w:hAnsi="Arial" w:cs="Arial"/>
          <w:sz w:val="21"/>
          <w:szCs w:val="21"/>
        </w:rPr>
        <w:t xml:space="preserve">Training: access to a wide range of intelligence training via live </w:t>
      </w:r>
      <w:r w:rsidR="004872BF" w:rsidRPr="004872BF">
        <w:rPr>
          <w:rFonts w:ascii="Arial" w:hAnsi="Arial" w:cs="Arial"/>
          <w:sz w:val="21"/>
          <w:szCs w:val="21"/>
        </w:rPr>
        <w:t xml:space="preserve">annual </w:t>
      </w:r>
      <w:r w:rsidRPr="004872BF">
        <w:rPr>
          <w:rFonts w:ascii="Arial" w:hAnsi="Arial" w:cs="Arial"/>
          <w:sz w:val="21"/>
          <w:szCs w:val="21"/>
        </w:rPr>
        <w:t xml:space="preserve">webinar curriculum and </w:t>
      </w:r>
      <w:r w:rsidR="00540231" w:rsidRPr="004872BF">
        <w:rPr>
          <w:rFonts w:ascii="Arial" w:hAnsi="Arial" w:cs="Arial"/>
          <w:sz w:val="21"/>
          <w:szCs w:val="21"/>
        </w:rPr>
        <w:t xml:space="preserve">bespoke </w:t>
      </w:r>
      <w:r w:rsidRPr="004872BF">
        <w:rPr>
          <w:rFonts w:ascii="Arial" w:hAnsi="Arial" w:cs="Arial"/>
          <w:sz w:val="21"/>
          <w:szCs w:val="21"/>
        </w:rPr>
        <w:t>e-Learning platform</w:t>
      </w:r>
    </w:p>
    <w:p w14:paraId="22579223" w14:textId="77777777" w:rsidR="000562A9" w:rsidRDefault="00540231" w:rsidP="004872BF">
      <w:pPr>
        <w:pStyle w:val="ListParagraph"/>
        <w:numPr>
          <w:ilvl w:val="0"/>
          <w:numId w:val="5"/>
        </w:numPr>
        <w:jc w:val="both"/>
        <w:rPr>
          <w:rFonts w:ascii="Arial" w:hAnsi="Arial" w:cs="Arial"/>
          <w:sz w:val="21"/>
          <w:szCs w:val="21"/>
        </w:rPr>
      </w:pPr>
      <w:r w:rsidRPr="004872BF">
        <w:rPr>
          <w:rFonts w:ascii="Arial" w:hAnsi="Arial" w:cs="Arial"/>
          <w:sz w:val="21"/>
          <w:szCs w:val="21"/>
        </w:rPr>
        <w:t xml:space="preserve">Community: networking, best practice, </w:t>
      </w:r>
      <w:proofErr w:type="gramStart"/>
      <w:r w:rsidRPr="004872BF">
        <w:rPr>
          <w:rFonts w:ascii="Arial" w:hAnsi="Arial" w:cs="Arial"/>
          <w:sz w:val="21"/>
          <w:szCs w:val="21"/>
        </w:rPr>
        <w:t>opportunities</w:t>
      </w:r>
      <w:proofErr w:type="gramEnd"/>
      <w:r w:rsidRPr="004872BF">
        <w:rPr>
          <w:rFonts w:ascii="Arial" w:hAnsi="Arial" w:cs="Arial"/>
          <w:sz w:val="21"/>
          <w:szCs w:val="21"/>
        </w:rPr>
        <w:t xml:space="preserve"> and collaboration</w:t>
      </w:r>
    </w:p>
    <w:p w14:paraId="148E0F4D" w14:textId="77777777" w:rsidR="004872BF" w:rsidRPr="004872BF" w:rsidRDefault="004872BF" w:rsidP="004872BF">
      <w:pPr>
        <w:pStyle w:val="ListParagraph"/>
        <w:jc w:val="both"/>
        <w:rPr>
          <w:rFonts w:ascii="Arial" w:hAnsi="Arial" w:cs="Arial"/>
          <w:sz w:val="21"/>
          <w:szCs w:val="21"/>
        </w:rPr>
      </w:pPr>
    </w:p>
    <w:p w14:paraId="28EDB47F" w14:textId="77777777" w:rsidR="00540231" w:rsidRDefault="00540231" w:rsidP="004872BF">
      <w:pPr>
        <w:pStyle w:val="ListParagraph"/>
        <w:numPr>
          <w:ilvl w:val="0"/>
          <w:numId w:val="4"/>
        </w:numPr>
        <w:jc w:val="both"/>
        <w:rPr>
          <w:rFonts w:ascii="Arial" w:hAnsi="Arial" w:cs="Arial"/>
          <w:b/>
          <w:sz w:val="21"/>
          <w:szCs w:val="21"/>
        </w:rPr>
      </w:pPr>
      <w:r w:rsidRPr="004872BF">
        <w:rPr>
          <w:rFonts w:ascii="Arial" w:hAnsi="Arial" w:cs="Arial"/>
          <w:b/>
          <w:sz w:val="21"/>
          <w:szCs w:val="21"/>
        </w:rPr>
        <w:t>O</w:t>
      </w:r>
      <w:r w:rsidR="00566946" w:rsidRPr="004872BF">
        <w:rPr>
          <w:rFonts w:ascii="Arial" w:hAnsi="Arial" w:cs="Arial"/>
          <w:b/>
          <w:sz w:val="21"/>
          <w:szCs w:val="21"/>
        </w:rPr>
        <w:t xml:space="preserve">utcomes </w:t>
      </w:r>
    </w:p>
    <w:p w14:paraId="42323677" w14:textId="77777777" w:rsidR="004872BF" w:rsidRPr="004872BF" w:rsidRDefault="004872BF" w:rsidP="004872BF">
      <w:pPr>
        <w:pStyle w:val="ListParagraph"/>
        <w:ind w:left="360"/>
        <w:jc w:val="both"/>
        <w:rPr>
          <w:rFonts w:ascii="Arial" w:hAnsi="Arial" w:cs="Arial"/>
          <w:b/>
          <w:sz w:val="21"/>
          <w:szCs w:val="21"/>
        </w:rPr>
      </w:pPr>
    </w:p>
    <w:p w14:paraId="1B605444" w14:textId="77777777" w:rsidR="00540231" w:rsidRPr="004872BF" w:rsidRDefault="00540231" w:rsidP="004872BF">
      <w:pPr>
        <w:ind w:left="360"/>
        <w:jc w:val="both"/>
        <w:rPr>
          <w:rFonts w:ascii="Arial" w:hAnsi="Arial" w:cs="Arial"/>
          <w:bCs/>
          <w:sz w:val="21"/>
          <w:szCs w:val="21"/>
        </w:rPr>
      </w:pPr>
      <w:r w:rsidRPr="004872BF">
        <w:rPr>
          <w:rFonts w:ascii="Arial" w:hAnsi="Arial" w:cs="Arial"/>
          <w:sz w:val="21"/>
          <w:szCs w:val="21"/>
        </w:rPr>
        <w:t xml:space="preserve">A </w:t>
      </w:r>
      <w:r w:rsidRPr="009B0950">
        <w:rPr>
          <w:rFonts w:ascii="Arial" w:hAnsi="Arial" w:cs="Arial"/>
          <w:b/>
          <w:sz w:val="21"/>
          <w:szCs w:val="21"/>
        </w:rPr>
        <w:t xml:space="preserve">report </w:t>
      </w:r>
      <w:r w:rsidR="00C80C4A">
        <w:rPr>
          <w:rFonts w:ascii="Arial" w:hAnsi="Arial" w:cs="Arial"/>
          <w:sz w:val="21"/>
          <w:szCs w:val="21"/>
        </w:rPr>
        <w:t xml:space="preserve">of around </w:t>
      </w:r>
      <w:r w:rsidR="001F1AE2">
        <w:rPr>
          <w:rFonts w:ascii="Arial" w:hAnsi="Arial" w:cs="Arial"/>
          <w:sz w:val="21"/>
          <w:szCs w:val="21"/>
        </w:rPr>
        <w:t>20</w:t>
      </w:r>
      <w:r w:rsidR="00C80C4A">
        <w:rPr>
          <w:rFonts w:ascii="Arial" w:hAnsi="Arial" w:cs="Arial"/>
          <w:sz w:val="21"/>
          <w:szCs w:val="21"/>
        </w:rPr>
        <w:t xml:space="preserve"> pages with </w:t>
      </w:r>
      <w:r w:rsidR="00C80C4A" w:rsidRPr="009B0950">
        <w:rPr>
          <w:rFonts w:ascii="Arial" w:hAnsi="Arial" w:cs="Arial"/>
          <w:b/>
          <w:sz w:val="21"/>
          <w:szCs w:val="21"/>
        </w:rPr>
        <w:t>graphs</w:t>
      </w:r>
      <w:r w:rsidR="00C80C4A">
        <w:rPr>
          <w:rFonts w:ascii="Arial" w:hAnsi="Arial" w:cs="Arial"/>
          <w:sz w:val="21"/>
          <w:szCs w:val="21"/>
        </w:rPr>
        <w:t xml:space="preserve"> and</w:t>
      </w:r>
      <w:r w:rsidR="00C80C4A" w:rsidRPr="009B0950">
        <w:rPr>
          <w:rFonts w:ascii="Arial" w:hAnsi="Arial" w:cs="Arial"/>
          <w:b/>
          <w:sz w:val="21"/>
          <w:szCs w:val="21"/>
        </w:rPr>
        <w:t xml:space="preserve"> infographics</w:t>
      </w:r>
      <w:r w:rsidR="00C80C4A">
        <w:rPr>
          <w:rFonts w:ascii="Arial" w:hAnsi="Arial" w:cs="Arial"/>
          <w:sz w:val="21"/>
          <w:szCs w:val="21"/>
        </w:rPr>
        <w:t xml:space="preserve"> </w:t>
      </w:r>
      <w:r w:rsidRPr="004872BF">
        <w:rPr>
          <w:rFonts w:ascii="Arial" w:hAnsi="Arial" w:cs="Arial"/>
          <w:sz w:val="21"/>
          <w:szCs w:val="21"/>
        </w:rPr>
        <w:t xml:space="preserve">that clearly </w:t>
      </w:r>
      <w:r w:rsidR="00C80C4A" w:rsidRPr="004872BF">
        <w:rPr>
          <w:rFonts w:ascii="Arial" w:hAnsi="Arial" w:cs="Arial"/>
          <w:sz w:val="21"/>
          <w:szCs w:val="21"/>
        </w:rPr>
        <w:t>establishes</w:t>
      </w:r>
      <w:r w:rsidR="004872BF" w:rsidRPr="004872BF">
        <w:rPr>
          <w:rFonts w:ascii="Arial" w:hAnsi="Arial" w:cs="Arial"/>
          <w:sz w:val="21"/>
          <w:szCs w:val="21"/>
        </w:rPr>
        <w:t xml:space="preserve"> t</w:t>
      </w:r>
      <w:r w:rsidRPr="004872BF">
        <w:rPr>
          <w:rFonts w:ascii="Arial" w:hAnsi="Arial" w:cs="Arial"/>
          <w:sz w:val="21"/>
          <w:szCs w:val="21"/>
        </w:rPr>
        <w:t xml:space="preserve">he value return for </w:t>
      </w:r>
      <w:r w:rsidRPr="004872BF">
        <w:rPr>
          <w:rFonts w:ascii="Arial" w:hAnsi="Arial" w:cs="Arial"/>
          <w:bCs/>
          <w:sz w:val="21"/>
          <w:szCs w:val="21"/>
        </w:rPr>
        <w:t>every £1 spent in quantifiable terms: Every £1 spent</w:t>
      </w:r>
      <w:r w:rsidR="00D505A5" w:rsidRPr="004872BF">
        <w:rPr>
          <w:rFonts w:ascii="Arial" w:hAnsi="Arial" w:cs="Arial"/>
          <w:bCs/>
          <w:sz w:val="21"/>
          <w:szCs w:val="21"/>
        </w:rPr>
        <w:t xml:space="preserve"> returns a benefit value of £x based on:</w:t>
      </w:r>
    </w:p>
    <w:p w14:paraId="598D70CB" w14:textId="77777777" w:rsidR="00D505A5" w:rsidRPr="004872BF" w:rsidRDefault="00D505A5" w:rsidP="004872BF">
      <w:pPr>
        <w:pStyle w:val="ListParagraph"/>
        <w:numPr>
          <w:ilvl w:val="1"/>
          <w:numId w:val="6"/>
        </w:numPr>
        <w:jc w:val="both"/>
        <w:rPr>
          <w:rFonts w:ascii="Arial" w:hAnsi="Arial" w:cs="Arial"/>
          <w:bCs/>
          <w:sz w:val="21"/>
          <w:szCs w:val="21"/>
        </w:rPr>
      </w:pPr>
      <w:r w:rsidRPr="004872BF">
        <w:rPr>
          <w:rFonts w:ascii="Arial" w:hAnsi="Arial" w:cs="Arial"/>
          <w:bCs/>
          <w:sz w:val="21"/>
          <w:szCs w:val="21"/>
        </w:rPr>
        <w:t>Cost savings</w:t>
      </w:r>
    </w:p>
    <w:p w14:paraId="222D0F83" w14:textId="77777777" w:rsidR="00540231" w:rsidRPr="004872BF" w:rsidRDefault="00D505A5" w:rsidP="004872BF">
      <w:pPr>
        <w:pStyle w:val="ListParagraph"/>
        <w:numPr>
          <w:ilvl w:val="1"/>
          <w:numId w:val="6"/>
        </w:numPr>
        <w:jc w:val="both"/>
        <w:rPr>
          <w:rFonts w:ascii="Arial" w:hAnsi="Arial" w:cs="Arial"/>
          <w:bCs/>
          <w:sz w:val="21"/>
          <w:szCs w:val="21"/>
        </w:rPr>
      </w:pPr>
      <w:r w:rsidRPr="004872BF">
        <w:rPr>
          <w:rFonts w:ascii="Arial" w:hAnsi="Arial" w:cs="Arial"/>
          <w:bCs/>
          <w:sz w:val="21"/>
          <w:szCs w:val="21"/>
        </w:rPr>
        <w:t>B</w:t>
      </w:r>
      <w:r w:rsidR="00540231" w:rsidRPr="004872BF">
        <w:rPr>
          <w:rFonts w:ascii="Arial" w:hAnsi="Arial" w:cs="Arial"/>
          <w:bCs/>
          <w:sz w:val="21"/>
          <w:szCs w:val="21"/>
        </w:rPr>
        <w:t>usiness efficiencies</w:t>
      </w:r>
    </w:p>
    <w:p w14:paraId="35B8E06B" w14:textId="77777777" w:rsidR="004872BF" w:rsidRDefault="00540231" w:rsidP="004872BF">
      <w:pPr>
        <w:pStyle w:val="ListParagraph"/>
        <w:numPr>
          <w:ilvl w:val="1"/>
          <w:numId w:val="6"/>
        </w:numPr>
        <w:jc w:val="both"/>
        <w:rPr>
          <w:rFonts w:ascii="Arial" w:hAnsi="Arial" w:cs="Arial"/>
          <w:bCs/>
          <w:sz w:val="21"/>
          <w:szCs w:val="21"/>
        </w:rPr>
      </w:pPr>
      <w:r w:rsidRPr="004872BF">
        <w:rPr>
          <w:rFonts w:ascii="Arial" w:hAnsi="Arial" w:cs="Arial"/>
          <w:bCs/>
          <w:sz w:val="21"/>
          <w:szCs w:val="21"/>
        </w:rPr>
        <w:t xml:space="preserve">Wider </w:t>
      </w:r>
      <w:r w:rsidR="004872BF">
        <w:rPr>
          <w:rFonts w:ascii="Arial" w:hAnsi="Arial" w:cs="Arial"/>
          <w:bCs/>
          <w:sz w:val="21"/>
          <w:szCs w:val="21"/>
        </w:rPr>
        <w:t>operational</w:t>
      </w:r>
      <w:r w:rsidR="00D505A5" w:rsidRPr="004872BF">
        <w:rPr>
          <w:rFonts w:ascii="Arial" w:hAnsi="Arial" w:cs="Arial"/>
          <w:bCs/>
          <w:sz w:val="21"/>
          <w:szCs w:val="21"/>
        </w:rPr>
        <w:t xml:space="preserve"> v</w:t>
      </w:r>
      <w:r w:rsidRPr="004872BF">
        <w:rPr>
          <w:rFonts w:ascii="Arial" w:hAnsi="Arial" w:cs="Arial"/>
          <w:bCs/>
          <w:sz w:val="21"/>
          <w:szCs w:val="21"/>
        </w:rPr>
        <w:t xml:space="preserve">alue </w:t>
      </w:r>
    </w:p>
    <w:p w14:paraId="10863BD2" w14:textId="77777777" w:rsidR="004872BF" w:rsidRDefault="004872BF" w:rsidP="004872BF">
      <w:pPr>
        <w:jc w:val="both"/>
        <w:rPr>
          <w:rFonts w:ascii="Arial" w:hAnsi="Arial" w:cs="Arial"/>
          <w:bCs/>
          <w:sz w:val="21"/>
          <w:szCs w:val="21"/>
        </w:rPr>
      </w:pPr>
    </w:p>
    <w:p w14:paraId="08B19DB1" w14:textId="77777777" w:rsidR="00C80C4A" w:rsidRPr="001F1AE2" w:rsidRDefault="00C80C4A" w:rsidP="004872BF">
      <w:pPr>
        <w:jc w:val="both"/>
        <w:rPr>
          <w:rFonts w:ascii="Arial" w:hAnsi="Arial" w:cs="Arial"/>
          <w:bCs/>
          <w:sz w:val="21"/>
          <w:szCs w:val="21"/>
        </w:rPr>
      </w:pPr>
    </w:p>
    <w:p w14:paraId="20FB3DD5" w14:textId="77777777" w:rsidR="00C80C4A" w:rsidRPr="001F1AE2" w:rsidRDefault="00C80C4A" w:rsidP="004872BF">
      <w:pPr>
        <w:jc w:val="both"/>
        <w:rPr>
          <w:rFonts w:ascii="Arial" w:hAnsi="Arial" w:cs="Arial"/>
          <w:bCs/>
          <w:sz w:val="21"/>
          <w:szCs w:val="21"/>
        </w:rPr>
      </w:pPr>
    </w:p>
    <w:p w14:paraId="617FE680" w14:textId="77777777" w:rsidR="00C80C4A" w:rsidRPr="001F1AE2" w:rsidRDefault="00C80C4A" w:rsidP="001F1AE2">
      <w:pPr>
        <w:pStyle w:val="ListParagraph"/>
        <w:numPr>
          <w:ilvl w:val="0"/>
          <w:numId w:val="4"/>
        </w:numPr>
        <w:jc w:val="both"/>
        <w:rPr>
          <w:rFonts w:ascii="Arial" w:hAnsi="Arial" w:cs="Arial"/>
          <w:b/>
          <w:bCs/>
          <w:sz w:val="21"/>
          <w:szCs w:val="21"/>
        </w:rPr>
      </w:pPr>
      <w:r w:rsidRPr="001F1AE2">
        <w:rPr>
          <w:rFonts w:ascii="Arial" w:hAnsi="Arial" w:cs="Arial"/>
          <w:b/>
          <w:bCs/>
          <w:sz w:val="21"/>
          <w:szCs w:val="21"/>
        </w:rPr>
        <w:t>Timeframe</w:t>
      </w:r>
    </w:p>
    <w:p w14:paraId="02BA9957" w14:textId="77777777" w:rsidR="001F1AE2" w:rsidRPr="001F1AE2" w:rsidRDefault="001F1AE2" w:rsidP="001F1AE2">
      <w:pPr>
        <w:pStyle w:val="ListParagraph"/>
        <w:ind w:left="360"/>
        <w:jc w:val="both"/>
        <w:rPr>
          <w:rFonts w:ascii="Arial" w:hAnsi="Arial" w:cs="Arial"/>
          <w:b/>
          <w:bCs/>
          <w:sz w:val="21"/>
          <w:szCs w:val="21"/>
        </w:rPr>
      </w:pPr>
    </w:p>
    <w:p w14:paraId="4B99541B" w14:textId="77777777" w:rsidR="00C80C4A" w:rsidRPr="001F1AE2" w:rsidRDefault="00C80C4A" w:rsidP="00C80C4A">
      <w:pPr>
        <w:ind w:left="360"/>
        <w:jc w:val="both"/>
        <w:rPr>
          <w:rFonts w:ascii="Arial" w:hAnsi="Arial" w:cs="Arial"/>
          <w:bCs/>
          <w:sz w:val="21"/>
          <w:szCs w:val="21"/>
        </w:rPr>
      </w:pPr>
      <w:r w:rsidRPr="001F1AE2">
        <w:rPr>
          <w:rFonts w:ascii="Arial" w:hAnsi="Arial" w:cs="Arial"/>
          <w:bCs/>
          <w:sz w:val="21"/>
          <w:szCs w:val="21"/>
        </w:rPr>
        <w:t>The project is scheduled to start in January 2023 and run over four weeks, with completion and delivery of the output in mid-February 2023.</w:t>
      </w:r>
    </w:p>
    <w:p w14:paraId="543C5DCF" w14:textId="77777777" w:rsidR="00C80C4A" w:rsidRPr="001F1AE2" w:rsidRDefault="001F1AE2" w:rsidP="001F1AE2">
      <w:pPr>
        <w:pStyle w:val="ListParagraph"/>
        <w:numPr>
          <w:ilvl w:val="0"/>
          <w:numId w:val="4"/>
        </w:numPr>
        <w:jc w:val="both"/>
        <w:rPr>
          <w:rFonts w:ascii="Arial" w:hAnsi="Arial" w:cs="Arial"/>
          <w:b/>
          <w:bCs/>
          <w:sz w:val="21"/>
          <w:szCs w:val="21"/>
        </w:rPr>
      </w:pPr>
      <w:r w:rsidRPr="001F1AE2">
        <w:rPr>
          <w:rFonts w:ascii="Arial" w:hAnsi="Arial" w:cs="Arial"/>
          <w:b/>
          <w:bCs/>
          <w:sz w:val="21"/>
          <w:szCs w:val="21"/>
        </w:rPr>
        <w:t>Submissions</w:t>
      </w:r>
    </w:p>
    <w:p w14:paraId="2AE7C26A" w14:textId="77777777" w:rsidR="001F1AE2" w:rsidRPr="001F1AE2" w:rsidRDefault="001F1AE2" w:rsidP="001F1AE2">
      <w:pPr>
        <w:pStyle w:val="ListParagraph"/>
        <w:ind w:left="360"/>
        <w:jc w:val="both"/>
        <w:rPr>
          <w:rFonts w:ascii="Arial" w:hAnsi="Arial" w:cs="Arial"/>
          <w:bCs/>
          <w:sz w:val="21"/>
          <w:szCs w:val="21"/>
        </w:rPr>
      </w:pPr>
    </w:p>
    <w:p w14:paraId="51B7D768" w14:textId="37E86A15" w:rsidR="009644B8" w:rsidRDefault="001F1AE2" w:rsidP="001F1AE2">
      <w:pPr>
        <w:pStyle w:val="NoSpacing"/>
        <w:ind w:left="360"/>
        <w:rPr>
          <w:rFonts w:ascii="Arial" w:hAnsi="Arial" w:cs="Arial"/>
          <w:sz w:val="21"/>
          <w:szCs w:val="21"/>
        </w:rPr>
      </w:pPr>
      <w:r w:rsidRPr="001F1AE2">
        <w:rPr>
          <w:rFonts w:ascii="Arial" w:hAnsi="Arial" w:cs="Arial"/>
          <w:sz w:val="21"/>
          <w:szCs w:val="21"/>
        </w:rPr>
        <w:t xml:space="preserve">The closing date for </w:t>
      </w:r>
      <w:r w:rsidR="009644B8">
        <w:rPr>
          <w:rFonts w:ascii="Arial" w:hAnsi="Arial" w:cs="Arial"/>
          <w:sz w:val="21"/>
          <w:szCs w:val="21"/>
        </w:rPr>
        <w:t>response to this brief is Friday 25</w:t>
      </w:r>
      <w:r w:rsidR="009644B8" w:rsidRPr="009644B8">
        <w:rPr>
          <w:rFonts w:ascii="Arial" w:hAnsi="Arial" w:cs="Arial"/>
          <w:sz w:val="21"/>
          <w:szCs w:val="21"/>
          <w:vertAlign w:val="superscript"/>
        </w:rPr>
        <w:t>th</w:t>
      </w:r>
      <w:r w:rsidR="009644B8">
        <w:rPr>
          <w:rFonts w:ascii="Arial" w:hAnsi="Arial" w:cs="Arial"/>
          <w:sz w:val="21"/>
          <w:szCs w:val="21"/>
        </w:rPr>
        <w:t xml:space="preserve"> November at 12:00pm.</w:t>
      </w:r>
    </w:p>
    <w:p w14:paraId="6A3A7FE4" w14:textId="61494CFB" w:rsidR="009644B8" w:rsidRDefault="009644B8" w:rsidP="001F1AE2">
      <w:pPr>
        <w:pStyle w:val="NoSpacing"/>
        <w:ind w:left="360"/>
        <w:rPr>
          <w:rFonts w:ascii="Arial" w:hAnsi="Arial" w:cs="Arial"/>
          <w:sz w:val="21"/>
          <w:szCs w:val="21"/>
        </w:rPr>
      </w:pPr>
    </w:p>
    <w:p w14:paraId="541B1C63" w14:textId="244F626B" w:rsidR="009644B8" w:rsidRDefault="00143FBE" w:rsidP="001F1AE2">
      <w:pPr>
        <w:pStyle w:val="NoSpacing"/>
        <w:ind w:left="360"/>
        <w:rPr>
          <w:rFonts w:ascii="Arial" w:hAnsi="Arial" w:cs="Arial"/>
          <w:sz w:val="21"/>
          <w:szCs w:val="21"/>
        </w:rPr>
      </w:pPr>
      <w:r w:rsidRPr="00143FBE">
        <w:rPr>
          <w:rFonts w:ascii="Arial" w:hAnsi="Arial" w:cs="Arial"/>
          <w:sz w:val="21"/>
          <w:szCs w:val="21"/>
        </w:rPr>
        <w:t xml:space="preserve">All </w:t>
      </w:r>
      <w:r>
        <w:rPr>
          <w:rFonts w:ascii="Arial" w:hAnsi="Arial" w:cs="Arial"/>
          <w:sz w:val="21"/>
          <w:szCs w:val="21"/>
        </w:rPr>
        <w:t>submissions</w:t>
      </w:r>
      <w:r w:rsidRPr="00143FBE">
        <w:rPr>
          <w:rFonts w:ascii="Arial" w:hAnsi="Arial" w:cs="Arial"/>
          <w:sz w:val="21"/>
          <w:szCs w:val="21"/>
        </w:rPr>
        <w:t xml:space="preserve"> are gratefully received and will be carefully examined. Supplier</w:t>
      </w:r>
      <w:r>
        <w:rPr>
          <w:rFonts w:ascii="Arial" w:hAnsi="Arial" w:cs="Arial"/>
          <w:sz w:val="21"/>
          <w:szCs w:val="21"/>
        </w:rPr>
        <w:t xml:space="preserve"> </w:t>
      </w:r>
      <w:r w:rsidRPr="00143FBE">
        <w:rPr>
          <w:rFonts w:ascii="Arial" w:hAnsi="Arial" w:cs="Arial"/>
          <w:sz w:val="21"/>
          <w:szCs w:val="21"/>
        </w:rPr>
        <w:t xml:space="preserve">interviews will be carried out on Thursday 1 December 2022. If you are unable to attend an interview on that </w:t>
      </w:r>
      <w:proofErr w:type="gramStart"/>
      <w:r w:rsidRPr="00143FBE">
        <w:rPr>
          <w:rFonts w:ascii="Arial" w:hAnsi="Arial" w:cs="Arial"/>
          <w:sz w:val="21"/>
          <w:szCs w:val="21"/>
        </w:rPr>
        <w:t>date</w:t>
      </w:r>
      <w:proofErr w:type="gramEnd"/>
      <w:r w:rsidRPr="00143FBE">
        <w:rPr>
          <w:rFonts w:ascii="Arial" w:hAnsi="Arial" w:cs="Arial"/>
          <w:sz w:val="21"/>
          <w:szCs w:val="21"/>
        </w:rPr>
        <w:t xml:space="preserve"> please indicate this in your proposal, and provide two alternatives – we will do our best to accommodate</w:t>
      </w:r>
      <w:r w:rsidR="009644B8">
        <w:rPr>
          <w:rFonts w:ascii="Arial" w:hAnsi="Arial" w:cs="Arial"/>
          <w:sz w:val="21"/>
          <w:szCs w:val="21"/>
        </w:rPr>
        <w:t>.</w:t>
      </w:r>
    </w:p>
    <w:p w14:paraId="7BA3894C" w14:textId="77777777" w:rsidR="009644B8" w:rsidRDefault="009644B8" w:rsidP="001F1AE2">
      <w:pPr>
        <w:pStyle w:val="NoSpacing"/>
        <w:ind w:left="360"/>
        <w:rPr>
          <w:rFonts w:ascii="Arial" w:hAnsi="Arial" w:cs="Arial"/>
          <w:sz w:val="21"/>
          <w:szCs w:val="21"/>
        </w:rPr>
      </w:pPr>
    </w:p>
    <w:p w14:paraId="1809281A" w14:textId="77777777" w:rsidR="009644B8" w:rsidRDefault="009644B8" w:rsidP="001F1AE2">
      <w:pPr>
        <w:pStyle w:val="NoSpacing"/>
        <w:ind w:left="360"/>
        <w:rPr>
          <w:rFonts w:ascii="Arial" w:hAnsi="Arial" w:cs="Arial"/>
          <w:sz w:val="21"/>
          <w:szCs w:val="21"/>
        </w:rPr>
      </w:pPr>
    </w:p>
    <w:p w14:paraId="29279B2C" w14:textId="208F637D" w:rsidR="001F1AE2" w:rsidRPr="001F1AE2" w:rsidRDefault="001F1AE2" w:rsidP="001F1AE2">
      <w:pPr>
        <w:pStyle w:val="NoSpacing"/>
        <w:ind w:left="360"/>
        <w:rPr>
          <w:rFonts w:ascii="Arial" w:hAnsi="Arial" w:cs="Arial"/>
          <w:b/>
          <w:sz w:val="21"/>
          <w:szCs w:val="21"/>
        </w:rPr>
      </w:pPr>
      <w:r w:rsidRPr="001F1AE2">
        <w:rPr>
          <w:rFonts w:ascii="Arial" w:hAnsi="Arial" w:cs="Arial"/>
          <w:b/>
          <w:sz w:val="21"/>
          <w:szCs w:val="21"/>
        </w:rPr>
        <w:t>Please include</w:t>
      </w:r>
      <w:r w:rsidR="009644B8">
        <w:rPr>
          <w:rFonts w:ascii="Arial" w:hAnsi="Arial" w:cs="Arial"/>
          <w:b/>
          <w:sz w:val="21"/>
          <w:szCs w:val="21"/>
        </w:rPr>
        <w:t xml:space="preserve"> in Responses to this Soft Market Testing Document</w:t>
      </w:r>
      <w:r w:rsidRPr="001F1AE2">
        <w:rPr>
          <w:rFonts w:ascii="Arial" w:hAnsi="Arial" w:cs="Arial"/>
          <w:b/>
          <w:sz w:val="21"/>
          <w:szCs w:val="21"/>
        </w:rPr>
        <w:t xml:space="preserve">: </w:t>
      </w:r>
    </w:p>
    <w:p w14:paraId="6F78A6BF" w14:textId="77777777" w:rsidR="001F1AE2" w:rsidRPr="001F1AE2" w:rsidRDefault="001F1AE2" w:rsidP="001F1AE2">
      <w:pPr>
        <w:pStyle w:val="NoSpacing"/>
        <w:ind w:left="360"/>
        <w:rPr>
          <w:rFonts w:ascii="Arial" w:hAnsi="Arial" w:cs="Arial"/>
          <w:sz w:val="21"/>
          <w:szCs w:val="21"/>
        </w:rPr>
      </w:pPr>
      <w:r w:rsidRPr="001F1AE2">
        <w:rPr>
          <w:rFonts w:ascii="Arial" w:hAnsi="Arial" w:cs="Arial"/>
          <w:sz w:val="21"/>
          <w:szCs w:val="21"/>
        </w:rPr>
        <w:t>Names and details of people working on the project</w:t>
      </w:r>
    </w:p>
    <w:p w14:paraId="02A1DD55" w14:textId="77777777" w:rsidR="001F1AE2" w:rsidRPr="001F1AE2" w:rsidRDefault="001F1AE2" w:rsidP="001F1AE2">
      <w:pPr>
        <w:pStyle w:val="NoSpacing"/>
        <w:ind w:left="360"/>
        <w:rPr>
          <w:rFonts w:ascii="Arial" w:hAnsi="Arial" w:cs="Arial"/>
          <w:sz w:val="21"/>
          <w:szCs w:val="21"/>
        </w:rPr>
      </w:pPr>
      <w:r w:rsidRPr="001F1AE2">
        <w:rPr>
          <w:rFonts w:ascii="Arial" w:hAnsi="Arial" w:cs="Arial"/>
          <w:sz w:val="21"/>
          <w:szCs w:val="21"/>
        </w:rPr>
        <w:t>Project outline providing the approach and methodology</w:t>
      </w:r>
    </w:p>
    <w:p w14:paraId="16B4C7BE" w14:textId="77777777" w:rsidR="001F1AE2" w:rsidRPr="001F1AE2" w:rsidRDefault="001F1AE2" w:rsidP="001F1AE2">
      <w:pPr>
        <w:pStyle w:val="NoSpacing"/>
        <w:ind w:left="360"/>
        <w:rPr>
          <w:rFonts w:ascii="Arial" w:hAnsi="Arial" w:cs="Arial"/>
          <w:sz w:val="21"/>
          <w:szCs w:val="21"/>
        </w:rPr>
      </w:pPr>
      <w:r w:rsidRPr="001F1AE2">
        <w:rPr>
          <w:rFonts w:ascii="Arial" w:hAnsi="Arial" w:cs="Arial"/>
          <w:sz w:val="21"/>
          <w:szCs w:val="21"/>
        </w:rPr>
        <w:t>Costs including a breakdown of time and expenses</w:t>
      </w:r>
    </w:p>
    <w:p w14:paraId="305F90E7" w14:textId="77777777" w:rsidR="001F1AE2" w:rsidRPr="001F1AE2" w:rsidRDefault="001F1AE2" w:rsidP="001F1AE2">
      <w:pPr>
        <w:pStyle w:val="NoSpacing"/>
        <w:ind w:left="360"/>
        <w:rPr>
          <w:rFonts w:ascii="Arial" w:hAnsi="Arial" w:cs="Arial"/>
          <w:sz w:val="21"/>
          <w:szCs w:val="21"/>
        </w:rPr>
      </w:pPr>
      <w:r w:rsidRPr="001F1AE2">
        <w:rPr>
          <w:rFonts w:ascii="Arial" w:hAnsi="Arial" w:cs="Arial"/>
          <w:sz w:val="21"/>
          <w:szCs w:val="21"/>
        </w:rPr>
        <w:t xml:space="preserve">Timeline </w:t>
      </w:r>
    </w:p>
    <w:p w14:paraId="5D46C655" w14:textId="77777777" w:rsidR="001F1AE2" w:rsidRPr="001F1AE2" w:rsidRDefault="001F1AE2" w:rsidP="001F1AE2">
      <w:pPr>
        <w:pStyle w:val="NoSpacing"/>
        <w:ind w:left="360"/>
        <w:rPr>
          <w:rFonts w:ascii="Arial" w:hAnsi="Arial" w:cs="Arial"/>
          <w:sz w:val="21"/>
          <w:szCs w:val="21"/>
        </w:rPr>
      </w:pPr>
      <w:r w:rsidRPr="001F1AE2">
        <w:rPr>
          <w:rFonts w:ascii="Arial" w:hAnsi="Arial" w:cs="Arial"/>
          <w:sz w:val="21"/>
          <w:szCs w:val="21"/>
        </w:rPr>
        <w:t>Examples of similar successfully delivered projects</w:t>
      </w:r>
    </w:p>
    <w:p w14:paraId="7F33919A" w14:textId="77777777" w:rsidR="001F1AE2" w:rsidRPr="001F1AE2" w:rsidRDefault="001F1AE2" w:rsidP="004872BF">
      <w:pPr>
        <w:jc w:val="both"/>
        <w:rPr>
          <w:rFonts w:ascii="Arial" w:hAnsi="Arial" w:cs="Arial"/>
          <w:color w:val="777777"/>
          <w:sz w:val="21"/>
          <w:szCs w:val="21"/>
          <w:shd w:val="clear" w:color="auto" w:fill="FFFFFF"/>
        </w:rPr>
      </w:pPr>
    </w:p>
    <w:p w14:paraId="7865C245" w14:textId="77777777" w:rsidR="001F1AE2" w:rsidRPr="001F1AE2" w:rsidRDefault="009B0950" w:rsidP="001F1AE2">
      <w:pPr>
        <w:pStyle w:val="ITTLevel2text"/>
        <w:numPr>
          <w:ilvl w:val="0"/>
          <w:numId w:val="0"/>
        </w:numPr>
        <w:spacing w:line="276" w:lineRule="auto"/>
        <w:contextualSpacing/>
        <w:jc w:val="both"/>
        <w:rPr>
          <w:rFonts w:ascii="Arial" w:hAnsi="Arial"/>
          <w:sz w:val="21"/>
          <w:szCs w:val="21"/>
        </w:rPr>
      </w:pPr>
      <w:r>
        <w:rPr>
          <w:rFonts w:ascii="Arial" w:hAnsi="Arial"/>
          <w:sz w:val="21"/>
          <w:szCs w:val="21"/>
        </w:rPr>
        <w:t>Please see</w:t>
      </w:r>
      <w:r w:rsidR="001F1AE2" w:rsidRPr="001F1AE2">
        <w:rPr>
          <w:rFonts w:ascii="Arial" w:hAnsi="Arial"/>
          <w:sz w:val="21"/>
          <w:szCs w:val="21"/>
        </w:rPr>
        <w:t xml:space="preserve"> </w:t>
      </w:r>
      <w:proofErr w:type="gramStart"/>
      <w:r w:rsidR="001F1AE2" w:rsidRPr="001F1AE2">
        <w:rPr>
          <w:rFonts w:ascii="Arial" w:hAnsi="Arial"/>
          <w:sz w:val="21"/>
          <w:szCs w:val="21"/>
        </w:rPr>
        <w:t>a number of</w:t>
      </w:r>
      <w:proofErr w:type="gramEnd"/>
      <w:r w:rsidR="001F1AE2" w:rsidRPr="001F1AE2">
        <w:rPr>
          <w:rFonts w:ascii="Arial" w:hAnsi="Arial"/>
          <w:sz w:val="21"/>
          <w:szCs w:val="21"/>
        </w:rPr>
        <w:t xml:space="preserve"> appendices that provide more detailed information regarding the scope and services that would be impacted by this work</w:t>
      </w:r>
      <w:r>
        <w:rPr>
          <w:rFonts w:ascii="Arial" w:hAnsi="Arial"/>
          <w:sz w:val="21"/>
          <w:szCs w:val="21"/>
        </w:rPr>
        <w:t xml:space="preserve"> </w:t>
      </w:r>
      <w:r w:rsidR="001F1AE2" w:rsidRPr="001F1AE2">
        <w:rPr>
          <w:rFonts w:ascii="Arial" w:hAnsi="Arial"/>
          <w:sz w:val="21"/>
          <w:szCs w:val="21"/>
        </w:rPr>
        <w:t>as follows.</w:t>
      </w:r>
    </w:p>
    <w:p w14:paraId="72DABEAF" w14:textId="77777777" w:rsidR="001F1AE2" w:rsidRPr="001F1AE2" w:rsidRDefault="001F1AE2" w:rsidP="001F1AE2">
      <w:pPr>
        <w:pStyle w:val="ITTLevel2text"/>
        <w:numPr>
          <w:ilvl w:val="0"/>
          <w:numId w:val="0"/>
        </w:numPr>
        <w:spacing w:line="276" w:lineRule="auto"/>
        <w:contextualSpacing/>
        <w:jc w:val="both"/>
        <w:rPr>
          <w:rFonts w:ascii="Arial" w:hAnsi="Arial"/>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4961"/>
      </w:tblGrid>
      <w:tr w:rsidR="001F1AE2" w:rsidRPr="001F1AE2" w14:paraId="7C2BD16B" w14:textId="77777777" w:rsidTr="007F4297">
        <w:tc>
          <w:tcPr>
            <w:tcW w:w="2122" w:type="dxa"/>
          </w:tcPr>
          <w:p w14:paraId="4CD235E3" w14:textId="77777777" w:rsidR="001F1AE2" w:rsidRPr="001F1AE2" w:rsidRDefault="001F1AE2" w:rsidP="007F4297">
            <w:pPr>
              <w:pStyle w:val="ITTLevel2text"/>
              <w:numPr>
                <w:ilvl w:val="0"/>
                <w:numId w:val="0"/>
              </w:numPr>
              <w:spacing w:line="276" w:lineRule="auto"/>
              <w:contextualSpacing/>
              <w:jc w:val="both"/>
              <w:rPr>
                <w:rFonts w:ascii="Arial" w:hAnsi="Arial"/>
                <w:sz w:val="21"/>
                <w:szCs w:val="21"/>
              </w:rPr>
            </w:pPr>
            <w:r w:rsidRPr="001F1AE2">
              <w:rPr>
                <w:rFonts w:ascii="Arial" w:hAnsi="Arial"/>
                <w:sz w:val="21"/>
                <w:szCs w:val="21"/>
              </w:rPr>
              <w:t>Appendix 1</w:t>
            </w:r>
          </w:p>
        </w:tc>
        <w:tc>
          <w:tcPr>
            <w:tcW w:w="4961" w:type="dxa"/>
          </w:tcPr>
          <w:p w14:paraId="376A181D" w14:textId="77777777" w:rsidR="001F1AE2" w:rsidRPr="001F1AE2" w:rsidRDefault="00143FBE" w:rsidP="007F4297">
            <w:pPr>
              <w:pStyle w:val="ITTLevel2text"/>
              <w:numPr>
                <w:ilvl w:val="0"/>
                <w:numId w:val="0"/>
              </w:numPr>
              <w:spacing w:line="276" w:lineRule="auto"/>
              <w:contextualSpacing/>
              <w:jc w:val="both"/>
              <w:rPr>
                <w:rFonts w:ascii="Arial" w:hAnsi="Arial"/>
                <w:sz w:val="21"/>
                <w:szCs w:val="21"/>
              </w:rPr>
            </w:pPr>
            <w:hyperlink r:id="rId8" w:history="1">
              <w:r w:rsidR="001F1AE2" w:rsidRPr="00232017">
                <w:rPr>
                  <w:rStyle w:val="Hyperlink"/>
                  <w:rFonts w:ascii="Arial" w:hAnsi="Arial"/>
                  <w:sz w:val="21"/>
                  <w:szCs w:val="21"/>
                </w:rPr>
                <w:t>NAFN Overview</w:t>
              </w:r>
            </w:hyperlink>
          </w:p>
        </w:tc>
      </w:tr>
      <w:tr w:rsidR="001F1AE2" w:rsidRPr="001F1AE2" w14:paraId="75025BD2" w14:textId="77777777" w:rsidTr="007F4297">
        <w:tc>
          <w:tcPr>
            <w:tcW w:w="2122" w:type="dxa"/>
          </w:tcPr>
          <w:p w14:paraId="380E019D" w14:textId="77777777" w:rsidR="001F1AE2" w:rsidRPr="001F1AE2" w:rsidRDefault="001F1AE2" w:rsidP="007F4297">
            <w:pPr>
              <w:pStyle w:val="ITTLevel2text"/>
              <w:numPr>
                <w:ilvl w:val="0"/>
                <w:numId w:val="0"/>
              </w:numPr>
              <w:spacing w:line="276" w:lineRule="auto"/>
              <w:contextualSpacing/>
              <w:jc w:val="both"/>
              <w:rPr>
                <w:rFonts w:ascii="Arial" w:hAnsi="Arial"/>
                <w:sz w:val="21"/>
                <w:szCs w:val="21"/>
              </w:rPr>
            </w:pPr>
            <w:r w:rsidRPr="001F1AE2">
              <w:rPr>
                <w:rFonts w:ascii="Arial" w:hAnsi="Arial"/>
                <w:sz w:val="21"/>
                <w:szCs w:val="21"/>
              </w:rPr>
              <w:t>Appendix 2</w:t>
            </w:r>
          </w:p>
        </w:tc>
        <w:tc>
          <w:tcPr>
            <w:tcW w:w="4961" w:type="dxa"/>
          </w:tcPr>
          <w:p w14:paraId="0C60B4BD" w14:textId="77777777" w:rsidR="001F1AE2" w:rsidRPr="001F1AE2" w:rsidRDefault="00143FBE" w:rsidP="007F4297">
            <w:pPr>
              <w:pStyle w:val="ITTLevel2text"/>
              <w:numPr>
                <w:ilvl w:val="0"/>
                <w:numId w:val="0"/>
              </w:numPr>
              <w:spacing w:line="276" w:lineRule="auto"/>
              <w:contextualSpacing/>
              <w:jc w:val="both"/>
              <w:rPr>
                <w:rFonts w:ascii="Arial" w:hAnsi="Arial"/>
                <w:sz w:val="21"/>
                <w:szCs w:val="21"/>
              </w:rPr>
            </w:pPr>
            <w:hyperlink r:id="rId9" w:history="1">
              <w:r w:rsidR="00746F4F" w:rsidRPr="00232017">
                <w:rPr>
                  <w:rStyle w:val="Hyperlink"/>
                  <w:rFonts w:ascii="Arial" w:hAnsi="Arial"/>
                  <w:sz w:val="21"/>
                  <w:szCs w:val="21"/>
                </w:rPr>
                <w:t>NAFN Services</w:t>
              </w:r>
            </w:hyperlink>
            <w:r w:rsidR="00746F4F">
              <w:rPr>
                <w:rFonts w:ascii="Arial" w:hAnsi="Arial"/>
                <w:sz w:val="21"/>
                <w:szCs w:val="21"/>
              </w:rPr>
              <w:t xml:space="preserve"> </w:t>
            </w:r>
          </w:p>
        </w:tc>
      </w:tr>
      <w:tr w:rsidR="001F1AE2" w:rsidRPr="001F1AE2" w14:paraId="2B10AF81" w14:textId="77777777" w:rsidTr="007F4297">
        <w:tc>
          <w:tcPr>
            <w:tcW w:w="2122" w:type="dxa"/>
          </w:tcPr>
          <w:p w14:paraId="76898B16" w14:textId="77777777" w:rsidR="001F1AE2" w:rsidRPr="001F1AE2" w:rsidRDefault="001F1AE2" w:rsidP="007F4297">
            <w:pPr>
              <w:pStyle w:val="ITTLevel2text"/>
              <w:numPr>
                <w:ilvl w:val="0"/>
                <w:numId w:val="0"/>
              </w:numPr>
              <w:spacing w:line="276" w:lineRule="auto"/>
              <w:contextualSpacing/>
              <w:jc w:val="both"/>
              <w:rPr>
                <w:rFonts w:ascii="Arial" w:hAnsi="Arial"/>
                <w:sz w:val="21"/>
                <w:szCs w:val="21"/>
              </w:rPr>
            </w:pPr>
            <w:r w:rsidRPr="001F1AE2">
              <w:rPr>
                <w:rFonts w:ascii="Arial" w:hAnsi="Arial"/>
                <w:sz w:val="21"/>
                <w:szCs w:val="21"/>
              </w:rPr>
              <w:t>Appendix 3</w:t>
            </w:r>
          </w:p>
        </w:tc>
        <w:tc>
          <w:tcPr>
            <w:tcW w:w="4961" w:type="dxa"/>
          </w:tcPr>
          <w:p w14:paraId="15A9B851" w14:textId="77777777" w:rsidR="001F1AE2" w:rsidRPr="001F1AE2" w:rsidRDefault="00143FBE" w:rsidP="007F4297">
            <w:pPr>
              <w:pStyle w:val="ITTLevel2text"/>
              <w:numPr>
                <w:ilvl w:val="0"/>
                <w:numId w:val="0"/>
              </w:numPr>
              <w:spacing w:line="276" w:lineRule="auto"/>
              <w:contextualSpacing/>
              <w:jc w:val="both"/>
              <w:rPr>
                <w:rFonts w:ascii="Arial" w:hAnsi="Arial"/>
                <w:sz w:val="21"/>
                <w:szCs w:val="21"/>
              </w:rPr>
            </w:pPr>
            <w:hyperlink r:id="rId10" w:history="1">
              <w:r w:rsidR="00746F4F" w:rsidRPr="00514150">
                <w:rPr>
                  <w:rStyle w:val="Hyperlink"/>
                  <w:rFonts w:ascii="Arial" w:hAnsi="Arial"/>
                  <w:sz w:val="21"/>
                  <w:szCs w:val="21"/>
                </w:rPr>
                <w:t>NAFN Enquiry types and costs</w:t>
              </w:r>
            </w:hyperlink>
          </w:p>
        </w:tc>
      </w:tr>
      <w:tr w:rsidR="001F1AE2" w:rsidRPr="001F1AE2" w14:paraId="4CEC9FBC" w14:textId="77777777" w:rsidTr="007F4297">
        <w:tc>
          <w:tcPr>
            <w:tcW w:w="2122" w:type="dxa"/>
          </w:tcPr>
          <w:p w14:paraId="3A29A48E" w14:textId="77777777" w:rsidR="001F1AE2" w:rsidRPr="001F1AE2" w:rsidRDefault="001F1AE2" w:rsidP="007F4297">
            <w:pPr>
              <w:pStyle w:val="ITTLevel2text"/>
              <w:numPr>
                <w:ilvl w:val="0"/>
                <w:numId w:val="0"/>
              </w:numPr>
              <w:spacing w:line="276" w:lineRule="auto"/>
              <w:contextualSpacing/>
              <w:jc w:val="both"/>
              <w:rPr>
                <w:rFonts w:ascii="Arial" w:hAnsi="Arial"/>
                <w:sz w:val="21"/>
                <w:szCs w:val="21"/>
              </w:rPr>
            </w:pPr>
            <w:r w:rsidRPr="001F1AE2">
              <w:rPr>
                <w:rFonts w:ascii="Arial" w:hAnsi="Arial"/>
                <w:sz w:val="21"/>
                <w:szCs w:val="21"/>
              </w:rPr>
              <w:t>Appendix 4</w:t>
            </w:r>
          </w:p>
        </w:tc>
        <w:tc>
          <w:tcPr>
            <w:tcW w:w="4961" w:type="dxa"/>
          </w:tcPr>
          <w:p w14:paraId="6A9ABA5E" w14:textId="77777777" w:rsidR="001F1AE2" w:rsidRPr="001F1AE2" w:rsidRDefault="00143FBE" w:rsidP="007F4297">
            <w:pPr>
              <w:pStyle w:val="ITTLevel2text"/>
              <w:numPr>
                <w:ilvl w:val="0"/>
                <w:numId w:val="0"/>
              </w:numPr>
              <w:spacing w:line="276" w:lineRule="auto"/>
              <w:contextualSpacing/>
              <w:jc w:val="both"/>
              <w:rPr>
                <w:rFonts w:ascii="Arial" w:hAnsi="Arial"/>
                <w:sz w:val="21"/>
                <w:szCs w:val="21"/>
              </w:rPr>
            </w:pPr>
            <w:hyperlink r:id="rId11" w:history="1">
              <w:r w:rsidR="00746F4F" w:rsidRPr="00514150">
                <w:rPr>
                  <w:rStyle w:val="Hyperlink"/>
                  <w:rFonts w:ascii="Arial" w:hAnsi="Arial"/>
                  <w:sz w:val="21"/>
                  <w:szCs w:val="21"/>
                </w:rPr>
                <w:t>NAFN Annual Report 2022</w:t>
              </w:r>
            </w:hyperlink>
          </w:p>
        </w:tc>
      </w:tr>
    </w:tbl>
    <w:p w14:paraId="2CB8C53E" w14:textId="77777777" w:rsidR="00566946" w:rsidRDefault="00566946">
      <w:pPr>
        <w:rPr>
          <w:rFonts w:ascii="Arial" w:hAnsi="Arial" w:cs="Arial"/>
        </w:rPr>
      </w:pPr>
    </w:p>
    <w:p w14:paraId="47739C1D" w14:textId="77777777" w:rsidR="00746F4F" w:rsidRDefault="00746F4F">
      <w:pPr>
        <w:rPr>
          <w:rFonts w:ascii="Arial" w:hAnsi="Arial" w:cs="Arial"/>
        </w:rPr>
      </w:pPr>
      <w:r>
        <w:rPr>
          <w:rFonts w:ascii="Arial" w:hAnsi="Arial" w:cs="Arial"/>
        </w:rPr>
        <w:br w:type="page"/>
      </w:r>
    </w:p>
    <w:p w14:paraId="3938CE0A" w14:textId="77777777" w:rsidR="00746F4F" w:rsidRPr="00746F4F" w:rsidRDefault="00746F4F">
      <w:pPr>
        <w:rPr>
          <w:rFonts w:ascii="Arial" w:hAnsi="Arial" w:cs="Arial"/>
          <w:b/>
        </w:rPr>
      </w:pPr>
      <w:r w:rsidRPr="00746F4F">
        <w:rPr>
          <w:rFonts w:ascii="Arial" w:hAnsi="Arial" w:cs="Arial"/>
          <w:b/>
        </w:rPr>
        <w:lastRenderedPageBreak/>
        <w:t>APPENDIX 1</w:t>
      </w:r>
    </w:p>
    <w:p w14:paraId="534536BD" w14:textId="77777777" w:rsidR="00746F4F" w:rsidRPr="00746F4F" w:rsidRDefault="00746F4F" w:rsidP="00746F4F">
      <w:pPr>
        <w:jc w:val="both"/>
        <w:rPr>
          <w:b/>
          <w:sz w:val="24"/>
        </w:rPr>
      </w:pPr>
      <w:r w:rsidRPr="00746F4F">
        <w:rPr>
          <w:b/>
          <w:sz w:val="24"/>
        </w:rPr>
        <w:t xml:space="preserve">NAFN Overview </w:t>
      </w:r>
    </w:p>
    <w:p w14:paraId="2151DA16" w14:textId="77777777" w:rsidR="00746F4F" w:rsidRPr="00746F4F" w:rsidRDefault="00746F4F" w:rsidP="00746F4F">
      <w:pPr>
        <w:jc w:val="both"/>
        <w:rPr>
          <w:sz w:val="21"/>
          <w:szCs w:val="21"/>
        </w:rPr>
      </w:pPr>
      <w:r w:rsidRPr="00746F4F">
        <w:rPr>
          <w:sz w:val="21"/>
          <w:szCs w:val="21"/>
        </w:rPr>
        <w:t xml:space="preserve">The National Anti-Fraud Network (NAFN) was created in 1997 and is currently one of the largest shared services in local government. With almost 96 per cent local authority membership and over 13,000 registered users, the organisation is widely recognised as provider of data and intelligence and is the single point of contact for all local authority acquisition of communications data. </w:t>
      </w:r>
    </w:p>
    <w:p w14:paraId="5C284745" w14:textId="77777777" w:rsidR="00746F4F" w:rsidRPr="00746F4F" w:rsidRDefault="00746F4F" w:rsidP="00746F4F">
      <w:pPr>
        <w:jc w:val="both"/>
        <w:rPr>
          <w:sz w:val="21"/>
          <w:szCs w:val="21"/>
        </w:rPr>
      </w:pPr>
      <w:r w:rsidRPr="00746F4F">
        <w:rPr>
          <w:sz w:val="21"/>
          <w:szCs w:val="21"/>
        </w:rPr>
        <w:t xml:space="preserve">Hosted by Tameside Metropolitan Borough Council in Greater Manchester, NAFN is a not-for-profit organisation and recovers its operating costs from grant funding, membership fees and recharges. Membership of NAFN provides organisations with access to a pool of highly experienced, </w:t>
      </w:r>
      <w:proofErr w:type="gramStart"/>
      <w:r w:rsidRPr="00746F4F">
        <w:rPr>
          <w:sz w:val="21"/>
          <w:szCs w:val="21"/>
        </w:rPr>
        <w:t>trained</w:t>
      </w:r>
      <w:proofErr w:type="gramEnd"/>
      <w:r w:rsidRPr="00746F4F">
        <w:rPr>
          <w:sz w:val="21"/>
          <w:szCs w:val="21"/>
        </w:rPr>
        <w:t xml:space="preserve"> and accredited officers delivering services via a secure website. </w:t>
      </w:r>
    </w:p>
    <w:p w14:paraId="104314A3" w14:textId="77777777" w:rsidR="00746F4F" w:rsidRPr="00746F4F" w:rsidRDefault="00746F4F" w:rsidP="00746F4F">
      <w:pPr>
        <w:jc w:val="both"/>
        <w:rPr>
          <w:sz w:val="21"/>
          <w:szCs w:val="21"/>
        </w:rPr>
      </w:pPr>
      <w:r w:rsidRPr="00746F4F">
        <w:rPr>
          <w:sz w:val="21"/>
          <w:szCs w:val="21"/>
        </w:rPr>
        <w:t xml:space="preserve">The NAFN team comprises a Head of Service, Leadership </w:t>
      </w:r>
      <w:proofErr w:type="gramStart"/>
      <w:r w:rsidRPr="00746F4F">
        <w:rPr>
          <w:sz w:val="21"/>
          <w:szCs w:val="21"/>
        </w:rPr>
        <w:t>Team</w:t>
      </w:r>
      <w:proofErr w:type="gramEnd"/>
      <w:r w:rsidRPr="00746F4F">
        <w:rPr>
          <w:sz w:val="21"/>
          <w:szCs w:val="21"/>
        </w:rPr>
        <w:t xml:space="preserve"> and Service Delivery Team with a current establishment of seventeen. NAFN is governed by an Executive Board of twelve senior officers from local and wider public authorities across the country, elected annually by members to oversee the management of resources and set strategic objectives. An Annual General Meeting takes place in autumn every year alongside a National Conference attended by members from across the United Kingdom. </w:t>
      </w:r>
    </w:p>
    <w:p w14:paraId="787B5A46" w14:textId="77777777" w:rsidR="00746F4F" w:rsidRPr="00746F4F" w:rsidRDefault="00746F4F" w:rsidP="00746F4F">
      <w:pPr>
        <w:jc w:val="both"/>
        <w:rPr>
          <w:sz w:val="21"/>
          <w:szCs w:val="21"/>
        </w:rPr>
      </w:pPr>
      <w:r w:rsidRPr="00746F4F">
        <w:rPr>
          <w:sz w:val="21"/>
          <w:szCs w:val="21"/>
        </w:rPr>
        <w:t xml:space="preserve">NAFN specialises in intelligence gathering providing its members with access to over 50 data systems which, collectively, support the prevention and detection of fraud and crime and protection of the public and public purse. </w:t>
      </w:r>
    </w:p>
    <w:p w14:paraId="2F431DF3" w14:textId="77777777" w:rsidR="00746F4F" w:rsidRPr="00746F4F" w:rsidRDefault="00746F4F" w:rsidP="00746F4F">
      <w:pPr>
        <w:jc w:val="both"/>
        <w:rPr>
          <w:sz w:val="21"/>
          <w:szCs w:val="21"/>
        </w:rPr>
      </w:pPr>
      <w:r w:rsidRPr="00746F4F">
        <w:rPr>
          <w:sz w:val="21"/>
          <w:szCs w:val="21"/>
        </w:rPr>
        <w:t xml:space="preserve">Many of these services are available online at low cost. Each officer is proficient in the regulations, codes of practice and internal policies relating to requests. NAFN officers ensure that member enquiries are legally compliant and processed in accordance with the most up to date information and guidance. The team also provide support and training to its members promoting the use of communications data to support their investigations. </w:t>
      </w:r>
    </w:p>
    <w:p w14:paraId="3CE0CA1F" w14:textId="77777777" w:rsidR="00746F4F" w:rsidRPr="00746F4F" w:rsidRDefault="00746F4F" w:rsidP="00746F4F">
      <w:pPr>
        <w:jc w:val="both"/>
        <w:rPr>
          <w:sz w:val="21"/>
          <w:szCs w:val="21"/>
        </w:rPr>
      </w:pPr>
      <w:r w:rsidRPr="00746F4F">
        <w:rPr>
          <w:sz w:val="21"/>
          <w:szCs w:val="21"/>
        </w:rPr>
        <w:t xml:space="preserve">NAFN’s role is ratified through the Investigatory Powers Act 2016 and associated Code of Practice which states that all local authorities must make applications through a SPOC at the National Anti-Fraud Network. The Investigatory Powers Act also provides an opportunity for NAFN to offer its SPOC service to wider public authorities via collaboration agreements. </w:t>
      </w:r>
    </w:p>
    <w:p w14:paraId="16B6CEBF" w14:textId="77777777" w:rsidR="00746F4F" w:rsidRPr="00746F4F" w:rsidRDefault="00746F4F" w:rsidP="00746F4F">
      <w:pPr>
        <w:jc w:val="both"/>
        <w:rPr>
          <w:sz w:val="21"/>
          <w:szCs w:val="21"/>
        </w:rPr>
      </w:pPr>
      <w:r w:rsidRPr="00746F4F">
        <w:rPr>
          <w:sz w:val="21"/>
          <w:szCs w:val="21"/>
        </w:rPr>
        <w:t xml:space="preserve">NAFN represents the local government community and wider public authorities and is a key stakeholder playing a central role in the acquisition of communications data. NAFN is represented on several boards and working groups including: </w:t>
      </w:r>
    </w:p>
    <w:p w14:paraId="7E2633CC" w14:textId="77777777" w:rsidR="00746F4F" w:rsidRPr="00746F4F" w:rsidRDefault="00746F4F" w:rsidP="00746F4F">
      <w:pPr>
        <w:spacing w:after="0"/>
        <w:jc w:val="both"/>
        <w:rPr>
          <w:sz w:val="21"/>
          <w:szCs w:val="21"/>
        </w:rPr>
      </w:pPr>
      <w:r w:rsidRPr="00746F4F">
        <w:rPr>
          <w:sz w:val="21"/>
          <w:szCs w:val="21"/>
        </w:rPr>
        <w:sym w:font="Symbol" w:char="F0B7"/>
      </w:r>
      <w:r w:rsidRPr="00746F4F">
        <w:rPr>
          <w:sz w:val="21"/>
          <w:szCs w:val="21"/>
        </w:rPr>
        <w:t xml:space="preserve"> Communication Data Strategy </w:t>
      </w:r>
      <w:proofErr w:type="gramStart"/>
      <w:r w:rsidRPr="00746F4F">
        <w:rPr>
          <w:sz w:val="21"/>
          <w:szCs w:val="21"/>
        </w:rPr>
        <w:t>Board;</w:t>
      </w:r>
      <w:proofErr w:type="gramEnd"/>
      <w:r w:rsidRPr="00746F4F">
        <w:rPr>
          <w:sz w:val="21"/>
          <w:szCs w:val="21"/>
        </w:rPr>
        <w:t xml:space="preserve"> </w:t>
      </w:r>
    </w:p>
    <w:p w14:paraId="1A9E2514" w14:textId="77777777" w:rsidR="00746F4F" w:rsidRPr="00746F4F" w:rsidRDefault="00746F4F" w:rsidP="00746F4F">
      <w:pPr>
        <w:spacing w:after="0"/>
        <w:jc w:val="both"/>
        <w:rPr>
          <w:sz w:val="21"/>
          <w:szCs w:val="21"/>
        </w:rPr>
      </w:pPr>
      <w:r w:rsidRPr="00746F4F">
        <w:rPr>
          <w:sz w:val="21"/>
          <w:szCs w:val="21"/>
        </w:rPr>
        <w:sym w:font="Symbol" w:char="F0B7"/>
      </w:r>
      <w:r w:rsidRPr="00746F4F">
        <w:rPr>
          <w:sz w:val="21"/>
          <w:szCs w:val="21"/>
        </w:rPr>
        <w:t xml:space="preserve"> Professional Oversight Board for communication data training and </w:t>
      </w:r>
      <w:proofErr w:type="gramStart"/>
      <w:r w:rsidRPr="00746F4F">
        <w:rPr>
          <w:sz w:val="21"/>
          <w:szCs w:val="21"/>
        </w:rPr>
        <w:t>accreditation;</w:t>
      </w:r>
      <w:proofErr w:type="gramEnd"/>
      <w:r w:rsidRPr="00746F4F">
        <w:rPr>
          <w:sz w:val="21"/>
          <w:szCs w:val="21"/>
        </w:rPr>
        <w:t xml:space="preserve"> </w:t>
      </w:r>
    </w:p>
    <w:p w14:paraId="40012F6E" w14:textId="77777777" w:rsidR="00746F4F" w:rsidRPr="00746F4F" w:rsidRDefault="00746F4F" w:rsidP="00746F4F">
      <w:pPr>
        <w:spacing w:after="0"/>
        <w:jc w:val="both"/>
        <w:rPr>
          <w:sz w:val="21"/>
          <w:szCs w:val="21"/>
        </w:rPr>
      </w:pPr>
      <w:r w:rsidRPr="00746F4F">
        <w:rPr>
          <w:sz w:val="21"/>
          <w:szCs w:val="21"/>
        </w:rPr>
        <w:sym w:font="Symbol" w:char="F0B7"/>
      </w:r>
      <w:r w:rsidRPr="00746F4F">
        <w:rPr>
          <w:sz w:val="21"/>
          <w:szCs w:val="21"/>
        </w:rPr>
        <w:t xml:space="preserve"> Communications Data Operational </w:t>
      </w:r>
      <w:proofErr w:type="gramStart"/>
      <w:r w:rsidRPr="00746F4F">
        <w:rPr>
          <w:sz w:val="21"/>
          <w:szCs w:val="21"/>
        </w:rPr>
        <w:t>Group;</w:t>
      </w:r>
      <w:proofErr w:type="gramEnd"/>
      <w:r w:rsidRPr="00746F4F">
        <w:rPr>
          <w:sz w:val="21"/>
          <w:szCs w:val="21"/>
        </w:rPr>
        <w:t xml:space="preserve"> </w:t>
      </w:r>
    </w:p>
    <w:p w14:paraId="08856D86" w14:textId="77777777" w:rsidR="00746F4F" w:rsidRPr="00746F4F" w:rsidRDefault="00746F4F" w:rsidP="00746F4F">
      <w:pPr>
        <w:spacing w:after="0"/>
        <w:jc w:val="both"/>
        <w:rPr>
          <w:sz w:val="21"/>
          <w:szCs w:val="21"/>
        </w:rPr>
      </w:pPr>
      <w:r w:rsidRPr="00746F4F">
        <w:rPr>
          <w:sz w:val="21"/>
          <w:szCs w:val="21"/>
        </w:rPr>
        <w:sym w:font="Symbol" w:char="F0B7"/>
      </w:r>
      <w:r w:rsidRPr="00746F4F">
        <w:rPr>
          <w:sz w:val="21"/>
          <w:szCs w:val="21"/>
        </w:rPr>
        <w:t xml:space="preserve"> Communications Data and Lawful Interception Strategy Group. </w:t>
      </w:r>
    </w:p>
    <w:p w14:paraId="01C76A00" w14:textId="77777777" w:rsidR="00746F4F" w:rsidRPr="00746F4F" w:rsidRDefault="00746F4F" w:rsidP="00746F4F">
      <w:pPr>
        <w:spacing w:after="0"/>
        <w:jc w:val="both"/>
        <w:rPr>
          <w:sz w:val="8"/>
          <w:szCs w:val="21"/>
        </w:rPr>
      </w:pPr>
    </w:p>
    <w:p w14:paraId="5A3A3DF1" w14:textId="77777777" w:rsidR="00746F4F" w:rsidRPr="00746F4F" w:rsidRDefault="00746F4F" w:rsidP="00746F4F">
      <w:pPr>
        <w:jc w:val="both"/>
        <w:rPr>
          <w:sz w:val="21"/>
          <w:szCs w:val="21"/>
        </w:rPr>
      </w:pPr>
      <w:r w:rsidRPr="00746F4F">
        <w:rPr>
          <w:sz w:val="21"/>
          <w:szCs w:val="21"/>
        </w:rPr>
        <w:t xml:space="preserve">NAFN also initiated, </w:t>
      </w:r>
      <w:proofErr w:type="gramStart"/>
      <w:r w:rsidRPr="00746F4F">
        <w:rPr>
          <w:sz w:val="21"/>
          <w:szCs w:val="21"/>
        </w:rPr>
        <w:t>chairs</w:t>
      </w:r>
      <w:proofErr w:type="gramEnd"/>
      <w:r w:rsidRPr="00746F4F">
        <w:rPr>
          <w:sz w:val="21"/>
          <w:szCs w:val="21"/>
        </w:rPr>
        <w:t xml:space="preserve"> and hosts the National Training and Best Practice Working Group for non-law enforcement wider public authorities including NHS, DWP and OFCOM providing non-law enforcement agencies with the appropriate skills including continued professional development for investigators and up to date briefings on current trends and best practice. This ensures that those involved in the acquisition of communications data are as well supported as their counterparts in police forces across the country. NAFN continues to work closely with stakeholders, </w:t>
      </w:r>
      <w:proofErr w:type="gramStart"/>
      <w:r w:rsidRPr="00746F4F">
        <w:rPr>
          <w:sz w:val="21"/>
          <w:szCs w:val="21"/>
        </w:rPr>
        <w:t>partners</w:t>
      </w:r>
      <w:proofErr w:type="gramEnd"/>
      <w:r w:rsidRPr="00746F4F">
        <w:rPr>
          <w:sz w:val="21"/>
          <w:szCs w:val="21"/>
        </w:rPr>
        <w:t xml:space="preserve"> and business solution providers to expand its range of services meeting the changing needs of those investigating crime and fraud in the public sector. </w:t>
      </w:r>
    </w:p>
    <w:p w14:paraId="07672C62" w14:textId="77777777" w:rsidR="00746F4F" w:rsidRPr="00746F4F" w:rsidRDefault="00746F4F" w:rsidP="00746F4F">
      <w:pPr>
        <w:jc w:val="both"/>
        <w:rPr>
          <w:b/>
          <w:sz w:val="21"/>
          <w:szCs w:val="21"/>
        </w:rPr>
      </w:pPr>
      <w:r w:rsidRPr="00746F4F">
        <w:rPr>
          <w:b/>
          <w:sz w:val="21"/>
          <w:szCs w:val="21"/>
        </w:rPr>
        <w:t xml:space="preserve">Mark Astley </w:t>
      </w:r>
    </w:p>
    <w:p w14:paraId="1C1E7050" w14:textId="77777777" w:rsidR="00746F4F" w:rsidRDefault="00746F4F" w:rsidP="00746F4F">
      <w:pPr>
        <w:jc w:val="both"/>
        <w:rPr>
          <w:b/>
          <w:sz w:val="21"/>
          <w:szCs w:val="21"/>
        </w:rPr>
      </w:pPr>
      <w:r w:rsidRPr="00746F4F">
        <w:rPr>
          <w:b/>
          <w:sz w:val="21"/>
          <w:szCs w:val="21"/>
        </w:rPr>
        <w:t>Head of NAFN and Intelligence Services</w:t>
      </w:r>
    </w:p>
    <w:p w14:paraId="56C77631" w14:textId="77777777" w:rsidR="00746F4F" w:rsidRDefault="00746F4F" w:rsidP="00746F4F">
      <w:pPr>
        <w:jc w:val="both"/>
        <w:rPr>
          <w:b/>
          <w:sz w:val="21"/>
          <w:szCs w:val="21"/>
        </w:rPr>
      </w:pPr>
      <w:r w:rsidRPr="00746F4F">
        <w:rPr>
          <w:b/>
          <w:sz w:val="21"/>
          <w:szCs w:val="21"/>
        </w:rPr>
        <w:lastRenderedPageBreak/>
        <w:t>APPENDIX 2</w:t>
      </w:r>
    </w:p>
    <w:p w14:paraId="3D0E1A6E" w14:textId="77777777" w:rsidR="00746F4F" w:rsidRPr="00746F4F" w:rsidRDefault="00746F4F" w:rsidP="00746F4F">
      <w:pPr>
        <w:jc w:val="both"/>
        <w:rPr>
          <w:b/>
          <w:sz w:val="21"/>
          <w:szCs w:val="21"/>
        </w:rPr>
      </w:pPr>
    </w:p>
    <w:p w14:paraId="6118C5A0" w14:textId="77777777" w:rsidR="00746F4F" w:rsidRDefault="00746F4F" w:rsidP="00746F4F">
      <w:pPr>
        <w:spacing w:line="276" w:lineRule="auto"/>
        <w:rPr>
          <w:rFonts w:ascii="Arial" w:hAnsi="Arial" w:cs="Arial"/>
          <w:b/>
          <w:bCs/>
          <w:sz w:val="21"/>
          <w:szCs w:val="21"/>
        </w:rPr>
      </w:pPr>
      <w:r w:rsidRPr="00746F4F">
        <w:rPr>
          <w:rFonts w:ascii="Arial" w:hAnsi="Arial" w:cs="Arial"/>
          <w:b/>
          <w:bCs/>
          <w:sz w:val="21"/>
          <w:szCs w:val="21"/>
        </w:rPr>
        <w:t xml:space="preserve">NAFN Overview </w:t>
      </w:r>
      <w:r>
        <w:rPr>
          <w:rFonts w:ascii="Arial" w:hAnsi="Arial" w:cs="Arial"/>
          <w:b/>
          <w:bCs/>
          <w:sz w:val="21"/>
          <w:szCs w:val="21"/>
        </w:rPr>
        <w:t>–</w:t>
      </w:r>
      <w:r w:rsidRPr="00746F4F">
        <w:rPr>
          <w:rFonts w:ascii="Arial" w:hAnsi="Arial" w:cs="Arial"/>
          <w:b/>
          <w:bCs/>
          <w:sz w:val="21"/>
          <w:szCs w:val="21"/>
        </w:rPr>
        <w:t xml:space="preserve"> Services</w:t>
      </w:r>
    </w:p>
    <w:p w14:paraId="0E6278E6" w14:textId="77777777" w:rsidR="00746F4F" w:rsidRPr="00746F4F" w:rsidRDefault="00746F4F" w:rsidP="00746F4F">
      <w:pPr>
        <w:spacing w:line="276" w:lineRule="auto"/>
        <w:rPr>
          <w:rFonts w:ascii="Arial" w:hAnsi="Arial" w:cs="Arial"/>
          <w:b/>
          <w:bCs/>
          <w:sz w:val="21"/>
          <w:szCs w:val="21"/>
        </w:rPr>
      </w:pPr>
    </w:p>
    <w:p w14:paraId="72C4C700" w14:textId="77777777" w:rsidR="00746F4F" w:rsidRPr="00746F4F" w:rsidRDefault="00746F4F" w:rsidP="00746F4F">
      <w:pPr>
        <w:spacing w:line="276" w:lineRule="auto"/>
        <w:jc w:val="both"/>
        <w:rPr>
          <w:rFonts w:ascii="Arial" w:hAnsi="Arial" w:cs="Arial"/>
          <w:b/>
          <w:bCs/>
          <w:szCs w:val="21"/>
        </w:rPr>
      </w:pPr>
      <w:r w:rsidRPr="00746F4F">
        <w:rPr>
          <w:rFonts w:ascii="Arial" w:hAnsi="Arial" w:cs="Arial"/>
          <w:b/>
          <w:bCs/>
          <w:szCs w:val="21"/>
        </w:rPr>
        <w:t>It’s all in the detail…</w:t>
      </w:r>
    </w:p>
    <w:p w14:paraId="021334BA" w14:textId="77777777" w:rsidR="00746F4F" w:rsidRPr="00746F4F" w:rsidRDefault="00746F4F" w:rsidP="00746F4F">
      <w:pPr>
        <w:pStyle w:val="NoSpacing"/>
        <w:spacing w:line="276" w:lineRule="auto"/>
        <w:jc w:val="both"/>
        <w:rPr>
          <w:rFonts w:ascii="Arial" w:hAnsi="Arial" w:cs="Arial"/>
          <w:sz w:val="21"/>
          <w:szCs w:val="21"/>
        </w:rPr>
      </w:pPr>
      <w:r w:rsidRPr="00746F4F">
        <w:rPr>
          <w:rFonts w:ascii="Arial" w:hAnsi="Arial" w:cs="Arial"/>
          <w:sz w:val="21"/>
          <w:szCs w:val="21"/>
        </w:rPr>
        <w:t xml:space="preserve">NAFN core data and intelligence service provides a secure, single point of access to a wide range of information, using robust legal gateways and processes meeting the highest standard of legislative compliance. </w:t>
      </w:r>
    </w:p>
    <w:p w14:paraId="35DA8270" w14:textId="77777777" w:rsidR="00746F4F" w:rsidRPr="00746F4F" w:rsidRDefault="00746F4F" w:rsidP="00746F4F">
      <w:pPr>
        <w:pStyle w:val="NoSpacing"/>
        <w:spacing w:line="276" w:lineRule="auto"/>
        <w:jc w:val="both"/>
        <w:rPr>
          <w:rFonts w:ascii="Arial" w:hAnsi="Arial" w:cs="Arial"/>
          <w:sz w:val="21"/>
          <w:szCs w:val="21"/>
        </w:rPr>
      </w:pPr>
    </w:p>
    <w:p w14:paraId="1ACAC561" w14:textId="77777777" w:rsidR="00746F4F" w:rsidRPr="00746F4F" w:rsidRDefault="00746F4F" w:rsidP="00746F4F">
      <w:pPr>
        <w:pStyle w:val="NoSpacing"/>
        <w:spacing w:line="276" w:lineRule="auto"/>
        <w:jc w:val="both"/>
        <w:rPr>
          <w:rFonts w:ascii="Arial" w:hAnsi="Arial" w:cs="Arial"/>
          <w:b/>
          <w:bCs/>
          <w:sz w:val="21"/>
          <w:szCs w:val="21"/>
        </w:rPr>
      </w:pPr>
      <w:r w:rsidRPr="00746F4F">
        <w:rPr>
          <w:rFonts w:ascii="Arial" w:hAnsi="Arial" w:cs="Arial"/>
          <w:b/>
          <w:bCs/>
          <w:sz w:val="21"/>
          <w:szCs w:val="21"/>
        </w:rPr>
        <w:t xml:space="preserve">NAFN is the </w:t>
      </w:r>
      <w:r w:rsidRPr="00746F4F">
        <w:rPr>
          <w:rFonts w:ascii="Arial" w:hAnsi="Arial" w:cs="Arial"/>
          <w:b/>
          <w:bCs/>
          <w:sz w:val="24"/>
          <w:szCs w:val="21"/>
        </w:rPr>
        <w:t xml:space="preserve">Single Point of Access </w:t>
      </w:r>
      <w:r w:rsidRPr="00746F4F">
        <w:rPr>
          <w:rFonts w:ascii="Arial" w:hAnsi="Arial" w:cs="Arial"/>
          <w:b/>
          <w:bCs/>
          <w:sz w:val="21"/>
          <w:szCs w:val="21"/>
        </w:rPr>
        <w:t xml:space="preserve">for: </w:t>
      </w:r>
    </w:p>
    <w:p w14:paraId="7002D7AD" w14:textId="77777777" w:rsidR="00746F4F" w:rsidRPr="00746F4F" w:rsidRDefault="00746F4F" w:rsidP="00746F4F">
      <w:pPr>
        <w:pStyle w:val="NoSpacing"/>
        <w:spacing w:line="276" w:lineRule="auto"/>
        <w:jc w:val="both"/>
        <w:rPr>
          <w:rFonts w:ascii="Arial" w:hAnsi="Arial" w:cs="Arial"/>
          <w:sz w:val="21"/>
          <w:szCs w:val="21"/>
        </w:rPr>
      </w:pPr>
    </w:p>
    <w:p w14:paraId="381905F4" w14:textId="77777777" w:rsidR="00746F4F" w:rsidRPr="00746F4F" w:rsidRDefault="00746F4F" w:rsidP="00746F4F">
      <w:pPr>
        <w:pStyle w:val="NoSpacing"/>
        <w:spacing w:line="276" w:lineRule="auto"/>
        <w:jc w:val="both"/>
        <w:rPr>
          <w:rFonts w:ascii="Arial" w:hAnsi="Arial" w:cs="Arial"/>
          <w:sz w:val="21"/>
          <w:szCs w:val="21"/>
        </w:rPr>
      </w:pPr>
      <w:r w:rsidRPr="00746F4F">
        <w:rPr>
          <w:rFonts w:ascii="Arial" w:hAnsi="Arial" w:cs="Arial"/>
          <w:b/>
          <w:bCs/>
          <w:sz w:val="21"/>
          <w:szCs w:val="21"/>
        </w:rPr>
        <w:t xml:space="preserve">The Investigatory Powers Act 2016 </w:t>
      </w:r>
      <w:r w:rsidRPr="00746F4F">
        <w:rPr>
          <w:rFonts w:ascii="Arial" w:hAnsi="Arial" w:cs="Arial"/>
          <w:sz w:val="21"/>
          <w:szCs w:val="21"/>
        </w:rPr>
        <w:t>local authorities’ acquisition of communications data.</w:t>
      </w:r>
    </w:p>
    <w:p w14:paraId="33063017" w14:textId="77777777" w:rsidR="00746F4F" w:rsidRPr="00746F4F" w:rsidRDefault="00746F4F" w:rsidP="00746F4F">
      <w:pPr>
        <w:pStyle w:val="NoSpacing"/>
        <w:spacing w:line="276" w:lineRule="auto"/>
        <w:jc w:val="both"/>
        <w:rPr>
          <w:rFonts w:ascii="Arial" w:hAnsi="Arial" w:cs="Arial"/>
          <w:sz w:val="21"/>
          <w:szCs w:val="21"/>
        </w:rPr>
      </w:pPr>
      <w:r w:rsidRPr="00746F4F">
        <w:rPr>
          <w:rFonts w:ascii="Arial" w:hAnsi="Arial" w:cs="Arial"/>
          <w:b/>
          <w:bCs/>
          <w:sz w:val="21"/>
          <w:szCs w:val="21"/>
        </w:rPr>
        <w:t>National Sanction Information Database (</w:t>
      </w:r>
      <w:proofErr w:type="spellStart"/>
      <w:r w:rsidRPr="00746F4F">
        <w:rPr>
          <w:rFonts w:ascii="Arial" w:hAnsi="Arial" w:cs="Arial"/>
          <w:b/>
          <w:bCs/>
          <w:sz w:val="21"/>
          <w:szCs w:val="21"/>
        </w:rPr>
        <w:t>SiD</w:t>
      </w:r>
      <w:proofErr w:type="spellEnd"/>
      <w:r w:rsidRPr="00746F4F">
        <w:rPr>
          <w:rFonts w:ascii="Arial" w:hAnsi="Arial" w:cs="Arial"/>
          <w:b/>
          <w:bCs/>
          <w:sz w:val="21"/>
          <w:szCs w:val="21"/>
        </w:rPr>
        <w:t xml:space="preserve">) </w:t>
      </w:r>
      <w:r w:rsidRPr="00746F4F">
        <w:rPr>
          <w:rFonts w:ascii="Arial" w:hAnsi="Arial" w:cs="Arial"/>
          <w:sz w:val="21"/>
          <w:szCs w:val="21"/>
        </w:rPr>
        <w:t>for civil, criminal and enforcement proceedings.</w:t>
      </w:r>
    </w:p>
    <w:p w14:paraId="0F6FC304" w14:textId="77777777" w:rsidR="00746F4F" w:rsidRPr="00746F4F" w:rsidRDefault="00746F4F" w:rsidP="00746F4F">
      <w:pPr>
        <w:pStyle w:val="NoSpacing"/>
        <w:spacing w:line="276" w:lineRule="auto"/>
        <w:jc w:val="both"/>
        <w:rPr>
          <w:rFonts w:ascii="Arial" w:hAnsi="Arial" w:cs="Arial"/>
          <w:b/>
          <w:bCs/>
          <w:sz w:val="21"/>
          <w:szCs w:val="21"/>
        </w:rPr>
      </w:pPr>
      <w:r w:rsidRPr="00746F4F">
        <w:rPr>
          <w:rFonts w:ascii="Arial" w:hAnsi="Arial" w:cs="Arial"/>
          <w:b/>
          <w:bCs/>
          <w:sz w:val="21"/>
          <w:szCs w:val="21"/>
        </w:rPr>
        <w:t>National Register of Taxi Licence Revocations</w:t>
      </w:r>
      <w:r>
        <w:rPr>
          <w:rFonts w:ascii="Arial" w:hAnsi="Arial" w:cs="Arial"/>
          <w:b/>
          <w:bCs/>
          <w:sz w:val="21"/>
          <w:szCs w:val="21"/>
        </w:rPr>
        <w:t xml:space="preserve">, </w:t>
      </w:r>
      <w:r w:rsidRPr="00746F4F">
        <w:rPr>
          <w:rFonts w:ascii="Arial" w:hAnsi="Arial" w:cs="Arial"/>
          <w:b/>
          <w:bCs/>
          <w:sz w:val="21"/>
          <w:szCs w:val="21"/>
        </w:rPr>
        <w:t>Refusals</w:t>
      </w:r>
      <w:r>
        <w:rPr>
          <w:rFonts w:ascii="Arial" w:hAnsi="Arial" w:cs="Arial"/>
          <w:b/>
          <w:bCs/>
          <w:sz w:val="21"/>
          <w:szCs w:val="21"/>
        </w:rPr>
        <w:t xml:space="preserve"> and Suspension </w:t>
      </w:r>
      <w:r w:rsidRPr="00746F4F">
        <w:rPr>
          <w:rFonts w:ascii="Arial" w:hAnsi="Arial" w:cs="Arial"/>
          <w:b/>
          <w:bCs/>
          <w:sz w:val="21"/>
          <w:szCs w:val="21"/>
        </w:rPr>
        <w:t>(NR3</w:t>
      </w:r>
      <w:r>
        <w:rPr>
          <w:rFonts w:ascii="Arial" w:hAnsi="Arial" w:cs="Arial"/>
          <w:b/>
          <w:bCs/>
          <w:sz w:val="21"/>
          <w:szCs w:val="21"/>
        </w:rPr>
        <w:t>S</w:t>
      </w:r>
      <w:r w:rsidRPr="00746F4F">
        <w:rPr>
          <w:rFonts w:ascii="Arial" w:hAnsi="Arial" w:cs="Arial"/>
          <w:b/>
          <w:bCs/>
          <w:sz w:val="21"/>
          <w:szCs w:val="21"/>
        </w:rPr>
        <w:t>)</w:t>
      </w:r>
    </w:p>
    <w:p w14:paraId="4D993011" w14:textId="77777777" w:rsidR="00746F4F" w:rsidRDefault="00746F4F" w:rsidP="00746F4F">
      <w:pPr>
        <w:pStyle w:val="NoSpacing"/>
        <w:spacing w:line="276" w:lineRule="auto"/>
        <w:jc w:val="both"/>
        <w:rPr>
          <w:rFonts w:ascii="Arial" w:hAnsi="Arial" w:cs="Arial"/>
          <w:b/>
          <w:bCs/>
          <w:sz w:val="21"/>
          <w:szCs w:val="21"/>
        </w:rPr>
      </w:pPr>
      <w:r w:rsidRPr="00746F4F">
        <w:rPr>
          <w:rFonts w:ascii="Arial" w:hAnsi="Arial" w:cs="Arial"/>
          <w:b/>
          <w:bCs/>
          <w:sz w:val="21"/>
          <w:szCs w:val="21"/>
        </w:rPr>
        <w:t xml:space="preserve">National Auto Number Plate Recognition Service (NAS) </w:t>
      </w:r>
    </w:p>
    <w:p w14:paraId="08D5DE30" w14:textId="77777777" w:rsidR="00746F4F" w:rsidRPr="00746F4F" w:rsidRDefault="00746F4F" w:rsidP="00746F4F">
      <w:pPr>
        <w:pStyle w:val="NoSpacing"/>
        <w:spacing w:line="276" w:lineRule="auto"/>
        <w:jc w:val="both"/>
        <w:rPr>
          <w:rFonts w:ascii="Arial" w:hAnsi="Arial" w:cs="Arial"/>
          <w:sz w:val="21"/>
          <w:szCs w:val="21"/>
        </w:rPr>
      </w:pPr>
    </w:p>
    <w:p w14:paraId="0FB97B08" w14:textId="77777777" w:rsidR="00746F4F" w:rsidRPr="00746F4F" w:rsidRDefault="00746F4F" w:rsidP="00746F4F">
      <w:pPr>
        <w:pStyle w:val="NoSpacing"/>
        <w:spacing w:line="276" w:lineRule="auto"/>
        <w:jc w:val="both"/>
        <w:rPr>
          <w:rFonts w:ascii="Arial" w:hAnsi="Arial" w:cs="Arial"/>
          <w:b/>
          <w:bCs/>
          <w:sz w:val="21"/>
          <w:szCs w:val="21"/>
        </w:rPr>
      </w:pPr>
      <w:r w:rsidRPr="00746F4F">
        <w:rPr>
          <w:rFonts w:ascii="Arial" w:hAnsi="Arial" w:cs="Arial"/>
          <w:b/>
          <w:bCs/>
          <w:sz w:val="21"/>
          <w:szCs w:val="21"/>
        </w:rPr>
        <w:t xml:space="preserve">We also provide access to: </w:t>
      </w:r>
    </w:p>
    <w:p w14:paraId="59B1A018" w14:textId="77777777" w:rsidR="00746F4F" w:rsidRPr="00746F4F" w:rsidRDefault="00746F4F" w:rsidP="00746F4F">
      <w:pPr>
        <w:pStyle w:val="NoSpacing"/>
        <w:spacing w:line="276" w:lineRule="auto"/>
        <w:jc w:val="both"/>
        <w:rPr>
          <w:rFonts w:ascii="Arial" w:hAnsi="Arial" w:cs="Arial"/>
          <w:sz w:val="21"/>
          <w:szCs w:val="21"/>
        </w:rPr>
      </w:pPr>
    </w:p>
    <w:p w14:paraId="0E57AFC8" w14:textId="77777777" w:rsidR="00746F4F" w:rsidRPr="00746F4F" w:rsidRDefault="00746F4F" w:rsidP="00746F4F">
      <w:pPr>
        <w:pStyle w:val="NoSpacing"/>
        <w:numPr>
          <w:ilvl w:val="0"/>
          <w:numId w:val="8"/>
        </w:numPr>
        <w:spacing w:line="276" w:lineRule="auto"/>
        <w:jc w:val="both"/>
        <w:rPr>
          <w:rFonts w:ascii="Arial" w:hAnsi="Arial" w:cs="Arial"/>
          <w:sz w:val="21"/>
          <w:szCs w:val="21"/>
        </w:rPr>
      </w:pPr>
      <w:r w:rsidRPr="00746F4F">
        <w:rPr>
          <w:rFonts w:ascii="Arial" w:hAnsi="Arial" w:cs="Arial"/>
          <w:sz w:val="21"/>
          <w:szCs w:val="21"/>
        </w:rPr>
        <w:t>Authorised Officer Services for the Prevention of Social Housing Fraud Act 2013 (</w:t>
      </w:r>
      <w:proofErr w:type="spellStart"/>
      <w:r w:rsidRPr="00746F4F">
        <w:rPr>
          <w:rFonts w:ascii="Arial" w:hAnsi="Arial" w:cs="Arial"/>
          <w:sz w:val="21"/>
          <w:szCs w:val="21"/>
        </w:rPr>
        <w:t>PoSHFA</w:t>
      </w:r>
      <w:proofErr w:type="spellEnd"/>
      <w:r w:rsidRPr="00746F4F">
        <w:rPr>
          <w:rFonts w:ascii="Arial" w:hAnsi="Arial" w:cs="Arial"/>
          <w:sz w:val="21"/>
          <w:szCs w:val="21"/>
        </w:rPr>
        <w:t>) and Council Tax Reduction Scheme Regulations (CTRS) 2013</w:t>
      </w:r>
    </w:p>
    <w:p w14:paraId="54FF572F" w14:textId="77777777" w:rsidR="00746F4F" w:rsidRPr="00746F4F" w:rsidRDefault="00746F4F" w:rsidP="00746F4F">
      <w:pPr>
        <w:pStyle w:val="NoSpacing"/>
        <w:numPr>
          <w:ilvl w:val="0"/>
          <w:numId w:val="8"/>
        </w:numPr>
        <w:spacing w:line="276" w:lineRule="auto"/>
        <w:jc w:val="both"/>
        <w:rPr>
          <w:rFonts w:ascii="Arial" w:hAnsi="Arial" w:cs="Arial"/>
          <w:sz w:val="21"/>
          <w:szCs w:val="21"/>
        </w:rPr>
      </w:pPr>
      <w:r w:rsidRPr="00746F4F">
        <w:rPr>
          <w:rFonts w:ascii="Arial" w:hAnsi="Arial" w:cs="Arial"/>
          <w:sz w:val="21"/>
          <w:szCs w:val="21"/>
        </w:rPr>
        <w:t>Overnight service for accessing current DVLA Vehicle Keeper</w:t>
      </w:r>
    </w:p>
    <w:p w14:paraId="62C08382" w14:textId="77777777" w:rsidR="00746F4F" w:rsidRPr="00746F4F" w:rsidRDefault="00746F4F" w:rsidP="00746F4F">
      <w:pPr>
        <w:pStyle w:val="NoSpacing"/>
        <w:numPr>
          <w:ilvl w:val="0"/>
          <w:numId w:val="8"/>
        </w:numPr>
        <w:spacing w:line="276" w:lineRule="auto"/>
        <w:jc w:val="both"/>
        <w:rPr>
          <w:rFonts w:ascii="Arial" w:hAnsi="Arial" w:cs="Arial"/>
          <w:sz w:val="21"/>
          <w:szCs w:val="21"/>
        </w:rPr>
      </w:pPr>
      <w:r w:rsidRPr="00746F4F">
        <w:rPr>
          <w:rFonts w:ascii="Arial" w:hAnsi="Arial" w:cs="Arial"/>
          <w:sz w:val="21"/>
          <w:szCs w:val="21"/>
        </w:rPr>
        <w:t>Right to Buy Intel service to assist in identifying fraudulent applications.</w:t>
      </w:r>
    </w:p>
    <w:p w14:paraId="0E81FF7A" w14:textId="77777777" w:rsidR="00746F4F" w:rsidRPr="00746F4F" w:rsidRDefault="00746F4F" w:rsidP="00746F4F">
      <w:pPr>
        <w:pStyle w:val="NoSpacing"/>
        <w:numPr>
          <w:ilvl w:val="0"/>
          <w:numId w:val="8"/>
        </w:numPr>
        <w:spacing w:line="276" w:lineRule="auto"/>
        <w:jc w:val="both"/>
        <w:rPr>
          <w:rFonts w:ascii="Arial" w:hAnsi="Arial" w:cs="Arial"/>
          <w:sz w:val="21"/>
          <w:szCs w:val="21"/>
        </w:rPr>
      </w:pPr>
      <w:r w:rsidRPr="00746F4F">
        <w:rPr>
          <w:rFonts w:ascii="Arial" w:hAnsi="Arial" w:cs="Arial"/>
          <w:sz w:val="21"/>
          <w:szCs w:val="21"/>
        </w:rPr>
        <w:t>Instant on-line retrieval for the following credit reference agencies:</w:t>
      </w:r>
    </w:p>
    <w:p w14:paraId="2C32985B" w14:textId="77777777" w:rsidR="00746F4F" w:rsidRPr="00746F4F" w:rsidRDefault="00746F4F" w:rsidP="00746F4F">
      <w:pPr>
        <w:pStyle w:val="NoSpacing"/>
        <w:spacing w:line="276" w:lineRule="auto"/>
        <w:jc w:val="both"/>
        <w:rPr>
          <w:rFonts w:ascii="Arial" w:hAnsi="Arial" w:cs="Arial"/>
          <w:sz w:val="21"/>
          <w:szCs w:val="21"/>
        </w:rPr>
      </w:pPr>
    </w:p>
    <w:tbl>
      <w:tblPr>
        <w:tblStyle w:val="TableGridLight"/>
        <w:tblW w:w="0" w:type="auto"/>
        <w:tblInd w:w="4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25"/>
        <w:gridCol w:w="4025"/>
      </w:tblGrid>
      <w:tr w:rsidR="00746F4F" w:rsidRPr="00746F4F" w14:paraId="15BAC426" w14:textId="77777777" w:rsidTr="007F4297">
        <w:trPr>
          <w:trHeight w:val="20"/>
        </w:trPr>
        <w:tc>
          <w:tcPr>
            <w:tcW w:w="4025" w:type="dxa"/>
            <w:hideMark/>
          </w:tcPr>
          <w:p w14:paraId="2C0B94E8" w14:textId="77777777" w:rsidR="00746F4F" w:rsidRPr="00746F4F" w:rsidRDefault="00746F4F" w:rsidP="00746F4F">
            <w:pPr>
              <w:pStyle w:val="NoSpacing"/>
              <w:spacing w:line="276" w:lineRule="auto"/>
              <w:jc w:val="both"/>
              <w:rPr>
                <w:rFonts w:ascii="Arial" w:hAnsi="Arial" w:cs="Arial"/>
                <w:sz w:val="21"/>
                <w:szCs w:val="21"/>
              </w:rPr>
            </w:pPr>
            <w:r w:rsidRPr="00746F4F">
              <w:rPr>
                <w:rFonts w:ascii="Arial" w:hAnsi="Arial" w:cs="Arial"/>
                <w:b/>
                <w:bCs/>
                <w:sz w:val="21"/>
                <w:szCs w:val="21"/>
              </w:rPr>
              <w:t>TransUnion (</w:t>
            </w:r>
            <w:proofErr w:type="spellStart"/>
            <w:r w:rsidRPr="00746F4F">
              <w:rPr>
                <w:rFonts w:ascii="Arial" w:hAnsi="Arial" w:cs="Arial"/>
                <w:b/>
                <w:bCs/>
                <w:sz w:val="21"/>
                <w:szCs w:val="21"/>
              </w:rPr>
              <w:t>Callcredit</w:t>
            </w:r>
            <w:proofErr w:type="spellEnd"/>
            <w:r w:rsidRPr="00746F4F">
              <w:rPr>
                <w:rFonts w:ascii="Arial" w:hAnsi="Arial" w:cs="Arial"/>
                <w:b/>
                <w:bCs/>
                <w:sz w:val="21"/>
                <w:szCs w:val="21"/>
              </w:rPr>
              <w:t xml:space="preserve">) </w:t>
            </w:r>
          </w:p>
        </w:tc>
        <w:tc>
          <w:tcPr>
            <w:tcW w:w="4025" w:type="dxa"/>
            <w:hideMark/>
          </w:tcPr>
          <w:p w14:paraId="535C4473" w14:textId="77777777" w:rsidR="00746F4F" w:rsidRPr="00746F4F" w:rsidRDefault="00746F4F" w:rsidP="00746F4F">
            <w:pPr>
              <w:pStyle w:val="NoSpacing"/>
              <w:spacing w:line="276" w:lineRule="auto"/>
              <w:jc w:val="both"/>
              <w:rPr>
                <w:rFonts w:ascii="Arial" w:hAnsi="Arial" w:cs="Arial"/>
                <w:sz w:val="21"/>
                <w:szCs w:val="21"/>
              </w:rPr>
            </w:pPr>
            <w:r w:rsidRPr="00746F4F">
              <w:rPr>
                <w:rFonts w:ascii="Arial" w:hAnsi="Arial" w:cs="Arial"/>
                <w:b/>
                <w:bCs/>
                <w:sz w:val="21"/>
                <w:szCs w:val="21"/>
              </w:rPr>
              <w:t xml:space="preserve">Equifax </w:t>
            </w:r>
          </w:p>
        </w:tc>
      </w:tr>
      <w:tr w:rsidR="00746F4F" w:rsidRPr="00746F4F" w14:paraId="54CDBCE2" w14:textId="77777777" w:rsidTr="007F4297">
        <w:trPr>
          <w:trHeight w:val="20"/>
        </w:trPr>
        <w:tc>
          <w:tcPr>
            <w:tcW w:w="4025" w:type="dxa"/>
          </w:tcPr>
          <w:p w14:paraId="3903AD83" w14:textId="77777777" w:rsidR="00746F4F" w:rsidRPr="00746F4F" w:rsidRDefault="00746F4F" w:rsidP="00746F4F">
            <w:pPr>
              <w:pStyle w:val="NoSpacing"/>
              <w:spacing w:line="276" w:lineRule="auto"/>
              <w:jc w:val="both"/>
              <w:rPr>
                <w:rFonts w:ascii="Arial" w:hAnsi="Arial" w:cs="Arial"/>
                <w:sz w:val="21"/>
                <w:szCs w:val="21"/>
              </w:rPr>
            </w:pPr>
            <w:r w:rsidRPr="00746F4F">
              <w:rPr>
                <w:rFonts w:ascii="Arial" w:hAnsi="Arial" w:cs="Arial"/>
                <w:sz w:val="21"/>
                <w:szCs w:val="21"/>
              </w:rPr>
              <w:t>Exempted Trace</w:t>
            </w:r>
          </w:p>
        </w:tc>
        <w:tc>
          <w:tcPr>
            <w:tcW w:w="4025" w:type="dxa"/>
          </w:tcPr>
          <w:p w14:paraId="5D244DE9" w14:textId="77777777" w:rsidR="00746F4F" w:rsidRPr="00746F4F" w:rsidRDefault="00746F4F" w:rsidP="00746F4F">
            <w:pPr>
              <w:pStyle w:val="NoSpacing"/>
              <w:spacing w:line="276" w:lineRule="auto"/>
              <w:jc w:val="both"/>
              <w:rPr>
                <w:rFonts w:ascii="Arial" w:hAnsi="Arial" w:cs="Arial"/>
                <w:sz w:val="21"/>
                <w:szCs w:val="21"/>
              </w:rPr>
            </w:pPr>
            <w:r w:rsidRPr="00746F4F">
              <w:rPr>
                <w:rFonts w:ascii="Arial" w:hAnsi="Arial" w:cs="Arial"/>
                <w:sz w:val="21"/>
                <w:szCs w:val="21"/>
              </w:rPr>
              <w:t>Advanced Searching</w:t>
            </w:r>
          </w:p>
        </w:tc>
      </w:tr>
      <w:tr w:rsidR="00746F4F" w:rsidRPr="00746F4F" w14:paraId="1D0C4D7A" w14:textId="77777777" w:rsidTr="007F4297">
        <w:trPr>
          <w:trHeight w:val="20"/>
        </w:trPr>
        <w:tc>
          <w:tcPr>
            <w:tcW w:w="4025" w:type="dxa"/>
          </w:tcPr>
          <w:p w14:paraId="73D410C0" w14:textId="77777777" w:rsidR="00746F4F" w:rsidRPr="00746F4F" w:rsidRDefault="00746F4F" w:rsidP="00746F4F">
            <w:pPr>
              <w:pStyle w:val="NoSpacing"/>
              <w:spacing w:line="276" w:lineRule="auto"/>
              <w:jc w:val="both"/>
              <w:rPr>
                <w:rFonts w:ascii="Arial" w:hAnsi="Arial" w:cs="Arial"/>
                <w:sz w:val="21"/>
                <w:szCs w:val="21"/>
              </w:rPr>
            </w:pPr>
            <w:r w:rsidRPr="00746F4F">
              <w:rPr>
                <w:rFonts w:ascii="Arial" w:hAnsi="Arial" w:cs="Arial"/>
                <w:sz w:val="21"/>
                <w:szCs w:val="21"/>
              </w:rPr>
              <w:t>Exempted Search</w:t>
            </w:r>
          </w:p>
        </w:tc>
        <w:tc>
          <w:tcPr>
            <w:tcW w:w="4025" w:type="dxa"/>
          </w:tcPr>
          <w:p w14:paraId="2993901C" w14:textId="77777777" w:rsidR="00746F4F" w:rsidRPr="00746F4F" w:rsidRDefault="00746F4F" w:rsidP="00746F4F">
            <w:pPr>
              <w:pStyle w:val="NoSpacing"/>
              <w:spacing w:line="276" w:lineRule="auto"/>
              <w:jc w:val="both"/>
              <w:rPr>
                <w:rFonts w:ascii="Arial" w:hAnsi="Arial" w:cs="Arial"/>
                <w:sz w:val="21"/>
                <w:szCs w:val="21"/>
              </w:rPr>
            </w:pPr>
            <w:r w:rsidRPr="00746F4F">
              <w:rPr>
                <w:rFonts w:ascii="Arial" w:hAnsi="Arial" w:cs="Arial"/>
                <w:sz w:val="21"/>
                <w:szCs w:val="21"/>
              </w:rPr>
              <w:t>Pre-Investigation Report</w:t>
            </w:r>
          </w:p>
        </w:tc>
      </w:tr>
      <w:tr w:rsidR="00746F4F" w:rsidRPr="00746F4F" w14:paraId="09F19867" w14:textId="77777777" w:rsidTr="007F4297">
        <w:trPr>
          <w:trHeight w:val="20"/>
        </w:trPr>
        <w:tc>
          <w:tcPr>
            <w:tcW w:w="4025" w:type="dxa"/>
          </w:tcPr>
          <w:p w14:paraId="7C0509D9" w14:textId="77777777" w:rsidR="00746F4F" w:rsidRPr="00746F4F" w:rsidRDefault="00746F4F" w:rsidP="00746F4F">
            <w:pPr>
              <w:pStyle w:val="NoSpacing"/>
              <w:spacing w:line="276" w:lineRule="auto"/>
              <w:jc w:val="both"/>
              <w:rPr>
                <w:rFonts w:ascii="Arial" w:hAnsi="Arial" w:cs="Arial"/>
                <w:sz w:val="21"/>
                <w:szCs w:val="21"/>
              </w:rPr>
            </w:pPr>
            <w:r w:rsidRPr="00746F4F">
              <w:rPr>
                <w:rFonts w:ascii="Arial" w:hAnsi="Arial" w:cs="Arial"/>
                <w:sz w:val="21"/>
                <w:szCs w:val="21"/>
              </w:rPr>
              <w:t>Debtor Tracing</w:t>
            </w:r>
          </w:p>
        </w:tc>
        <w:tc>
          <w:tcPr>
            <w:tcW w:w="4025" w:type="dxa"/>
          </w:tcPr>
          <w:p w14:paraId="6857C370" w14:textId="77777777" w:rsidR="00746F4F" w:rsidRPr="00746F4F" w:rsidRDefault="00746F4F" w:rsidP="00746F4F">
            <w:pPr>
              <w:pStyle w:val="NoSpacing"/>
              <w:spacing w:line="276" w:lineRule="auto"/>
              <w:jc w:val="both"/>
              <w:rPr>
                <w:rFonts w:ascii="Arial" w:hAnsi="Arial" w:cs="Arial"/>
                <w:sz w:val="21"/>
                <w:szCs w:val="21"/>
              </w:rPr>
            </w:pPr>
            <w:r w:rsidRPr="00746F4F">
              <w:rPr>
                <w:rFonts w:ascii="Arial" w:hAnsi="Arial" w:cs="Arial"/>
                <w:sz w:val="21"/>
                <w:szCs w:val="21"/>
              </w:rPr>
              <w:t>List Residents</w:t>
            </w:r>
          </w:p>
        </w:tc>
      </w:tr>
      <w:tr w:rsidR="00746F4F" w:rsidRPr="00746F4F" w14:paraId="7BEC26C6" w14:textId="77777777" w:rsidTr="007F4297">
        <w:trPr>
          <w:trHeight w:val="20"/>
        </w:trPr>
        <w:tc>
          <w:tcPr>
            <w:tcW w:w="4025" w:type="dxa"/>
          </w:tcPr>
          <w:p w14:paraId="14704C6F" w14:textId="77777777" w:rsidR="00746F4F" w:rsidRPr="00746F4F" w:rsidRDefault="00746F4F" w:rsidP="00746F4F">
            <w:pPr>
              <w:pStyle w:val="NoSpacing"/>
              <w:spacing w:line="276" w:lineRule="auto"/>
              <w:jc w:val="both"/>
              <w:rPr>
                <w:rFonts w:ascii="Arial" w:hAnsi="Arial" w:cs="Arial"/>
                <w:sz w:val="21"/>
                <w:szCs w:val="21"/>
              </w:rPr>
            </w:pPr>
            <w:r w:rsidRPr="00746F4F">
              <w:rPr>
                <w:rFonts w:ascii="Arial" w:hAnsi="Arial" w:cs="Arial"/>
                <w:sz w:val="21"/>
                <w:szCs w:val="21"/>
              </w:rPr>
              <w:t xml:space="preserve">Employee Check (consent) </w:t>
            </w:r>
          </w:p>
        </w:tc>
        <w:tc>
          <w:tcPr>
            <w:tcW w:w="4025" w:type="dxa"/>
          </w:tcPr>
          <w:p w14:paraId="33310DD3" w14:textId="77777777" w:rsidR="00746F4F" w:rsidRPr="00746F4F" w:rsidRDefault="00746F4F" w:rsidP="00746F4F">
            <w:pPr>
              <w:pStyle w:val="NoSpacing"/>
              <w:spacing w:line="276" w:lineRule="auto"/>
              <w:jc w:val="both"/>
              <w:rPr>
                <w:rFonts w:ascii="Arial" w:hAnsi="Arial" w:cs="Arial"/>
                <w:sz w:val="21"/>
                <w:szCs w:val="21"/>
              </w:rPr>
            </w:pPr>
            <w:r w:rsidRPr="00746F4F">
              <w:rPr>
                <w:rFonts w:ascii="Arial" w:hAnsi="Arial" w:cs="Arial"/>
                <w:sz w:val="21"/>
                <w:szCs w:val="21"/>
              </w:rPr>
              <w:t>Trace Person</w:t>
            </w:r>
          </w:p>
        </w:tc>
      </w:tr>
      <w:tr w:rsidR="00746F4F" w:rsidRPr="00746F4F" w14:paraId="23B0B5F0" w14:textId="77777777" w:rsidTr="007F4297">
        <w:trPr>
          <w:trHeight w:val="20"/>
        </w:trPr>
        <w:tc>
          <w:tcPr>
            <w:tcW w:w="4025" w:type="dxa"/>
          </w:tcPr>
          <w:p w14:paraId="2D9872F1" w14:textId="77777777" w:rsidR="00746F4F" w:rsidRPr="00746F4F" w:rsidRDefault="00746F4F" w:rsidP="00746F4F">
            <w:pPr>
              <w:pStyle w:val="NoSpacing"/>
              <w:spacing w:line="276" w:lineRule="auto"/>
              <w:jc w:val="both"/>
              <w:rPr>
                <w:rFonts w:ascii="Arial" w:hAnsi="Arial" w:cs="Arial"/>
                <w:sz w:val="21"/>
                <w:szCs w:val="21"/>
              </w:rPr>
            </w:pPr>
            <w:r w:rsidRPr="00746F4F">
              <w:rPr>
                <w:rFonts w:ascii="Arial" w:hAnsi="Arial" w:cs="Arial"/>
                <w:sz w:val="21"/>
                <w:szCs w:val="21"/>
              </w:rPr>
              <w:t>Identity Check (consent)</w:t>
            </w:r>
          </w:p>
        </w:tc>
        <w:tc>
          <w:tcPr>
            <w:tcW w:w="4025" w:type="dxa"/>
          </w:tcPr>
          <w:p w14:paraId="4C7E4883" w14:textId="77777777" w:rsidR="00746F4F" w:rsidRPr="00746F4F" w:rsidRDefault="00746F4F" w:rsidP="00746F4F">
            <w:pPr>
              <w:pStyle w:val="NoSpacing"/>
              <w:spacing w:line="276" w:lineRule="auto"/>
              <w:jc w:val="both"/>
              <w:rPr>
                <w:rFonts w:ascii="Arial" w:hAnsi="Arial" w:cs="Arial"/>
                <w:sz w:val="21"/>
                <w:szCs w:val="21"/>
              </w:rPr>
            </w:pPr>
            <w:r w:rsidRPr="00746F4F">
              <w:rPr>
                <w:rFonts w:ascii="Arial" w:hAnsi="Arial" w:cs="Arial"/>
                <w:sz w:val="21"/>
                <w:szCs w:val="21"/>
              </w:rPr>
              <w:t>Identify Assurance (consent</w:t>
            </w:r>
          </w:p>
        </w:tc>
      </w:tr>
    </w:tbl>
    <w:p w14:paraId="4D4084B0" w14:textId="77777777" w:rsidR="00746F4F" w:rsidRPr="00746F4F" w:rsidRDefault="00746F4F" w:rsidP="00746F4F">
      <w:pPr>
        <w:pStyle w:val="NoSpacing"/>
        <w:spacing w:line="276" w:lineRule="auto"/>
        <w:jc w:val="both"/>
        <w:rPr>
          <w:rFonts w:ascii="Arial" w:hAnsi="Arial" w:cs="Arial"/>
          <w:sz w:val="21"/>
          <w:szCs w:val="21"/>
        </w:rPr>
      </w:pPr>
    </w:p>
    <w:p w14:paraId="3F2F3F3C" w14:textId="77777777" w:rsidR="00746F4F" w:rsidRPr="00746F4F" w:rsidRDefault="00746F4F" w:rsidP="00746F4F">
      <w:pPr>
        <w:pStyle w:val="NoSpacing"/>
        <w:spacing w:line="276" w:lineRule="auto"/>
        <w:jc w:val="both"/>
        <w:rPr>
          <w:rFonts w:ascii="Arial" w:hAnsi="Arial" w:cs="Arial"/>
          <w:sz w:val="21"/>
          <w:szCs w:val="21"/>
        </w:rPr>
      </w:pPr>
    </w:p>
    <w:p w14:paraId="1299BED6" w14:textId="77777777" w:rsidR="00746F4F" w:rsidRPr="00746F4F" w:rsidRDefault="00746F4F" w:rsidP="00746F4F">
      <w:pPr>
        <w:pStyle w:val="NoSpacing"/>
        <w:spacing w:line="276" w:lineRule="auto"/>
        <w:jc w:val="both"/>
        <w:rPr>
          <w:rFonts w:ascii="Arial" w:hAnsi="Arial" w:cs="Arial"/>
          <w:sz w:val="21"/>
          <w:szCs w:val="21"/>
        </w:rPr>
      </w:pPr>
      <w:r w:rsidRPr="00746F4F">
        <w:rPr>
          <w:rFonts w:ascii="Arial" w:hAnsi="Arial" w:cs="Arial"/>
          <w:sz w:val="21"/>
          <w:szCs w:val="21"/>
        </w:rPr>
        <w:t xml:space="preserve">NAFN facilitates collaboration and the sharing of data between organisations and partners with the regular dissemination of alerts and intelligence bulletins. </w:t>
      </w:r>
    </w:p>
    <w:p w14:paraId="2F3AC9A5" w14:textId="77777777" w:rsidR="00746F4F" w:rsidRPr="00746F4F" w:rsidRDefault="00746F4F" w:rsidP="00746F4F">
      <w:pPr>
        <w:pStyle w:val="NoSpacing"/>
        <w:spacing w:line="276" w:lineRule="auto"/>
        <w:jc w:val="both"/>
        <w:rPr>
          <w:rFonts w:ascii="Arial" w:hAnsi="Arial" w:cs="Arial"/>
          <w:sz w:val="21"/>
          <w:szCs w:val="21"/>
        </w:rPr>
      </w:pPr>
      <w:r w:rsidRPr="00746F4F">
        <w:rPr>
          <w:rFonts w:ascii="Arial" w:hAnsi="Arial" w:cs="Arial"/>
          <w:sz w:val="21"/>
          <w:szCs w:val="21"/>
        </w:rPr>
        <w:t xml:space="preserve">           </w:t>
      </w:r>
    </w:p>
    <w:p w14:paraId="7D5697BA" w14:textId="77777777" w:rsidR="00746F4F" w:rsidRPr="00746F4F" w:rsidRDefault="00746F4F" w:rsidP="00746F4F">
      <w:pPr>
        <w:pStyle w:val="NoSpacing"/>
        <w:spacing w:line="276" w:lineRule="auto"/>
        <w:jc w:val="both"/>
        <w:rPr>
          <w:rFonts w:ascii="Arial" w:hAnsi="Arial" w:cs="Arial"/>
          <w:sz w:val="21"/>
          <w:szCs w:val="21"/>
        </w:rPr>
      </w:pPr>
      <w:r w:rsidRPr="00746F4F">
        <w:rPr>
          <w:rFonts w:ascii="Arial" w:hAnsi="Arial" w:cs="Arial"/>
          <w:sz w:val="21"/>
          <w:szCs w:val="21"/>
        </w:rPr>
        <w:t xml:space="preserve">We are a team of highly skilled, </w:t>
      </w:r>
      <w:proofErr w:type="gramStart"/>
      <w:r w:rsidRPr="00746F4F">
        <w:rPr>
          <w:rFonts w:ascii="Arial" w:hAnsi="Arial" w:cs="Arial"/>
          <w:sz w:val="21"/>
          <w:szCs w:val="21"/>
        </w:rPr>
        <w:t>trained</w:t>
      </w:r>
      <w:proofErr w:type="gramEnd"/>
      <w:r w:rsidRPr="00746F4F">
        <w:rPr>
          <w:rFonts w:ascii="Arial" w:hAnsi="Arial" w:cs="Arial"/>
          <w:sz w:val="21"/>
          <w:szCs w:val="21"/>
        </w:rPr>
        <w:t xml:space="preserve"> and accredited officers who provide advice, knowledge and experience to better support member needs. </w:t>
      </w:r>
    </w:p>
    <w:p w14:paraId="7E07C423" w14:textId="77777777" w:rsidR="00746F4F" w:rsidRPr="00746F4F" w:rsidRDefault="00746F4F" w:rsidP="00746F4F">
      <w:pPr>
        <w:pStyle w:val="NoSpacing"/>
        <w:spacing w:line="276" w:lineRule="auto"/>
        <w:jc w:val="both"/>
        <w:rPr>
          <w:rFonts w:ascii="Arial" w:hAnsi="Arial" w:cs="Arial"/>
          <w:sz w:val="21"/>
          <w:szCs w:val="21"/>
        </w:rPr>
      </w:pPr>
    </w:p>
    <w:p w14:paraId="0AFC5F70" w14:textId="77777777" w:rsidR="00746F4F" w:rsidRDefault="00746F4F">
      <w:pPr>
        <w:rPr>
          <w:rFonts w:ascii="Arial" w:hAnsi="Arial" w:cs="Arial"/>
          <w:b/>
        </w:rPr>
      </w:pPr>
      <w:r>
        <w:rPr>
          <w:rFonts w:ascii="Arial" w:hAnsi="Arial" w:cs="Arial"/>
          <w:b/>
        </w:rPr>
        <w:br w:type="page"/>
      </w:r>
    </w:p>
    <w:p w14:paraId="0EE614BF" w14:textId="77777777" w:rsidR="00746F4F" w:rsidRDefault="00746F4F" w:rsidP="00746F4F">
      <w:pPr>
        <w:jc w:val="both"/>
        <w:rPr>
          <w:rFonts w:ascii="Arial" w:hAnsi="Arial" w:cs="Arial"/>
          <w:b/>
        </w:rPr>
      </w:pPr>
      <w:r>
        <w:rPr>
          <w:rFonts w:ascii="Arial" w:hAnsi="Arial" w:cs="Arial"/>
          <w:b/>
        </w:rPr>
        <w:lastRenderedPageBreak/>
        <w:t>APPENDIX 3</w:t>
      </w:r>
    </w:p>
    <w:p w14:paraId="2BB69AAF" w14:textId="77777777" w:rsidR="00746F4F" w:rsidRPr="00004673" w:rsidRDefault="00746F4F" w:rsidP="00746F4F">
      <w:pPr>
        <w:jc w:val="both"/>
        <w:rPr>
          <w:rFonts w:ascii="Arial" w:hAnsi="Arial" w:cs="Arial"/>
          <w:b/>
          <w:sz w:val="24"/>
        </w:rPr>
      </w:pPr>
    </w:p>
    <w:p w14:paraId="1759075D" w14:textId="77777777" w:rsidR="00004673" w:rsidRPr="00004673" w:rsidRDefault="00004673" w:rsidP="00004673">
      <w:pPr>
        <w:pStyle w:val="BodyText"/>
        <w:spacing w:before="93" w:line="259" w:lineRule="auto"/>
        <w:ind w:right="1158"/>
        <w:jc w:val="both"/>
        <w:rPr>
          <w:b/>
          <w:sz w:val="22"/>
        </w:rPr>
      </w:pPr>
      <w:r w:rsidRPr="00004673">
        <w:rPr>
          <w:b/>
          <w:sz w:val="22"/>
        </w:rPr>
        <w:t>NAFN Data Enquiry Types and Costs 2022/23</w:t>
      </w:r>
    </w:p>
    <w:p w14:paraId="4D7C41D1" w14:textId="77777777" w:rsidR="00004673" w:rsidRDefault="00004673" w:rsidP="00004673">
      <w:pPr>
        <w:pStyle w:val="BodyText"/>
        <w:spacing w:before="93" w:line="259" w:lineRule="auto"/>
        <w:ind w:right="1158"/>
        <w:jc w:val="both"/>
      </w:pPr>
    </w:p>
    <w:p w14:paraId="32F5D042" w14:textId="77777777" w:rsidR="00746F4F" w:rsidRPr="00004673" w:rsidRDefault="00004673" w:rsidP="00004673">
      <w:pPr>
        <w:pStyle w:val="NoSpacing"/>
        <w:jc w:val="both"/>
        <w:rPr>
          <w:rFonts w:ascii="Arial" w:hAnsi="Arial" w:cs="Arial"/>
          <w:sz w:val="21"/>
          <w:szCs w:val="21"/>
        </w:rPr>
      </w:pPr>
      <w:r w:rsidRPr="00004673">
        <w:rPr>
          <w:rFonts w:ascii="Arial" w:hAnsi="Arial" w:cs="Arial"/>
          <w:sz w:val="21"/>
          <w:szCs w:val="21"/>
        </w:rPr>
        <w:t>T</w:t>
      </w:r>
      <w:r w:rsidR="00746F4F" w:rsidRPr="00004673">
        <w:rPr>
          <w:rFonts w:ascii="Arial" w:hAnsi="Arial" w:cs="Arial"/>
          <w:sz w:val="21"/>
          <w:szCs w:val="21"/>
        </w:rPr>
        <w:t>his is a list of NAFN services with a brief description, the *third party charge, **usage charge and indication of the total minimum charge per enquiry. You may click on the links in the directory to go straight to the sections you wish to review.</w:t>
      </w:r>
    </w:p>
    <w:p w14:paraId="1B434BF2" w14:textId="77777777" w:rsidR="00746F4F" w:rsidRPr="00004673" w:rsidRDefault="00746F4F" w:rsidP="00004673">
      <w:pPr>
        <w:pStyle w:val="NoSpacing"/>
        <w:jc w:val="both"/>
        <w:rPr>
          <w:rFonts w:ascii="Arial" w:hAnsi="Arial" w:cs="Arial"/>
          <w:sz w:val="21"/>
          <w:szCs w:val="21"/>
        </w:rPr>
      </w:pPr>
    </w:p>
    <w:p w14:paraId="7FC53FD4" w14:textId="77777777" w:rsidR="00746F4F" w:rsidRPr="00004673" w:rsidRDefault="00746F4F" w:rsidP="00004673">
      <w:pPr>
        <w:pStyle w:val="NoSpacing"/>
        <w:jc w:val="both"/>
        <w:rPr>
          <w:rFonts w:ascii="Arial" w:hAnsi="Arial" w:cs="Arial"/>
          <w:sz w:val="21"/>
          <w:szCs w:val="21"/>
        </w:rPr>
      </w:pPr>
      <w:r w:rsidRPr="00004673">
        <w:rPr>
          <w:rFonts w:ascii="Arial" w:hAnsi="Arial" w:cs="Arial"/>
          <w:sz w:val="21"/>
          <w:szCs w:val="21"/>
        </w:rPr>
        <w:t>*Third Party Charges are charges passed on to members from the service provider. We negotiate with all providers to drive these costs down based on the number of enquiries made by our members each year.</w:t>
      </w:r>
    </w:p>
    <w:p w14:paraId="4D2E9BB4" w14:textId="77777777" w:rsidR="00746F4F" w:rsidRPr="00004673" w:rsidRDefault="00746F4F" w:rsidP="00004673">
      <w:pPr>
        <w:pStyle w:val="NoSpacing"/>
        <w:jc w:val="both"/>
        <w:rPr>
          <w:rFonts w:ascii="Arial" w:hAnsi="Arial" w:cs="Arial"/>
          <w:sz w:val="21"/>
          <w:szCs w:val="21"/>
        </w:rPr>
      </w:pPr>
    </w:p>
    <w:p w14:paraId="1018339E" w14:textId="77777777" w:rsidR="00746F4F" w:rsidRPr="00004673" w:rsidRDefault="00746F4F" w:rsidP="00004673">
      <w:pPr>
        <w:pStyle w:val="NoSpacing"/>
        <w:jc w:val="both"/>
        <w:rPr>
          <w:rFonts w:ascii="Arial" w:hAnsi="Arial" w:cs="Arial"/>
          <w:sz w:val="21"/>
          <w:szCs w:val="21"/>
        </w:rPr>
      </w:pPr>
      <w:r w:rsidRPr="00004673">
        <w:rPr>
          <w:rFonts w:ascii="Arial" w:hAnsi="Arial" w:cs="Arial"/>
          <w:sz w:val="21"/>
          <w:szCs w:val="21"/>
        </w:rPr>
        <w:t>**Usage Charges are charges for the intervention of a NAFN officer. Please also see the table below.</w:t>
      </w:r>
    </w:p>
    <w:p w14:paraId="0B80E51B" w14:textId="77777777" w:rsidR="00746F4F" w:rsidRPr="00004673" w:rsidRDefault="00746F4F" w:rsidP="00746F4F">
      <w:pPr>
        <w:pStyle w:val="BodyText"/>
        <w:spacing w:before="3"/>
        <w:rPr>
          <w:sz w:val="21"/>
          <w:szCs w:val="21"/>
        </w:rPr>
      </w:pPr>
    </w:p>
    <w:p w14:paraId="6AE1F2D4" w14:textId="77777777" w:rsidR="00746F4F" w:rsidRDefault="00746F4F" w:rsidP="00004673">
      <w:pPr>
        <w:jc w:val="both"/>
        <w:rPr>
          <w:b/>
          <w:sz w:val="24"/>
        </w:rPr>
      </w:pPr>
      <w:r>
        <w:rPr>
          <w:b/>
          <w:sz w:val="24"/>
        </w:rPr>
        <w:t>Data Enquiry Types</w:t>
      </w:r>
    </w:p>
    <w:p w14:paraId="792DADCB" w14:textId="77777777" w:rsidR="00746F4F" w:rsidRDefault="00746F4F" w:rsidP="00746F4F">
      <w:pPr>
        <w:pStyle w:val="BodyText"/>
        <w:spacing w:before="6"/>
        <w:rPr>
          <w:b/>
          <w:sz w:val="23"/>
        </w:rPr>
      </w:pPr>
    </w:p>
    <w:p w14:paraId="68712B78" w14:textId="77777777" w:rsidR="00746F4F" w:rsidRPr="00004673" w:rsidRDefault="00143FBE" w:rsidP="00004673">
      <w:pPr>
        <w:pStyle w:val="ListParagraph"/>
        <w:numPr>
          <w:ilvl w:val="0"/>
          <w:numId w:val="10"/>
        </w:numPr>
        <w:rPr>
          <w:rFonts w:ascii="Arial" w:hAnsi="Arial" w:cs="Arial"/>
          <w:sz w:val="21"/>
          <w:szCs w:val="21"/>
        </w:rPr>
      </w:pPr>
      <w:hyperlink w:anchor="_bookmark0" w:history="1">
        <w:r w:rsidR="00746F4F" w:rsidRPr="00004673">
          <w:rPr>
            <w:rFonts w:ascii="Arial" w:hAnsi="Arial" w:cs="Arial"/>
            <w:sz w:val="21"/>
            <w:szCs w:val="21"/>
            <w:u w:color="0562C1"/>
          </w:rPr>
          <w:t>Direct Online Credit Reports, TransUnion (</w:t>
        </w:r>
        <w:proofErr w:type="spellStart"/>
        <w:r w:rsidR="00746F4F" w:rsidRPr="00004673">
          <w:rPr>
            <w:rFonts w:ascii="Arial" w:hAnsi="Arial" w:cs="Arial"/>
            <w:sz w:val="21"/>
            <w:szCs w:val="21"/>
            <w:u w:color="0562C1"/>
          </w:rPr>
          <w:t>ThreeSixty</w:t>
        </w:r>
        <w:proofErr w:type="spellEnd"/>
        <w:r w:rsidR="00746F4F" w:rsidRPr="00004673">
          <w:rPr>
            <w:rFonts w:ascii="Arial" w:hAnsi="Arial" w:cs="Arial"/>
            <w:sz w:val="21"/>
            <w:szCs w:val="21"/>
            <w:u w:color="0562C1"/>
          </w:rPr>
          <w:t>) and Equifax</w:t>
        </w:r>
        <w:r w:rsidR="00746F4F" w:rsidRPr="00004673">
          <w:rPr>
            <w:rFonts w:ascii="Arial" w:hAnsi="Arial" w:cs="Arial"/>
            <w:spacing w:val="-6"/>
            <w:sz w:val="21"/>
            <w:szCs w:val="21"/>
            <w:u w:color="0562C1"/>
          </w:rPr>
          <w:t xml:space="preserve"> </w:t>
        </w:r>
        <w:r w:rsidR="00746F4F" w:rsidRPr="00004673">
          <w:rPr>
            <w:rFonts w:ascii="Arial" w:hAnsi="Arial" w:cs="Arial"/>
            <w:sz w:val="21"/>
            <w:szCs w:val="21"/>
            <w:u w:color="0562C1"/>
          </w:rPr>
          <w:t>PSG</w:t>
        </w:r>
      </w:hyperlink>
    </w:p>
    <w:p w14:paraId="589D9BFE" w14:textId="77777777" w:rsidR="00746F4F" w:rsidRPr="00004673" w:rsidRDefault="00143FBE" w:rsidP="00004673">
      <w:pPr>
        <w:pStyle w:val="ListParagraph"/>
        <w:numPr>
          <w:ilvl w:val="0"/>
          <w:numId w:val="10"/>
        </w:numPr>
        <w:rPr>
          <w:rFonts w:ascii="Arial" w:hAnsi="Arial" w:cs="Arial"/>
          <w:sz w:val="21"/>
          <w:szCs w:val="21"/>
        </w:rPr>
      </w:pPr>
      <w:hyperlink w:anchor="_bookmark1" w:history="1">
        <w:r w:rsidR="00746F4F" w:rsidRPr="00004673">
          <w:rPr>
            <w:rFonts w:ascii="Arial" w:hAnsi="Arial" w:cs="Arial"/>
            <w:sz w:val="21"/>
            <w:szCs w:val="21"/>
            <w:u w:color="0562C1"/>
          </w:rPr>
          <w:t>Other Credit Reports (manual submission) Equifax and</w:t>
        </w:r>
        <w:r w:rsidR="00746F4F" w:rsidRPr="00004673">
          <w:rPr>
            <w:rFonts w:ascii="Arial" w:hAnsi="Arial" w:cs="Arial"/>
            <w:spacing w:val="-5"/>
            <w:sz w:val="21"/>
            <w:szCs w:val="21"/>
            <w:u w:color="0562C1"/>
          </w:rPr>
          <w:t xml:space="preserve"> </w:t>
        </w:r>
        <w:r w:rsidR="00746F4F" w:rsidRPr="00004673">
          <w:rPr>
            <w:rFonts w:ascii="Arial" w:hAnsi="Arial" w:cs="Arial"/>
            <w:sz w:val="21"/>
            <w:szCs w:val="21"/>
            <w:u w:color="0562C1"/>
          </w:rPr>
          <w:t>Experian</w:t>
        </w:r>
      </w:hyperlink>
    </w:p>
    <w:p w14:paraId="317653B7" w14:textId="77777777" w:rsidR="00746F4F" w:rsidRPr="00004673" w:rsidRDefault="00143FBE" w:rsidP="00004673">
      <w:pPr>
        <w:pStyle w:val="ListParagraph"/>
        <w:numPr>
          <w:ilvl w:val="0"/>
          <w:numId w:val="10"/>
        </w:numPr>
        <w:rPr>
          <w:rFonts w:ascii="Arial" w:hAnsi="Arial" w:cs="Arial"/>
          <w:sz w:val="21"/>
          <w:szCs w:val="21"/>
        </w:rPr>
      </w:pPr>
      <w:hyperlink w:anchor="_bookmark2" w:history="1">
        <w:r w:rsidR="00746F4F" w:rsidRPr="00004673">
          <w:rPr>
            <w:rFonts w:ascii="Arial" w:hAnsi="Arial" w:cs="Arial"/>
            <w:sz w:val="21"/>
            <w:szCs w:val="21"/>
            <w:u w:color="0562C1"/>
          </w:rPr>
          <w:t>Bank Account Verification and Validation (sole traders and</w:t>
        </w:r>
        <w:r w:rsidR="00746F4F" w:rsidRPr="00004673">
          <w:rPr>
            <w:rFonts w:ascii="Arial" w:hAnsi="Arial" w:cs="Arial"/>
            <w:spacing w:val="-5"/>
            <w:sz w:val="21"/>
            <w:szCs w:val="21"/>
            <w:u w:color="0562C1"/>
          </w:rPr>
          <w:t xml:space="preserve"> </w:t>
        </w:r>
        <w:r w:rsidR="00746F4F" w:rsidRPr="00004673">
          <w:rPr>
            <w:rFonts w:ascii="Arial" w:hAnsi="Arial" w:cs="Arial"/>
            <w:sz w:val="21"/>
            <w:szCs w:val="21"/>
            <w:u w:color="0562C1"/>
          </w:rPr>
          <w:t>individuals)</w:t>
        </w:r>
      </w:hyperlink>
    </w:p>
    <w:p w14:paraId="2376514C" w14:textId="77777777" w:rsidR="00746F4F" w:rsidRPr="00004673" w:rsidRDefault="00143FBE" w:rsidP="00004673">
      <w:pPr>
        <w:pStyle w:val="ListParagraph"/>
        <w:numPr>
          <w:ilvl w:val="0"/>
          <w:numId w:val="10"/>
        </w:numPr>
        <w:rPr>
          <w:rFonts w:ascii="Arial" w:hAnsi="Arial" w:cs="Arial"/>
          <w:sz w:val="21"/>
          <w:szCs w:val="21"/>
        </w:rPr>
      </w:pPr>
      <w:hyperlink w:anchor="_bookmark3" w:history="1">
        <w:r w:rsidR="00746F4F" w:rsidRPr="00004673">
          <w:rPr>
            <w:rFonts w:ascii="Arial" w:hAnsi="Arial" w:cs="Arial"/>
            <w:sz w:val="21"/>
            <w:szCs w:val="21"/>
            <w:u w:color="0562C1"/>
          </w:rPr>
          <w:t>Company and Director</w:t>
        </w:r>
        <w:r w:rsidR="00746F4F" w:rsidRPr="00004673">
          <w:rPr>
            <w:rFonts w:ascii="Arial" w:hAnsi="Arial" w:cs="Arial"/>
            <w:spacing w:val="-4"/>
            <w:sz w:val="21"/>
            <w:szCs w:val="21"/>
            <w:u w:color="0562C1"/>
          </w:rPr>
          <w:t xml:space="preserve"> </w:t>
        </w:r>
        <w:r w:rsidR="00746F4F" w:rsidRPr="00004673">
          <w:rPr>
            <w:rFonts w:ascii="Arial" w:hAnsi="Arial" w:cs="Arial"/>
            <w:sz w:val="21"/>
            <w:szCs w:val="21"/>
            <w:u w:color="0562C1"/>
          </w:rPr>
          <w:t>Reports</w:t>
        </w:r>
      </w:hyperlink>
    </w:p>
    <w:p w14:paraId="0D19A4D5" w14:textId="77777777" w:rsidR="00746F4F" w:rsidRPr="00004673" w:rsidRDefault="00143FBE" w:rsidP="00004673">
      <w:pPr>
        <w:pStyle w:val="ListParagraph"/>
        <w:numPr>
          <w:ilvl w:val="0"/>
          <w:numId w:val="10"/>
        </w:numPr>
        <w:rPr>
          <w:rFonts w:ascii="Arial" w:hAnsi="Arial" w:cs="Arial"/>
          <w:sz w:val="21"/>
          <w:szCs w:val="21"/>
        </w:rPr>
      </w:pPr>
      <w:hyperlink w:anchor="_bookmark4" w:history="1">
        <w:r w:rsidR="00746F4F" w:rsidRPr="00004673">
          <w:rPr>
            <w:rFonts w:ascii="Arial" w:hAnsi="Arial" w:cs="Arial"/>
            <w:sz w:val="21"/>
            <w:szCs w:val="21"/>
            <w:u w:color="0562C1"/>
          </w:rPr>
          <w:t>DVLA and Vehicle Keeper Requests</w:t>
        </w:r>
      </w:hyperlink>
    </w:p>
    <w:p w14:paraId="2BD53926" w14:textId="77777777" w:rsidR="00746F4F" w:rsidRPr="00004673" w:rsidRDefault="00143FBE" w:rsidP="00004673">
      <w:pPr>
        <w:pStyle w:val="ListParagraph"/>
        <w:numPr>
          <w:ilvl w:val="0"/>
          <w:numId w:val="10"/>
        </w:numPr>
        <w:rPr>
          <w:rFonts w:ascii="Arial" w:hAnsi="Arial" w:cs="Arial"/>
          <w:sz w:val="21"/>
          <w:szCs w:val="21"/>
        </w:rPr>
      </w:pPr>
      <w:hyperlink w:anchor="_bookmark5" w:history="1">
        <w:r w:rsidR="00746F4F" w:rsidRPr="00004673">
          <w:rPr>
            <w:rFonts w:ascii="Arial" w:hAnsi="Arial" w:cs="Arial"/>
            <w:sz w:val="21"/>
            <w:szCs w:val="21"/>
            <w:u w:color="0562C1"/>
          </w:rPr>
          <w:t xml:space="preserve">Birth, </w:t>
        </w:r>
        <w:proofErr w:type="gramStart"/>
        <w:r w:rsidR="00746F4F" w:rsidRPr="00004673">
          <w:rPr>
            <w:rFonts w:ascii="Arial" w:hAnsi="Arial" w:cs="Arial"/>
            <w:sz w:val="21"/>
            <w:szCs w:val="21"/>
            <w:u w:color="0562C1"/>
          </w:rPr>
          <w:t>Death</w:t>
        </w:r>
        <w:proofErr w:type="gramEnd"/>
        <w:r w:rsidR="00746F4F" w:rsidRPr="00004673">
          <w:rPr>
            <w:rFonts w:ascii="Arial" w:hAnsi="Arial" w:cs="Arial"/>
            <w:sz w:val="21"/>
            <w:szCs w:val="21"/>
            <w:u w:color="0562C1"/>
          </w:rPr>
          <w:t xml:space="preserve"> and Marriage/Divorce</w:t>
        </w:r>
        <w:r w:rsidR="00746F4F" w:rsidRPr="00004673">
          <w:rPr>
            <w:rFonts w:ascii="Arial" w:hAnsi="Arial" w:cs="Arial"/>
            <w:spacing w:val="-3"/>
            <w:sz w:val="21"/>
            <w:szCs w:val="21"/>
            <w:u w:color="0562C1"/>
          </w:rPr>
          <w:t xml:space="preserve"> </w:t>
        </w:r>
        <w:r w:rsidR="00746F4F" w:rsidRPr="00004673">
          <w:rPr>
            <w:rFonts w:ascii="Arial" w:hAnsi="Arial" w:cs="Arial"/>
            <w:sz w:val="21"/>
            <w:szCs w:val="21"/>
            <w:u w:color="0562C1"/>
          </w:rPr>
          <w:t>Registrations</w:t>
        </w:r>
      </w:hyperlink>
    </w:p>
    <w:p w14:paraId="2DFE425E" w14:textId="77777777" w:rsidR="00746F4F" w:rsidRPr="00004673" w:rsidRDefault="00143FBE" w:rsidP="00004673">
      <w:pPr>
        <w:pStyle w:val="ListParagraph"/>
        <w:numPr>
          <w:ilvl w:val="0"/>
          <w:numId w:val="10"/>
        </w:numPr>
        <w:rPr>
          <w:rFonts w:ascii="Arial" w:hAnsi="Arial" w:cs="Arial"/>
          <w:sz w:val="21"/>
          <w:szCs w:val="21"/>
        </w:rPr>
      </w:pPr>
      <w:hyperlink w:anchor="_bookmark8" w:history="1">
        <w:r w:rsidR="00746F4F" w:rsidRPr="00004673">
          <w:rPr>
            <w:rFonts w:ascii="Arial" w:hAnsi="Arial" w:cs="Arial"/>
            <w:sz w:val="21"/>
            <w:szCs w:val="21"/>
            <w:u w:color="0562C1"/>
          </w:rPr>
          <w:t>Home Office Department Requests (Immigration,</w:t>
        </w:r>
        <w:r w:rsidR="00746F4F" w:rsidRPr="00004673">
          <w:rPr>
            <w:rFonts w:ascii="Arial" w:hAnsi="Arial" w:cs="Arial"/>
            <w:spacing w:val="-6"/>
            <w:sz w:val="21"/>
            <w:szCs w:val="21"/>
            <w:u w:color="0562C1"/>
          </w:rPr>
          <w:t xml:space="preserve"> </w:t>
        </w:r>
        <w:r w:rsidR="00746F4F" w:rsidRPr="00004673">
          <w:rPr>
            <w:rFonts w:ascii="Arial" w:hAnsi="Arial" w:cs="Arial"/>
            <w:sz w:val="21"/>
            <w:szCs w:val="21"/>
            <w:u w:color="0562C1"/>
          </w:rPr>
          <w:t>Passport</w:t>
        </w:r>
      </w:hyperlink>
      <w:r w:rsidR="00746F4F" w:rsidRPr="00004673">
        <w:rPr>
          <w:rFonts w:ascii="Arial" w:hAnsi="Arial" w:cs="Arial"/>
          <w:sz w:val="21"/>
          <w:szCs w:val="21"/>
          <w:u w:color="0562C1"/>
        </w:rPr>
        <w:t>)</w:t>
      </w:r>
    </w:p>
    <w:p w14:paraId="0E44E8A4" w14:textId="77777777" w:rsidR="00746F4F" w:rsidRPr="00004673" w:rsidRDefault="00143FBE" w:rsidP="00004673">
      <w:pPr>
        <w:pStyle w:val="ListParagraph"/>
        <w:numPr>
          <w:ilvl w:val="0"/>
          <w:numId w:val="10"/>
        </w:numPr>
        <w:rPr>
          <w:rFonts w:ascii="Arial" w:hAnsi="Arial" w:cs="Arial"/>
          <w:sz w:val="21"/>
          <w:szCs w:val="21"/>
        </w:rPr>
      </w:pPr>
      <w:hyperlink w:anchor="_bookmark6" w:history="1">
        <w:r w:rsidR="00746F4F" w:rsidRPr="00004673">
          <w:rPr>
            <w:rFonts w:ascii="Arial" w:hAnsi="Arial" w:cs="Arial"/>
            <w:sz w:val="21"/>
            <w:szCs w:val="21"/>
            <w:u w:color="0562C1"/>
          </w:rPr>
          <w:t>Land Registry</w:t>
        </w:r>
        <w:r w:rsidR="00746F4F" w:rsidRPr="00004673">
          <w:rPr>
            <w:rFonts w:ascii="Arial" w:hAnsi="Arial" w:cs="Arial"/>
            <w:spacing w:val="-6"/>
            <w:sz w:val="21"/>
            <w:szCs w:val="21"/>
            <w:u w:color="0562C1"/>
          </w:rPr>
          <w:t xml:space="preserve"> </w:t>
        </w:r>
        <w:r w:rsidR="00746F4F" w:rsidRPr="00004673">
          <w:rPr>
            <w:rFonts w:ascii="Arial" w:hAnsi="Arial" w:cs="Arial"/>
            <w:sz w:val="21"/>
            <w:szCs w:val="21"/>
            <w:u w:color="0562C1"/>
          </w:rPr>
          <w:t>Requests</w:t>
        </w:r>
      </w:hyperlink>
    </w:p>
    <w:p w14:paraId="049DA2EA" w14:textId="77777777" w:rsidR="00004673" w:rsidRPr="00004673" w:rsidRDefault="00143FBE" w:rsidP="00004673">
      <w:pPr>
        <w:pStyle w:val="ListParagraph"/>
        <w:numPr>
          <w:ilvl w:val="0"/>
          <w:numId w:val="10"/>
        </w:numPr>
        <w:rPr>
          <w:rFonts w:ascii="Arial" w:hAnsi="Arial" w:cs="Arial"/>
          <w:sz w:val="21"/>
          <w:szCs w:val="21"/>
        </w:rPr>
      </w:pPr>
      <w:hyperlink w:anchor="_bookmark7" w:history="1">
        <w:r w:rsidR="00746F4F" w:rsidRPr="00004673">
          <w:rPr>
            <w:rFonts w:ascii="Arial" w:hAnsi="Arial" w:cs="Arial"/>
            <w:sz w:val="21"/>
            <w:szCs w:val="21"/>
            <w:u w:color="0562C1"/>
          </w:rPr>
          <w:t>Internet Business Service Requests (</w:t>
        </w:r>
        <w:proofErr w:type="spellStart"/>
        <w:r w:rsidR="00746F4F" w:rsidRPr="00004673">
          <w:rPr>
            <w:rFonts w:ascii="Arial" w:hAnsi="Arial" w:cs="Arial"/>
            <w:sz w:val="21"/>
            <w:szCs w:val="21"/>
            <w:u w:color="0562C1"/>
          </w:rPr>
          <w:t>EBay</w:t>
        </w:r>
        <w:proofErr w:type="spellEnd"/>
        <w:r w:rsidR="00746F4F" w:rsidRPr="00004673">
          <w:rPr>
            <w:rFonts w:ascii="Arial" w:hAnsi="Arial" w:cs="Arial"/>
            <w:sz w:val="21"/>
            <w:szCs w:val="21"/>
            <w:u w:color="0562C1"/>
          </w:rPr>
          <w:t>, PayPal, Gumtree</w:t>
        </w:r>
      </w:hyperlink>
      <w:r w:rsidR="00746F4F" w:rsidRPr="00004673">
        <w:rPr>
          <w:rFonts w:ascii="Arial" w:hAnsi="Arial" w:cs="Arial"/>
          <w:sz w:val="21"/>
          <w:szCs w:val="21"/>
          <w:u w:color="0562C1"/>
        </w:rPr>
        <w:t>)</w:t>
      </w:r>
    </w:p>
    <w:p w14:paraId="2E7F9B7D" w14:textId="77777777" w:rsidR="00746F4F" w:rsidRPr="00004673" w:rsidRDefault="00143FBE" w:rsidP="00004673">
      <w:pPr>
        <w:pStyle w:val="ListParagraph"/>
        <w:numPr>
          <w:ilvl w:val="0"/>
          <w:numId w:val="10"/>
        </w:numPr>
        <w:rPr>
          <w:rFonts w:ascii="Arial" w:hAnsi="Arial" w:cs="Arial"/>
          <w:sz w:val="21"/>
          <w:szCs w:val="21"/>
        </w:rPr>
      </w:pPr>
      <w:hyperlink w:anchor="_bookmark9" w:history="1">
        <w:r w:rsidR="00746F4F" w:rsidRPr="00004673">
          <w:rPr>
            <w:rFonts w:ascii="Arial" w:hAnsi="Arial" w:cs="Arial"/>
            <w:sz w:val="21"/>
            <w:szCs w:val="21"/>
            <w:u w:color="0562C1"/>
          </w:rPr>
          <w:t>Other Agency</w:t>
        </w:r>
        <w:r w:rsidR="00746F4F" w:rsidRPr="00004673">
          <w:rPr>
            <w:rFonts w:ascii="Arial" w:hAnsi="Arial" w:cs="Arial"/>
            <w:spacing w:val="-5"/>
            <w:sz w:val="21"/>
            <w:szCs w:val="21"/>
            <w:u w:color="0562C1"/>
          </w:rPr>
          <w:t xml:space="preserve"> </w:t>
        </w:r>
        <w:r w:rsidR="00746F4F" w:rsidRPr="00004673">
          <w:rPr>
            <w:rFonts w:ascii="Arial" w:hAnsi="Arial" w:cs="Arial"/>
            <w:sz w:val="21"/>
            <w:szCs w:val="21"/>
            <w:u w:color="0562C1"/>
          </w:rPr>
          <w:t>Requests</w:t>
        </w:r>
      </w:hyperlink>
    </w:p>
    <w:p w14:paraId="707CD1E4" w14:textId="77777777" w:rsidR="00746F4F" w:rsidRPr="00004673" w:rsidRDefault="00143FBE" w:rsidP="00004673">
      <w:pPr>
        <w:pStyle w:val="ListParagraph"/>
        <w:numPr>
          <w:ilvl w:val="0"/>
          <w:numId w:val="10"/>
        </w:numPr>
        <w:rPr>
          <w:rFonts w:ascii="Arial" w:hAnsi="Arial" w:cs="Arial"/>
          <w:sz w:val="21"/>
          <w:szCs w:val="21"/>
        </w:rPr>
      </w:pPr>
      <w:hyperlink w:anchor="_bookmark10" w:history="1">
        <w:r w:rsidR="00746F4F" w:rsidRPr="00004673">
          <w:rPr>
            <w:rFonts w:ascii="Arial" w:hAnsi="Arial" w:cs="Arial"/>
            <w:sz w:val="21"/>
            <w:szCs w:val="21"/>
            <w:u w:color="0562C1"/>
          </w:rPr>
          <w:t>Witness Statement</w:t>
        </w:r>
        <w:r w:rsidR="00746F4F" w:rsidRPr="00004673">
          <w:rPr>
            <w:rFonts w:ascii="Arial" w:hAnsi="Arial" w:cs="Arial"/>
            <w:spacing w:val="-2"/>
            <w:sz w:val="21"/>
            <w:szCs w:val="21"/>
            <w:u w:color="0562C1"/>
          </w:rPr>
          <w:t xml:space="preserve"> </w:t>
        </w:r>
        <w:r w:rsidR="00746F4F" w:rsidRPr="00004673">
          <w:rPr>
            <w:rFonts w:ascii="Arial" w:hAnsi="Arial" w:cs="Arial"/>
            <w:sz w:val="21"/>
            <w:szCs w:val="21"/>
            <w:u w:color="0562C1"/>
          </w:rPr>
          <w:t>Requests</w:t>
        </w:r>
      </w:hyperlink>
    </w:p>
    <w:p w14:paraId="7F8CFC9A" w14:textId="77777777" w:rsidR="00746F4F" w:rsidRPr="00004673" w:rsidRDefault="00143FBE" w:rsidP="00004673">
      <w:pPr>
        <w:pStyle w:val="ListParagraph"/>
        <w:numPr>
          <w:ilvl w:val="0"/>
          <w:numId w:val="10"/>
        </w:numPr>
        <w:rPr>
          <w:rFonts w:ascii="Arial" w:hAnsi="Arial" w:cs="Arial"/>
          <w:sz w:val="21"/>
          <w:szCs w:val="21"/>
        </w:rPr>
      </w:pPr>
      <w:hyperlink w:anchor="_bookmark11" w:history="1">
        <w:r w:rsidR="00746F4F" w:rsidRPr="00004673">
          <w:rPr>
            <w:rFonts w:ascii="Arial" w:hAnsi="Arial" w:cs="Arial"/>
            <w:sz w:val="21"/>
            <w:szCs w:val="21"/>
            <w:u w:color="0562C1"/>
          </w:rPr>
          <w:t>National Registers and</w:t>
        </w:r>
        <w:r w:rsidR="00746F4F" w:rsidRPr="00004673">
          <w:rPr>
            <w:rFonts w:ascii="Arial" w:hAnsi="Arial" w:cs="Arial"/>
            <w:spacing w:val="-2"/>
            <w:sz w:val="21"/>
            <w:szCs w:val="21"/>
            <w:u w:color="0562C1"/>
          </w:rPr>
          <w:t xml:space="preserve"> </w:t>
        </w:r>
        <w:r w:rsidR="00746F4F" w:rsidRPr="00004673">
          <w:rPr>
            <w:rFonts w:ascii="Arial" w:hAnsi="Arial" w:cs="Arial"/>
            <w:sz w:val="21"/>
            <w:szCs w:val="21"/>
            <w:u w:color="0562C1"/>
          </w:rPr>
          <w:t>Databases</w:t>
        </w:r>
      </w:hyperlink>
    </w:p>
    <w:p w14:paraId="5EC3ABFC" w14:textId="77777777" w:rsidR="00746F4F" w:rsidRPr="00004673" w:rsidRDefault="00143FBE" w:rsidP="00004673">
      <w:pPr>
        <w:pStyle w:val="ListParagraph"/>
        <w:numPr>
          <w:ilvl w:val="0"/>
          <w:numId w:val="10"/>
        </w:numPr>
        <w:rPr>
          <w:rFonts w:ascii="Arial" w:hAnsi="Arial" w:cs="Arial"/>
          <w:sz w:val="21"/>
          <w:szCs w:val="21"/>
        </w:rPr>
      </w:pPr>
      <w:hyperlink w:anchor="_bookmark12" w:history="1">
        <w:r w:rsidR="00746F4F" w:rsidRPr="00004673">
          <w:rPr>
            <w:rFonts w:ascii="Arial" w:hAnsi="Arial" w:cs="Arial"/>
            <w:sz w:val="21"/>
            <w:szCs w:val="21"/>
            <w:u w:color="0562C1"/>
          </w:rPr>
          <w:t>Authorised Officer Services (CTRS and</w:t>
        </w:r>
        <w:r w:rsidR="00746F4F" w:rsidRPr="00004673">
          <w:rPr>
            <w:rFonts w:ascii="Arial" w:hAnsi="Arial" w:cs="Arial"/>
            <w:spacing w:val="-3"/>
            <w:sz w:val="21"/>
            <w:szCs w:val="21"/>
            <w:u w:color="0562C1"/>
          </w:rPr>
          <w:t xml:space="preserve"> </w:t>
        </w:r>
        <w:proofErr w:type="spellStart"/>
        <w:r w:rsidR="00746F4F" w:rsidRPr="00004673">
          <w:rPr>
            <w:rFonts w:ascii="Arial" w:hAnsi="Arial" w:cs="Arial"/>
            <w:sz w:val="21"/>
            <w:szCs w:val="21"/>
            <w:u w:color="0562C1"/>
          </w:rPr>
          <w:t>PoSHFA</w:t>
        </w:r>
        <w:proofErr w:type="spellEnd"/>
        <w:r w:rsidR="00746F4F" w:rsidRPr="00004673">
          <w:rPr>
            <w:rFonts w:ascii="Arial" w:hAnsi="Arial" w:cs="Arial"/>
            <w:sz w:val="21"/>
            <w:szCs w:val="21"/>
            <w:u w:color="0562C1"/>
          </w:rPr>
          <w:t>)</w:t>
        </w:r>
      </w:hyperlink>
    </w:p>
    <w:p w14:paraId="13A9CF1F" w14:textId="77777777" w:rsidR="00746F4F" w:rsidRPr="00004673" w:rsidRDefault="00143FBE" w:rsidP="00004673">
      <w:pPr>
        <w:pStyle w:val="ListParagraph"/>
        <w:numPr>
          <w:ilvl w:val="0"/>
          <w:numId w:val="10"/>
        </w:numPr>
        <w:rPr>
          <w:rFonts w:ascii="Arial" w:hAnsi="Arial" w:cs="Arial"/>
          <w:sz w:val="21"/>
          <w:szCs w:val="21"/>
        </w:rPr>
      </w:pPr>
      <w:hyperlink w:anchor="_bookmark13" w:history="1">
        <w:r w:rsidR="00746F4F" w:rsidRPr="00004673">
          <w:rPr>
            <w:rFonts w:ascii="Arial" w:hAnsi="Arial" w:cs="Arial"/>
            <w:sz w:val="21"/>
            <w:szCs w:val="21"/>
            <w:u w:color="0562C1"/>
          </w:rPr>
          <w:t xml:space="preserve">Consented Data </w:t>
        </w:r>
      </w:hyperlink>
      <w:r w:rsidR="00746F4F" w:rsidRPr="00004673">
        <w:rPr>
          <w:rFonts w:ascii="Arial" w:hAnsi="Arial" w:cs="Arial"/>
          <w:sz w:val="21"/>
          <w:szCs w:val="21"/>
          <w:u w:color="0562C1"/>
        </w:rPr>
        <w:t>Requests</w:t>
      </w:r>
    </w:p>
    <w:p w14:paraId="747B934D" w14:textId="77777777" w:rsidR="00746F4F" w:rsidRPr="00004673" w:rsidRDefault="00143FBE" w:rsidP="00004673">
      <w:pPr>
        <w:pStyle w:val="ListParagraph"/>
        <w:numPr>
          <w:ilvl w:val="0"/>
          <w:numId w:val="10"/>
        </w:numPr>
        <w:rPr>
          <w:rFonts w:ascii="Arial" w:hAnsi="Arial" w:cs="Arial"/>
          <w:sz w:val="21"/>
          <w:szCs w:val="21"/>
        </w:rPr>
      </w:pPr>
      <w:hyperlink w:anchor="_bookmark14" w:history="1">
        <w:r w:rsidR="00746F4F" w:rsidRPr="00004673">
          <w:rPr>
            <w:rFonts w:ascii="Arial" w:hAnsi="Arial" w:cs="Arial"/>
            <w:sz w:val="21"/>
            <w:szCs w:val="21"/>
            <w:u w:color="0562C1"/>
          </w:rPr>
          <w:t>Investigatory Powers Act Communications Data</w:t>
        </w:r>
        <w:r w:rsidR="00746F4F" w:rsidRPr="00004673">
          <w:rPr>
            <w:rFonts w:ascii="Arial" w:hAnsi="Arial" w:cs="Arial"/>
            <w:spacing w:val="-6"/>
            <w:sz w:val="21"/>
            <w:szCs w:val="21"/>
            <w:u w:color="0562C1"/>
          </w:rPr>
          <w:t xml:space="preserve"> </w:t>
        </w:r>
      </w:hyperlink>
      <w:r w:rsidR="00746F4F" w:rsidRPr="00004673">
        <w:rPr>
          <w:rFonts w:ascii="Arial" w:hAnsi="Arial" w:cs="Arial"/>
          <w:sz w:val="21"/>
          <w:szCs w:val="21"/>
          <w:u w:color="0562C1"/>
        </w:rPr>
        <w:t>Requests</w:t>
      </w:r>
    </w:p>
    <w:p w14:paraId="43CEF645" w14:textId="77777777" w:rsidR="00746F4F" w:rsidRDefault="00746F4F" w:rsidP="00746F4F">
      <w:pPr>
        <w:pStyle w:val="BodyText"/>
        <w:spacing w:before="10"/>
        <w:rPr>
          <w:sz w:val="14"/>
        </w:rPr>
      </w:pPr>
    </w:p>
    <w:p w14:paraId="75CA944C" w14:textId="77777777" w:rsidR="00746F4F" w:rsidRPr="00646B9D" w:rsidRDefault="00746F4F" w:rsidP="00646B9D">
      <w:pPr>
        <w:spacing w:before="93"/>
        <w:rPr>
          <w:b/>
          <w:sz w:val="20"/>
        </w:rPr>
      </w:pPr>
      <w:r>
        <w:rPr>
          <w:b/>
          <w:sz w:val="20"/>
        </w:rPr>
        <w:t>Guidance on how to submit individual enquiries can be found on the NAFN website in Help.</w:t>
      </w:r>
    </w:p>
    <w:p w14:paraId="77A822A3" w14:textId="77777777" w:rsidR="00746F4F" w:rsidRPr="00004673" w:rsidRDefault="00746F4F" w:rsidP="00004673">
      <w:pPr>
        <w:pStyle w:val="BodyText"/>
        <w:spacing w:before="1" w:after="55" w:line="256" w:lineRule="auto"/>
        <w:ind w:right="1005"/>
        <w:jc w:val="both"/>
        <w:rPr>
          <w:sz w:val="21"/>
          <w:szCs w:val="21"/>
        </w:rPr>
      </w:pPr>
      <w:r w:rsidRPr="00004673">
        <w:rPr>
          <w:sz w:val="21"/>
          <w:szCs w:val="21"/>
        </w:rPr>
        <w:t>Below is a breakdown of NAFN usage charges. These recharges are made in addition to third parties charges where applicable.</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5"/>
        <w:gridCol w:w="1418"/>
        <w:gridCol w:w="2693"/>
        <w:gridCol w:w="2693"/>
      </w:tblGrid>
      <w:tr w:rsidR="00004673" w14:paraId="320A51DD" w14:textId="77777777" w:rsidTr="00004673">
        <w:trPr>
          <w:trHeight w:val="460"/>
        </w:trPr>
        <w:tc>
          <w:tcPr>
            <w:tcW w:w="2835" w:type="dxa"/>
            <w:shd w:val="clear" w:color="auto" w:fill="B4C5E7"/>
          </w:tcPr>
          <w:p w14:paraId="0845D150" w14:textId="77777777" w:rsidR="00004673" w:rsidRDefault="00004673" w:rsidP="007F4297">
            <w:pPr>
              <w:pStyle w:val="TableParagraph"/>
              <w:spacing w:line="225" w:lineRule="exact"/>
              <w:ind w:left="638"/>
              <w:rPr>
                <w:b/>
                <w:sz w:val="20"/>
              </w:rPr>
            </w:pPr>
            <w:r>
              <w:rPr>
                <w:b/>
                <w:sz w:val="20"/>
              </w:rPr>
              <w:t>Enquiry Type</w:t>
            </w:r>
          </w:p>
        </w:tc>
        <w:tc>
          <w:tcPr>
            <w:tcW w:w="1418" w:type="dxa"/>
            <w:shd w:val="clear" w:color="auto" w:fill="B4C5E7"/>
          </w:tcPr>
          <w:p w14:paraId="797B948B" w14:textId="77777777" w:rsidR="00004673" w:rsidRDefault="00004673" w:rsidP="007F4297">
            <w:pPr>
              <w:pStyle w:val="TableParagraph"/>
              <w:spacing w:line="225" w:lineRule="exact"/>
              <w:ind w:left="158"/>
              <w:rPr>
                <w:b/>
                <w:sz w:val="20"/>
              </w:rPr>
            </w:pPr>
            <w:r>
              <w:rPr>
                <w:b/>
                <w:sz w:val="20"/>
              </w:rPr>
              <w:t>Cost Per</w:t>
            </w:r>
          </w:p>
          <w:p w14:paraId="14FE9854" w14:textId="77777777" w:rsidR="00004673" w:rsidRDefault="00004673" w:rsidP="007F4297">
            <w:pPr>
              <w:pStyle w:val="TableParagraph"/>
              <w:spacing w:line="215" w:lineRule="exact"/>
              <w:ind w:left="196"/>
              <w:rPr>
                <w:b/>
                <w:sz w:val="20"/>
              </w:rPr>
            </w:pPr>
            <w:r>
              <w:rPr>
                <w:b/>
                <w:sz w:val="20"/>
              </w:rPr>
              <w:t>Enquiry</w:t>
            </w:r>
          </w:p>
        </w:tc>
        <w:tc>
          <w:tcPr>
            <w:tcW w:w="2693" w:type="dxa"/>
            <w:shd w:val="clear" w:color="auto" w:fill="B4C5E7"/>
          </w:tcPr>
          <w:p w14:paraId="06267D80" w14:textId="77777777" w:rsidR="00004673" w:rsidRDefault="00004673" w:rsidP="007F4297">
            <w:pPr>
              <w:pStyle w:val="TableParagraph"/>
              <w:spacing w:line="225" w:lineRule="exact"/>
              <w:ind w:left="969"/>
              <w:rPr>
                <w:b/>
                <w:sz w:val="20"/>
              </w:rPr>
            </w:pPr>
            <w:r>
              <w:rPr>
                <w:b/>
                <w:sz w:val="20"/>
              </w:rPr>
              <w:t>Justification</w:t>
            </w:r>
          </w:p>
        </w:tc>
        <w:tc>
          <w:tcPr>
            <w:tcW w:w="2693" w:type="dxa"/>
            <w:shd w:val="clear" w:color="auto" w:fill="B4C5E7"/>
          </w:tcPr>
          <w:p w14:paraId="0DA946B5" w14:textId="77777777" w:rsidR="00004673" w:rsidRDefault="00004673" w:rsidP="007F4297">
            <w:pPr>
              <w:pStyle w:val="TableParagraph"/>
              <w:spacing w:line="225" w:lineRule="exact"/>
              <w:ind w:left="713"/>
              <w:rPr>
                <w:b/>
                <w:sz w:val="20"/>
              </w:rPr>
            </w:pPr>
            <w:r>
              <w:rPr>
                <w:b/>
                <w:sz w:val="20"/>
              </w:rPr>
              <w:t>Available to</w:t>
            </w:r>
          </w:p>
        </w:tc>
      </w:tr>
      <w:tr w:rsidR="00004673" w14:paraId="5289B1DB" w14:textId="77777777" w:rsidTr="00004673">
        <w:trPr>
          <w:trHeight w:val="690"/>
        </w:trPr>
        <w:tc>
          <w:tcPr>
            <w:tcW w:w="2835" w:type="dxa"/>
          </w:tcPr>
          <w:p w14:paraId="50F36965" w14:textId="77777777" w:rsidR="00004673" w:rsidRDefault="00004673" w:rsidP="007F4297">
            <w:pPr>
              <w:pStyle w:val="TableParagraph"/>
              <w:rPr>
                <w:sz w:val="20"/>
              </w:rPr>
            </w:pPr>
            <w:r>
              <w:rPr>
                <w:sz w:val="20"/>
              </w:rPr>
              <w:t>IPA Communication Data</w:t>
            </w:r>
          </w:p>
        </w:tc>
        <w:tc>
          <w:tcPr>
            <w:tcW w:w="1418" w:type="dxa"/>
          </w:tcPr>
          <w:p w14:paraId="251F26ED" w14:textId="77777777" w:rsidR="00004673" w:rsidRDefault="00004673" w:rsidP="007F4297">
            <w:pPr>
              <w:pStyle w:val="TableParagraph"/>
              <w:ind w:left="110"/>
              <w:rPr>
                <w:sz w:val="20"/>
              </w:rPr>
            </w:pPr>
            <w:r>
              <w:rPr>
                <w:sz w:val="20"/>
              </w:rPr>
              <w:t>£27.85</w:t>
            </w:r>
          </w:p>
        </w:tc>
        <w:tc>
          <w:tcPr>
            <w:tcW w:w="2693" w:type="dxa"/>
          </w:tcPr>
          <w:p w14:paraId="372526C4" w14:textId="77777777" w:rsidR="00004673" w:rsidRDefault="00004673" w:rsidP="007F4297">
            <w:pPr>
              <w:pStyle w:val="TableParagraph"/>
              <w:spacing w:line="230" w:lineRule="exact"/>
              <w:ind w:left="108"/>
              <w:rPr>
                <w:sz w:val="20"/>
              </w:rPr>
            </w:pPr>
            <w:r>
              <w:rPr>
                <w:sz w:val="20"/>
              </w:rPr>
              <w:t>Average 90 minutes per enquiry Up to a maximum of £150 per application</w:t>
            </w:r>
          </w:p>
        </w:tc>
        <w:tc>
          <w:tcPr>
            <w:tcW w:w="2693" w:type="dxa"/>
          </w:tcPr>
          <w:p w14:paraId="274D10C9" w14:textId="77777777" w:rsidR="00004673" w:rsidRDefault="00004673" w:rsidP="007F4297">
            <w:pPr>
              <w:pStyle w:val="TableParagraph"/>
              <w:spacing w:line="230" w:lineRule="exact"/>
              <w:ind w:left="108" w:right="98"/>
              <w:jc w:val="both"/>
              <w:rPr>
                <w:sz w:val="20"/>
              </w:rPr>
            </w:pPr>
            <w:r>
              <w:rPr>
                <w:sz w:val="20"/>
              </w:rPr>
              <w:t>Local Authorities and Wider Public Authorities only</w:t>
            </w:r>
          </w:p>
        </w:tc>
      </w:tr>
      <w:tr w:rsidR="00004673" w14:paraId="05523C67" w14:textId="77777777" w:rsidTr="00004673">
        <w:trPr>
          <w:trHeight w:val="460"/>
        </w:trPr>
        <w:tc>
          <w:tcPr>
            <w:tcW w:w="2835" w:type="dxa"/>
          </w:tcPr>
          <w:p w14:paraId="0778F94D" w14:textId="77777777" w:rsidR="00004673" w:rsidRDefault="00004673" w:rsidP="007F4297">
            <w:pPr>
              <w:pStyle w:val="TableParagraph"/>
              <w:rPr>
                <w:sz w:val="20"/>
              </w:rPr>
            </w:pPr>
            <w:r>
              <w:rPr>
                <w:sz w:val="20"/>
              </w:rPr>
              <w:t>Authorised Officer</w:t>
            </w:r>
          </w:p>
        </w:tc>
        <w:tc>
          <w:tcPr>
            <w:tcW w:w="1418" w:type="dxa"/>
          </w:tcPr>
          <w:p w14:paraId="4700B12D" w14:textId="77777777" w:rsidR="00004673" w:rsidRDefault="00004673" w:rsidP="007F4297">
            <w:pPr>
              <w:pStyle w:val="TableParagraph"/>
              <w:ind w:left="110"/>
              <w:rPr>
                <w:sz w:val="20"/>
              </w:rPr>
            </w:pPr>
            <w:r>
              <w:rPr>
                <w:sz w:val="20"/>
              </w:rPr>
              <w:t>£5.25</w:t>
            </w:r>
          </w:p>
        </w:tc>
        <w:tc>
          <w:tcPr>
            <w:tcW w:w="2693" w:type="dxa"/>
          </w:tcPr>
          <w:p w14:paraId="0099D9A7" w14:textId="77777777" w:rsidR="00004673" w:rsidRDefault="00004673" w:rsidP="007F4297">
            <w:pPr>
              <w:pStyle w:val="TableParagraph"/>
              <w:ind w:left="108"/>
              <w:rPr>
                <w:sz w:val="20"/>
              </w:rPr>
            </w:pPr>
            <w:r>
              <w:rPr>
                <w:sz w:val="20"/>
              </w:rPr>
              <w:t>Average 20 minutes per enquiry</w:t>
            </w:r>
          </w:p>
        </w:tc>
        <w:tc>
          <w:tcPr>
            <w:tcW w:w="2693" w:type="dxa"/>
          </w:tcPr>
          <w:p w14:paraId="293F8807" w14:textId="77777777" w:rsidR="00004673" w:rsidRDefault="00004673" w:rsidP="007F4297">
            <w:pPr>
              <w:pStyle w:val="TableParagraph"/>
              <w:tabs>
                <w:tab w:val="left" w:pos="953"/>
                <w:tab w:val="left" w:pos="2110"/>
              </w:tabs>
              <w:spacing w:line="230" w:lineRule="exact"/>
              <w:ind w:left="108" w:right="93"/>
              <w:rPr>
                <w:sz w:val="20"/>
              </w:rPr>
            </w:pPr>
            <w:r>
              <w:rPr>
                <w:sz w:val="20"/>
              </w:rPr>
              <w:t>Local</w:t>
            </w:r>
            <w:r>
              <w:rPr>
                <w:sz w:val="20"/>
              </w:rPr>
              <w:tab/>
              <w:t>Authority</w:t>
            </w:r>
            <w:r>
              <w:rPr>
                <w:sz w:val="20"/>
              </w:rPr>
              <w:tab/>
            </w:r>
            <w:r>
              <w:rPr>
                <w:spacing w:val="-5"/>
                <w:sz w:val="20"/>
              </w:rPr>
              <w:t xml:space="preserve">and </w:t>
            </w:r>
            <w:r>
              <w:rPr>
                <w:sz w:val="20"/>
              </w:rPr>
              <w:t>Housing Associations</w:t>
            </w:r>
            <w:r>
              <w:rPr>
                <w:spacing w:val="-7"/>
                <w:sz w:val="20"/>
              </w:rPr>
              <w:t xml:space="preserve"> </w:t>
            </w:r>
            <w:r>
              <w:rPr>
                <w:sz w:val="20"/>
              </w:rPr>
              <w:t>only</w:t>
            </w:r>
          </w:p>
        </w:tc>
      </w:tr>
      <w:tr w:rsidR="00004673" w14:paraId="35701C59" w14:textId="77777777" w:rsidTr="00004673">
        <w:trPr>
          <w:trHeight w:val="230"/>
        </w:trPr>
        <w:tc>
          <w:tcPr>
            <w:tcW w:w="2835" w:type="dxa"/>
          </w:tcPr>
          <w:p w14:paraId="3EE401D0" w14:textId="77777777" w:rsidR="00004673" w:rsidRDefault="00004673" w:rsidP="007F4297">
            <w:pPr>
              <w:pStyle w:val="TableParagraph"/>
              <w:spacing w:line="210" w:lineRule="exact"/>
              <w:rPr>
                <w:sz w:val="20"/>
              </w:rPr>
            </w:pPr>
            <w:r>
              <w:rPr>
                <w:sz w:val="20"/>
              </w:rPr>
              <w:t>Consented Data</w:t>
            </w:r>
          </w:p>
        </w:tc>
        <w:tc>
          <w:tcPr>
            <w:tcW w:w="1418" w:type="dxa"/>
          </w:tcPr>
          <w:p w14:paraId="4C266835" w14:textId="77777777" w:rsidR="00004673" w:rsidRDefault="00004673" w:rsidP="007F4297">
            <w:pPr>
              <w:pStyle w:val="TableParagraph"/>
              <w:spacing w:line="210" w:lineRule="exact"/>
              <w:ind w:left="110"/>
              <w:rPr>
                <w:sz w:val="20"/>
              </w:rPr>
            </w:pPr>
            <w:r>
              <w:rPr>
                <w:sz w:val="20"/>
              </w:rPr>
              <w:t>£2.10</w:t>
            </w:r>
          </w:p>
        </w:tc>
        <w:tc>
          <w:tcPr>
            <w:tcW w:w="2693" w:type="dxa"/>
          </w:tcPr>
          <w:p w14:paraId="7878A11A" w14:textId="77777777" w:rsidR="00004673" w:rsidRDefault="00004673" w:rsidP="007F4297">
            <w:pPr>
              <w:pStyle w:val="TableParagraph"/>
              <w:spacing w:line="210" w:lineRule="exact"/>
              <w:ind w:left="108"/>
              <w:rPr>
                <w:sz w:val="20"/>
              </w:rPr>
            </w:pPr>
            <w:r>
              <w:rPr>
                <w:sz w:val="20"/>
              </w:rPr>
              <w:t>Average 8 minutes per enquiry</w:t>
            </w:r>
          </w:p>
        </w:tc>
        <w:tc>
          <w:tcPr>
            <w:tcW w:w="2693" w:type="dxa"/>
          </w:tcPr>
          <w:p w14:paraId="46C95935" w14:textId="77777777" w:rsidR="00004673" w:rsidRDefault="00004673" w:rsidP="007F4297">
            <w:pPr>
              <w:pStyle w:val="TableParagraph"/>
              <w:spacing w:line="240" w:lineRule="auto"/>
              <w:ind w:left="0"/>
              <w:rPr>
                <w:rFonts w:ascii="Times New Roman"/>
                <w:sz w:val="16"/>
              </w:rPr>
            </w:pPr>
          </w:p>
        </w:tc>
      </w:tr>
      <w:tr w:rsidR="00004673" w14:paraId="7217F9A4" w14:textId="77777777" w:rsidTr="00004673">
        <w:trPr>
          <w:trHeight w:val="229"/>
        </w:trPr>
        <w:tc>
          <w:tcPr>
            <w:tcW w:w="2835" w:type="dxa"/>
          </w:tcPr>
          <w:p w14:paraId="28FC50DC" w14:textId="77777777" w:rsidR="00004673" w:rsidRDefault="00004673" w:rsidP="007F4297">
            <w:pPr>
              <w:pStyle w:val="TableParagraph"/>
              <w:spacing w:line="210" w:lineRule="exact"/>
              <w:rPr>
                <w:sz w:val="20"/>
              </w:rPr>
            </w:pPr>
            <w:r>
              <w:rPr>
                <w:sz w:val="20"/>
              </w:rPr>
              <w:t>General Enquiry</w:t>
            </w:r>
          </w:p>
        </w:tc>
        <w:tc>
          <w:tcPr>
            <w:tcW w:w="1418" w:type="dxa"/>
          </w:tcPr>
          <w:p w14:paraId="72B6C92F" w14:textId="77777777" w:rsidR="00004673" w:rsidRDefault="00004673" w:rsidP="007F4297">
            <w:pPr>
              <w:pStyle w:val="TableParagraph"/>
              <w:spacing w:line="210" w:lineRule="exact"/>
              <w:ind w:left="110"/>
              <w:rPr>
                <w:sz w:val="20"/>
              </w:rPr>
            </w:pPr>
            <w:r>
              <w:rPr>
                <w:sz w:val="20"/>
              </w:rPr>
              <w:t>£1.40</w:t>
            </w:r>
          </w:p>
        </w:tc>
        <w:tc>
          <w:tcPr>
            <w:tcW w:w="2693" w:type="dxa"/>
          </w:tcPr>
          <w:p w14:paraId="6950F1EE" w14:textId="77777777" w:rsidR="00004673" w:rsidRDefault="00004673" w:rsidP="007F4297">
            <w:pPr>
              <w:pStyle w:val="TableParagraph"/>
              <w:spacing w:line="210" w:lineRule="exact"/>
              <w:ind w:left="108"/>
              <w:rPr>
                <w:sz w:val="20"/>
              </w:rPr>
            </w:pPr>
            <w:r>
              <w:rPr>
                <w:sz w:val="20"/>
              </w:rPr>
              <w:t>Normally routine but variable</w:t>
            </w:r>
          </w:p>
        </w:tc>
        <w:tc>
          <w:tcPr>
            <w:tcW w:w="2693" w:type="dxa"/>
          </w:tcPr>
          <w:p w14:paraId="615E19FD" w14:textId="77777777" w:rsidR="00004673" w:rsidRDefault="00004673" w:rsidP="007F4297">
            <w:pPr>
              <w:pStyle w:val="TableParagraph"/>
              <w:spacing w:line="240" w:lineRule="auto"/>
              <w:ind w:left="0"/>
              <w:rPr>
                <w:rFonts w:ascii="Times New Roman"/>
                <w:sz w:val="16"/>
              </w:rPr>
            </w:pPr>
          </w:p>
        </w:tc>
      </w:tr>
      <w:tr w:rsidR="00004673" w14:paraId="3DC5AAE3" w14:textId="77777777" w:rsidTr="00004673">
        <w:trPr>
          <w:trHeight w:val="230"/>
        </w:trPr>
        <w:tc>
          <w:tcPr>
            <w:tcW w:w="2835" w:type="dxa"/>
          </w:tcPr>
          <w:p w14:paraId="1CD0F6A6" w14:textId="77777777" w:rsidR="00004673" w:rsidRDefault="00004673" w:rsidP="007F4297">
            <w:pPr>
              <w:pStyle w:val="TableParagraph"/>
              <w:spacing w:line="210" w:lineRule="exact"/>
              <w:rPr>
                <w:sz w:val="20"/>
              </w:rPr>
            </w:pPr>
            <w:r>
              <w:rPr>
                <w:sz w:val="20"/>
              </w:rPr>
              <w:t>DVLA</w:t>
            </w:r>
          </w:p>
        </w:tc>
        <w:tc>
          <w:tcPr>
            <w:tcW w:w="1418" w:type="dxa"/>
          </w:tcPr>
          <w:p w14:paraId="179311B4" w14:textId="77777777" w:rsidR="00004673" w:rsidRDefault="00004673" w:rsidP="007F4297">
            <w:pPr>
              <w:pStyle w:val="TableParagraph"/>
              <w:spacing w:line="210" w:lineRule="exact"/>
              <w:ind w:left="110"/>
              <w:rPr>
                <w:sz w:val="20"/>
              </w:rPr>
            </w:pPr>
            <w:r>
              <w:rPr>
                <w:sz w:val="20"/>
              </w:rPr>
              <w:t>£0.75</w:t>
            </w:r>
          </w:p>
        </w:tc>
        <w:tc>
          <w:tcPr>
            <w:tcW w:w="2693" w:type="dxa"/>
          </w:tcPr>
          <w:p w14:paraId="001AE03D" w14:textId="77777777" w:rsidR="00004673" w:rsidRDefault="00004673" w:rsidP="007F4297">
            <w:pPr>
              <w:pStyle w:val="TableParagraph"/>
              <w:spacing w:line="210" w:lineRule="exact"/>
              <w:ind w:left="108"/>
              <w:rPr>
                <w:sz w:val="20"/>
              </w:rPr>
            </w:pPr>
            <w:r>
              <w:rPr>
                <w:sz w:val="20"/>
              </w:rPr>
              <w:t>Normally routine</w:t>
            </w:r>
          </w:p>
        </w:tc>
        <w:tc>
          <w:tcPr>
            <w:tcW w:w="2693" w:type="dxa"/>
          </w:tcPr>
          <w:p w14:paraId="22194054" w14:textId="77777777" w:rsidR="00004673" w:rsidRDefault="00004673" w:rsidP="007F4297">
            <w:pPr>
              <w:pStyle w:val="TableParagraph"/>
              <w:spacing w:line="240" w:lineRule="auto"/>
              <w:ind w:left="0"/>
              <w:rPr>
                <w:rFonts w:ascii="Times New Roman"/>
                <w:sz w:val="16"/>
              </w:rPr>
            </w:pPr>
          </w:p>
        </w:tc>
      </w:tr>
      <w:tr w:rsidR="00004673" w14:paraId="07357FEE" w14:textId="77777777" w:rsidTr="00004673">
        <w:trPr>
          <w:trHeight w:val="230"/>
        </w:trPr>
        <w:tc>
          <w:tcPr>
            <w:tcW w:w="2835" w:type="dxa"/>
          </w:tcPr>
          <w:p w14:paraId="63399C8E" w14:textId="77777777" w:rsidR="00004673" w:rsidRDefault="00004673" w:rsidP="007F4297">
            <w:pPr>
              <w:pStyle w:val="TableParagraph"/>
              <w:spacing w:line="210" w:lineRule="exact"/>
              <w:rPr>
                <w:sz w:val="20"/>
              </w:rPr>
            </w:pPr>
            <w:r>
              <w:rPr>
                <w:sz w:val="20"/>
              </w:rPr>
              <w:t>Online Enquiries</w:t>
            </w:r>
          </w:p>
        </w:tc>
        <w:tc>
          <w:tcPr>
            <w:tcW w:w="1418" w:type="dxa"/>
          </w:tcPr>
          <w:p w14:paraId="3437E87A" w14:textId="77777777" w:rsidR="00004673" w:rsidRDefault="00004673" w:rsidP="007F4297">
            <w:pPr>
              <w:pStyle w:val="TableParagraph"/>
              <w:spacing w:line="210" w:lineRule="exact"/>
              <w:ind w:left="110"/>
              <w:rPr>
                <w:sz w:val="20"/>
              </w:rPr>
            </w:pPr>
            <w:r>
              <w:rPr>
                <w:sz w:val="20"/>
              </w:rPr>
              <w:t>£0.00</w:t>
            </w:r>
          </w:p>
        </w:tc>
        <w:tc>
          <w:tcPr>
            <w:tcW w:w="2693" w:type="dxa"/>
          </w:tcPr>
          <w:p w14:paraId="5FDE5195" w14:textId="77777777" w:rsidR="00004673" w:rsidRDefault="00004673" w:rsidP="007F4297">
            <w:pPr>
              <w:pStyle w:val="TableParagraph"/>
              <w:spacing w:line="210" w:lineRule="exact"/>
              <w:ind w:left="108"/>
              <w:rPr>
                <w:sz w:val="20"/>
              </w:rPr>
            </w:pPr>
            <w:r>
              <w:rPr>
                <w:sz w:val="20"/>
              </w:rPr>
              <w:t>No NAFN officer intervention</w:t>
            </w:r>
          </w:p>
        </w:tc>
        <w:tc>
          <w:tcPr>
            <w:tcW w:w="2693" w:type="dxa"/>
          </w:tcPr>
          <w:p w14:paraId="6EECA2FC" w14:textId="77777777" w:rsidR="00004673" w:rsidRDefault="00004673" w:rsidP="007F4297">
            <w:pPr>
              <w:pStyle w:val="TableParagraph"/>
              <w:spacing w:line="240" w:lineRule="auto"/>
              <w:ind w:left="0"/>
              <w:rPr>
                <w:rFonts w:ascii="Times New Roman"/>
                <w:sz w:val="16"/>
              </w:rPr>
            </w:pPr>
          </w:p>
        </w:tc>
      </w:tr>
    </w:tbl>
    <w:p w14:paraId="2A7993F8" w14:textId="77777777" w:rsidR="00004673" w:rsidRPr="00646B9D" w:rsidRDefault="00004673" w:rsidP="00004673">
      <w:pPr>
        <w:jc w:val="both"/>
        <w:rPr>
          <w:rFonts w:ascii="Arial" w:hAnsi="Arial" w:cs="Arial"/>
          <w:i/>
          <w:sz w:val="21"/>
          <w:szCs w:val="21"/>
        </w:rPr>
      </w:pPr>
      <w:r w:rsidRPr="00646B9D">
        <w:rPr>
          <w:rFonts w:ascii="Arial" w:hAnsi="Arial" w:cs="Arial"/>
          <w:i/>
          <w:sz w:val="21"/>
          <w:szCs w:val="21"/>
        </w:rPr>
        <w:t>Your organisation will be invoiced quarterly for these recharges. If the quarterly total is less than £10.00 the charge will be rolled over to the following quarter.</w:t>
      </w:r>
    </w:p>
    <w:p w14:paraId="152E6803" w14:textId="77777777" w:rsidR="00646B9D" w:rsidRDefault="00646B9D">
      <w:pPr>
        <w:rPr>
          <w:rFonts w:ascii="Arial" w:hAnsi="Arial" w:cs="Arial"/>
          <w:b/>
          <w:sz w:val="21"/>
          <w:szCs w:val="21"/>
        </w:rPr>
      </w:pPr>
    </w:p>
    <w:p w14:paraId="3059098B" w14:textId="77777777" w:rsidR="00646B9D" w:rsidRDefault="00646B9D">
      <w:pPr>
        <w:rPr>
          <w:rFonts w:ascii="Arial" w:hAnsi="Arial" w:cs="Arial"/>
          <w:b/>
          <w:sz w:val="21"/>
          <w:szCs w:val="21"/>
        </w:rPr>
      </w:pPr>
    </w:p>
    <w:p w14:paraId="62CFD3CA" w14:textId="77777777" w:rsidR="00004673" w:rsidRDefault="00004673">
      <w:pPr>
        <w:rPr>
          <w:rFonts w:ascii="Arial" w:hAnsi="Arial" w:cs="Arial"/>
          <w:b/>
          <w:sz w:val="21"/>
          <w:szCs w:val="21"/>
        </w:rPr>
      </w:pPr>
    </w:p>
    <w:p w14:paraId="59FCD25C" w14:textId="77777777" w:rsidR="00004673" w:rsidRDefault="00004673" w:rsidP="00004673">
      <w:pPr>
        <w:jc w:val="both"/>
        <w:rPr>
          <w:rFonts w:ascii="Arial" w:hAnsi="Arial" w:cs="Arial"/>
          <w:b/>
          <w:sz w:val="21"/>
          <w:szCs w:val="21"/>
        </w:rPr>
      </w:pPr>
    </w:p>
    <w:p w14:paraId="531EF56D" w14:textId="77777777" w:rsidR="00004673" w:rsidRDefault="00004673" w:rsidP="00004673">
      <w:pPr>
        <w:jc w:val="both"/>
        <w:rPr>
          <w:rFonts w:ascii="Arial" w:hAnsi="Arial" w:cs="Arial"/>
          <w:b/>
          <w:sz w:val="21"/>
          <w:szCs w:val="21"/>
        </w:rPr>
      </w:pPr>
    </w:p>
    <w:p w14:paraId="65BA46EA" w14:textId="77777777" w:rsidR="00004673" w:rsidRDefault="00004673" w:rsidP="00004673">
      <w:pPr>
        <w:jc w:val="both"/>
        <w:rPr>
          <w:rFonts w:ascii="Arial" w:hAnsi="Arial" w:cs="Arial"/>
          <w:b/>
          <w:sz w:val="21"/>
          <w:szCs w:val="21"/>
        </w:rPr>
      </w:pPr>
    </w:p>
    <w:p w14:paraId="363F6390" w14:textId="77777777" w:rsidR="00004673" w:rsidRDefault="00004673" w:rsidP="00004673">
      <w:pPr>
        <w:jc w:val="both"/>
        <w:rPr>
          <w:rFonts w:ascii="Arial" w:hAnsi="Arial" w:cs="Arial"/>
          <w:b/>
          <w:sz w:val="21"/>
          <w:szCs w:val="21"/>
        </w:rPr>
      </w:pPr>
    </w:p>
    <w:p w14:paraId="38DB5C03" w14:textId="77777777" w:rsidR="00004673" w:rsidRPr="00004673" w:rsidRDefault="00004673" w:rsidP="00004673">
      <w:pPr>
        <w:jc w:val="both"/>
        <w:rPr>
          <w:rFonts w:ascii="Arial" w:hAnsi="Arial" w:cs="Arial"/>
          <w:b/>
          <w:sz w:val="21"/>
          <w:szCs w:val="21"/>
        </w:rPr>
      </w:pPr>
    </w:p>
    <w:sectPr w:rsidR="00004673" w:rsidRPr="00004673" w:rsidSect="009B0950">
      <w:headerReference w:type="default" r:id="rId12"/>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F25F6" w14:textId="77777777" w:rsidR="00047504" w:rsidRDefault="00047504" w:rsidP="00047504">
      <w:pPr>
        <w:spacing w:after="0" w:line="240" w:lineRule="auto"/>
      </w:pPr>
      <w:r>
        <w:separator/>
      </w:r>
    </w:p>
  </w:endnote>
  <w:endnote w:type="continuationSeparator" w:id="0">
    <w:p w14:paraId="6547B6A3" w14:textId="77777777" w:rsidR="00047504" w:rsidRDefault="00047504" w:rsidP="00047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75B99" w14:textId="77777777" w:rsidR="00047504" w:rsidRDefault="00047504" w:rsidP="00047504">
      <w:pPr>
        <w:spacing w:after="0" w:line="240" w:lineRule="auto"/>
      </w:pPr>
      <w:r>
        <w:separator/>
      </w:r>
    </w:p>
  </w:footnote>
  <w:footnote w:type="continuationSeparator" w:id="0">
    <w:p w14:paraId="337483E1" w14:textId="77777777" w:rsidR="00047504" w:rsidRDefault="00047504" w:rsidP="000475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4881A" w14:textId="77777777" w:rsidR="00047504" w:rsidRPr="00047504" w:rsidRDefault="00232017" w:rsidP="00047504">
    <w:pPr>
      <w:pStyle w:val="Header"/>
      <w:jc w:val="right"/>
    </w:pPr>
    <w:r>
      <w:rPr>
        <w:noProof/>
        <w:lang w:eastAsia="en-GB"/>
      </w:rPr>
      <w:drawing>
        <wp:anchor distT="0" distB="0" distL="114300" distR="114300" simplePos="0" relativeHeight="251658240" behindDoc="0" locked="0" layoutInCell="1" allowOverlap="1" wp14:anchorId="12A55138" wp14:editId="6B2984D1">
          <wp:simplePos x="0" y="0"/>
          <wp:positionH relativeFrom="column">
            <wp:posOffset>3905250</wp:posOffset>
          </wp:positionH>
          <wp:positionV relativeFrom="paragraph">
            <wp:posOffset>-259080</wp:posOffset>
          </wp:positionV>
          <wp:extent cx="2334782" cy="885825"/>
          <wp:effectExtent l="0" t="0" r="8890" b="0"/>
          <wp:wrapThrough wrapText="bothSides">
            <wp:wrapPolygon edited="0">
              <wp:start x="0" y="0"/>
              <wp:lineTo x="0" y="20903"/>
              <wp:lineTo x="21506" y="20903"/>
              <wp:lineTo x="21506"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AFN logo 1 Full tonal versi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34782" cy="8858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8754E"/>
    <w:multiLevelType w:val="hybridMultilevel"/>
    <w:tmpl w:val="5BA8C32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A132595"/>
    <w:multiLevelType w:val="hybridMultilevel"/>
    <w:tmpl w:val="22A458F8"/>
    <w:lvl w:ilvl="0" w:tplc="A648C866">
      <w:start w:val="1"/>
      <w:numFmt w:val="decimal"/>
      <w:lvlText w:val="%1."/>
      <w:lvlJc w:val="left"/>
      <w:pPr>
        <w:ind w:left="221" w:hanging="221"/>
      </w:pPr>
      <w:rPr>
        <w:rFonts w:ascii="Arial" w:eastAsia="Arial" w:hAnsi="Arial" w:cs="Arial" w:hint="default"/>
        <w:spacing w:val="-1"/>
        <w:w w:val="99"/>
        <w:sz w:val="20"/>
        <w:szCs w:val="20"/>
        <w:lang w:val="en-GB" w:eastAsia="en-GB" w:bidi="en-GB"/>
      </w:rPr>
    </w:lvl>
    <w:lvl w:ilvl="1" w:tplc="6D8062D6">
      <w:numFmt w:val="bullet"/>
      <w:lvlText w:val="•"/>
      <w:lvlJc w:val="left"/>
      <w:pPr>
        <w:ind w:left="1217" w:hanging="221"/>
      </w:pPr>
      <w:rPr>
        <w:rFonts w:hint="default"/>
        <w:lang w:val="en-GB" w:eastAsia="en-GB" w:bidi="en-GB"/>
      </w:rPr>
    </w:lvl>
    <w:lvl w:ilvl="2" w:tplc="0FC6725C">
      <w:numFmt w:val="bullet"/>
      <w:lvlText w:val="•"/>
      <w:lvlJc w:val="left"/>
      <w:pPr>
        <w:ind w:left="2214" w:hanging="221"/>
      </w:pPr>
      <w:rPr>
        <w:rFonts w:hint="default"/>
        <w:lang w:val="en-GB" w:eastAsia="en-GB" w:bidi="en-GB"/>
      </w:rPr>
    </w:lvl>
    <w:lvl w:ilvl="3" w:tplc="9F5876FC">
      <w:numFmt w:val="bullet"/>
      <w:lvlText w:val="•"/>
      <w:lvlJc w:val="left"/>
      <w:pPr>
        <w:ind w:left="3210" w:hanging="221"/>
      </w:pPr>
      <w:rPr>
        <w:rFonts w:hint="default"/>
        <w:lang w:val="en-GB" w:eastAsia="en-GB" w:bidi="en-GB"/>
      </w:rPr>
    </w:lvl>
    <w:lvl w:ilvl="4" w:tplc="2C4A9DF2">
      <w:numFmt w:val="bullet"/>
      <w:lvlText w:val="•"/>
      <w:lvlJc w:val="left"/>
      <w:pPr>
        <w:ind w:left="4207" w:hanging="221"/>
      </w:pPr>
      <w:rPr>
        <w:rFonts w:hint="default"/>
        <w:lang w:val="en-GB" w:eastAsia="en-GB" w:bidi="en-GB"/>
      </w:rPr>
    </w:lvl>
    <w:lvl w:ilvl="5" w:tplc="B45EEDE4">
      <w:numFmt w:val="bullet"/>
      <w:lvlText w:val="•"/>
      <w:lvlJc w:val="left"/>
      <w:pPr>
        <w:ind w:left="5204" w:hanging="221"/>
      </w:pPr>
      <w:rPr>
        <w:rFonts w:hint="default"/>
        <w:lang w:val="en-GB" w:eastAsia="en-GB" w:bidi="en-GB"/>
      </w:rPr>
    </w:lvl>
    <w:lvl w:ilvl="6" w:tplc="D8F4BB2E">
      <w:numFmt w:val="bullet"/>
      <w:lvlText w:val="•"/>
      <w:lvlJc w:val="left"/>
      <w:pPr>
        <w:ind w:left="6200" w:hanging="221"/>
      </w:pPr>
      <w:rPr>
        <w:rFonts w:hint="default"/>
        <w:lang w:val="en-GB" w:eastAsia="en-GB" w:bidi="en-GB"/>
      </w:rPr>
    </w:lvl>
    <w:lvl w:ilvl="7" w:tplc="75CA2534">
      <w:numFmt w:val="bullet"/>
      <w:lvlText w:val="•"/>
      <w:lvlJc w:val="left"/>
      <w:pPr>
        <w:ind w:left="7197" w:hanging="221"/>
      </w:pPr>
      <w:rPr>
        <w:rFonts w:hint="default"/>
        <w:lang w:val="en-GB" w:eastAsia="en-GB" w:bidi="en-GB"/>
      </w:rPr>
    </w:lvl>
    <w:lvl w:ilvl="8" w:tplc="8286F630">
      <w:numFmt w:val="bullet"/>
      <w:lvlText w:val="•"/>
      <w:lvlJc w:val="left"/>
      <w:pPr>
        <w:ind w:left="8194" w:hanging="221"/>
      </w:pPr>
      <w:rPr>
        <w:rFonts w:hint="default"/>
        <w:lang w:val="en-GB" w:eastAsia="en-GB" w:bidi="en-GB"/>
      </w:rPr>
    </w:lvl>
  </w:abstractNum>
  <w:abstractNum w:abstractNumId="2" w15:restartNumberingAfterBreak="0">
    <w:nsid w:val="1B827F49"/>
    <w:multiLevelType w:val="multilevel"/>
    <w:tmpl w:val="526EB0BA"/>
    <w:lvl w:ilvl="0">
      <w:start w:val="2"/>
      <w:numFmt w:val="decimal"/>
      <w:lvlText w:val="%1"/>
      <w:lvlJc w:val="left"/>
      <w:pPr>
        <w:ind w:left="432" w:hanging="432"/>
      </w:pPr>
      <w:rPr>
        <w:rFonts w:hint="default"/>
      </w:rPr>
    </w:lvl>
    <w:lvl w:ilvl="1">
      <w:start w:val="1"/>
      <w:numFmt w:val="decimal"/>
      <w:pStyle w:val="ITTLevel2text"/>
      <w:lvlText w:val="%1.%2"/>
      <w:lvlJc w:val="left"/>
      <w:pPr>
        <w:ind w:left="7664" w:hanging="576"/>
      </w:pPr>
      <w:rPr>
        <w:rFonts w:hint="default"/>
        <w:b w:val="0"/>
      </w:rPr>
    </w:lvl>
    <w:lvl w:ilvl="2">
      <w:start w:val="1"/>
      <w:numFmt w:val="decimal"/>
      <w:pStyle w:val="ITTLevel3text"/>
      <w:lvlText w:val="%1.%2.%3"/>
      <w:lvlJc w:val="left"/>
      <w:pPr>
        <w:ind w:left="6674" w:hanging="720"/>
      </w:pPr>
      <w:rPr>
        <w:rFonts w:hint="default"/>
        <w:b w:val="0"/>
        <w:color w:val="auto"/>
      </w:rPr>
    </w:lvl>
    <w:lvl w:ilvl="3">
      <w:start w:val="1"/>
      <w:numFmt w:val="decimal"/>
      <w:lvlText w:val="%1.%2.%3.%4"/>
      <w:lvlJc w:val="left"/>
      <w:pPr>
        <w:ind w:left="864" w:hanging="864"/>
      </w:pPr>
      <w:rPr>
        <w:rFonts w:hint="default"/>
        <w:b w:val="0"/>
        <w:sz w:val="2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1C34362A"/>
    <w:multiLevelType w:val="hybridMultilevel"/>
    <w:tmpl w:val="52702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2B6885"/>
    <w:multiLevelType w:val="hybridMultilevel"/>
    <w:tmpl w:val="0AFE1A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25325FC"/>
    <w:multiLevelType w:val="hybridMultilevel"/>
    <w:tmpl w:val="E1B2E7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2DC414C"/>
    <w:multiLevelType w:val="hybridMultilevel"/>
    <w:tmpl w:val="5FBABA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333408"/>
    <w:multiLevelType w:val="multilevel"/>
    <w:tmpl w:val="89D08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663668"/>
    <w:multiLevelType w:val="hybridMultilevel"/>
    <w:tmpl w:val="F95CFB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21954C0"/>
    <w:multiLevelType w:val="hybridMultilevel"/>
    <w:tmpl w:val="22BE5572"/>
    <w:lvl w:ilvl="0" w:tplc="55E4A654">
      <w:start w:val="1"/>
      <w:numFmt w:val="decimal"/>
      <w:lvlText w:val="%1."/>
      <w:lvlJc w:val="left"/>
      <w:pPr>
        <w:ind w:left="1240" w:hanging="360"/>
      </w:pPr>
      <w:rPr>
        <w:rFonts w:ascii="Arial" w:eastAsia="Arial" w:hAnsi="Arial" w:cs="Arial" w:hint="default"/>
        <w:b/>
        <w:bCs/>
        <w:color w:val="33339A"/>
        <w:spacing w:val="-2"/>
        <w:w w:val="99"/>
        <w:sz w:val="28"/>
        <w:szCs w:val="28"/>
        <w:lang w:val="en-GB" w:eastAsia="en-GB" w:bidi="en-GB"/>
      </w:rPr>
    </w:lvl>
    <w:lvl w:ilvl="1" w:tplc="8C645470">
      <w:numFmt w:val="bullet"/>
      <w:lvlText w:val="•"/>
      <w:lvlJc w:val="left"/>
      <w:pPr>
        <w:ind w:left="2246" w:hanging="360"/>
      </w:pPr>
      <w:rPr>
        <w:rFonts w:hint="default"/>
        <w:lang w:val="en-GB" w:eastAsia="en-GB" w:bidi="en-GB"/>
      </w:rPr>
    </w:lvl>
    <w:lvl w:ilvl="2" w:tplc="D890AEE8">
      <w:numFmt w:val="bullet"/>
      <w:lvlText w:val="•"/>
      <w:lvlJc w:val="left"/>
      <w:pPr>
        <w:ind w:left="3253" w:hanging="360"/>
      </w:pPr>
      <w:rPr>
        <w:rFonts w:hint="default"/>
        <w:lang w:val="en-GB" w:eastAsia="en-GB" w:bidi="en-GB"/>
      </w:rPr>
    </w:lvl>
    <w:lvl w:ilvl="3" w:tplc="7AC440EC">
      <w:numFmt w:val="bullet"/>
      <w:lvlText w:val="•"/>
      <w:lvlJc w:val="left"/>
      <w:pPr>
        <w:ind w:left="4259" w:hanging="360"/>
      </w:pPr>
      <w:rPr>
        <w:rFonts w:hint="default"/>
        <w:lang w:val="en-GB" w:eastAsia="en-GB" w:bidi="en-GB"/>
      </w:rPr>
    </w:lvl>
    <w:lvl w:ilvl="4" w:tplc="F22AEAF4">
      <w:numFmt w:val="bullet"/>
      <w:lvlText w:val="•"/>
      <w:lvlJc w:val="left"/>
      <w:pPr>
        <w:ind w:left="5266" w:hanging="360"/>
      </w:pPr>
      <w:rPr>
        <w:rFonts w:hint="default"/>
        <w:lang w:val="en-GB" w:eastAsia="en-GB" w:bidi="en-GB"/>
      </w:rPr>
    </w:lvl>
    <w:lvl w:ilvl="5" w:tplc="232A84F0">
      <w:numFmt w:val="bullet"/>
      <w:lvlText w:val="•"/>
      <w:lvlJc w:val="left"/>
      <w:pPr>
        <w:ind w:left="6273" w:hanging="360"/>
      </w:pPr>
      <w:rPr>
        <w:rFonts w:hint="default"/>
        <w:lang w:val="en-GB" w:eastAsia="en-GB" w:bidi="en-GB"/>
      </w:rPr>
    </w:lvl>
    <w:lvl w:ilvl="6" w:tplc="5892685E">
      <w:numFmt w:val="bullet"/>
      <w:lvlText w:val="•"/>
      <w:lvlJc w:val="left"/>
      <w:pPr>
        <w:ind w:left="7279" w:hanging="360"/>
      </w:pPr>
      <w:rPr>
        <w:rFonts w:hint="default"/>
        <w:lang w:val="en-GB" w:eastAsia="en-GB" w:bidi="en-GB"/>
      </w:rPr>
    </w:lvl>
    <w:lvl w:ilvl="7" w:tplc="67B29248">
      <w:numFmt w:val="bullet"/>
      <w:lvlText w:val="•"/>
      <w:lvlJc w:val="left"/>
      <w:pPr>
        <w:ind w:left="8286" w:hanging="360"/>
      </w:pPr>
      <w:rPr>
        <w:rFonts w:hint="default"/>
        <w:lang w:val="en-GB" w:eastAsia="en-GB" w:bidi="en-GB"/>
      </w:rPr>
    </w:lvl>
    <w:lvl w:ilvl="8" w:tplc="5DEA7028">
      <w:numFmt w:val="bullet"/>
      <w:lvlText w:val="•"/>
      <w:lvlJc w:val="left"/>
      <w:pPr>
        <w:ind w:left="9293" w:hanging="360"/>
      </w:pPr>
      <w:rPr>
        <w:rFonts w:hint="default"/>
        <w:lang w:val="en-GB" w:eastAsia="en-GB" w:bidi="en-GB"/>
      </w:rPr>
    </w:lvl>
  </w:abstractNum>
  <w:abstractNum w:abstractNumId="10" w15:restartNumberingAfterBreak="0">
    <w:nsid w:val="743847E4"/>
    <w:multiLevelType w:val="hybridMultilevel"/>
    <w:tmpl w:val="6F102A5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5"/>
  </w:num>
  <w:num w:numId="3">
    <w:abstractNumId w:val="8"/>
  </w:num>
  <w:num w:numId="4">
    <w:abstractNumId w:val="0"/>
  </w:num>
  <w:num w:numId="5">
    <w:abstractNumId w:val="10"/>
  </w:num>
  <w:num w:numId="6">
    <w:abstractNumId w:val="6"/>
  </w:num>
  <w:num w:numId="7">
    <w:abstractNumId w:val="2"/>
  </w:num>
  <w:num w:numId="8">
    <w:abstractNumId w:val="4"/>
  </w:num>
  <w:num w:numId="9">
    <w:abstractNumId w:val="1"/>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946"/>
    <w:rsid w:val="00004673"/>
    <w:rsid w:val="00047504"/>
    <w:rsid w:val="000562A9"/>
    <w:rsid w:val="000C75C9"/>
    <w:rsid w:val="00125BF1"/>
    <w:rsid w:val="00143FBE"/>
    <w:rsid w:val="00176A78"/>
    <w:rsid w:val="001F1AE2"/>
    <w:rsid w:val="00232017"/>
    <w:rsid w:val="004872BF"/>
    <w:rsid w:val="005069BF"/>
    <w:rsid w:val="00514150"/>
    <w:rsid w:val="00540231"/>
    <w:rsid w:val="00566946"/>
    <w:rsid w:val="0056749E"/>
    <w:rsid w:val="0062460D"/>
    <w:rsid w:val="00646B9D"/>
    <w:rsid w:val="00746F4F"/>
    <w:rsid w:val="009644B8"/>
    <w:rsid w:val="00990046"/>
    <w:rsid w:val="009B0950"/>
    <w:rsid w:val="00A33584"/>
    <w:rsid w:val="00C80C4A"/>
    <w:rsid w:val="00D505A5"/>
    <w:rsid w:val="00E109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2E6390F"/>
  <w15:chartTrackingRefBased/>
  <w15:docId w15:val="{28E491BA-8431-4E04-979F-39A762B84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004673"/>
    <w:pPr>
      <w:widowControl w:val="0"/>
      <w:autoSpaceDE w:val="0"/>
      <w:autoSpaceDN w:val="0"/>
      <w:spacing w:after="0" w:line="240" w:lineRule="auto"/>
      <w:ind w:left="1240" w:hanging="360"/>
      <w:outlineLvl w:val="0"/>
    </w:pPr>
    <w:rPr>
      <w:rFonts w:ascii="Arial" w:eastAsia="Arial" w:hAnsi="Arial" w:cs="Arial"/>
      <w:b/>
      <w:bCs/>
      <w:sz w:val="28"/>
      <w:szCs w:val="28"/>
      <w:lang w:eastAsia="en-GB" w:bidi="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694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66946"/>
    <w:rPr>
      <w:b/>
      <w:bCs/>
    </w:rPr>
  </w:style>
  <w:style w:type="paragraph" w:styleId="ListParagraph">
    <w:name w:val="List Paragraph"/>
    <w:basedOn w:val="Normal"/>
    <w:uiPriority w:val="1"/>
    <w:qFormat/>
    <w:rsid w:val="0062460D"/>
    <w:pPr>
      <w:spacing w:after="0" w:line="240" w:lineRule="auto"/>
      <w:ind w:left="720"/>
      <w:contextualSpacing/>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0475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7504"/>
  </w:style>
  <w:style w:type="paragraph" w:styleId="Footer">
    <w:name w:val="footer"/>
    <w:basedOn w:val="Normal"/>
    <w:link w:val="FooterChar"/>
    <w:uiPriority w:val="99"/>
    <w:unhideWhenUsed/>
    <w:rsid w:val="000475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7504"/>
  </w:style>
  <w:style w:type="paragraph" w:styleId="NoSpacing">
    <w:name w:val="No Spacing"/>
    <w:link w:val="NoSpacingChar"/>
    <w:uiPriority w:val="1"/>
    <w:qFormat/>
    <w:rsid w:val="001F1AE2"/>
    <w:pPr>
      <w:spacing w:after="0" w:line="240" w:lineRule="auto"/>
    </w:pPr>
  </w:style>
  <w:style w:type="table" w:styleId="TableGrid">
    <w:name w:val="Table Grid"/>
    <w:basedOn w:val="TableNormal"/>
    <w:uiPriority w:val="59"/>
    <w:rsid w:val="001F1AE2"/>
    <w:pPr>
      <w:spacing w:after="0" w:line="240" w:lineRule="auto"/>
    </w:pPr>
    <w:rPr>
      <w:color w:val="000000" w:themeColor="text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TLevel2text">
    <w:name w:val="ITT Level 2 (text)"/>
    <w:basedOn w:val="Normal"/>
    <w:link w:val="ITTLevel2textChar"/>
    <w:qFormat/>
    <w:rsid w:val="001F1AE2"/>
    <w:pPr>
      <w:numPr>
        <w:ilvl w:val="1"/>
        <w:numId w:val="7"/>
      </w:numPr>
      <w:tabs>
        <w:tab w:val="left" w:pos="851"/>
      </w:tabs>
      <w:spacing w:after="120" w:line="240" w:lineRule="auto"/>
    </w:pPr>
    <w:rPr>
      <w:rFonts w:ascii="Tahoma" w:eastAsia="Calibri" w:hAnsi="Tahoma" w:cs="Tahoma"/>
    </w:rPr>
  </w:style>
  <w:style w:type="paragraph" w:customStyle="1" w:styleId="ITTLevel3text">
    <w:name w:val="ITT Level 3 (text)"/>
    <w:basedOn w:val="Normal"/>
    <w:qFormat/>
    <w:rsid w:val="001F1AE2"/>
    <w:pPr>
      <w:numPr>
        <w:ilvl w:val="2"/>
        <w:numId w:val="7"/>
      </w:numPr>
      <w:tabs>
        <w:tab w:val="left" w:pos="851"/>
      </w:tabs>
      <w:spacing w:after="120" w:line="240" w:lineRule="auto"/>
    </w:pPr>
    <w:rPr>
      <w:rFonts w:ascii="Tahoma" w:eastAsia="Calibri" w:hAnsi="Tahoma" w:cs="Tahoma"/>
    </w:rPr>
  </w:style>
  <w:style w:type="character" w:customStyle="1" w:styleId="ITTLevel2textChar">
    <w:name w:val="ITT Level 2 (text) Char"/>
    <w:basedOn w:val="DefaultParagraphFont"/>
    <w:link w:val="ITTLevel2text"/>
    <w:rsid w:val="001F1AE2"/>
    <w:rPr>
      <w:rFonts w:ascii="Tahoma" w:eastAsia="Calibri" w:hAnsi="Tahoma" w:cs="Tahoma"/>
    </w:rPr>
  </w:style>
  <w:style w:type="character" w:styleId="Hyperlink">
    <w:name w:val="Hyperlink"/>
    <w:basedOn w:val="DefaultParagraphFont"/>
    <w:uiPriority w:val="99"/>
    <w:unhideWhenUsed/>
    <w:rsid w:val="00746F4F"/>
    <w:rPr>
      <w:color w:val="0000FF"/>
      <w:u w:val="single"/>
    </w:rPr>
  </w:style>
  <w:style w:type="table" w:styleId="TableGridLight">
    <w:name w:val="Grid Table Light"/>
    <w:basedOn w:val="TableNormal"/>
    <w:uiPriority w:val="40"/>
    <w:rsid w:val="00746F4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odyText">
    <w:name w:val="Body Text"/>
    <w:basedOn w:val="Normal"/>
    <w:link w:val="BodyTextChar"/>
    <w:uiPriority w:val="1"/>
    <w:qFormat/>
    <w:rsid w:val="00746F4F"/>
    <w:pPr>
      <w:widowControl w:val="0"/>
      <w:autoSpaceDE w:val="0"/>
      <w:autoSpaceDN w:val="0"/>
      <w:spacing w:before="178" w:after="0" w:line="240" w:lineRule="auto"/>
    </w:pPr>
    <w:rPr>
      <w:rFonts w:ascii="Arial" w:eastAsia="Arial" w:hAnsi="Arial" w:cs="Arial"/>
      <w:sz w:val="20"/>
      <w:szCs w:val="20"/>
      <w:lang w:eastAsia="en-GB" w:bidi="en-GB"/>
    </w:rPr>
  </w:style>
  <w:style w:type="character" w:customStyle="1" w:styleId="BodyTextChar">
    <w:name w:val="Body Text Char"/>
    <w:basedOn w:val="DefaultParagraphFont"/>
    <w:link w:val="BodyText"/>
    <w:uiPriority w:val="1"/>
    <w:rsid w:val="00746F4F"/>
    <w:rPr>
      <w:rFonts w:ascii="Arial" w:eastAsia="Arial" w:hAnsi="Arial" w:cs="Arial"/>
      <w:sz w:val="20"/>
      <w:szCs w:val="20"/>
      <w:lang w:eastAsia="en-GB" w:bidi="en-GB"/>
    </w:rPr>
  </w:style>
  <w:style w:type="paragraph" w:customStyle="1" w:styleId="TableParagraph">
    <w:name w:val="Table Paragraph"/>
    <w:basedOn w:val="Normal"/>
    <w:uiPriority w:val="1"/>
    <w:qFormat/>
    <w:rsid w:val="00004673"/>
    <w:pPr>
      <w:widowControl w:val="0"/>
      <w:autoSpaceDE w:val="0"/>
      <w:autoSpaceDN w:val="0"/>
      <w:spacing w:after="0" w:line="227" w:lineRule="exact"/>
      <w:ind w:left="107"/>
    </w:pPr>
    <w:rPr>
      <w:rFonts w:ascii="Arial" w:eastAsia="Arial" w:hAnsi="Arial" w:cs="Arial"/>
      <w:lang w:eastAsia="en-GB" w:bidi="en-GB"/>
    </w:rPr>
  </w:style>
  <w:style w:type="character" w:customStyle="1" w:styleId="Heading1Char">
    <w:name w:val="Heading 1 Char"/>
    <w:basedOn w:val="DefaultParagraphFont"/>
    <w:link w:val="Heading1"/>
    <w:uiPriority w:val="1"/>
    <w:rsid w:val="00004673"/>
    <w:rPr>
      <w:rFonts w:ascii="Arial" w:eastAsia="Arial" w:hAnsi="Arial" w:cs="Arial"/>
      <w:b/>
      <w:bCs/>
      <w:sz w:val="28"/>
      <w:szCs w:val="28"/>
      <w:lang w:eastAsia="en-GB" w:bidi="en-GB"/>
    </w:rPr>
  </w:style>
  <w:style w:type="character" w:customStyle="1" w:styleId="NoSpacingChar">
    <w:name w:val="No Spacing Char"/>
    <w:basedOn w:val="DefaultParagraphFont"/>
    <w:link w:val="NoSpacing"/>
    <w:uiPriority w:val="1"/>
    <w:rsid w:val="009B09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984701">
      <w:bodyDiv w:val="1"/>
      <w:marLeft w:val="0"/>
      <w:marRight w:val="0"/>
      <w:marTop w:val="0"/>
      <w:marBottom w:val="0"/>
      <w:divBdr>
        <w:top w:val="none" w:sz="0" w:space="0" w:color="auto"/>
        <w:left w:val="none" w:sz="0" w:space="0" w:color="auto"/>
        <w:bottom w:val="none" w:sz="0" w:space="0" w:color="auto"/>
        <w:right w:val="none" w:sz="0" w:space="0" w:color="auto"/>
      </w:divBdr>
    </w:div>
    <w:div w:id="1900364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S:\NAFN\NAFN%20Documents\NAFN%20Team%20Documents\Member%20Guides%20and%20docs\Overview\1.%20NAFN%20Overview%20-%20Introduction.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S:\NAFN\NAFN%20Documents\AGM%20and%20Annual%20Report\Annual%20Report\2022\NAFN%20Annual%20Report%202022%20(FINAL).pdf" TargetMode="External"/><Relationship Id="rId5" Type="http://schemas.openxmlformats.org/officeDocument/2006/relationships/webSettings" Target="webSettings.xml"/><Relationship Id="rId10" Type="http://schemas.openxmlformats.org/officeDocument/2006/relationships/hyperlink" Target="file:///\\nafntstest\shared%20docs\NAFN\NAFN%20Documents\Membership\Tirene\NAFN%20Data%20Enquiry%20Types%20and%20Costs%202022-23.pdf" TargetMode="External"/><Relationship Id="rId4" Type="http://schemas.openxmlformats.org/officeDocument/2006/relationships/settings" Target="settings.xml"/><Relationship Id="rId9" Type="http://schemas.openxmlformats.org/officeDocument/2006/relationships/hyperlink" Target="file:///S:\NAFN\NAFN%20Documents\NAFN%20Team%20Documents\Member%20Guides%20and%20docs\Overview\2.%20NAFN%20Overview%20-%20Services.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2022</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1826</Words>
  <Characters>10413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Cost Benefit and Value Analysis Report</vt:lpstr>
    </vt:vector>
  </TitlesOfParts>
  <Company/>
  <LinksUpToDate>false</LinksUpToDate>
  <CharactersWithSpaces>12215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Cost Benefit and Value Analysis Report</dc:title>
  <dc:subject>Soft market testing</dc:subject>
  <dc:creator>National Anti-Fraud Network</dc:creator>
  <cp:keywords/>
  <dc:description/>
  <cp:lastModifiedBy>Lee, Gary</cp:lastModifiedBy>
  <cp:revision>3</cp:revision>
  <dcterms:created xsi:type="dcterms:W3CDTF">2022-11-10T13:10:00Z</dcterms:created>
  <dcterms:modified xsi:type="dcterms:W3CDTF">2022-11-10T15:50:00Z</dcterms:modified>
</cp:coreProperties>
</file>