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20" w:rsidRPr="002E4A10" w:rsidRDefault="00891120" w:rsidP="00891120">
      <w:pPr>
        <w:shd w:val="clear" w:color="auto" w:fill="FFFFFF"/>
        <w:spacing w:after="0" w:line="240" w:lineRule="auto"/>
        <w:ind w:left="870"/>
        <w:rPr>
          <w:rFonts w:ascii="Arial" w:eastAsia="Times New Roman" w:hAnsi="Arial" w:cs="Arial"/>
          <w:b/>
          <w:sz w:val="24"/>
          <w:szCs w:val="24"/>
          <w:lang w:eastAsia="en-GB"/>
        </w:rPr>
      </w:pPr>
      <w:r w:rsidRPr="002E4A10">
        <w:rPr>
          <w:rFonts w:ascii="Arial" w:eastAsia="Times New Roman" w:hAnsi="Arial" w:cs="Arial"/>
          <w:b/>
          <w:sz w:val="24"/>
          <w:szCs w:val="24"/>
          <w:lang w:eastAsia="en-GB"/>
        </w:rPr>
        <w:t>Clarification questions Preferred Provider List Application</w:t>
      </w:r>
      <w:r w:rsidR="00564D38">
        <w:rPr>
          <w:rFonts w:ascii="Arial" w:eastAsia="Times New Roman" w:hAnsi="Arial" w:cs="Arial"/>
          <w:b/>
          <w:sz w:val="24"/>
          <w:szCs w:val="24"/>
          <w:lang w:eastAsia="en-GB"/>
        </w:rPr>
        <w:t xml:space="preserve"> V3 26</w:t>
      </w:r>
      <w:r w:rsidR="00564D38" w:rsidRPr="00564D38">
        <w:rPr>
          <w:rFonts w:ascii="Arial" w:eastAsia="Times New Roman" w:hAnsi="Arial" w:cs="Arial"/>
          <w:b/>
          <w:sz w:val="24"/>
          <w:szCs w:val="24"/>
          <w:vertAlign w:val="superscript"/>
          <w:lang w:eastAsia="en-GB"/>
        </w:rPr>
        <w:t>th</w:t>
      </w:r>
      <w:r w:rsidR="00564D38">
        <w:rPr>
          <w:rFonts w:ascii="Arial" w:eastAsia="Times New Roman" w:hAnsi="Arial" w:cs="Arial"/>
          <w:b/>
          <w:sz w:val="24"/>
          <w:szCs w:val="24"/>
          <w:lang w:eastAsia="en-GB"/>
        </w:rPr>
        <w:t xml:space="preserve"> </w:t>
      </w:r>
      <w:r w:rsidR="00A73C0D">
        <w:rPr>
          <w:rFonts w:ascii="Arial" w:eastAsia="Times New Roman" w:hAnsi="Arial" w:cs="Arial"/>
          <w:b/>
          <w:sz w:val="24"/>
          <w:szCs w:val="24"/>
          <w:lang w:eastAsia="en-GB"/>
        </w:rPr>
        <w:t>January 2015</w:t>
      </w:r>
    </w:p>
    <w:p w:rsidR="00891120" w:rsidRPr="002E4A10" w:rsidRDefault="00891120" w:rsidP="00891120">
      <w:pPr>
        <w:shd w:val="clear" w:color="auto" w:fill="FFFFFF"/>
        <w:spacing w:after="0" w:line="240" w:lineRule="auto"/>
        <w:rPr>
          <w:rFonts w:ascii="Arial" w:eastAsia="Times New Roman" w:hAnsi="Arial" w:cs="Arial"/>
          <w:sz w:val="24"/>
          <w:szCs w:val="24"/>
          <w:lang w:eastAsia="en-GB"/>
        </w:rPr>
      </w:pPr>
    </w:p>
    <w:p w:rsidR="00891120" w:rsidRPr="002E4A10" w:rsidRDefault="00891120" w:rsidP="00891120">
      <w:pPr>
        <w:pStyle w:val="ListParagraph"/>
        <w:shd w:val="clear" w:color="auto" w:fill="FFFFFF"/>
        <w:spacing w:after="150" w:line="240" w:lineRule="auto"/>
        <w:ind w:left="993" w:firstLine="597"/>
        <w:rPr>
          <w:rFonts w:ascii="Arial" w:eastAsia="Times New Roman" w:hAnsi="Arial" w:cs="Arial"/>
          <w:sz w:val="24"/>
          <w:szCs w:val="24"/>
          <w:lang w:eastAsia="en-GB"/>
        </w:rPr>
      </w:pPr>
      <w:r w:rsidRPr="002E4A10">
        <w:rPr>
          <w:rFonts w:ascii="Arial" w:eastAsia="Times New Roman" w:hAnsi="Arial" w:cs="Arial"/>
          <w:sz w:val="24"/>
          <w:szCs w:val="24"/>
          <w:lang w:eastAsia="en-GB"/>
        </w:rPr>
        <w:br/>
      </w:r>
    </w:p>
    <w:tbl>
      <w:tblPr>
        <w:tblStyle w:val="TableGrid"/>
        <w:tblW w:w="13751" w:type="dxa"/>
        <w:tblInd w:w="-318" w:type="dxa"/>
        <w:tblLook w:val="04A0" w:firstRow="1" w:lastRow="0" w:firstColumn="1" w:lastColumn="0" w:noHBand="0" w:noVBand="1"/>
      </w:tblPr>
      <w:tblGrid>
        <w:gridCol w:w="1056"/>
        <w:gridCol w:w="4190"/>
        <w:gridCol w:w="6520"/>
        <w:gridCol w:w="1985"/>
      </w:tblGrid>
      <w:tr w:rsidR="002E4A10" w:rsidRPr="002E4A10" w:rsidTr="0005179B">
        <w:tc>
          <w:tcPr>
            <w:tcW w:w="1056" w:type="dxa"/>
          </w:tcPr>
          <w:p w:rsidR="00891120" w:rsidRPr="002E4A10" w:rsidRDefault="00891120" w:rsidP="005038B5">
            <w:pPr>
              <w:pStyle w:val="ListParagraph"/>
              <w:spacing w:after="150"/>
              <w:ind w:left="0"/>
              <w:rPr>
                <w:rFonts w:ascii="Arial" w:eastAsia="Times New Roman" w:hAnsi="Arial" w:cs="Arial"/>
                <w:sz w:val="24"/>
                <w:szCs w:val="24"/>
                <w:lang w:eastAsia="en-GB"/>
              </w:rPr>
            </w:pPr>
          </w:p>
        </w:tc>
        <w:tc>
          <w:tcPr>
            <w:tcW w:w="4190" w:type="dxa"/>
          </w:tcPr>
          <w:p w:rsidR="00891120" w:rsidRPr="002E4A10" w:rsidRDefault="00891120" w:rsidP="005038B5">
            <w:pPr>
              <w:spacing w:after="150"/>
              <w:rPr>
                <w:rFonts w:ascii="Arial" w:eastAsia="Times New Roman" w:hAnsi="Arial" w:cs="Arial"/>
                <w:sz w:val="24"/>
                <w:szCs w:val="24"/>
                <w:lang w:eastAsia="en-GB"/>
              </w:rPr>
            </w:pPr>
            <w:r w:rsidRPr="002E4A10">
              <w:rPr>
                <w:rFonts w:ascii="Arial" w:eastAsia="Times New Roman" w:hAnsi="Arial" w:cs="Arial"/>
                <w:sz w:val="24"/>
                <w:szCs w:val="24"/>
                <w:lang w:eastAsia="en-GB"/>
              </w:rPr>
              <w:t>Question</w:t>
            </w:r>
          </w:p>
        </w:tc>
        <w:tc>
          <w:tcPr>
            <w:tcW w:w="6520" w:type="dxa"/>
          </w:tcPr>
          <w:p w:rsidR="00891120" w:rsidRPr="002E4A10" w:rsidRDefault="00891120" w:rsidP="005038B5">
            <w:pPr>
              <w:spacing w:after="150"/>
              <w:rPr>
                <w:rFonts w:ascii="Arial" w:eastAsia="Times New Roman" w:hAnsi="Arial" w:cs="Arial"/>
                <w:sz w:val="24"/>
                <w:szCs w:val="24"/>
                <w:lang w:eastAsia="en-GB"/>
              </w:rPr>
            </w:pPr>
            <w:r w:rsidRPr="002E4A10">
              <w:rPr>
                <w:rFonts w:ascii="Arial" w:eastAsia="Times New Roman" w:hAnsi="Arial" w:cs="Arial"/>
                <w:sz w:val="24"/>
                <w:szCs w:val="24"/>
                <w:lang w:eastAsia="en-GB"/>
              </w:rPr>
              <w:t>Response</w:t>
            </w:r>
          </w:p>
        </w:tc>
        <w:tc>
          <w:tcPr>
            <w:tcW w:w="1985" w:type="dxa"/>
          </w:tcPr>
          <w:p w:rsidR="00891120" w:rsidRPr="002E4A10" w:rsidRDefault="00891120" w:rsidP="005038B5">
            <w:pPr>
              <w:spacing w:after="150"/>
              <w:rPr>
                <w:rFonts w:ascii="Arial" w:eastAsia="Times New Roman" w:hAnsi="Arial" w:cs="Arial"/>
                <w:sz w:val="24"/>
                <w:szCs w:val="24"/>
                <w:lang w:eastAsia="en-GB"/>
              </w:rPr>
            </w:pPr>
            <w:r w:rsidRPr="002E4A10">
              <w:rPr>
                <w:rFonts w:ascii="Arial" w:eastAsia="Times New Roman" w:hAnsi="Arial" w:cs="Arial"/>
                <w:sz w:val="24"/>
                <w:szCs w:val="24"/>
                <w:lang w:eastAsia="en-GB"/>
              </w:rPr>
              <w:t>Published Date</w:t>
            </w:r>
          </w:p>
        </w:tc>
      </w:tr>
      <w:tr w:rsidR="002E4A10" w:rsidRPr="002E4A10" w:rsidTr="0005179B">
        <w:tc>
          <w:tcPr>
            <w:tcW w:w="1056" w:type="dxa"/>
          </w:tcPr>
          <w:p w:rsidR="00891120" w:rsidRPr="002E4A10" w:rsidRDefault="00891120" w:rsidP="005038B5">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Q1</w:t>
            </w:r>
          </w:p>
        </w:tc>
        <w:tc>
          <w:tcPr>
            <w:tcW w:w="4190" w:type="dxa"/>
          </w:tcPr>
          <w:p w:rsidR="00891120" w:rsidRPr="002E4A10" w:rsidRDefault="00743A6C" w:rsidP="00743A6C">
            <w:pPr>
              <w:pStyle w:val="PlainText"/>
              <w:rPr>
                <w:rFonts w:cs="Arial"/>
                <w:szCs w:val="24"/>
              </w:rPr>
            </w:pPr>
            <w:r w:rsidRPr="002E4A10">
              <w:rPr>
                <w:rFonts w:cs="Arial"/>
                <w:szCs w:val="24"/>
              </w:rPr>
              <w:t xml:space="preserve">Please can you advise if there are </w:t>
            </w:r>
            <w:r w:rsidR="004E0BC8" w:rsidRPr="002E4A10">
              <w:rPr>
                <w:rFonts w:cs="Arial"/>
                <w:szCs w:val="24"/>
              </w:rPr>
              <w:t>any geographical restrictions as</w:t>
            </w:r>
            <w:r w:rsidRPr="002E4A10">
              <w:rPr>
                <w:rFonts w:cs="Arial"/>
                <w:szCs w:val="24"/>
              </w:rPr>
              <w:t xml:space="preserve"> to where th</w:t>
            </w:r>
            <w:r w:rsidR="007F7FE1" w:rsidRPr="002E4A10">
              <w:rPr>
                <w:rFonts w:cs="Arial"/>
                <w:szCs w:val="24"/>
              </w:rPr>
              <w:t xml:space="preserve">e services are to be delivered?  </w:t>
            </w:r>
            <w:r w:rsidRPr="002E4A10">
              <w:rPr>
                <w:rFonts w:cs="Arial"/>
                <w:szCs w:val="24"/>
              </w:rPr>
              <w:t>Obviously you will be striving for as close to Bucks, if not within, however we are not operating in that area, is this framework still open to providers out of area?</w:t>
            </w:r>
          </w:p>
        </w:tc>
        <w:tc>
          <w:tcPr>
            <w:tcW w:w="6520" w:type="dxa"/>
          </w:tcPr>
          <w:p w:rsidR="009926B1" w:rsidRPr="002E4A10" w:rsidRDefault="007F7FE1" w:rsidP="007F7FE1">
            <w:pPr>
              <w:spacing w:after="150"/>
              <w:rPr>
                <w:rFonts w:ascii="Arial" w:eastAsia="Times New Roman" w:hAnsi="Arial" w:cs="Arial"/>
                <w:sz w:val="24"/>
                <w:szCs w:val="24"/>
                <w:lang w:eastAsia="en-GB"/>
              </w:rPr>
            </w:pPr>
            <w:r w:rsidRPr="002E4A10">
              <w:rPr>
                <w:rFonts w:ascii="Arial" w:eastAsia="Times New Roman" w:hAnsi="Arial" w:cs="Arial"/>
                <w:sz w:val="24"/>
                <w:szCs w:val="24"/>
                <w:lang w:eastAsia="en-GB"/>
              </w:rPr>
              <w:t xml:space="preserve">The lists are established to enable Buckinghamshire County Council to procure block core hours contracts and additional 1 to 1 hours for specific care and support services – either supported living or residential care in accommodation the Council has </w:t>
            </w:r>
            <w:r w:rsidR="009926B1" w:rsidRPr="002E4A10">
              <w:rPr>
                <w:rFonts w:ascii="Arial" w:eastAsia="Times New Roman" w:hAnsi="Arial" w:cs="Arial"/>
                <w:sz w:val="24"/>
                <w:szCs w:val="24"/>
                <w:lang w:eastAsia="en-GB"/>
              </w:rPr>
              <w:t xml:space="preserve">secured.  Therefore the Council will be going out to care and support providers with already identified buildings.  </w:t>
            </w:r>
          </w:p>
          <w:p w:rsidR="00A02A1C" w:rsidRPr="002E4A10" w:rsidRDefault="009926B1" w:rsidP="007F7FE1">
            <w:pPr>
              <w:spacing w:after="150"/>
              <w:rPr>
                <w:rFonts w:ascii="Arial" w:eastAsia="Times New Roman" w:hAnsi="Arial" w:cs="Arial"/>
                <w:sz w:val="24"/>
                <w:szCs w:val="24"/>
                <w:lang w:eastAsia="en-GB"/>
              </w:rPr>
            </w:pPr>
            <w:r w:rsidRPr="002E4A10">
              <w:rPr>
                <w:rFonts w:ascii="Arial" w:eastAsia="Times New Roman" w:hAnsi="Arial" w:cs="Arial"/>
                <w:sz w:val="24"/>
                <w:szCs w:val="24"/>
                <w:lang w:eastAsia="en-GB"/>
              </w:rPr>
              <w:t>Providers not currently operating within Buckinghamshire who wish to be considered for providing care and support services in Buckinghamshire, with this type of arrangement are welcome to apply to the list.</w:t>
            </w:r>
          </w:p>
        </w:tc>
        <w:tc>
          <w:tcPr>
            <w:tcW w:w="1985" w:type="dxa"/>
          </w:tcPr>
          <w:p w:rsidR="00891120" w:rsidRPr="002E4A10" w:rsidRDefault="00A73C0D" w:rsidP="005038B5">
            <w:pPr>
              <w:spacing w:after="150"/>
              <w:rPr>
                <w:rFonts w:ascii="Arial" w:eastAsia="Times New Roman" w:hAnsi="Arial" w:cs="Arial"/>
                <w:sz w:val="24"/>
                <w:szCs w:val="24"/>
                <w:lang w:eastAsia="en-GB"/>
              </w:rPr>
            </w:pPr>
            <w:r>
              <w:rPr>
                <w:rFonts w:ascii="Arial" w:eastAsia="Times New Roman" w:hAnsi="Arial" w:cs="Arial"/>
                <w:sz w:val="24"/>
                <w:szCs w:val="24"/>
                <w:lang w:eastAsia="en-GB"/>
              </w:rPr>
              <w:t>20</w:t>
            </w:r>
            <w:r w:rsidRPr="00A73C0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p>
        </w:tc>
      </w:tr>
      <w:tr w:rsidR="002E4A10" w:rsidRPr="002E4A10" w:rsidTr="0005179B">
        <w:tc>
          <w:tcPr>
            <w:tcW w:w="1056" w:type="dxa"/>
          </w:tcPr>
          <w:p w:rsidR="00891120" w:rsidRPr="002E4A10" w:rsidRDefault="00891120" w:rsidP="005038B5">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Q2</w:t>
            </w:r>
          </w:p>
        </w:tc>
        <w:tc>
          <w:tcPr>
            <w:tcW w:w="4190" w:type="dxa"/>
          </w:tcPr>
          <w:p w:rsidR="00891120" w:rsidRPr="002E4A10" w:rsidRDefault="00743A6C" w:rsidP="004E0BC8">
            <w:pPr>
              <w:rPr>
                <w:rFonts w:ascii="Arial" w:hAnsi="Arial" w:cs="Arial"/>
                <w:sz w:val="24"/>
                <w:szCs w:val="24"/>
              </w:rPr>
            </w:pPr>
            <w:r w:rsidRPr="002E4A10">
              <w:rPr>
                <w:rFonts w:ascii="Arial" w:hAnsi="Arial" w:cs="Arial"/>
                <w:sz w:val="24"/>
                <w:szCs w:val="24"/>
              </w:rPr>
              <w:t>We are already on this framework for supported living</w:t>
            </w:r>
            <w:proofErr w:type="gramStart"/>
            <w:r w:rsidRPr="002E4A10">
              <w:rPr>
                <w:rFonts w:ascii="Arial" w:hAnsi="Arial" w:cs="Arial"/>
                <w:sz w:val="24"/>
                <w:szCs w:val="24"/>
              </w:rPr>
              <w:t>  (</w:t>
            </w:r>
            <w:proofErr w:type="gramEnd"/>
            <w:r w:rsidRPr="002E4A10">
              <w:rPr>
                <w:rFonts w:ascii="Arial" w:hAnsi="Arial" w:cs="Arial"/>
                <w:sz w:val="24"/>
                <w:szCs w:val="24"/>
              </w:rPr>
              <w:t>LD, ASC and Transition) and wondered if there is there likely to be a requirement to transition residential homes to supported living during the life of this framework? If so we would consider applying for reside</w:t>
            </w:r>
            <w:r w:rsidR="004E0BC8" w:rsidRPr="002E4A10">
              <w:rPr>
                <w:rFonts w:ascii="Arial" w:hAnsi="Arial" w:cs="Arial"/>
                <w:sz w:val="24"/>
                <w:szCs w:val="24"/>
              </w:rPr>
              <w:t>ntial services on the framework</w:t>
            </w:r>
          </w:p>
        </w:tc>
        <w:tc>
          <w:tcPr>
            <w:tcW w:w="6520" w:type="dxa"/>
          </w:tcPr>
          <w:p w:rsidR="00743A6C" w:rsidRPr="002E4A10" w:rsidRDefault="00743A6C" w:rsidP="00743A6C">
            <w:pPr>
              <w:rPr>
                <w:rFonts w:ascii="Arial" w:hAnsi="Arial" w:cs="Arial"/>
                <w:sz w:val="24"/>
                <w:szCs w:val="24"/>
              </w:rPr>
            </w:pPr>
            <w:r w:rsidRPr="002E4A10">
              <w:rPr>
                <w:rFonts w:ascii="Arial" w:hAnsi="Arial" w:cs="Arial"/>
                <w:sz w:val="24"/>
                <w:szCs w:val="24"/>
              </w:rPr>
              <w:t>The PPL application is client group specific but applicable for both residential and supported living.  SO if you are on all the client group lists you wish to be considered for then you will be eligible to receive and submit mini competition method statements for supported living and or residential care competitions.</w:t>
            </w:r>
          </w:p>
          <w:p w:rsidR="00891120" w:rsidRPr="002E4A10" w:rsidRDefault="00891120" w:rsidP="005038B5">
            <w:pPr>
              <w:pStyle w:val="ListParagraph"/>
              <w:spacing w:after="150"/>
              <w:ind w:left="0"/>
              <w:rPr>
                <w:rFonts w:ascii="Arial" w:eastAsia="Times New Roman" w:hAnsi="Arial" w:cs="Arial"/>
                <w:sz w:val="24"/>
                <w:szCs w:val="24"/>
                <w:lang w:eastAsia="en-GB"/>
              </w:rPr>
            </w:pPr>
          </w:p>
        </w:tc>
        <w:tc>
          <w:tcPr>
            <w:tcW w:w="1985" w:type="dxa"/>
          </w:tcPr>
          <w:p w:rsidR="00891120" w:rsidRPr="002E4A10" w:rsidRDefault="00A73C0D"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20</w:t>
            </w:r>
            <w:r w:rsidRPr="00A73C0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p>
        </w:tc>
      </w:tr>
      <w:tr w:rsidR="002E4A10" w:rsidRPr="002E4A10" w:rsidTr="0005179B">
        <w:tc>
          <w:tcPr>
            <w:tcW w:w="1056" w:type="dxa"/>
          </w:tcPr>
          <w:p w:rsidR="00891120" w:rsidRPr="002E4A10" w:rsidRDefault="00891120" w:rsidP="005038B5">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Q3</w:t>
            </w:r>
          </w:p>
        </w:tc>
        <w:tc>
          <w:tcPr>
            <w:tcW w:w="4190" w:type="dxa"/>
          </w:tcPr>
          <w:p w:rsidR="00891120" w:rsidRPr="002E4A10" w:rsidRDefault="00743A6C" w:rsidP="004E0BC8">
            <w:pPr>
              <w:spacing w:after="240"/>
              <w:rPr>
                <w:rFonts w:ascii="Arial" w:eastAsia="Times New Roman" w:hAnsi="Arial" w:cs="Arial"/>
                <w:sz w:val="24"/>
                <w:szCs w:val="24"/>
              </w:rPr>
            </w:pPr>
            <w:r w:rsidRPr="002E4A10">
              <w:rPr>
                <w:rFonts w:ascii="Arial" w:eastAsia="Times New Roman" w:hAnsi="Arial" w:cs="Arial"/>
                <w:sz w:val="24"/>
                <w:szCs w:val="24"/>
              </w:rPr>
              <w:t xml:space="preserve">Further to the preferred provider list current opportunity. Can you confirm if this covers 'live in care' for older people? If not what process do we need to go through to become an </w:t>
            </w:r>
            <w:r w:rsidRPr="002E4A10">
              <w:rPr>
                <w:rFonts w:ascii="Arial" w:eastAsia="Times New Roman" w:hAnsi="Arial" w:cs="Arial"/>
                <w:sz w:val="24"/>
                <w:szCs w:val="24"/>
              </w:rPr>
              <w:lastRenderedPageBreak/>
              <w:t>approved provider</w:t>
            </w:r>
            <w:r w:rsidR="004E0BC8" w:rsidRPr="002E4A10">
              <w:rPr>
                <w:rFonts w:ascii="Arial" w:eastAsia="Times New Roman" w:hAnsi="Arial" w:cs="Arial"/>
                <w:sz w:val="24"/>
                <w:szCs w:val="24"/>
              </w:rPr>
              <w:t xml:space="preserve"> even if for spot care packages</w:t>
            </w:r>
          </w:p>
        </w:tc>
        <w:tc>
          <w:tcPr>
            <w:tcW w:w="6520" w:type="dxa"/>
          </w:tcPr>
          <w:p w:rsidR="00415B57" w:rsidRDefault="009926B1" w:rsidP="009926B1">
            <w:pPr>
              <w:pStyle w:val="ListParagraph"/>
              <w:spacing w:after="150"/>
              <w:ind w:left="0"/>
              <w:rPr>
                <w:rFonts w:ascii="Arial" w:hAnsi="Arial" w:cs="Arial"/>
                <w:sz w:val="24"/>
                <w:szCs w:val="24"/>
              </w:rPr>
            </w:pPr>
            <w:r w:rsidRPr="002E4A10">
              <w:rPr>
                <w:rFonts w:ascii="Arial" w:hAnsi="Arial" w:cs="Arial"/>
                <w:sz w:val="24"/>
                <w:szCs w:val="24"/>
              </w:rPr>
              <w:lastRenderedPageBreak/>
              <w:t>This preferred list is not for live in care</w:t>
            </w:r>
            <w:r w:rsidR="00415B57">
              <w:rPr>
                <w:rFonts w:ascii="Arial" w:hAnsi="Arial" w:cs="Arial"/>
                <w:sz w:val="24"/>
                <w:szCs w:val="24"/>
              </w:rPr>
              <w:t xml:space="preserve"> and is not for generic older people’s services.</w:t>
            </w:r>
          </w:p>
          <w:p w:rsidR="00415B57" w:rsidRDefault="00415B57" w:rsidP="009926B1">
            <w:pPr>
              <w:pStyle w:val="ListParagraph"/>
              <w:spacing w:after="150"/>
              <w:ind w:left="0"/>
              <w:rPr>
                <w:rFonts w:ascii="Arial" w:hAnsi="Arial" w:cs="Arial"/>
                <w:sz w:val="24"/>
                <w:szCs w:val="24"/>
              </w:rPr>
            </w:pPr>
          </w:p>
          <w:p w:rsidR="00415B57" w:rsidRDefault="009926B1" w:rsidP="009926B1">
            <w:pPr>
              <w:pStyle w:val="ListParagraph"/>
              <w:spacing w:after="150"/>
              <w:ind w:left="0"/>
              <w:rPr>
                <w:rFonts w:ascii="Arial" w:hAnsi="Arial" w:cs="Arial"/>
                <w:sz w:val="24"/>
                <w:szCs w:val="24"/>
              </w:rPr>
            </w:pPr>
            <w:r w:rsidRPr="002E4A10">
              <w:rPr>
                <w:rFonts w:ascii="Arial" w:hAnsi="Arial" w:cs="Arial"/>
                <w:sz w:val="24"/>
                <w:szCs w:val="24"/>
              </w:rPr>
              <w:t>A block contract would usually be procured though a tender, these would usually appear on th</w:t>
            </w:r>
            <w:r w:rsidR="00415B57">
              <w:rPr>
                <w:rFonts w:ascii="Arial" w:hAnsi="Arial" w:cs="Arial"/>
                <w:sz w:val="24"/>
                <w:szCs w:val="24"/>
              </w:rPr>
              <w:t xml:space="preserve">e South East </w:t>
            </w:r>
            <w:r w:rsidR="00415B57">
              <w:rPr>
                <w:rFonts w:ascii="Arial" w:hAnsi="Arial" w:cs="Arial"/>
                <w:sz w:val="24"/>
                <w:szCs w:val="24"/>
              </w:rPr>
              <w:lastRenderedPageBreak/>
              <w:t>Business Portal.</w:t>
            </w:r>
            <w:r w:rsidRPr="002E4A10">
              <w:rPr>
                <w:rFonts w:ascii="Arial" w:hAnsi="Arial" w:cs="Arial"/>
                <w:sz w:val="24"/>
                <w:szCs w:val="24"/>
              </w:rPr>
              <w:t> </w:t>
            </w:r>
          </w:p>
          <w:p w:rsidR="00415B57" w:rsidRDefault="00415B57" w:rsidP="009926B1">
            <w:pPr>
              <w:pStyle w:val="ListParagraph"/>
              <w:spacing w:after="150"/>
              <w:ind w:left="0"/>
              <w:rPr>
                <w:rFonts w:ascii="Arial" w:hAnsi="Arial" w:cs="Arial"/>
                <w:sz w:val="24"/>
                <w:szCs w:val="24"/>
              </w:rPr>
            </w:pPr>
          </w:p>
          <w:p w:rsidR="00A02A1C" w:rsidRPr="002E4A10" w:rsidRDefault="009926B1" w:rsidP="00A73C0D">
            <w:pPr>
              <w:pStyle w:val="ListParagraph"/>
              <w:spacing w:after="150"/>
              <w:ind w:left="0"/>
              <w:rPr>
                <w:rFonts w:ascii="Arial" w:eastAsia="Times New Roman" w:hAnsi="Arial" w:cs="Arial"/>
                <w:sz w:val="24"/>
                <w:szCs w:val="24"/>
                <w:lang w:eastAsia="en-GB"/>
              </w:rPr>
            </w:pPr>
            <w:r w:rsidRPr="002E4A10">
              <w:rPr>
                <w:rFonts w:ascii="Arial" w:hAnsi="Arial" w:cs="Arial"/>
                <w:sz w:val="24"/>
                <w:szCs w:val="24"/>
              </w:rPr>
              <w:t>Spot arrangements are through individual care managers or brokers</w:t>
            </w:r>
            <w:r w:rsidR="00415B57">
              <w:rPr>
                <w:rFonts w:ascii="Arial" w:hAnsi="Arial" w:cs="Arial"/>
                <w:sz w:val="24"/>
                <w:szCs w:val="24"/>
              </w:rPr>
              <w:t xml:space="preserve"> or for older people </w:t>
            </w:r>
            <w:r w:rsidR="00A73C0D">
              <w:rPr>
                <w:rFonts w:ascii="Arial" w:hAnsi="Arial" w:cs="Arial"/>
                <w:sz w:val="24"/>
                <w:szCs w:val="24"/>
              </w:rPr>
              <w:t>contact the Care Placement Team</w:t>
            </w:r>
            <w:r w:rsidRPr="002E4A10">
              <w:rPr>
                <w:rFonts w:ascii="Arial" w:hAnsi="Arial" w:cs="Arial"/>
                <w:sz w:val="24"/>
                <w:szCs w:val="24"/>
              </w:rPr>
              <w:t xml:space="preserve">.  </w:t>
            </w:r>
            <w:r w:rsidRPr="002E4A10">
              <w:rPr>
                <w:rFonts w:ascii="Arial" w:hAnsi="Arial" w:cs="Arial"/>
                <w:sz w:val="24"/>
                <w:szCs w:val="24"/>
              </w:rPr>
              <w:br/>
            </w:r>
          </w:p>
        </w:tc>
        <w:tc>
          <w:tcPr>
            <w:tcW w:w="1985" w:type="dxa"/>
          </w:tcPr>
          <w:p w:rsidR="00891120" w:rsidRPr="002E4A10" w:rsidRDefault="00A73C0D"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20</w:t>
            </w:r>
            <w:r w:rsidRPr="00A73C0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p>
        </w:tc>
      </w:tr>
      <w:tr w:rsidR="002E4A10" w:rsidRPr="002E4A10" w:rsidTr="0005179B">
        <w:tc>
          <w:tcPr>
            <w:tcW w:w="1056" w:type="dxa"/>
          </w:tcPr>
          <w:p w:rsidR="0005179B" w:rsidRPr="002E4A10" w:rsidRDefault="0005179B" w:rsidP="005038B5">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lastRenderedPageBreak/>
              <w:t>Q4</w:t>
            </w:r>
          </w:p>
        </w:tc>
        <w:tc>
          <w:tcPr>
            <w:tcW w:w="4190" w:type="dxa"/>
          </w:tcPr>
          <w:p w:rsidR="004E0BC8" w:rsidRPr="002E4A10" w:rsidRDefault="004E0BC8" w:rsidP="004E0BC8">
            <w:pPr>
              <w:rPr>
                <w:rFonts w:ascii="Arial" w:hAnsi="Arial" w:cs="Arial"/>
                <w:sz w:val="24"/>
                <w:szCs w:val="24"/>
              </w:rPr>
            </w:pPr>
            <w:r w:rsidRPr="002E4A10">
              <w:rPr>
                <w:rFonts w:ascii="Arial" w:hAnsi="Arial" w:cs="Arial"/>
                <w:sz w:val="24"/>
                <w:szCs w:val="24"/>
              </w:rPr>
              <w:t>I would be grateful if you would advise me whether or not this commissioning process includes the provision of out-of-area residential addiction treatment for Buckinghamshire residents who have a substance misuse problem? Or is this commissioned quite separately?</w:t>
            </w:r>
          </w:p>
          <w:p w:rsidR="00A02A1C" w:rsidRPr="002E4A10" w:rsidRDefault="00A02A1C" w:rsidP="00891120">
            <w:pPr>
              <w:rPr>
                <w:rFonts w:ascii="Arial" w:eastAsia="Calibri" w:hAnsi="Arial" w:cs="Arial"/>
                <w:sz w:val="24"/>
                <w:szCs w:val="24"/>
              </w:rPr>
            </w:pPr>
          </w:p>
        </w:tc>
        <w:tc>
          <w:tcPr>
            <w:tcW w:w="6520" w:type="dxa"/>
          </w:tcPr>
          <w:p w:rsidR="0005179B" w:rsidRPr="002E4A10" w:rsidRDefault="009926B1" w:rsidP="009926B1">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This preferred provider list is for care and support services, for the specified client groups</w:t>
            </w:r>
            <w:r w:rsidR="002E4A10" w:rsidRPr="002E4A10">
              <w:rPr>
                <w:rFonts w:ascii="Arial" w:eastAsia="Times New Roman" w:hAnsi="Arial" w:cs="Arial"/>
                <w:sz w:val="24"/>
                <w:szCs w:val="24"/>
                <w:lang w:eastAsia="en-GB"/>
              </w:rPr>
              <w:t xml:space="preserve"> in either a residential or supported living setting. This will not be the way services primarily designed for supporting  people with substance misuse problems will be commissioned</w:t>
            </w:r>
          </w:p>
          <w:p w:rsidR="002E4A10" w:rsidRPr="002E4A10" w:rsidRDefault="002E4A10" w:rsidP="009926B1">
            <w:pPr>
              <w:pStyle w:val="ListParagraph"/>
              <w:spacing w:after="150"/>
              <w:ind w:left="0"/>
              <w:rPr>
                <w:rFonts w:ascii="Arial" w:eastAsia="Times New Roman" w:hAnsi="Arial" w:cs="Arial"/>
                <w:sz w:val="24"/>
                <w:szCs w:val="24"/>
                <w:lang w:eastAsia="en-GB"/>
              </w:rPr>
            </w:pPr>
          </w:p>
          <w:p w:rsidR="002E4A10" w:rsidRPr="002E4A10" w:rsidRDefault="002E4A10" w:rsidP="009926B1">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All clients under each category will have substantial or critical levels of need to meet the FACS eligibility for funding from adult social care.</w:t>
            </w:r>
          </w:p>
        </w:tc>
        <w:tc>
          <w:tcPr>
            <w:tcW w:w="1985" w:type="dxa"/>
          </w:tcPr>
          <w:p w:rsidR="0005179B" w:rsidRPr="002E4A10" w:rsidRDefault="00A73C0D"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20</w:t>
            </w:r>
            <w:r w:rsidRPr="00A73C0D">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p>
        </w:tc>
      </w:tr>
      <w:tr w:rsidR="009910F2" w:rsidRPr="002E4A10" w:rsidTr="0005179B">
        <w:tc>
          <w:tcPr>
            <w:tcW w:w="1056" w:type="dxa"/>
          </w:tcPr>
          <w:p w:rsidR="009910F2" w:rsidRPr="002E4A10"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Q5</w:t>
            </w:r>
          </w:p>
        </w:tc>
        <w:tc>
          <w:tcPr>
            <w:tcW w:w="4190" w:type="dxa"/>
          </w:tcPr>
          <w:p w:rsidR="009910F2" w:rsidRPr="009910F2" w:rsidRDefault="009910F2" w:rsidP="009910F2">
            <w:pPr>
              <w:rPr>
                <w:rFonts w:ascii="Arial" w:hAnsi="Arial" w:cs="Arial"/>
                <w:sz w:val="24"/>
                <w:szCs w:val="24"/>
              </w:rPr>
            </w:pPr>
            <w:r w:rsidRPr="009910F2">
              <w:rPr>
                <w:rFonts w:ascii="Arial" w:hAnsi="Arial" w:cs="Arial"/>
                <w:sz w:val="24"/>
                <w:szCs w:val="24"/>
              </w:rPr>
              <w:t>With regard to the PPL.  We do not operate a Supported Living service within Buckinghamshire but are looking to provide a community-based individualised support service to people who are living in Supported Living to enable them to access the community and improve their quality of life. Would this be acceptable as a service that qualifies inclusion in the PPL?</w:t>
            </w:r>
          </w:p>
          <w:p w:rsidR="009910F2" w:rsidRPr="002E4A10" w:rsidRDefault="009910F2" w:rsidP="004E0BC8">
            <w:pPr>
              <w:rPr>
                <w:rFonts w:ascii="Arial" w:hAnsi="Arial" w:cs="Arial"/>
                <w:sz w:val="24"/>
                <w:szCs w:val="24"/>
              </w:rPr>
            </w:pPr>
          </w:p>
        </w:tc>
        <w:tc>
          <w:tcPr>
            <w:tcW w:w="6520" w:type="dxa"/>
          </w:tcPr>
          <w:p w:rsidR="009910F2" w:rsidRDefault="009910F2" w:rsidP="009926B1">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This preferred provider list</w:t>
            </w:r>
            <w:r>
              <w:rPr>
                <w:rFonts w:ascii="Arial" w:eastAsia="Times New Roman" w:hAnsi="Arial" w:cs="Arial"/>
                <w:sz w:val="24"/>
                <w:szCs w:val="24"/>
                <w:lang w:eastAsia="en-GB"/>
              </w:rPr>
              <w:t xml:space="preserve"> </w:t>
            </w:r>
            <w:r w:rsidRPr="002E4A10">
              <w:rPr>
                <w:rFonts w:ascii="Arial" w:eastAsia="Times New Roman" w:hAnsi="Arial" w:cs="Arial"/>
                <w:sz w:val="24"/>
                <w:szCs w:val="24"/>
                <w:lang w:eastAsia="en-GB"/>
              </w:rPr>
              <w:t>is for care and support services</w:t>
            </w:r>
            <w:r>
              <w:rPr>
                <w:rFonts w:ascii="Arial" w:eastAsia="Times New Roman" w:hAnsi="Arial" w:cs="Arial"/>
                <w:sz w:val="24"/>
                <w:szCs w:val="24"/>
                <w:lang w:eastAsia="en-GB"/>
              </w:rPr>
              <w:t>. It is a list of providers able to respond to mini competitions to provide care and support</w:t>
            </w:r>
            <w:r w:rsidRPr="002E4A10">
              <w:rPr>
                <w:rFonts w:ascii="Arial" w:eastAsia="Times New Roman" w:hAnsi="Arial" w:cs="Arial"/>
                <w:sz w:val="24"/>
                <w:szCs w:val="24"/>
                <w:lang w:eastAsia="en-GB"/>
              </w:rPr>
              <w:t>, for the specified client groups</w:t>
            </w:r>
            <w:r>
              <w:rPr>
                <w:rFonts w:ascii="Arial" w:eastAsia="Times New Roman" w:hAnsi="Arial" w:cs="Arial"/>
                <w:sz w:val="24"/>
                <w:szCs w:val="24"/>
                <w:lang w:eastAsia="en-GB"/>
              </w:rPr>
              <w:t>,</w:t>
            </w:r>
            <w:r w:rsidRPr="002E4A10">
              <w:rPr>
                <w:rFonts w:ascii="Arial" w:eastAsia="Times New Roman" w:hAnsi="Arial" w:cs="Arial"/>
                <w:sz w:val="24"/>
                <w:szCs w:val="24"/>
                <w:lang w:eastAsia="en-GB"/>
              </w:rPr>
              <w:t xml:space="preserve"> in either a residenti</w:t>
            </w:r>
            <w:r>
              <w:rPr>
                <w:rFonts w:ascii="Arial" w:eastAsia="Times New Roman" w:hAnsi="Arial" w:cs="Arial"/>
                <w:sz w:val="24"/>
                <w:szCs w:val="24"/>
                <w:lang w:eastAsia="en-GB"/>
              </w:rPr>
              <w:t>al or supported living setting where the Council will have identified accommodation.</w:t>
            </w:r>
          </w:p>
          <w:p w:rsidR="009910F2" w:rsidRDefault="009910F2" w:rsidP="009926B1">
            <w:pPr>
              <w:pStyle w:val="ListParagraph"/>
              <w:spacing w:after="150"/>
              <w:ind w:left="0"/>
              <w:rPr>
                <w:rFonts w:ascii="Arial" w:eastAsia="Times New Roman" w:hAnsi="Arial" w:cs="Arial"/>
                <w:sz w:val="24"/>
                <w:szCs w:val="24"/>
                <w:lang w:eastAsia="en-GB"/>
              </w:rPr>
            </w:pPr>
          </w:p>
          <w:p w:rsidR="009910F2" w:rsidRPr="002E4A10" w:rsidRDefault="009910F2" w:rsidP="009926B1">
            <w:pPr>
              <w:pStyle w:val="ListParagraph"/>
              <w:spacing w:after="150"/>
              <w:ind w:left="0"/>
              <w:rPr>
                <w:rFonts w:ascii="Arial" w:eastAsia="Times New Roman" w:hAnsi="Arial" w:cs="Arial"/>
                <w:sz w:val="24"/>
                <w:szCs w:val="24"/>
                <w:lang w:eastAsia="en-GB"/>
              </w:rPr>
            </w:pPr>
            <w:r w:rsidRPr="002E4A10">
              <w:rPr>
                <w:rFonts w:ascii="Arial" w:eastAsia="Times New Roman" w:hAnsi="Arial" w:cs="Arial"/>
                <w:sz w:val="24"/>
                <w:szCs w:val="24"/>
                <w:lang w:eastAsia="en-GB"/>
              </w:rPr>
              <w:t>This will not be the way services primarily designed</w:t>
            </w:r>
            <w:r>
              <w:rPr>
                <w:rFonts w:ascii="Arial" w:eastAsia="Times New Roman" w:hAnsi="Arial" w:cs="Arial"/>
                <w:sz w:val="24"/>
                <w:szCs w:val="24"/>
                <w:lang w:eastAsia="en-GB"/>
              </w:rPr>
              <w:t xml:space="preserve"> to support people to access the community will be achieved.  If access to the local community from the supported living service we commission is necessary for the individual then this will be part of the individual’s 1 to 1 package.  This may be via a direct payment or as part of the commissioned service.</w:t>
            </w:r>
          </w:p>
        </w:tc>
        <w:tc>
          <w:tcPr>
            <w:tcW w:w="1985" w:type="dxa"/>
          </w:tcPr>
          <w:p w:rsidR="009910F2"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23</w:t>
            </w:r>
            <w:r w:rsidRPr="009910F2">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January 2015</w:t>
            </w:r>
          </w:p>
        </w:tc>
      </w:tr>
      <w:tr w:rsidR="009910F2" w:rsidRPr="002E4A10" w:rsidTr="0005179B">
        <w:tc>
          <w:tcPr>
            <w:tcW w:w="1056" w:type="dxa"/>
          </w:tcPr>
          <w:p w:rsidR="009910F2" w:rsidRPr="002E4A10"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Q6</w:t>
            </w:r>
          </w:p>
        </w:tc>
        <w:tc>
          <w:tcPr>
            <w:tcW w:w="4190" w:type="dxa"/>
          </w:tcPr>
          <w:p w:rsidR="009910F2" w:rsidRPr="002E4A10" w:rsidRDefault="009910F2" w:rsidP="004E0BC8">
            <w:pPr>
              <w:rPr>
                <w:rFonts w:ascii="Arial" w:hAnsi="Arial" w:cs="Arial"/>
                <w:sz w:val="24"/>
                <w:szCs w:val="24"/>
              </w:rPr>
            </w:pPr>
            <w:r w:rsidRPr="009910F2">
              <w:rPr>
                <w:rFonts w:ascii="Arial" w:hAnsi="Arial" w:cs="Arial"/>
                <w:sz w:val="24"/>
                <w:szCs w:val="24"/>
              </w:rPr>
              <w:t>Please can you provide a list of post codes that this contact will cover?</w:t>
            </w:r>
          </w:p>
        </w:tc>
        <w:tc>
          <w:tcPr>
            <w:tcW w:w="6520" w:type="dxa"/>
          </w:tcPr>
          <w:p w:rsidR="009910F2" w:rsidRPr="002E4A10" w:rsidRDefault="009910F2" w:rsidP="009926B1">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These have not been identified at this stage.  Each mini competition will be published to all providers on the relevant client category lists.</w:t>
            </w:r>
          </w:p>
        </w:tc>
        <w:tc>
          <w:tcPr>
            <w:tcW w:w="1985" w:type="dxa"/>
          </w:tcPr>
          <w:p w:rsidR="009910F2"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23</w:t>
            </w:r>
            <w:r w:rsidRPr="009910F2">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January 2015</w:t>
            </w:r>
          </w:p>
        </w:tc>
      </w:tr>
      <w:tr w:rsidR="009910F2" w:rsidRPr="002E4A10" w:rsidTr="0005179B">
        <w:tc>
          <w:tcPr>
            <w:tcW w:w="1056" w:type="dxa"/>
          </w:tcPr>
          <w:p w:rsidR="009910F2" w:rsidRPr="002E4A10"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Q7</w:t>
            </w:r>
          </w:p>
        </w:tc>
        <w:tc>
          <w:tcPr>
            <w:tcW w:w="4190" w:type="dxa"/>
          </w:tcPr>
          <w:p w:rsidR="009910F2" w:rsidRPr="009910F2" w:rsidRDefault="009910F2" w:rsidP="009910F2">
            <w:pPr>
              <w:rPr>
                <w:rFonts w:ascii="Arial" w:hAnsi="Arial" w:cs="Arial"/>
                <w:sz w:val="24"/>
                <w:szCs w:val="24"/>
              </w:rPr>
            </w:pPr>
            <w:r w:rsidRPr="009910F2">
              <w:rPr>
                <w:rFonts w:ascii="Arial" w:hAnsi="Arial" w:cs="Arial"/>
                <w:sz w:val="24"/>
                <w:szCs w:val="24"/>
              </w:rPr>
              <w:t>Please can you clarify the following?</w:t>
            </w:r>
          </w:p>
          <w:p w:rsidR="009910F2" w:rsidRPr="009910F2" w:rsidRDefault="009910F2" w:rsidP="009910F2">
            <w:pPr>
              <w:rPr>
                <w:rFonts w:ascii="Arial" w:hAnsi="Arial" w:cs="Arial"/>
                <w:sz w:val="24"/>
                <w:szCs w:val="24"/>
              </w:rPr>
            </w:pPr>
          </w:p>
          <w:p w:rsidR="009910F2" w:rsidRPr="009910F2" w:rsidRDefault="009910F2" w:rsidP="009910F2">
            <w:pPr>
              <w:rPr>
                <w:rFonts w:ascii="Arial" w:hAnsi="Arial" w:cs="Arial"/>
                <w:sz w:val="24"/>
                <w:szCs w:val="24"/>
              </w:rPr>
            </w:pPr>
            <w:r w:rsidRPr="009910F2">
              <w:rPr>
                <w:rFonts w:ascii="Arial" w:hAnsi="Arial" w:cs="Arial"/>
                <w:sz w:val="24"/>
                <w:szCs w:val="24"/>
              </w:rPr>
              <w:t>•</w:t>
            </w:r>
            <w:r w:rsidRPr="009910F2">
              <w:rPr>
                <w:rFonts w:ascii="Arial" w:hAnsi="Arial" w:cs="Arial"/>
                <w:sz w:val="24"/>
                <w:szCs w:val="24"/>
              </w:rPr>
              <w:tab/>
              <w:t>When the contract will run until?</w:t>
            </w:r>
          </w:p>
          <w:p w:rsidR="009910F2" w:rsidRPr="009910F2" w:rsidRDefault="009910F2" w:rsidP="009910F2">
            <w:pPr>
              <w:rPr>
                <w:rFonts w:ascii="Arial" w:hAnsi="Arial" w:cs="Arial"/>
                <w:sz w:val="24"/>
                <w:szCs w:val="24"/>
              </w:rPr>
            </w:pPr>
            <w:r w:rsidRPr="009910F2">
              <w:rPr>
                <w:rFonts w:ascii="Arial" w:hAnsi="Arial" w:cs="Arial"/>
                <w:sz w:val="24"/>
                <w:szCs w:val="24"/>
              </w:rPr>
              <w:t>•</w:t>
            </w:r>
            <w:r w:rsidRPr="009910F2">
              <w:rPr>
                <w:rFonts w:ascii="Arial" w:hAnsi="Arial" w:cs="Arial"/>
                <w:sz w:val="24"/>
                <w:szCs w:val="24"/>
              </w:rPr>
              <w:tab/>
              <w:t>How many support hours will be required each week/month?</w:t>
            </w:r>
          </w:p>
          <w:p w:rsidR="009910F2" w:rsidRPr="002E4A10" w:rsidRDefault="009910F2" w:rsidP="009910F2">
            <w:pPr>
              <w:rPr>
                <w:rFonts w:ascii="Arial" w:hAnsi="Arial" w:cs="Arial"/>
                <w:sz w:val="24"/>
                <w:szCs w:val="24"/>
              </w:rPr>
            </w:pPr>
            <w:r w:rsidRPr="009910F2">
              <w:rPr>
                <w:rFonts w:ascii="Arial" w:hAnsi="Arial" w:cs="Arial"/>
                <w:sz w:val="24"/>
                <w:szCs w:val="24"/>
              </w:rPr>
              <w:t>•</w:t>
            </w:r>
            <w:r w:rsidRPr="009910F2">
              <w:rPr>
                <w:rFonts w:ascii="Arial" w:hAnsi="Arial" w:cs="Arial"/>
                <w:sz w:val="24"/>
                <w:szCs w:val="24"/>
              </w:rPr>
              <w:tab/>
              <w:t>How many service users will there be in each group?</w:t>
            </w:r>
          </w:p>
        </w:tc>
        <w:tc>
          <w:tcPr>
            <w:tcW w:w="6520" w:type="dxa"/>
          </w:tcPr>
          <w:p w:rsidR="009910F2" w:rsidRPr="002E4A10" w:rsidRDefault="009910F2" w:rsidP="009926B1">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Please see response to Q 5 and 6.  This application is to be on a list. Specific mini competition specifications </w:t>
            </w:r>
            <w:r w:rsidR="003D6221">
              <w:rPr>
                <w:rFonts w:ascii="Arial" w:eastAsia="Times New Roman" w:hAnsi="Arial" w:cs="Arial"/>
                <w:sz w:val="24"/>
                <w:szCs w:val="24"/>
                <w:lang w:eastAsia="en-GB"/>
              </w:rPr>
              <w:t xml:space="preserve">will be </w:t>
            </w:r>
            <w:r>
              <w:rPr>
                <w:rFonts w:ascii="Arial" w:eastAsia="Times New Roman" w:hAnsi="Arial" w:cs="Arial"/>
                <w:sz w:val="24"/>
                <w:szCs w:val="24"/>
                <w:lang w:eastAsia="en-GB"/>
              </w:rPr>
              <w:t>published only to providers on the list of the specific client group category.</w:t>
            </w:r>
          </w:p>
        </w:tc>
        <w:tc>
          <w:tcPr>
            <w:tcW w:w="1985" w:type="dxa"/>
          </w:tcPr>
          <w:p w:rsidR="009910F2" w:rsidRDefault="009910F2"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23</w:t>
            </w:r>
            <w:r w:rsidRPr="009910F2">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January 2015</w:t>
            </w:r>
          </w:p>
        </w:tc>
      </w:tr>
      <w:tr w:rsidR="00564D38" w:rsidRPr="002E4A10" w:rsidTr="0005179B">
        <w:tc>
          <w:tcPr>
            <w:tcW w:w="1056" w:type="dxa"/>
          </w:tcPr>
          <w:p w:rsidR="00564D38" w:rsidRDefault="00564D38"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Q8</w:t>
            </w:r>
          </w:p>
        </w:tc>
        <w:tc>
          <w:tcPr>
            <w:tcW w:w="4190" w:type="dxa"/>
          </w:tcPr>
          <w:p w:rsidR="00564D38" w:rsidRPr="009910F2" w:rsidRDefault="00564D38" w:rsidP="009910F2">
            <w:pPr>
              <w:rPr>
                <w:rFonts w:ascii="Arial" w:hAnsi="Arial" w:cs="Arial"/>
                <w:sz w:val="24"/>
                <w:szCs w:val="24"/>
              </w:rPr>
            </w:pPr>
            <w:r w:rsidRPr="00564D38">
              <w:rPr>
                <w:rFonts w:ascii="Arial" w:hAnsi="Arial" w:cs="Arial"/>
                <w:sz w:val="24"/>
                <w:szCs w:val="24"/>
              </w:rPr>
              <w:t>Can you please advise if providers must have existing properties from which to deliver residential services and what the requirements are for sourcing supported living properties?</w:t>
            </w:r>
          </w:p>
        </w:tc>
        <w:tc>
          <w:tcPr>
            <w:tcW w:w="6520" w:type="dxa"/>
          </w:tcPr>
          <w:p w:rsidR="00564D38" w:rsidRDefault="00564D38" w:rsidP="009926B1">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The Council will usually only publish mini competitions for care and support services where property (from which the service will be delivered from) has already been secured.</w:t>
            </w:r>
          </w:p>
        </w:tc>
        <w:tc>
          <w:tcPr>
            <w:tcW w:w="1985" w:type="dxa"/>
          </w:tcPr>
          <w:p w:rsidR="00564D38" w:rsidRDefault="00564D38"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26</w:t>
            </w:r>
            <w:r w:rsidRPr="00564D38">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p>
        </w:tc>
      </w:tr>
      <w:tr w:rsidR="00E6251E" w:rsidRPr="002E4A10" w:rsidTr="0005179B">
        <w:tc>
          <w:tcPr>
            <w:tcW w:w="1056" w:type="dxa"/>
          </w:tcPr>
          <w:p w:rsidR="00E6251E" w:rsidRDefault="00E6251E"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Q9</w:t>
            </w:r>
          </w:p>
        </w:tc>
        <w:tc>
          <w:tcPr>
            <w:tcW w:w="4190" w:type="dxa"/>
          </w:tcPr>
          <w:p w:rsidR="00E6251E" w:rsidRPr="00564D38" w:rsidRDefault="00E6251E" w:rsidP="009910F2">
            <w:pPr>
              <w:rPr>
                <w:rFonts w:ascii="Arial" w:hAnsi="Arial" w:cs="Arial"/>
                <w:sz w:val="24"/>
                <w:szCs w:val="24"/>
              </w:rPr>
            </w:pPr>
            <w:r w:rsidRPr="00E6251E">
              <w:rPr>
                <w:rFonts w:ascii="Arial" w:hAnsi="Arial" w:cs="Arial"/>
                <w:sz w:val="24"/>
                <w:szCs w:val="24"/>
              </w:rPr>
              <w:t>Can you advise if providers will be obliged to submit responses to all mini tenders for their chosen groups once on the list?</w:t>
            </w:r>
          </w:p>
        </w:tc>
        <w:tc>
          <w:tcPr>
            <w:tcW w:w="6520" w:type="dxa"/>
          </w:tcPr>
          <w:p w:rsidR="00E6251E" w:rsidRDefault="00E6251E" w:rsidP="009926B1">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Providers successfully placed on the lists are not obliged to submit responses.</w:t>
            </w:r>
          </w:p>
        </w:tc>
        <w:tc>
          <w:tcPr>
            <w:tcW w:w="1985" w:type="dxa"/>
          </w:tcPr>
          <w:p w:rsidR="00E6251E" w:rsidRDefault="00E6251E" w:rsidP="005038B5">
            <w:pPr>
              <w:pStyle w:val="ListParagraph"/>
              <w:spacing w:after="150"/>
              <w:ind w:left="0"/>
              <w:rPr>
                <w:rFonts w:ascii="Arial" w:eastAsia="Times New Roman" w:hAnsi="Arial" w:cs="Arial"/>
                <w:sz w:val="24"/>
                <w:szCs w:val="24"/>
                <w:lang w:eastAsia="en-GB"/>
              </w:rPr>
            </w:pPr>
            <w:r>
              <w:rPr>
                <w:rFonts w:ascii="Arial" w:eastAsia="Times New Roman" w:hAnsi="Arial" w:cs="Arial"/>
                <w:sz w:val="24"/>
                <w:szCs w:val="24"/>
                <w:lang w:eastAsia="en-GB"/>
              </w:rPr>
              <w:t>26</w:t>
            </w:r>
            <w:r w:rsidRPr="00E6251E">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 2015</w:t>
            </w:r>
            <w:bookmarkStart w:id="0" w:name="_GoBack"/>
            <w:bookmarkEnd w:id="0"/>
          </w:p>
        </w:tc>
      </w:tr>
    </w:tbl>
    <w:p w:rsidR="00B66FDD" w:rsidRDefault="00B66FDD"/>
    <w:sectPr w:rsidR="00B66FDD" w:rsidSect="0089112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90E3D"/>
    <w:multiLevelType w:val="hybridMultilevel"/>
    <w:tmpl w:val="F75AE5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0"/>
    <w:rsid w:val="0005179B"/>
    <w:rsid w:val="000632E2"/>
    <w:rsid w:val="000B405D"/>
    <w:rsid w:val="000B631A"/>
    <w:rsid w:val="000F6E26"/>
    <w:rsid w:val="00127B63"/>
    <w:rsid w:val="001B5FBD"/>
    <w:rsid w:val="001E786D"/>
    <w:rsid w:val="001F20B0"/>
    <w:rsid w:val="002D5978"/>
    <w:rsid w:val="002E4A10"/>
    <w:rsid w:val="00346751"/>
    <w:rsid w:val="00354296"/>
    <w:rsid w:val="00354B69"/>
    <w:rsid w:val="003704A7"/>
    <w:rsid w:val="003D6221"/>
    <w:rsid w:val="00402676"/>
    <w:rsid w:val="00415B57"/>
    <w:rsid w:val="00427782"/>
    <w:rsid w:val="00427EAD"/>
    <w:rsid w:val="00456BDB"/>
    <w:rsid w:val="004E0BC8"/>
    <w:rsid w:val="00564D38"/>
    <w:rsid w:val="00591637"/>
    <w:rsid w:val="0062747D"/>
    <w:rsid w:val="00627ABA"/>
    <w:rsid w:val="006B6552"/>
    <w:rsid w:val="006C40A0"/>
    <w:rsid w:val="00710F7D"/>
    <w:rsid w:val="00743A6C"/>
    <w:rsid w:val="00757879"/>
    <w:rsid w:val="00762D6A"/>
    <w:rsid w:val="00774DC3"/>
    <w:rsid w:val="00786209"/>
    <w:rsid w:val="007A001A"/>
    <w:rsid w:val="007B35E4"/>
    <w:rsid w:val="007B6CF2"/>
    <w:rsid w:val="007F7FE1"/>
    <w:rsid w:val="008060B9"/>
    <w:rsid w:val="008250B3"/>
    <w:rsid w:val="00856237"/>
    <w:rsid w:val="00891120"/>
    <w:rsid w:val="009745C0"/>
    <w:rsid w:val="009910F2"/>
    <w:rsid w:val="009926B1"/>
    <w:rsid w:val="009D22FE"/>
    <w:rsid w:val="00A02A1C"/>
    <w:rsid w:val="00A2492F"/>
    <w:rsid w:val="00A549C7"/>
    <w:rsid w:val="00A73C0D"/>
    <w:rsid w:val="00AF4D3F"/>
    <w:rsid w:val="00B66FDD"/>
    <w:rsid w:val="00B6724D"/>
    <w:rsid w:val="00B85BEF"/>
    <w:rsid w:val="00BB67AD"/>
    <w:rsid w:val="00BC4235"/>
    <w:rsid w:val="00BC6A38"/>
    <w:rsid w:val="00C33839"/>
    <w:rsid w:val="00C87EE7"/>
    <w:rsid w:val="00D22997"/>
    <w:rsid w:val="00D8339E"/>
    <w:rsid w:val="00DB7E0E"/>
    <w:rsid w:val="00E56776"/>
    <w:rsid w:val="00E6251E"/>
    <w:rsid w:val="00E72951"/>
    <w:rsid w:val="00F27154"/>
    <w:rsid w:val="00F743AC"/>
    <w:rsid w:val="00FC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20"/>
    <w:pPr>
      <w:ind w:left="720"/>
      <w:contextualSpacing/>
    </w:pPr>
  </w:style>
  <w:style w:type="table" w:styleId="TableGrid">
    <w:name w:val="Table Grid"/>
    <w:basedOn w:val="TableNormal"/>
    <w:uiPriority w:val="59"/>
    <w:rsid w:val="0089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3A6C"/>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743A6C"/>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20"/>
    <w:pPr>
      <w:ind w:left="720"/>
      <w:contextualSpacing/>
    </w:pPr>
  </w:style>
  <w:style w:type="table" w:styleId="TableGrid">
    <w:name w:val="Table Grid"/>
    <w:basedOn w:val="TableNormal"/>
    <w:uiPriority w:val="59"/>
    <w:rsid w:val="0089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43A6C"/>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743A6C"/>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028">
      <w:bodyDiv w:val="1"/>
      <w:marLeft w:val="0"/>
      <w:marRight w:val="0"/>
      <w:marTop w:val="0"/>
      <w:marBottom w:val="0"/>
      <w:divBdr>
        <w:top w:val="none" w:sz="0" w:space="0" w:color="auto"/>
        <w:left w:val="none" w:sz="0" w:space="0" w:color="auto"/>
        <w:bottom w:val="none" w:sz="0" w:space="0" w:color="auto"/>
        <w:right w:val="none" w:sz="0" w:space="0" w:color="auto"/>
      </w:divBdr>
    </w:div>
    <w:div w:id="181479376">
      <w:bodyDiv w:val="1"/>
      <w:marLeft w:val="0"/>
      <w:marRight w:val="0"/>
      <w:marTop w:val="0"/>
      <w:marBottom w:val="0"/>
      <w:divBdr>
        <w:top w:val="none" w:sz="0" w:space="0" w:color="auto"/>
        <w:left w:val="none" w:sz="0" w:space="0" w:color="auto"/>
        <w:bottom w:val="none" w:sz="0" w:space="0" w:color="auto"/>
        <w:right w:val="none" w:sz="0" w:space="0" w:color="auto"/>
      </w:divBdr>
    </w:div>
    <w:div w:id="194737401">
      <w:bodyDiv w:val="1"/>
      <w:marLeft w:val="0"/>
      <w:marRight w:val="0"/>
      <w:marTop w:val="0"/>
      <w:marBottom w:val="0"/>
      <w:divBdr>
        <w:top w:val="none" w:sz="0" w:space="0" w:color="auto"/>
        <w:left w:val="none" w:sz="0" w:space="0" w:color="auto"/>
        <w:bottom w:val="none" w:sz="0" w:space="0" w:color="auto"/>
        <w:right w:val="none" w:sz="0" w:space="0" w:color="auto"/>
      </w:divBdr>
    </w:div>
    <w:div w:id="285815698">
      <w:bodyDiv w:val="1"/>
      <w:marLeft w:val="0"/>
      <w:marRight w:val="0"/>
      <w:marTop w:val="0"/>
      <w:marBottom w:val="0"/>
      <w:divBdr>
        <w:top w:val="none" w:sz="0" w:space="0" w:color="auto"/>
        <w:left w:val="none" w:sz="0" w:space="0" w:color="auto"/>
        <w:bottom w:val="none" w:sz="0" w:space="0" w:color="auto"/>
        <w:right w:val="none" w:sz="0" w:space="0" w:color="auto"/>
      </w:divBdr>
    </w:div>
    <w:div w:id="478116193">
      <w:bodyDiv w:val="1"/>
      <w:marLeft w:val="0"/>
      <w:marRight w:val="0"/>
      <w:marTop w:val="0"/>
      <w:marBottom w:val="0"/>
      <w:divBdr>
        <w:top w:val="none" w:sz="0" w:space="0" w:color="auto"/>
        <w:left w:val="none" w:sz="0" w:space="0" w:color="auto"/>
        <w:bottom w:val="none" w:sz="0" w:space="0" w:color="auto"/>
        <w:right w:val="none" w:sz="0" w:space="0" w:color="auto"/>
      </w:divBdr>
    </w:div>
    <w:div w:id="567224370">
      <w:bodyDiv w:val="1"/>
      <w:marLeft w:val="0"/>
      <w:marRight w:val="0"/>
      <w:marTop w:val="0"/>
      <w:marBottom w:val="0"/>
      <w:divBdr>
        <w:top w:val="none" w:sz="0" w:space="0" w:color="auto"/>
        <w:left w:val="none" w:sz="0" w:space="0" w:color="auto"/>
        <w:bottom w:val="none" w:sz="0" w:space="0" w:color="auto"/>
        <w:right w:val="none" w:sz="0" w:space="0" w:color="auto"/>
      </w:divBdr>
    </w:div>
    <w:div w:id="606349915">
      <w:bodyDiv w:val="1"/>
      <w:marLeft w:val="0"/>
      <w:marRight w:val="0"/>
      <w:marTop w:val="0"/>
      <w:marBottom w:val="0"/>
      <w:divBdr>
        <w:top w:val="none" w:sz="0" w:space="0" w:color="auto"/>
        <w:left w:val="none" w:sz="0" w:space="0" w:color="auto"/>
        <w:bottom w:val="none" w:sz="0" w:space="0" w:color="auto"/>
        <w:right w:val="none" w:sz="0" w:space="0" w:color="auto"/>
      </w:divBdr>
    </w:div>
    <w:div w:id="841048041">
      <w:bodyDiv w:val="1"/>
      <w:marLeft w:val="0"/>
      <w:marRight w:val="0"/>
      <w:marTop w:val="0"/>
      <w:marBottom w:val="0"/>
      <w:divBdr>
        <w:top w:val="none" w:sz="0" w:space="0" w:color="auto"/>
        <w:left w:val="none" w:sz="0" w:space="0" w:color="auto"/>
        <w:bottom w:val="none" w:sz="0" w:space="0" w:color="auto"/>
        <w:right w:val="none" w:sz="0" w:space="0" w:color="auto"/>
      </w:divBdr>
    </w:div>
    <w:div w:id="1101415323">
      <w:bodyDiv w:val="1"/>
      <w:marLeft w:val="0"/>
      <w:marRight w:val="0"/>
      <w:marTop w:val="0"/>
      <w:marBottom w:val="0"/>
      <w:divBdr>
        <w:top w:val="none" w:sz="0" w:space="0" w:color="auto"/>
        <w:left w:val="none" w:sz="0" w:space="0" w:color="auto"/>
        <w:bottom w:val="none" w:sz="0" w:space="0" w:color="auto"/>
        <w:right w:val="none" w:sz="0" w:space="0" w:color="auto"/>
      </w:divBdr>
    </w:div>
    <w:div w:id="1309699809">
      <w:bodyDiv w:val="1"/>
      <w:marLeft w:val="0"/>
      <w:marRight w:val="0"/>
      <w:marTop w:val="0"/>
      <w:marBottom w:val="0"/>
      <w:divBdr>
        <w:top w:val="none" w:sz="0" w:space="0" w:color="auto"/>
        <w:left w:val="none" w:sz="0" w:space="0" w:color="auto"/>
        <w:bottom w:val="none" w:sz="0" w:space="0" w:color="auto"/>
        <w:right w:val="none" w:sz="0" w:space="0" w:color="auto"/>
      </w:divBdr>
    </w:div>
    <w:div w:id="1364406004">
      <w:bodyDiv w:val="1"/>
      <w:marLeft w:val="0"/>
      <w:marRight w:val="0"/>
      <w:marTop w:val="0"/>
      <w:marBottom w:val="0"/>
      <w:divBdr>
        <w:top w:val="none" w:sz="0" w:space="0" w:color="auto"/>
        <w:left w:val="none" w:sz="0" w:space="0" w:color="auto"/>
        <w:bottom w:val="none" w:sz="0" w:space="0" w:color="auto"/>
        <w:right w:val="none" w:sz="0" w:space="0" w:color="auto"/>
      </w:divBdr>
    </w:div>
    <w:div w:id="1415859533">
      <w:bodyDiv w:val="1"/>
      <w:marLeft w:val="0"/>
      <w:marRight w:val="0"/>
      <w:marTop w:val="0"/>
      <w:marBottom w:val="0"/>
      <w:divBdr>
        <w:top w:val="none" w:sz="0" w:space="0" w:color="auto"/>
        <w:left w:val="none" w:sz="0" w:space="0" w:color="auto"/>
        <w:bottom w:val="none" w:sz="0" w:space="0" w:color="auto"/>
        <w:right w:val="none" w:sz="0" w:space="0" w:color="auto"/>
      </w:divBdr>
    </w:div>
    <w:div w:id="1710839139">
      <w:bodyDiv w:val="1"/>
      <w:marLeft w:val="0"/>
      <w:marRight w:val="0"/>
      <w:marTop w:val="0"/>
      <w:marBottom w:val="0"/>
      <w:divBdr>
        <w:top w:val="none" w:sz="0" w:space="0" w:color="auto"/>
        <w:left w:val="none" w:sz="0" w:space="0" w:color="auto"/>
        <w:bottom w:val="none" w:sz="0" w:space="0" w:color="auto"/>
        <w:right w:val="none" w:sz="0" w:space="0" w:color="auto"/>
      </w:divBdr>
    </w:div>
    <w:div w:id="1818065838">
      <w:bodyDiv w:val="1"/>
      <w:marLeft w:val="0"/>
      <w:marRight w:val="0"/>
      <w:marTop w:val="0"/>
      <w:marBottom w:val="0"/>
      <w:divBdr>
        <w:top w:val="none" w:sz="0" w:space="0" w:color="auto"/>
        <w:left w:val="none" w:sz="0" w:space="0" w:color="auto"/>
        <w:bottom w:val="none" w:sz="0" w:space="0" w:color="auto"/>
        <w:right w:val="none" w:sz="0" w:space="0" w:color="auto"/>
      </w:divBdr>
    </w:div>
    <w:div w:id="1885017917">
      <w:bodyDiv w:val="1"/>
      <w:marLeft w:val="0"/>
      <w:marRight w:val="0"/>
      <w:marTop w:val="0"/>
      <w:marBottom w:val="0"/>
      <w:divBdr>
        <w:top w:val="none" w:sz="0" w:space="0" w:color="auto"/>
        <w:left w:val="none" w:sz="0" w:space="0" w:color="auto"/>
        <w:bottom w:val="none" w:sz="0" w:space="0" w:color="auto"/>
        <w:right w:val="none" w:sz="0" w:space="0" w:color="auto"/>
      </w:divBdr>
    </w:div>
    <w:div w:id="2070229398">
      <w:bodyDiv w:val="1"/>
      <w:marLeft w:val="0"/>
      <w:marRight w:val="0"/>
      <w:marTop w:val="0"/>
      <w:marBottom w:val="0"/>
      <w:divBdr>
        <w:top w:val="none" w:sz="0" w:space="0" w:color="auto"/>
        <w:left w:val="none" w:sz="0" w:space="0" w:color="auto"/>
        <w:bottom w:val="none" w:sz="0" w:space="0" w:color="auto"/>
        <w:right w:val="none" w:sz="0" w:space="0" w:color="auto"/>
      </w:divBdr>
    </w:div>
    <w:div w:id="2100907653">
      <w:bodyDiv w:val="1"/>
      <w:marLeft w:val="0"/>
      <w:marRight w:val="0"/>
      <w:marTop w:val="0"/>
      <w:marBottom w:val="0"/>
      <w:divBdr>
        <w:top w:val="none" w:sz="0" w:space="0" w:color="auto"/>
        <w:left w:val="none" w:sz="0" w:space="0" w:color="auto"/>
        <w:bottom w:val="none" w:sz="0" w:space="0" w:color="auto"/>
        <w:right w:val="none" w:sz="0" w:space="0" w:color="auto"/>
      </w:divBdr>
    </w:div>
    <w:div w:id="21321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Kelly</dc:creator>
  <cp:lastModifiedBy>Taylor, Kelly</cp:lastModifiedBy>
  <cp:revision>3</cp:revision>
  <dcterms:created xsi:type="dcterms:W3CDTF">2015-01-23T14:38:00Z</dcterms:created>
  <dcterms:modified xsi:type="dcterms:W3CDTF">2015-01-23T16:20:00Z</dcterms:modified>
</cp:coreProperties>
</file>