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6322" w14:textId="77777777" w:rsidR="00865E74" w:rsidRDefault="00794B1E">
      <w:pPr>
        <w:spacing w:before="72"/>
        <w:ind w:right="167"/>
        <w:jc w:val="right"/>
        <w:rPr>
          <w:rFonts w:ascii="Tahoma"/>
          <w:sz w:val="18"/>
        </w:rPr>
      </w:pPr>
      <w:r>
        <w:rPr>
          <w:rFonts w:ascii="Tahoma"/>
          <w:sz w:val="18"/>
        </w:rPr>
        <w:t>CONTROLLED WHEN COMPLETE</w:t>
      </w:r>
    </w:p>
    <w:p w14:paraId="7F0FCA04" w14:textId="77777777" w:rsidR="00865E74" w:rsidRDefault="00794B1E">
      <w:pPr>
        <w:pStyle w:val="BodyText"/>
        <w:spacing w:before="6"/>
        <w:ind w:left="0" w:firstLine="0"/>
        <w:rPr>
          <w:rFonts w:ascii="Tahoma"/>
          <w:sz w:val="16"/>
        </w:rPr>
      </w:pPr>
      <w:r>
        <w:rPr>
          <w:noProof/>
        </w:rPr>
        <w:drawing>
          <wp:anchor distT="0" distB="0" distL="0" distR="0" simplePos="0" relativeHeight="251658240" behindDoc="0" locked="0" layoutInCell="1" allowOverlap="1" wp14:anchorId="06F54BC7" wp14:editId="0B68D7F4">
            <wp:simplePos x="0" y="0"/>
            <wp:positionH relativeFrom="page">
              <wp:posOffset>2731134</wp:posOffset>
            </wp:positionH>
            <wp:positionV relativeFrom="paragraph">
              <wp:posOffset>151342</wp:posOffset>
            </wp:positionV>
            <wp:extent cx="2107019" cy="600455"/>
            <wp:effectExtent l="0" t="0" r="0" b="0"/>
            <wp:wrapTopAndBottom/>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07019" cy="600455"/>
                    </a:xfrm>
                    <a:prstGeom prst="rect">
                      <a:avLst/>
                    </a:prstGeom>
                  </pic:spPr>
                </pic:pic>
              </a:graphicData>
            </a:graphic>
          </wp:anchor>
        </w:drawing>
      </w:r>
    </w:p>
    <w:p w14:paraId="1BC60446" w14:textId="77777777" w:rsidR="00865E74" w:rsidRDefault="00865E74">
      <w:pPr>
        <w:pStyle w:val="BodyText"/>
        <w:spacing w:before="6"/>
        <w:ind w:left="0" w:firstLine="0"/>
        <w:rPr>
          <w:rFonts w:ascii="Tahoma"/>
          <w:sz w:val="29"/>
        </w:rPr>
      </w:pPr>
    </w:p>
    <w:p w14:paraId="18153655" w14:textId="331AF1A0" w:rsidR="000A60B3" w:rsidRDefault="00794B1E" w:rsidP="000A60B3">
      <w:pPr>
        <w:spacing w:line="480" w:lineRule="auto"/>
        <w:ind w:left="2280" w:right="1540" w:hanging="1560"/>
        <w:jc w:val="center"/>
        <w:rPr>
          <w:b/>
          <w:sz w:val="28"/>
        </w:rPr>
      </w:pPr>
      <w:r>
        <w:rPr>
          <w:b/>
          <w:sz w:val="28"/>
        </w:rPr>
        <w:t>PLACE112 - Bus Stop and Bus Shelter Associated</w:t>
      </w:r>
      <w:r w:rsidR="000A60B3">
        <w:rPr>
          <w:b/>
          <w:sz w:val="28"/>
        </w:rPr>
        <w:t xml:space="preserve"> </w:t>
      </w:r>
      <w:r>
        <w:rPr>
          <w:b/>
          <w:sz w:val="28"/>
        </w:rPr>
        <w:t>Works</w:t>
      </w:r>
    </w:p>
    <w:p w14:paraId="169EBEFC" w14:textId="0BA6C661" w:rsidR="00865E74" w:rsidRDefault="00794B1E" w:rsidP="000A60B3">
      <w:pPr>
        <w:spacing w:line="480" w:lineRule="auto"/>
        <w:ind w:left="3110" w:right="1540" w:hanging="1560"/>
        <w:jc w:val="center"/>
        <w:rPr>
          <w:b/>
          <w:sz w:val="28"/>
        </w:rPr>
      </w:pPr>
      <w:r>
        <w:rPr>
          <w:b/>
          <w:sz w:val="28"/>
          <w:u w:val="thick"/>
        </w:rPr>
        <w:t>APPENDIX C - FOIA SCHEDULE</w:t>
      </w:r>
    </w:p>
    <w:p w14:paraId="63117CF2" w14:textId="77777777" w:rsidR="00865E74" w:rsidRDefault="00794B1E">
      <w:pPr>
        <w:tabs>
          <w:tab w:val="left" w:pos="3410"/>
        </w:tabs>
        <w:spacing w:before="114"/>
        <w:ind w:right="154"/>
        <w:jc w:val="center"/>
        <w:rPr>
          <w:sz w:val="28"/>
        </w:rPr>
      </w:pPr>
      <w:r>
        <w:rPr>
          <w:b/>
          <w:sz w:val="28"/>
        </w:rPr>
        <w:t>Company/Organisation:</w:t>
      </w:r>
      <w:r>
        <w:rPr>
          <w:b/>
          <w:sz w:val="28"/>
        </w:rPr>
        <w:tab/>
      </w:r>
      <w:r>
        <w:rPr>
          <w:sz w:val="28"/>
        </w:rPr>
        <w:t>Enter Tenderer's</w:t>
      </w:r>
      <w:r>
        <w:rPr>
          <w:spacing w:val="-5"/>
          <w:sz w:val="28"/>
        </w:rPr>
        <w:t xml:space="preserve"> </w:t>
      </w:r>
      <w:r>
        <w:rPr>
          <w:sz w:val="28"/>
        </w:rPr>
        <w:t>Name</w:t>
      </w:r>
    </w:p>
    <w:p w14:paraId="30F340FB" w14:textId="77777777" w:rsidR="00865E74" w:rsidRDefault="00865E74">
      <w:pPr>
        <w:pStyle w:val="BodyText"/>
        <w:ind w:left="0" w:firstLine="0"/>
        <w:rPr>
          <w:sz w:val="24"/>
        </w:rPr>
      </w:pPr>
    </w:p>
    <w:p w14:paraId="7F10BAB1" w14:textId="77777777" w:rsidR="00865E74" w:rsidRDefault="00794B1E">
      <w:pPr>
        <w:pStyle w:val="Heading1"/>
        <w:ind w:right="166"/>
      </w:pPr>
      <w:proofErr w:type="gramStart"/>
      <w:r>
        <w:t>In the event that</w:t>
      </w:r>
      <w:proofErr w:type="gramEnd"/>
      <w:r>
        <w:t xml:space="preserve"> a Tenderer considers that any information supplied as part of their Tender submission is either commercially sensitive or confidential in nature, this should be specifically indicated in the table below, including:</w:t>
      </w:r>
    </w:p>
    <w:p w14:paraId="3FD70C84" w14:textId="77777777" w:rsidR="00865E74" w:rsidRDefault="00794B1E">
      <w:pPr>
        <w:pStyle w:val="ListParagraph"/>
        <w:numPr>
          <w:ilvl w:val="0"/>
          <w:numId w:val="1"/>
        </w:numPr>
        <w:tabs>
          <w:tab w:val="left" w:pos="1022"/>
          <w:tab w:val="left" w:pos="1023"/>
        </w:tabs>
        <w:spacing w:before="4" w:line="237" w:lineRule="auto"/>
        <w:ind w:right="343"/>
        <w:jc w:val="left"/>
      </w:pPr>
      <w:r>
        <w:t xml:space="preserve">the precise elements or information which are considered confidential and/or commercially </w:t>
      </w:r>
      <w:proofErr w:type="gramStart"/>
      <w:r>
        <w:t>sensitive;</w:t>
      </w:r>
      <w:proofErr w:type="gramEnd"/>
    </w:p>
    <w:p w14:paraId="3807F34E" w14:textId="77777777" w:rsidR="00865E74" w:rsidRDefault="00794B1E">
      <w:pPr>
        <w:pStyle w:val="ListParagraph"/>
        <w:numPr>
          <w:ilvl w:val="0"/>
          <w:numId w:val="1"/>
        </w:numPr>
        <w:tabs>
          <w:tab w:val="left" w:pos="1022"/>
          <w:tab w:val="left" w:pos="1023"/>
        </w:tabs>
        <w:spacing w:before="1" w:line="268" w:lineRule="exact"/>
        <w:jc w:val="left"/>
      </w:pPr>
      <w:r>
        <w:t>the reason for the exemption and which exemption under the FOIA or EIR would apply;</w:t>
      </w:r>
      <w:r>
        <w:rPr>
          <w:spacing w:val="-23"/>
        </w:rPr>
        <w:t xml:space="preserve"> </w:t>
      </w:r>
      <w:r>
        <w:t>and</w:t>
      </w:r>
    </w:p>
    <w:p w14:paraId="240DB887" w14:textId="77777777" w:rsidR="00865E74" w:rsidRDefault="00794B1E">
      <w:pPr>
        <w:pStyle w:val="ListParagraph"/>
        <w:numPr>
          <w:ilvl w:val="0"/>
          <w:numId w:val="1"/>
        </w:numPr>
        <w:tabs>
          <w:tab w:val="left" w:pos="1022"/>
          <w:tab w:val="left" w:pos="1023"/>
        </w:tabs>
        <w:spacing w:line="268" w:lineRule="exact"/>
        <w:jc w:val="left"/>
      </w:pPr>
      <w:r>
        <w:t>the estimated length of time during which the exemption will</w:t>
      </w:r>
      <w:r>
        <w:rPr>
          <w:spacing w:val="-12"/>
        </w:rPr>
        <w:t xml:space="preserve"> </w:t>
      </w:r>
      <w:r>
        <w:t>apply.</w:t>
      </w:r>
    </w:p>
    <w:p w14:paraId="3D6CC791" w14:textId="77777777" w:rsidR="00865E74" w:rsidRDefault="00794B1E">
      <w:pPr>
        <w:pStyle w:val="Heading1"/>
        <w:spacing w:before="228"/>
      </w:pPr>
      <w:r>
        <w:t>Tenderer should note that:</w:t>
      </w:r>
    </w:p>
    <w:p w14:paraId="1130EC2E" w14:textId="77777777" w:rsidR="00865E74" w:rsidRDefault="00794B1E">
      <w:pPr>
        <w:pStyle w:val="ListParagraph"/>
        <w:numPr>
          <w:ilvl w:val="0"/>
          <w:numId w:val="1"/>
        </w:numPr>
        <w:tabs>
          <w:tab w:val="left" w:pos="1023"/>
        </w:tabs>
        <w:spacing w:before="64" w:line="237" w:lineRule="auto"/>
        <w:ind w:right="346"/>
      </w:pPr>
      <w:r>
        <w:t>The use of blanket protective markings of whole documents such as “commercial in confidence” will not be sufficient. By participating in this Procurement Process you agree that the Council should not and will not be bound by any such</w:t>
      </w:r>
      <w:r>
        <w:rPr>
          <w:spacing w:val="-6"/>
        </w:rPr>
        <w:t xml:space="preserve"> </w:t>
      </w:r>
      <w:r>
        <w:t>markings.</w:t>
      </w:r>
    </w:p>
    <w:p w14:paraId="1CE166C5" w14:textId="77777777" w:rsidR="00865E74" w:rsidRDefault="00794B1E">
      <w:pPr>
        <w:pStyle w:val="ListParagraph"/>
        <w:numPr>
          <w:ilvl w:val="0"/>
          <w:numId w:val="1"/>
        </w:numPr>
        <w:tabs>
          <w:tab w:val="left" w:pos="1023"/>
        </w:tabs>
        <w:spacing w:before="65" w:line="237" w:lineRule="auto"/>
        <w:ind w:right="343"/>
      </w:pPr>
      <w:r>
        <w:t>Any information not detailed in this form will be subject to disclosure without prior consultation.</w:t>
      </w:r>
    </w:p>
    <w:p w14:paraId="0E30670A" w14:textId="77777777" w:rsidR="00865E74" w:rsidRDefault="00794B1E">
      <w:pPr>
        <w:pStyle w:val="ListParagraph"/>
        <w:numPr>
          <w:ilvl w:val="0"/>
          <w:numId w:val="1"/>
        </w:numPr>
        <w:tabs>
          <w:tab w:val="left" w:pos="1023"/>
        </w:tabs>
        <w:spacing w:before="61"/>
        <w:ind w:right="342"/>
      </w:pPr>
      <w:r>
        <w:t>The Council may be required to disclose information under the Act or Regulations if a request is received, even where it has been indicated that a Tenderer considers the information to be commercially sensitive or confidential in</w:t>
      </w:r>
      <w:r>
        <w:rPr>
          <w:spacing w:val="-1"/>
        </w:rPr>
        <w:t xml:space="preserve"> </w:t>
      </w:r>
      <w:r>
        <w:t>nature.</w:t>
      </w:r>
    </w:p>
    <w:p w14:paraId="71EDAB71" w14:textId="77777777" w:rsidR="00865E74" w:rsidRDefault="00794B1E">
      <w:pPr>
        <w:pStyle w:val="ListParagraph"/>
        <w:numPr>
          <w:ilvl w:val="0"/>
          <w:numId w:val="1"/>
        </w:numPr>
        <w:tabs>
          <w:tab w:val="left" w:pos="1023"/>
        </w:tabs>
        <w:spacing w:before="60"/>
        <w:ind w:right="342"/>
      </w:pPr>
      <w:r>
        <w:t>Information marked as commercially sensitive or confidential by the Tenderer should not be taken to mean that the Council accepts any duty of confidentiality by virtue of that marking. The decision as to which information will be disclosed is reserved to the Council, notwithstanding of any consultation regarding designation of information as confidential or commercially sensitive or equivalent that may have been</w:t>
      </w:r>
      <w:r>
        <w:rPr>
          <w:spacing w:val="-9"/>
        </w:rPr>
        <w:t xml:space="preserve"> </w:t>
      </w:r>
      <w:r>
        <w:t>made.</w:t>
      </w:r>
    </w:p>
    <w:p w14:paraId="45D712D3" w14:textId="77777777" w:rsidR="00865E74" w:rsidRDefault="00865E74">
      <w:pPr>
        <w:pStyle w:val="BodyText"/>
        <w:ind w:left="0" w:firstLine="0"/>
        <w:rPr>
          <w:sz w:val="24"/>
        </w:rPr>
      </w:pPr>
    </w:p>
    <w:p w14:paraId="66F9FD65" w14:textId="77777777" w:rsidR="00865E74" w:rsidRDefault="00794B1E">
      <w:pPr>
        <w:pStyle w:val="Heading1"/>
        <w:ind w:right="341"/>
      </w:pPr>
      <w:r>
        <w:t xml:space="preserve">In setting out the information considered to be exempt, the Tenderer should include below where the information is located within their Tender </w:t>
      </w:r>
      <w:proofErr w:type="gramStart"/>
      <w:r>
        <w:t>Response;</w:t>
      </w:r>
      <w:proofErr w:type="gramEnd"/>
      <w:r>
        <w:t xml:space="preserve"> entering additional rows if necessary.</w:t>
      </w:r>
    </w:p>
    <w:p w14:paraId="1F7AF63E" w14:textId="77777777" w:rsidR="00865E74" w:rsidRDefault="00865E74">
      <w:pPr>
        <w:pStyle w:val="BodyText"/>
        <w:spacing w:before="2"/>
        <w:ind w:left="0" w:firstLine="0"/>
        <w:rPr>
          <w:b/>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693"/>
        <w:gridCol w:w="2014"/>
      </w:tblGrid>
      <w:tr w:rsidR="00865E74" w14:paraId="5E369C0C" w14:textId="77777777">
        <w:trPr>
          <w:trHeight w:val="1247"/>
        </w:trPr>
        <w:tc>
          <w:tcPr>
            <w:tcW w:w="2837" w:type="dxa"/>
            <w:shd w:val="clear" w:color="auto" w:fill="D9D9D9"/>
          </w:tcPr>
          <w:p w14:paraId="4B45673D" w14:textId="77777777" w:rsidR="00865E74" w:rsidRDefault="00794B1E">
            <w:pPr>
              <w:pStyle w:val="TableParagraph"/>
              <w:spacing w:before="178"/>
              <w:ind w:left="107" w:right="176"/>
              <w:rPr>
                <w:sz w:val="20"/>
              </w:rPr>
            </w:pPr>
            <w:r>
              <w:rPr>
                <w:b/>
                <w:sz w:val="24"/>
              </w:rPr>
              <w:t xml:space="preserve">Exempted Elements/Information </w:t>
            </w:r>
            <w:r>
              <w:rPr>
                <w:sz w:val="20"/>
              </w:rPr>
              <w:t>(Including cross reference to tender response)</w:t>
            </w:r>
          </w:p>
        </w:tc>
        <w:tc>
          <w:tcPr>
            <w:tcW w:w="2693" w:type="dxa"/>
            <w:shd w:val="clear" w:color="auto" w:fill="D9D9D9"/>
          </w:tcPr>
          <w:p w14:paraId="40966A46" w14:textId="77777777" w:rsidR="00865E74" w:rsidRDefault="00794B1E">
            <w:pPr>
              <w:pStyle w:val="TableParagraph"/>
              <w:spacing w:before="178"/>
              <w:ind w:left="107" w:right="1302"/>
              <w:rPr>
                <w:b/>
                <w:sz w:val="24"/>
              </w:rPr>
            </w:pPr>
            <w:r>
              <w:rPr>
                <w:b/>
                <w:sz w:val="24"/>
              </w:rPr>
              <w:t>Reason for Exemption</w:t>
            </w:r>
          </w:p>
        </w:tc>
        <w:tc>
          <w:tcPr>
            <w:tcW w:w="2693" w:type="dxa"/>
            <w:shd w:val="clear" w:color="auto" w:fill="D9D9D9"/>
          </w:tcPr>
          <w:p w14:paraId="6577D479" w14:textId="77777777" w:rsidR="00865E74" w:rsidRDefault="00794B1E">
            <w:pPr>
              <w:pStyle w:val="TableParagraph"/>
              <w:spacing w:before="178"/>
              <w:ind w:left="107" w:right="689"/>
              <w:rPr>
                <w:b/>
                <w:sz w:val="24"/>
              </w:rPr>
            </w:pPr>
            <w:r>
              <w:rPr>
                <w:b/>
                <w:sz w:val="24"/>
              </w:rPr>
              <w:t>Exemption to be Applied</w:t>
            </w:r>
          </w:p>
        </w:tc>
        <w:tc>
          <w:tcPr>
            <w:tcW w:w="2014" w:type="dxa"/>
            <w:shd w:val="clear" w:color="auto" w:fill="D9D9D9"/>
          </w:tcPr>
          <w:p w14:paraId="411F0604" w14:textId="77777777" w:rsidR="00865E74" w:rsidRDefault="00794B1E">
            <w:pPr>
              <w:pStyle w:val="TableParagraph"/>
              <w:spacing w:before="178"/>
              <w:ind w:left="107" w:right="116"/>
              <w:rPr>
                <w:b/>
                <w:sz w:val="24"/>
              </w:rPr>
            </w:pPr>
            <w:r>
              <w:rPr>
                <w:b/>
                <w:sz w:val="24"/>
              </w:rPr>
              <w:t>Time Period for Exemption</w:t>
            </w:r>
          </w:p>
        </w:tc>
      </w:tr>
      <w:tr w:rsidR="00865E74" w14:paraId="02AC79E2" w14:textId="77777777">
        <w:trPr>
          <w:trHeight w:val="623"/>
        </w:trPr>
        <w:tc>
          <w:tcPr>
            <w:tcW w:w="2837" w:type="dxa"/>
          </w:tcPr>
          <w:p w14:paraId="700D54F8" w14:textId="77777777" w:rsidR="00865E74" w:rsidRDefault="00865E74">
            <w:pPr>
              <w:pStyle w:val="TableParagraph"/>
              <w:rPr>
                <w:rFonts w:ascii="Times New Roman"/>
              </w:rPr>
            </w:pPr>
          </w:p>
        </w:tc>
        <w:tc>
          <w:tcPr>
            <w:tcW w:w="2693" w:type="dxa"/>
          </w:tcPr>
          <w:p w14:paraId="4A819B6A" w14:textId="77777777" w:rsidR="00865E74" w:rsidRDefault="00865E74">
            <w:pPr>
              <w:pStyle w:val="TableParagraph"/>
              <w:rPr>
                <w:rFonts w:ascii="Times New Roman"/>
              </w:rPr>
            </w:pPr>
          </w:p>
        </w:tc>
        <w:tc>
          <w:tcPr>
            <w:tcW w:w="2693" w:type="dxa"/>
          </w:tcPr>
          <w:p w14:paraId="69340BF2" w14:textId="77777777" w:rsidR="00865E74" w:rsidRDefault="00865E74">
            <w:pPr>
              <w:pStyle w:val="TableParagraph"/>
              <w:rPr>
                <w:rFonts w:ascii="Times New Roman"/>
              </w:rPr>
            </w:pPr>
          </w:p>
        </w:tc>
        <w:tc>
          <w:tcPr>
            <w:tcW w:w="2014" w:type="dxa"/>
          </w:tcPr>
          <w:p w14:paraId="0CBB25F9" w14:textId="77777777" w:rsidR="00865E74" w:rsidRDefault="00865E74">
            <w:pPr>
              <w:pStyle w:val="TableParagraph"/>
              <w:rPr>
                <w:rFonts w:ascii="Times New Roman"/>
              </w:rPr>
            </w:pPr>
          </w:p>
        </w:tc>
      </w:tr>
      <w:tr w:rsidR="00865E74" w14:paraId="0F23F687" w14:textId="77777777">
        <w:trPr>
          <w:trHeight w:val="611"/>
        </w:trPr>
        <w:tc>
          <w:tcPr>
            <w:tcW w:w="2837" w:type="dxa"/>
          </w:tcPr>
          <w:p w14:paraId="2DCC7DF6" w14:textId="77777777" w:rsidR="00865E74" w:rsidRDefault="00865E74">
            <w:pPr>
              <w:pStyle w:val="TableParagraph"/>
              <w:rPr>
                <w:rFonts w:ascii="Times New Roman"/>
              </w:rPr>
            </w:pPr>
          </w:p>
        </w:tc>
        <w:tc>
          <w:tcPr>
            <w:tcW w:w="2693" w:type="dxa"/>
          </w:tcPr>
          <w:p w14:paraId="19091C51" w14:textId="77777777" w:rsidR="00865E74" w:rsidRDefault="00865E74">
            <w:pPr>
              <w:pStyle w:val="TableParagraph"/>
              <w:rPr>
                <w:rFonts w:ascii="Times New Roman"/>
              </w:rPr>
            </w:pPr>
          </w:p>
        </w:tc>
        <w:tc>
          <w:tcPr>
            <w:tcW w:w="2693" w:type="dxa"/>
          </w:tcPr>
          <w:p w14:paraId="0D9000A8" w14:textId="77777777" w:rsidR="00865E74" w:rsidRDefault="00865E74">
            <w:pPr>
              <w:pStyle w:val="TableParagraph"/>
              <w:rPr>
                <w:rFonts w:ascii="Times New Roman"/>
              </w:rPr>
            </w:pPr>
          </w:p>
        </w:tc>
        <w:tc>
          <w:tcPr>
            <w:tcW w:w="2014" w:type="dxa"/>
          </w:tcPr>
          <w:p w14:paraId="6875ED78" w14:textId="77777777" w:rsidR="00865E74" w:rsidRDefault="00865E74">
            <w:pPr>
              <w:pStyle w:val="TableParagraph"/>
              <w:rPr>
                <w:rFonts w:ascii="Times New Roman"/>
              </w:rPr>
            </w:pPr>
          </w:p>
        </w:tc>
      </w:tr>
      <w:tr w:rsidR="00865E74" w14:paraId="7C95D98D" w14:textId="77777777">
        <w:trPr>
          <w:trHeight w:val="609"/>
        </w:trPr>
        <w:tc>
          <w:tcPr>
            <w:tcW w:w="2837" w:type="dxa"/>
          </w:tcPr>
          <w:p w14:paraId="71B55C07" w14:textId="77777777" w:rsidR="00865E74" w:rsidRDefault="00865E74">
            <w:pPr>
              <w:pStyle w:val="TableParagraph"/>
              <w:rPr>
                <w:rFonts w:ascii="Times New Roman"/>
              </w:rPr>
            </w:pPr>
          </w:p>
        </w:tc>
        <w:tc>
          <w:tcPr>
            <w:tcW w:w="2693" w:type="dxa"/>
          </w:tcPr>
          <w:p w14:paraId="55986138" w14:textId="77777777" w:rsidR="00865E74" w:rsidRDefault="00865E74">
            <w:pPr>
              <w:pStyle w:val="TableParagraph"/>
              <w:rPr>
                <w:rFonts w:ascii="Times New Roman"/>
              </w:rPr>
            </w:pPr>
          </w:p>
        </w:tc>
        <w:tc>
          <w:tcPr>
            <w:tcW w:w="2693" w:type="dxa"/>
          </w:tcPr>
          <w:p w14:paraId="51D671BE" w14:textId="77777777" w:rsidR="00865E74" w:rsidRDefault="00865E74">
            <w:pPr>
              <w:pStyle w:val="TableParagraph"/>
              <w:rPr>
                <w:rFonts w:ascii="Times New Roman"/>
              </w:rPr>
            </w:pPr>
          </w:p>
        </w:tc>
        <w:tc>
          <w:tcPr>
            <w:tcW w:w="2014" w:type="dxa"/>
          </w:tcPr>
          <w:p w14:paraId="2AD65C0B" w14:textId="77777777" w:rsidR="00865E74" w:rsidRDefault="00865E74">
            <w:pPr>
              <w:pStyle w:val="TableParagraph"/>
              <w:rPr>
                <w:rFonts w:ascii="Times New Roman"/>
              </w:rPr>
            </w:pPr>
          </w:p>
        </w:tc>
      </w:tr>
      <w:tr w:rsidR="00865E74" w14:paraId="73ED4D5A" w14:textId="77777777">
        <w:trPr>
          <w:trHeight w:val="626"/>
        </w:trPr>
        <w:tc>
          <w:tcPr>
            <w:tcW w:w="2837" w:type="dxa"/>
          </w:tcPr>
          <w:p w14:paraId="1BC7E1F9" w14:textId="77777777" w:rsidR="00865E74" w:rsidRDefault="00865E74">
            <w:pPr>
              <w:pStyle w:val="TableParagraph"/>
              <w:rPr>
                <w:rFonts w:ascii="Times New Roman"/>
              </w:rPr>
            </w:pPr>
          </w:p>
        </w:tc>
        <w:tc>
          <w:tcPr>
            <w:tcW w:w="2693" w:type="dxa"/>
          </w:tcPr>
          <w:p w14:paraId="5E34C8B9" w14:textId="77777777" w:rsidR="00865E74" w:rsidRDefault="00865E74">
            <w:pPr>
              <w:pStyle w:val="TableParagraph"/>
              <w:rPr>
                <w:rFonts w:ascii="Times New Roman"/>
              </w:rPr>
            </w:pPr>
          </w:p>
        </w:tc>
        <w:tc>
          <w:tcPr>
            <w:tcW w:w="2693" w:type="dxa"/>
          </w:tcPr>
          <w:p w14:paraId="2A05550C" w14:textId="77777777" w:rsidR="00865E74" w:rsidRDefault="00865E74">
            <w:pPr>
              <w:pStyle w:val="TableParagraph"/>
              <w:rPr>
                <w:rFonts w:ascii="Times New Roman"/>
              </w:rPr>
            </w:pPr>
          </w:p>
        </w:tc>
        <w:tc>
          <w:tcPr>
            <w:tcW w:w="2014" w:type="dxa"/>
          </w:tcPr>
          <w:p w14:paraId="299C8028" w14:textId="77777777" w:rsidR="00865E74" w:rsidRDefault="00865E74">
            <w:pPr>
              <w:pStyle w:val="TableParagraph"/>
              <w:rPr>
                <w:rFonts w:ascii="Times New Roman"/>
              </w:rPr>
            </w:pPr>
          </w:p>
        </w:tc>
      </w:tr>
    </w:tbl>
    <w:p w14:paraId="71BD7931" w14:textId="77777777" w:rsidR="00865E74" w:rsidRDefault="00865E74">
      <w:pPr>
        <w:pStyle w:val="BodyText"/>
        <w:spacing w:before="4"/>
        <w:ind w:left="0" w:firstLine="0"/>
        <w:rPr>
          <w:b/>
          <w:sz w:val="23"/>
        </w:rPr>
      </w:pPr>
    </w:p>
    <w:p w14:paraId="0CDF449D" w14:textId="77777777" w:rsidR="00865E74" w:rsidRDefault="00794B1E">
      <w:pPr>
        <w:tabs>
          <w:tab w:val="right" w:pos="9806"/>
        </w:tabs>
        <w:spacing w:line="219" w:lineRule="exact"/>
        <w:ind w:left="170"/>
        <w:jc w:val="both"/>
        <w:rPr>
          <w:rFonts w:ascii="Verdana"/>
          <w:sz w:val="18"/>
        </w:rPr>
      </w:pPr>
      <w:r>
        <w:rPr>
          <w:rFonts w:ascii="Verdana"/>
          <w:sz w:val="18"/>
        </w:rPr>
        <w:t>Appendix C FOIA</w:t>
      </w:r>
      <w:r>
        <w:rPr>
          <w:rFonts w:ascii="Verdana"/>
          <w:spacing w:val="-7"/>
          <w:sz w:val="18"/>
        </w:rPr>
        <w:t xml:space="preserve"> </w:t>
      </w:r>
      <w:r>
        <w:rPr>
          <w:rFonts w:ascii="Verdana"/>
          <w:sz w:val="18"/>
        </w:rPr>
        <w:t>Schedule</w:t>
      </w:r>
      <w:r>
        <w:rPr>
          <w:rFonts w:ascii="Verdana"/>
          <w:spacing w:val="60"/>
          <w:sz w:val="18"/>
        </w:rPr>
        <w:t xml:space="preserve"> </w:t>
      </w:r>
      <w:r>
        <w:rPr>
          <w:rFonts w:ascii="Verdana"/>
          <w:color w:val="808080"/>
          <w:sz w:val="18"/>
        </w:rPr>
        <w:t>(v3-June17)</w:t>
      </w:r>
      <w:r>
        <w:rPr>
          <w:rFonts w:ascii="Verdana"/>
          <w:color w:val="808080"/>
          <w:sz w:val="18"/>
        </w:rPr>
        <w:tab/>
      </w:r>
      <w:r>
        <w:rPr>
          <w:rFonts w:ascii="Verdana"/>
          <w:sz w:val="18"/>
        </w:rPr>
        <w:t>1</w:t>
      </w:r>
    </w:p>
    <w:p w14:paraId="6C57FF98" w14:textId="77777777" w:rsidR="00865E74" w:rsidRDefault="00794B1E">
      <w:pPr>
        <w:spacing w:line="219" w:lineRule="exact"/>
        <w:ind w:left="170"/>
        <w:jc w:val="both"/>
        <w:rPr>
          <w:rFonts w:ascii="Verdana"/>
          <w:sz w:val="18"/>
        </w:rPr>
      </w:pPr>
      <w:r>
        <w:rPr>
          <w:rFonts w:ascii="Verdana"/>
          <w:sz w:val="18"/>
        </w:rPr>
        <w:t>ETE7643 - Bus Stop and Bus Shelter Associated Works</w:t>
      </w:r>
    </w:p>
    <w:sectPr w:rsidR="00865E74">
      <w:type w:val="continuous"/>
      <w:pgSz w:w="11910" w:h="16840"/>
      <w:pgMar w:top="6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14877"/>
    <w:multiLevelType w:val="hybridMultilevel"/>
    <w:tmpl w:val="86166D62"/>
    <w:lvl w:ilvl="0" w:tplc="E9341BA8">
      <w:numFmt w:val="bullet"/>
      <w:lvlText w:val=""/>
      <w:lvlJc w:val="left"/>
      <w:pPr>
        <w:ind w:left="1022" w:hanging="536"/>
      </w:pPr>
      <w:rPr>
        <w:rFonts w:ascii="Symbol" w:eastAsia="Symbol" w:hAnsi="Symbol" w:cs="Symbol" w:hint="default"/>
        <w:w w:val="100"/>
        <w:sz w:val="22"/>
        <w:szCs w:val="22"/>
        <w:lang w:val="en-GB" w:eastAsia="en-GB" w:bidi="en-GB"/>
      </w:rPr>
    </w:lvl>
    <w:lvl w:ilvl="1" w:tplc="5E125464">
      <w:numFmt w:val="bullet"/>
      <w:lvlText w:val="•"/>
      <w:lvlJc w:val="left"/>
      <w:pPr>
        <w:ind w:left="1964" w:hanging="536"/>
      </w:pPr>
      <w:rPr>
        <w:rFonts w:hint="default"/>
        <w:lang w:val="en-GB" w:eastAsia="en-GB" w:bidi="en-GB"/>
      </w:rPr>
    </w:lvl>
    <w:lvl w:ilvl="2" w:tplc="06AEB090">
      <w:numFmt w:val="bullet"/>
      <w:lvlText w:val="•"/>
      <w:lvlJc w:val="left"/>
      <w:pPr>
        <w:ind w:left="2909" w:hanging="536"/>
      </w:pPr>
      <w:rPr>
        <w:rFonts w:hint="default"/>
        <w:lang w:val="en-GB" w:eastAsia="en-GB" w:bidi="en-GB"/>
      </w:rPr>
    </w:lvl>
    <w:lvl w:ilvl="3" w:tplc="3912EDCC">
      <w:numFmt w:val="bullet"/>
      <w:lvlText w:val="•"/>
      <w:lvlJc w:val="left"/>
      <w:pPr>
        <w:ind w:left="3853" w:hanging="536"/>
      </w:pPr>
      <w:rPr>
        <w:rFonts w:hint="default"/>
        <w:lang w:val="en-GB" w:eastAsia="en-GB" w:bidi="en-GB"/>
      </w:rPr>
    </w:lvl>
    <w:lvl w:ilvl="4" w:tplc="5242091E">
      <w:numFmt w:val="bullet"/>
      <w:lvlText w:val="•"/>
      <w:lvlJc w:val="left"/>
      <w:pPr>
        <w:ind w:left="4798" w:hanging="536"/>
      </w:pPr>
      <w:rPr>
        <w:rFonts w:hint="default"/>
        <w:lang w:val="en-GB" w:eastAsia="en-GB" w:bidi="en-GB"/>
      </w:rPr>
    </w:lvl>
    <w:lvl w:ilvl="5" w:tplc="3D543B00">
      <w:numFmt w:val="bullet"/>
      <w:lvlText w:val="•"/>
      <w:lvlJc w:val="left"/>
      <w:pPr>
        <w:ind w:left="5743" w:hanging="536"/>
      </w:pPr>
      <w:rPr>
        <w:rFonts w:hint="default"/>
        <w:lang w:val="en-GB" w:eastAsia="en-GB" w:bidi="en-GB"/>
      </w:rPr>
    </w:lvl>
    <w:lvl w:ilvl="6" w:tplc="E26CD902">
      <w:numFmt w:val="bullet"/>
      <w:lvlText w:val="•"/>
      <w:lvlJc w:val="left"/>
      <w:pPr>
        <w:ind w:left="6687" w:hanging="536"/>
      </w:pPr>
      <w:rPr>
        <w:rFonts w:hint="default"/>
        <w:lang w:val="en-GB" w:eastAsia="en-GB" w:bidi="en-GB"/>
      </w:rPr>
    </w:lvl>
    <w:lvl w:ilvl="7" w:tplc="C1F20A38">
      <w:numFmt w:val="bullet"/>
      <w:lvlText w:val="•"/>
      <w:lvlJc w:val="left"/>
      <w:pPr>
        <w:ind w:left="7632" w:hanging="536"/>
      </w:pPr>
      <w:rPr>
        <w:rFonts w:hint="default"/>
        <w:lang w:val="en-GB" w:eastAsia="en-GB" w:bidi="en-GB"/>
      </w:rPr>
    </w:lvl>
    <w:lvl w:ilvl="8" w:tplc="68B8F7BA">
      <w:numFmt w:val="bullet"/>
      <w:lvlText w:val="•"/>
      <w:lvlJc w:val="left"/>
      <w:pPr>
        <w:ind w:left="8577" w:hanging="536"/>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4"/>
    <w:rsid w:val="000A60B3"/>
    <w:rsid w:val="00794B1E"/>
    <w:rsid w:val="00865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6090"/>
  <w15:docId w15:val="{3FCEA9DD-91AA-4787-A024-30785072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7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22" w:hanging="536"/>
    </w:pPr>
  </w:style>
  <w:style w:type="paragraph" w:styleId="ListParagraph">
    <w:name w:val="List Paragraph"/>
    <w:basedOn w:val="Normal"/>
    <w:uiPriority w:val="1"/>
    <w:qFormat/>
    <w:pPr>
      <w:ind w:left="1022" w:hanging="5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FOIA schedule</dc:title>
  <dc:creator>Mr Mike Smith (Zengenti)</dc:creator>
  <cp:lastModifiedBy>Leon Coe (Corporate Services and Transformation)</cp:lastModifiedBy>
  <cp:revision>3</cp:revision>
  <dcterms:created xsi:type="dcterms:W3CDTF">2022-06-10T12:50:00Z</dcterms:created>
  <dcterms:modified xsi:type="dcterms:W3CDTF">2022-07-14T15:34:00Z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20 for Word</vt:lpwstr>
  </property>
  <property fmtid="{D5CDD505-2E9C-101B-9397-08002B2CF9AE}" pid="4" name="LastSaved">
    <vt:filetime>2022-06-10T00:00:00Z</vt:filetime>
  </property>
</Properties>
</file>