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BA" w:rsidRDefault="00B17EBA"/>
    <w:p w:rsidR="00C338B5" w:rsidRDefault="00C338B5"/>
    <w:p w:rsidR="00C338B5" w:rsidRPr="00AF3139" w:rsidRDefault="00C338B5">
      <w:pPr>
        <w:rPr>
          <w:b/>
          <w:sz w:val="32"/>
          <w:szCs w:val="32"/>
        </w:rPr>
      </w:pPr>
      <w:r w:rsidRPr="00AF3139">
        <w:rPr>
          <w:b/>
          <w:sz w:val="32"/>
          <w:szCs w:val="32"/>
        </w:rPr>
        <w:t>CONTENTS</w:t>
      </w:r>
    </w:p>
    <w:p w:rsidR="00C338B5" w:rsidRPr="00AF3139" w:rsidRDefault="00C338B5"/>
    <w:p w:rsidR="00C338B5" w:rsidRPr="00AF3139" w:rsidRDefault="00C338B5"/>
    <w:p w:rsidR="00C338B5" w:rsidRPr="00AF3139" w:rsidRDefault="00C338B5">
      <w:pPr>
        <w:rPr>
          <w:sz w:val="28"/>
          <w:szCs w:val="28"/>
        </w:rPr>
      </w:pPr>
      <w:r w:rsidRPr="00AF3139">
        <w:rPr>
          <w:sz w:val="28"/>
          <w:szCs w:val="28"/>
        </w:rPr>
        <w:t>Introduction</w:t>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t>2</w:t>
      </w:r>
    </w:p>
    <w:p w:rsidR="00C338B5" w:rsidRPr="00AF3139" w:rsidRDefault="00C338B5">
      <w:pPr>
        <w:rPr>
          <w:sz w:val="28"/>
          <w:szCs w:val="28"/>
        </w:rPr>
      </w:pPr>
    </w:p>
    <w:p w:rsidR="00C338B5" w:rsidRPr="00AF3139" w:rsidRDefault="00C338B5">
      <w:pPr>
        <w:rPr>
          <w:sz w:val="28"/>
          <w:szCs w:val="28"/>
        </w:rPr>
      </w:pPr>
      <w:r w:rsidRPr="00AF3139">
        <w:rPr>
          <w:sz w:val="28"/>
          <w:szCs w:val="28"/>
        </w:rPr>
        <w:t>Contract Scope</w:t>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t>4</w:t>
      </w:r>
    </w:p>
    <w:p w:rsidR="00C338B5" w:rsidRPr="00AF3139" w:rsidRDefault="00C338B5">
      <w:pPr>
        <w:rPr>
          <w:sz w:val="28"/>
          <w:szCs w:val="28"/>
        </w:rPr>
      </w:pPr>
    </w:p>
    <w:p w:rsidR="00C338B5" w:rsidRPr="00AF3139" w:rsidRDefault="00C338B5">
      <w:pPr>
        <w:rPr>
          <w:sz w:val="28"/>
          <w:szCs w:val="28"/>
        </w:rPr>
      </w:pPr>
      <w:r w:rsidRPr="00AF3139">
        <w:rPr>
          <w:sz w:val="28"/>
          <w:szCs w:val="28"/>
        </w:rPr>
        <w:t>Establishing the Framework</w:t>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r>
      <w:r w:rsidRPr="00AF3139">
        <w:rPr>
          <w:sz w:val="28"/>
          <w:szCs w:val="28"/>
        </w:rPr>
        <w:tab/>
        <w:t>5</w:t>
      </w:r>
    </w:p>
    <w:p w:rsidR="00C338B5" w:rsidRPr="00AF3139" w:rsidRDefault="00C338B5">
      <w:pPr>
        <w:rPr>
          <w:sz w:val="28"/>
          <w:szCs w:val="28"/>
        </w:rPr>
      </w:pPr>
    </w:p>
    <w:p w:rsidR="00C338B5" w:rsidRPr="00AF3139" w:rsidRDefault="009A50F9">
      <w:pPr>
        <w:rPr>
          <w:sz w:val="28"/>
          <w:szCs w:val="28"/>
        </w:rPr>
      </w:pPr>
      <w:r>
        <w:rPr>
          <w:sz w:val="28"/>
          <w:szCs w:val="28"/>
        </w:rPr>
        <w:t>Using the Framework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C338B5" w:rsidRPr="00AF3139" w:rsidRDefault="00C338B5">
      <w:pPr>
        <w:rPr>
          <w:sz w:val="28"/>
          <w:szCs w:val="28"/>
        </w:rPr>
      </w:pPr>
    </w:p>
    <w:p w:rsidR="00C338B5" w:rsidRPr="00AF3139" w:rsidRDefault="00C338B5">
      <w:pPr>
        <w:rPr>
          <w:sz w:val="28"/>
          <w:szCs w:val="28"/>
        </w:rPr>
      </w:pPr>
    </w:p>
    <w:p w:rsidR="00C338B5" w:rsidRPr="00AF3139" w:rsidRDefault="00C338B5">
      <w:pPr>
        <w:rPr>
          <w:sz w:val="28"/>
          <w:szCs w:val="28"/>
        </w:rPr>
      </w:pPr>
      <w:r w:rsidRPr="00AF3139">
        <w:rPr>
          <w:sz w:val="28"/>
          <w:szCs w:val="28"/>
        </w:rPr>
        <w:br w:type="page"/>
      </w:r>
    </w:p>
    <w:p w:rsidR="00C338B5" w:rsidRPr="002E0DAB" w:rsidRDefault="00C338B5" w:rsidP="00C338B5">
      <w:pPr>
        <w:rPr>
          <w:b/>
          <w:sz w:val="28"/>
          <w:szCs w:val="28"/>
        </w:rPr>
      </w:pPr>
      <w:r w:rsidRPr="002E0DAB">
        <w:rPr>
          <w:b/>
          <w:sz w:val="28"/>
          <w:szCs w:val="28"/>
        </w:rPr>
        <w:lastRenderedPageBreak/>
        <w:t>INTRODUCTION</w:t>
      </w:r>
    </w:p>
    <w:p w:rsidR="00AF3139" w:rsidRPr="00AF3139" w:rsidRDefault="00AF3139" w:rsidP="00C338B5">
      <w:pPr>
        <w:rPr>
          <w:b/>
          <w:sz w:val="32"/>
          <w:szCs w:val="32"/>
        </w:rPr>
      </w:pPr>
    </w:p>
    <w:p w:rsidR="00C338B5" w:rsidRPr="002E0DAB" w:rsidRDefault="00C338B5" w:rsidP="00C338B5">
      <w:pPr>
        <w:rPr>
          <w:szCs w:val="22"/>
        </w:rPr>
      </w:pPr>
      <w:r w:rsidRPr="00AF3139">
        <w:rPr>
          <w:noProof/>
          <w:sz w:val="28"/>
          <w:szCs w:val="28"/>
          <w:lang w:eastAsia="en-GB"/>
        </w:rPr>
        <w:drawing>
          <wp:anchor distT="36576" distB="36576" distL="36576" distR="36576" simplePos="0" relativeHeight="251658240" behindDoc="0" locked="0" layoutInCell="1" allowOverlap="1" wp14:anchorId="3E3AC64F" wp14:editId="6FD689DB">
            <wp:simplePos x="0" y="0"/>
            <wp:positionH relativeFrom="column">
              <wp:posOffset>-17145</wp:posOffset>
            </wp:positionH>
            <wp:positionV relativeFrom="paragraph">
              <wp:posOffset>142240</wp:posOffset>
            </wp:positionV>
            <wp:extent cx="1754505" cy="1134745"/>
            <wp:effectExtent l="0" t="0" r="0" b="8255"/>
            <wp:wrapNone/>
            <wp:docPr id="1" name="Picture 1" descr="NEPO Logo-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O Logo-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1134745"/>
                    </a:xfrm>
                    <a:prstGeom prst="rect">
                      <a:avLst/>
                    </a:prstGeom>
                    <a:noFill/>
                  </pic:spPr>
                </pic:pic>
              </a:graphicData>
            </a:graphic>
            <wp14:sizeRelH relativeFrom="page">
              <wp14:pctWidth>0</wp14:pctWidth>
            </wp14:sizeRelH>
            <wp14:sizeRelV relativeFrom="page">
              <wp14:pctHeight>0</wp14:pctHeight>
            </wp14:sizeRelV>
          </wp:anchor>
        </w:drawing>
      </w:r>
    </w:p>
    <w:p w:rsidR="002E0DAB" w:rsidRDefault="002E0DAB" w:rsidP="00AF3139">
      <w:pPr>
        <w:spacing w:line="360" w:lineRule="auto"/>
        <w:ind w:left="2977"/>
        <w:rPr>
          <w:szCs w:val="22"/>
        </w:rPr>
      </w:pPr>
    </w:p>
    <w:p w:rsidR="00C338B5" w:rsidRPr="002E0DAB" w:rsidRDefault="00C338B5" w:rsidP="00AF3139">
      <w:pPr>
        <w:spacing w:line="360" w:lineRule="auto"/>
        <w:ind w:left="2977"/>
        <w:rPr>
          <w:szCs w:val="22"/>
        </w:rPr>
      </w:pPr>
      <w:r w:rsidRPr="002E0DAB">
        <w:rPr>
          <w:szCs w:val="22"/>
        </w:rPr>
        <w:t>The North East Procurement Organisation (NEPO) was established in 1976 as a means of aggregating demand, joint contracting and pooling purchasing knowledge and expertise. NEPO is governed by a Joint Collaborative Consortium comprising members from the 12 North East Local Authorities.</w:t>
      </w:r>
    </w:p>
    <w:p w:rsidR="00C338B5" w:rsidRPr="002E0DAB" w:rsidRDefault="00C338B5" w:rsidP="00AF3139">
      <w:pPr>
        <w:spacing w:line="360" w:lineRule="auto"/>
        <w:rPr>
          <w:szCs w:val="22"/>
        </w:rPr>
      </w:pPr>
    </w:p>
    <w:p w:rsidR="00C338B5" w:rsidRPr="002E0DAB" w:rsidRDefault="00C338B5" w:rsidP="00AF3139">
      <w:pPr>
        <w:spacing w:line="360" w:lineRule="auto"/>
        <w:rPr>
          <w:szCs w:val="22"/>
        </w:rPr>
      </w:pPr>
      <w:r w:rsidRPr="002E0DAB">
        <w:rPr>
          <w:szCs w:val="22"/>
        </w:rPr>
        <w:t>NEPO delivers collaborative procurement in all major areas of external expenditure through leading edge category management processes to achieve significant savings.</w:t>
      </w:r>
    </w:p>
    <w:p w:rsidR="00C338B5" w:rsidRPr="002E0DAB" w:rsidRDefault="00C338B5" w:rsidP="00AF3139">
      <w:pPr>
        <w:spacing w:line="360" w:lineRule="auto"/>
        <w:rPr>
          <w:szCs w:val="22"/>
        </w:rPr>
      </w:pPr>
    </w:p>
    <w:p w:rsidR="00C338B5" w:rsidRPr="002E0DAB" w:rsidRDefault="00C338B5" w:rsidP="00AF3139">
      <w:pPr>
        <w:spacing w:line="360" w:lineRule="auto"/>
        <w:rPr>
          <w:szCs w:val="22"/>
        </w:rPr>
      </w:pPr>
      <w:r w:rsidRPr="002E0DAB">
        <w:rPr>
          <w:szCs w:val="22"/>
        </w:rPr>
        <w:t>NEPO offers robust, legally compliant procurement vehicles for the public sector with the flexibility to meet r</w:t>
      </w:r>
      <w:r w:rsidR="00972983">
        <w:rPr>
          <w:szCs w:val="22"/>
        </w:rPr>
        <w:t>e</w:t>
      </w:r>
      <w:r w:rsidRPr="002E0DAB">
        <w:rPr>
          <w:szCs w:val="22"/>
        </w:rPr>
        <w:t>al commercial needs.</w:t>
      </w:r>
    </w:p>
    <w:p w:rsidR="00C338B5" w:rsidRPr="002E0DAB" w:rsidRDefault="00C338B5" w:rsidP="00AF3139">
      <w:pPr>
        <w:spacing w:line="360" w:lineRule="auto"/>
        <w:rPr>
          <w:szCs w:val="22"/>
        </w:rPr>
      </w:pPr>
    </w:p>
    <w:p w:rsidR="00C338B5" w:rsidRPr="002E0DAB" w:rsidRDefault="00C338B5" w:rsidP="00AF3139">
      <w:pPr>
        <w:spacing w:line="360" w:lineRule="auto"/>
        <w:rPr>
          <w:szCs w:val="22"/>
        </w:rPr>
      </w:pPr>
      <w:r w:rsidRPr="002E0DAB">
        <w:rPr>
          <w:szCs w:val="22"/>
        </w:rPr>
        <w:t>NEPO promotes innovative procurement and business practices where change can deliver significant and sustainable benefits to local people.</w:t>
      </w:r>
    </w:p>
    <w:p w:rsidR="00C338B5" w:rsidRPr="002E0DAB" w:rsidRDefault="00C338B5" w:rsidP="00AF3139">
      <w:pPr>
        <w:spacing w:line="360" w:lineRule="auto"/>
        <w:rPr>
          <w:szCs w:val="22"/>
        </w:rPr>
      </w:pPr>
    </w:p>
    <w:p w:rsidR="00C338B5" w:rsidRPr="002E0DAB" w:rsidRDefault="00C338B5" w:rsidP="00AF3139">
      <w:pPr>
        <w:spacing w:line="360" w:lineRule="auto"/>
        <w:rPr>
          <w:szCs w:val="22"/>
        </w:rPr>
      </w:pPr>
      <w:r w:rsidRPr="002E0DAB">
        <w:rPr>
          <w:szCs w:val="22"/>
        </w:rPr>
        <w:t>Collaboration on procurement and purchasing arrangements is designed to achieve benefits of economies of scale and also to achieve better value for money.</w:t>
      </w:r>
    </w:p>
    <w:p w:rsidR="00C338B5" w:rsidRPr="002E0DAB" w:rsidRDefault="00C338B5" w:rsidP="00AF3139">
      <w:pPr>
        <w:spacing w:line="360" w:lineRule="auto"/>
        <w:rPr>
          <w:szCs w:val="22"/>
        </w:rPr>
      </w:pPr>
    </w:p>
    <w:p w:rsidR="00C338B5" w:rsidRPr="002E0DAB" w:rsidRDefault="00C338B5" w:rsidP="00AF3139">
      <w:pPr>
        <w:spacing w:line="360" w:lineRule="auto"/>
        <w:rPr>
          <w:szCs w:val="22"/>
        </w:rPr>
      </w:pPr>
      <w:r w:rsidRPr="002E0DAB">
        <w:rPr>
          <w:szCs w:val="22"/>
        </w:rPr>
        <w:t>Collaboration will bring advantages through being able to utilise an efficient procurement method with streamline processes, offering best value for money and easy access to framework contractors.</w:t>
      </w:r>
    </w:p>
    <w:p w:rsidR="00C338B5" w:rsidRPr="00AF3139" w:rsidRDefault="00C338B5">
      <w:pPr>
        <w:rPr>
          <w:sz w:val="24"/>
        </w:rPr>
      </w:pPr>
      <w:r w:rsidRPr="00AF3139">
        <w:rPr>
          <w:sz w:val="24"/>
        </w:rPr>
        <w:br w:type="page"/>
      </w:r>
    </w:p>
    <w:p w:rsidR="00C338B5" w:rsidRPr="002E0DAB" w:rsidRDefault="001411A1" w:rsidP="00C338B5">
      <w:pPr>
        <w:rPr>
          <w:b/>
          <w:sz w:val="28"/>
          <w:szCs w:val="28"/>
        </w:rPr>
      </w:pPr>
      <w:r w:rsidRPr="002E0DAB">
        <w:rPr>
          <w:b/>
          <w:sz w:val="28"/>
          <w:szCs w:val="28"/>
        </w:rPr>
        <w:lastRenderedPageBreak/>
        <w:t>USING THE FRAMEWORK</w:t>
      </w:r>
    </w:p>
    <w:p w:rsidR="00C338B5" w:rsidRPr="002E0DAB" w:rsidRDefault="00C338B5" w:rsidP="00AF3139">
      <w:pPr>
        <w:spacing w:line="360" w:lineRule="auto"/>
        <w:rPr>
          <w:szCs w:val="22"/>
        </w:rPr>
      </w:pPr>
    </w:p>
    <w:p w:rsidR="001411A1" w:rsidRPr="002E0DAB" w:rsidRDefault="001411A1" w:rsidP="00AF3139">
      <w:pPr>
        <w:spacing w:line="360" w:lineRule="auto"/>
        <w:rPr>
          <w:szCs w:val="22"/>
        </w:rPr>
      </w:pPr>
      <w:r w:rsidRPr="002E0DAB">
        <w:rPr>
          <w:szCs w:val="22"/>
        </w:rPr>
        <w:t xml:space="preserve">The Framework Agreement is available to all NEPO members, including associate members. A list of member organisations is available at </w:t>
      </w:r>
      <w:hyperlink r:id="rId7" w:history="1">
        <w:r w:rsidRPr="002E0DAB">
          <w:rPr>
            <w:rStyle w:val="Hyperlink"/>
            <w:szCs w:val="22"/>
          </w:rPr>
          <w:t>www.nepoportal.org</w:t>
        </w:r>
      </w:hyperlink>
      <w:r w:rsidRPr="002E0DAB">
        <w:rPr>
          <w:szCs w:val="22"/>
        </w:rPr>
        <w:t>.</w:t>
      </w:r>
    </w:p>
    <w:p w:rsidR="001411A1" w:rsidRPr="002E0DAB" w:rsidRDefault="001411A1" w:rsidP="00AF3139">
      <w:pPr>
        <w:spacing w:line="360" w:lineRule="auto"/>
        <w:rPr>
          <w:szCs w:val="22"/>
        </w:rPr>
      </w:pPr>
    </w:p>
    <w:p w:rsidR="001411A1" w:rsidRPr="002E0DAB" w:rsidRDefault="001411A1" w:rsidP="00AF3139">
      <w:pPr>
        <w:spacing w:line="360" w:lineRule="auto"/>
        <w:rPr>
          <w:szCs w:val="22"/>
        </w:rPr>
      </w:pPr>
      <w:r w:rsidRPr="002E0DAB">
        <w:rPr>
          <w:szCs w:val="22"/>
        </w:rPr>
        <w:t>Subject to approval from NEPO, this framework agreement can also be made available for use by all contracting authorities including, but not limited to, government departments and their agencies, non-departmental public bodies, NHS authorities and trusts, local authorities, police authorities, emergency services, educational establishments and registered charities who have a need to procure. See the following websites for details:</w:t>
      </w:r>
    </w:p>
    <w:p w:rsidR="001411A1" w:rsidRPr="002E0DAB" w:rsidRDefault="00480652" w:rsidP="00AF3139">
      <w:pPr>
        <w:pStyle w:val="Default"/>
        <w:ind w:left="709"/>
        <w:rPr>
          <w:rFonts w:ascii="Arial" w:hAnsi="Arial" w:cs="Arial"/>
          <w:sz w:val="22"/>
          <w:szCs w:val="22"/>
        </w:rPr>
      </w:pPr>
      <w:hyperlink r:id="rId8" w:history="1">
        <w:r w:rsidR="001411A1" w:rsidRPr="002E0DAB">
          <w:rPr>
            <w:rStyle w:val="Hyperlink"/>
            <w:rFonts w:ascii="Arial" w:hAnsi="Arial" w:cs="Arial"/>
            <w:sz w:val="22"/>
            <w:szCs w:val="22"/>
          </w:rPr>
          <w:t>http://www.direct.gov.uk/en/Dl1/Directories/Localcouncils/index.htm</w:t>
        </w:r>
      </w:hyperlink>
    </w:p>
    <w:p w:rsidR="001411A1" w:rsidRPr="002E0DAB" w:rsidRDefault="00480652" w:rsidP="00AF3139">
      <w:pPr>
        <w:pStyle w:val="Default"/>
        <w:ind w:left="709"/>
        <w:rPr>
          <w:rFonts w:ascii="Arial" w:hAnsi="Arial" w:cs="Arial"/>
          <w:sz w:val="22"/>
          <w:szCs w:val="22"/>
        </w:rPr>
      </w:pPr>
      <w:hyperlink r:id="rId9" w:history="1">
        <w:r w:rsidR="001411A1" w:rsidRPr="002E0DAB">
          <w:rPr>
            <w:rStyle w:val="Hyperlink"/>
            <w:rFonts w:ascii="Arial" w:hAnsi="Arial" w:cs="Arial"/>
            <w:sz w:val="22"/>
            <w:szCs w:val="22"/>
          </w:rPr>
          <w:t>http://www.edubase.gov.uk</w:t>
        </w:r>
      </w:hyperlink>
    </w:p>
    <w:p w:rsidR="001411A1" w:rsidRPr="002E0DAB" w:rsidRDefault="00480652" w:rsidP="00AF3139">
      <w:pPr>
        <w:pStyle w:val="Default"/>
        <w:ind w:left="709"/>
        <w:rPr>
          <w:rFonts w:ascii="Arial" w:hAnsi="Arial" w:cs="Arial"/>
          <w:sz w:val="22"/>
          <w:szCs w:val="22"/>
        </w:rPr>
      </w:pPr>
      <w:hyperlink r:id="rId10" w:history="1">
        <w:r w:rsidR="001411A1" w:rsidRPr="002E0DAB">
          <w:rPr>
            <w:rStyle w:val="Hyperlink"/>
            <w:rFonts w:ascii="Arial" w:hAnsi="Arial" w:cs="Arial"/>
            <w:sz w:val="22"/>
            <w:szCs w:val="22"/>
          </w:rPr>
          <w:t>http://schoolswebdirectory.co.uk/localauthorities.php</w:t>
        </w:r>
      </w:hyperlink>
    </w:p>
    <w:p w:rsidR="001411A1" w:rsidRPr="002E0DAB" w:rsidRDefault="00480652" w:rsidP="00AF3139">
      <w:pPr>
        <w:pStyle w:val="Default"/>
        <w:ind w:left="709"/>
        <w:rPr>
          <w:rFonts w:ascii="Arial" w:hAnsi="Arial" w:cs="Arial"/>
          <w:sz w:val="22"/>
          <w:szCs w:val="22"/>
        </w:rPr>
      </w:pPr>
      <w:hyperlink r:id="rId11" w:history="1">
        <w:r w:rsidR="001411A1" w:rsidRPr="002E0DAB">
          <w:rPr>
            <w:rStyle w:val="Hyperlink"/>
            <w:rFonts w:ascii="Arial" w:hAnsi="Arial" w:cs="Arial"/>
            <w:sz w:val="22"/>
            <w:szCs w:val="22"/>
          </w:rPr>
          <w:t>http://en.wikipedia.org/wiki/list_of_universities_in_the_United_Kingdom</w:t>
        </w:r>
      </w:hyperlink>
    </w:p>
    <w:p w:rsidR="001411A1" w:rsidRPr="002E0DAB" w:rsidRDefault="00480652" w:rsidP="00AF3139">
      <w:pPr>
        <w:pStyle w:val="Default"/>
        <w:ind w:left="709"/>
        <w:rPr>
          <w:rFonts w:ascii="Arial" w:hAnsi="Arial" w:cs="Arial"/>
          <w:sz w:val="22"/>
          <w:szCs w:val="22"/>
        </w:rPr>
      </w:pPr>
      <w:hyperlink r:id="rId12" w:history="1">
        <w:r w:rsidR="001411A1" w:rsidRPr="002E0DAB">
          <w:rPr>
            <w:rStyle w:val="Hyperlink"/>
            <w:rFonts w:ascii="Arial" w:hAnsi="Arial" w:cs="Arial"/>
            <w:sz w:val="22"/>
            <w:szCs w:val="22"/>
          </w:rPr>
          <w:t>http://www.hefce.ac.uk/unicoll/</w:t>
        </w:r>
      </w:hyperlink>
    </w:p>
    <w:p w:rsidR="001411A1" w:rsidRPr="002E0DAB" w:rsidRDefault="00480652" w:rsidP="00AF3139">
      <w:pPr>
        <w:pStyle w:val="Default"/>
        <w:ind w:left="709"/>
        <w:rPr>
          <w:rFonts w:ascii="Arial" w:hAnsi="Arial" w:cs="Arial"/>
          <w:sz w:val="22"/>
          <w:szCs w:val="22"/>
        </w:rPr>
      </w:pPr>
      <w:hyperlink r:id="rId13" w:history="1">
        <w:r w:rsidR="001411A1" w:rsidRPr="002E0DAB">
          <w:rPr>
            <w:rStyle w:val="Hyperlink"/>
            <w:rFonts w:ascii="Arial" w:hAnsi="Arial" w:cs="Arial"/>
            <w:sz w:val="22"/>
            <w:szCs w:val="22"/>
          </w:rPr>
          <w:t>http://www.police-information.co.uk/police-directory/</w:t>
        </w:r>
      </w:hyperlink>
    </w:p>
    <w:p w:rsidR="001411A1" w:rsidRPr="002E0DAB" w:rsidRDefault="00480652" w:rsidP="00AF3139">
      <w:pPr>
        <w:pStyle w:val="Default"/>
        <w:ind w:left="709"/>
        <w:rPr>
          <w:rFonts w:ascii="Arial" w:hAnsi="Arial" w:cs="Arial"/>
          <w:sz w:val="22"/>
          <w:szCs w:val="22"/>
        </w:rPr>
      </w:pPr>
      <w:hyperlink r:id="rId14" w:history="1">
        <w:r w:rsidR="001411A1" w:rsidRPr="002E0DAB">
          <w:rPr>
            <w:rStyle w:val="Hyperlink"/>
            <w:rFonts w:ascii="Arial" w:hAnsi="Arial" w:cs="Arial"/>
            <w:sz w:val="22"/>
            <w:szCs w:val="22"/>
          </w:rPr>
          <w:t>http://www.nhs/ServiceDirectories/Pages/AcuteTrustListing.aspx</w:t>
        </w:r>
      </w:hyperlink>
    </w:p>
    <w:p w:rsidR="001411A1" w:rsidRPr="002E0DAB" w:rsidRDefault="00480652" w:rsidP="00AF3139">
      <w:pPr>
        <w:pStyle w:val="Default"/>
        <w:ind w:left="709"/>
        <w:rPr>
          <w:rFonts w:ascii="Arial" w:hAnsi="Arial" w:cs="Arial"/>
          <w:sz w:val="22"/>
          <w:szCs w:val="22"/>
        </w:rPr>
      </w:pPr>
      <w:hyperlink r:id="rId15" w:history="1">
        <w:r w:rsidR="001411A1" w:rsidRPr="002E0DAB">
          <w:rPr>
            <w:rStyle w:val="Hyperlink"/>
            <w:rFonts w:ascii="Arial" w:hAnsi="Arial" w:cs="Arial"/>
            <w:sz w:val="22"/>
            <w:szCs w:val="22"/>
          </w:rPr>
          <w:t>http://www.charity-commission.gov.uk/</w:t>
        </w:r>
      </w:hyperlink>
    </w:p>
    <w:p w:rsidR="001411A1" w:rsidRPr="002E0DAB" w:rsidRDefault="00480652" w:rsidP="00AF3139">
      <w:pPr>
        <w:pStyle w:val="Default"/>
        <w:ind w:left="709"/>
        <w:rPr>
          <w:rFonts w:ascii="Arial" w:hAnsi="Arial" w:cs="Arial"/>
          <w:sz w:val="22"/>
          <w:szCs w:val="22"/>
        </w:rPr>
      </w:pPr>
      <w:hyperlink r:id="rId16" w:history="1">
        <w:r w:rsidR="001411A1" w:rsidRPr="002E0DAB">
          <w:rPr>
            <w:rStyle w:val="Hyperlink"/>
            <w:rFonts w:ascii="Arial" w:hAnsi="Arial" w:cs="Arial"/>
            <w:sz w:val="22"/>
            <w:szCs w:val="22"/>
          </w:rPr>
          <w:t>http://www.direct.gov.uk/en/Dl1/Directories/A-ZOfCentralGovernment/index.htm</w:t>
        </w:r>
      </w:hyperlink>
    </w:p>
    <w:p w:rsidR="001411A1" w:rsidRPr="002E0DAB" w:rsidRDefault="00480652" w:rsidP="00AF3139">
      <w:pPr>
        <w:pStyle w:val="Default"/>
        <w:ind w:left="709"/>
        <w:rPr>
          <w:rFonts w:ascii="Arial" w:hAnsi="Arial" w:cs="Arial"/>
          <w:sz w:val="22"/>
          <w:szCs w:val="22"/>
        </w:rPr>
      </w:pPr>
      <w:hyperlink r:id="rId17" w:history="1">
        <w:r w:rsidR="001411A1" w:rsidRPr="002E0DAB">
          <w:rPr>
            <w:rStyle w:val="Hyperlink"/>
            <w:rFonts w:ascii="Arial" w:hAnsi="Arial" w:cs="Arial"/>
            <w:sz w:val="22"/>
            <w:szCs w:val="22"/>
          </w:rPr>
          <w:t>http://www.civilservice.gov.uk/about/index.aspx</w:t>
        </w:r>
      </w:hyperlink>
    </w:p>
    <w:p w:rsidR="001411A1" w:rsidRPr="002E0DAB" w:rsidRDefault="00480652" w:rsidP="00AF3139">
      <w:pPr>
        <w:ind w:left="709"/>
        <w:rPr>
          <w:szCs w:val="22"/>
        </w:rPr>
      </w:pPr>
      <w:hyperlink r:id="rId18" w:history="1">
        <w:r w:rsidR="001411A1" w:rsidRPr="002E0DAB">
          <w:rPr>
            <w:rStyle w:val="Hyperlink"/>
            <w:szCs w:val="22"/>
          </w:rPr>
          <w:t>http://www.direct.gov.uk/en/Diol1/DoItOnline/DG_10027464</w:t>
        </w:r>
      </w:hyperlink>
    </w:p>
    <w:p w:rsidR="001411A1" w:rsidRPr="002E0DAB" w:rsidRDefault="001411A1" w:rsidP="001411A1">
      <w:pPr>
        <w:rPr>
          <w:szCs w:val="22"/>
        </w:rPr>
      </w:pPr>
    </w:p>
    <w:p w:rsidR="001411A1" w:rsidRPr="002E0DAB" w:rsidRDefault="001411A1" w:rsidP="00AF3139">
      <w:pPr>
        <w:spacing w:line="360" w:lineRule="auto"/>
        <w:rPr>
          <w:szCs w:val="22"/>
        </w:rPr>
      </w:pPr>
      <w:r w:rsidRPr="002E0DAB">
        <w:rPr>
          <w:szCs w:val="22"/>
        </w:rPr>
        <w:t xml:space="preserve">Associate membership is free. If you are interested in becoming an associate member please email </w:t>
      </w:r>
      <w:hyperlink r:id="rId19" w:history="1">
        <w:r w:rsidR="00972983">
          <w:rPr>
            <w:rStyle w:val="Hyperlink"/>
          </w:rPr>
          <w:t>enquiries@nepo.org</w:t>
        </w:r>
      </w:hyperlink>
      <w:r w:rsidRPr="002E0DAB">
        <w:rPr>
          <w:szCs w:val="22"/>
        </w:rPr>
        <w:t xml:space="preserve"> to request details of how to join.</w:t>
      </w:r>
    </w:p>
    <w:p w:rsidR="001411A1" w:rsidRPr="002E0DAB" w:rsidRDefault="001411A1" w:rsidP="00AF3139">
      <w:pPr>
        <w:spacing w:line="360" w:lineRule="auto"/>
        <w:rPr>
          <w:szCs w:val="22"/>
        </w:rPr>
      </w:pPr>
    </w:p>
    <w:p w:rsidR="001411A1" w:rsidRPr="002E0DAB" w:rsidRDefault="001411A1" w:rsidP="00AF3139">
      <w:pPr>
        <w:spacing w:line="360" w:lineRule="auto"/>
        <w:rPr>
          <w:szCs w:val="22"/>
        </w:rPr>
      </w:pPr>
      <w:r w:rsidRPr="002E0DAB">
        <w:rPr>
          <w:szCs w:val="22"/>
        </w:rPr>
        <w:t>Membership can often be processed within 24 hours and enable use of all applicable NEPO frameworks.</w:t>
      </w:r>
    </w:p>
    <w:p w:rsidR="001411A1" w:rsidRPr="00AF3139" w:rsidRDefault="001411A1" w:rsidP="00AF3139">
      <w:pPr>
        <w:spacing w:line="360" w:lineRule="auto"/>
        <w:rPr>
          <w:sz w:val="24"/>
        </w:rPr>
      </w:pPr>
      <w:r w:rsidRPr="00AF3139">
        <w:rPr>
          <w:sz w:val="24"/>
        </w:rPr>
        <w:br w:type="page"/>
      </w:r>
    </w:p>
    <w:p w:rsidR="001411A1" w:rsidRPr="002E0DAB" w:rsidRDefault="001411A1" w:rsidP="00AF3139">
      <w:pPr>
        <w:spacing w:line="360" w:lineRule="auto"/>
        <w:rPr>
          <w:b/>
          <w:sz w:val="28"/>
          <w:szCs w:val="28"/>
        </w:rPr>
      </w:pPr>
      <w:r w:rsidRPr="002E0DAB">
        <w:rPr>
          <w:b/>
          <w:sz w:val="28"/>
          <w:szCs w:val="28"/>
        </w:rPr>
        <w:lastRenderedPageBreak/>
        <w:t>SCOPE OF THE FRAMEWORK</w:t>
      </w:r>
    </w:p>
    <w:p w:rsidR="001411A1" w:rsidRPr="00AF3139" w:rsidRDefault="001411A1" w:rsidP="00AF3139">
      <w:pPr>
        <w:spacing w:line="360" w:lineRule="auto"/>
        <w:rPr>
          <w:sz w:val="24"/>
        </w:rPr>
      </w:pPr>
    </w:p>
    <w:p w:rsidR="001411A1" w:rsidRPr="002E0DAB" w:rsidRDefault="001411A1" w:rsidP="00AF3139">
      <w:pPr>
        <w:spacing w:line="360" w:lineRule="auto"/>
        <w:rPr>
          <w:szCs w:val="22"/>
        </w:rPr>
      </w:pPr>
      <w:r w:rsidRPr="002E0DAB">
        <w:rPr>
          <w:szCs w:val="22"/>
        </w:rPr>
        <w:t xml:space="preserve">The NEPO Energy Performance of Buildings Inspections Framework has been introduced to the NEPO Energy Category to </w:t>
      </w:r>
      <w:r w:rsidR="00AF3139" w:rsidRPr="002E0DAB">
        <w:rPr>
          <w:szCs w:val="22"/>
        </w:rPr>
        <w:t>support</w:t>
      </w:r>
      <w:r w:rsidRPr="002E0DAB">
        <w:rPr>
          <w:szCs w:val="22"/>
        </w:rPr>
        <w:t xml:space="preserve"> the Contracting Authorities</w:t>
      </w:r>
      <w:r w:rsidR="00AF3139" w:rsidRPr="002E0DAB">
        <w:rPr>
          <w:szCs w:val="22"/>
        </w:rPr>
        <w:t>’</w:t>
      </w:r>
      <w:r w:rsidRPr="002E0DAB">
        <w:rPr>
          <w:szCs w:val="22"/>
        </w:rPr>
        <w:t xml:space="preserve"> requirements for Energy Performance Inspections to comply with their duties under the </w:t>
      </w:r>
      <w:r w:rsidR="00AF3139" w:rsidRPr="002E0DAB">
        <w:rPr>
          <w:szCs w:val="22"/>
        </w:rPr>
        <w:t>“</w:t>
      </w:r>
      <w:r w:rsidRPr="002E0DAB">
        <w:rPr>
          <w:szCs w:val="22"/>
        </w:rPr>
        <w:t>Energy Performance of Buildings Directive</w:t>
      </w:r>
      <w:r w:rsidR="00AF3139" w:rsidRPr="002E0DAB">
        <w:rPr>
          <w:szCs w:val="22"/>
        </w:rPr>
        <w:t>”.</w:t>
      </w:r>
    </w:p>
    <w:p w:rsidR="00AF3139" w:rsidRPr="002E0DAB" w:rsidRDefault="00AF3139" w:rsidP="00AF3139">
      <w:pPr>
        <w:spacing w:line="360" w:lineRule="auto"/>
        <w:rPr>
          <w:szCs w:val="22"/>
        </w:rPr>
      </w:pPr>
    </w:p>
    <w:p w:rsidR="00AF3139" w:rsidRPr="002E0DAB" w:rsidRDefault="00AF3139" w:rsidP="00AF3139">
      <w:pPr>
        <w:spacing w:line="360" w:lineRule="auto"/>
        <w:rPr>
          <w:szCs w:val="22"/>
        </w:rPr>
      </w:pPr>
      <w:r w:rsidRPr="002E0DAB">
        <w:rPr>
          <w:szCs w:val="22"/>
        </w:rPr>
        <w:t>The inspections covered by this Framework include:</w:t>
      </w:r>
    </w:p>
    <w:p w:rsidR="00AF3139" w:rsidRPr="002E0DAB" w:rsidRDefault="00AF3139" w:rsidP="00AF3139">
      <w:pPr>
        <w:pStyle w:val="ListParagraph"/>
        <w:numPr>
          <w:ilvl w:val="0"/>
          <w:numId w:val="1"/>
        </w:numPr>
        <w:rPr>
          <w:szCs w:val="22"/>
        </w:rPr>
      </w:pPr>
      <w:r w:rsidRPr="002E0DAB">
        <w:rPr>
          <w:szCs w:val="22"/>
        </w:rPr>
        <w:t>Domestic Energy Performance Certificates</w:t>
      </w:r>
    </w:p>
    <w:p w:rsidR="00AF3139" w:rsidRPr="002E0DAB" w:rsidRDefault="00AF3139" w:rsidP="00AF3139">
      <w:pPr>
        <w:pStyle w:val="ListParagraph"/>
        <w:numPr>
          <w:ilvl w:val="0"/>
          <w:numId w:val="1"/>
        </w:numPr>
        <w:rPr>
          <w:szCs w:val="22"/>
        </w:rPr>
      </w:pPr>
      <w:r w:rsidRPr="002E0DAB">
        <w:rPr>
          <w:szCs w:val="22"/>
        </w:rPr>
        <w:t>Non Domestic (Commercial) Energy Performance Certificates</w:t>
      </w:r>
    </w:p>
    <w:p w:rsidR="00AF3139" w:rsidRPr="002E0DAB" w:rsidRDefault="00AF3139" w:rsidP="00AF3139">
      <w:pPr>
        <w:pStyle w:val="ListParagraph"/>
        <w:numPr>
          <w:ilvl w:val="0"/>
          <w:numId w:val="1"/>
        </w:numPr>
        <w:rPr>
          <w:szCs w:val="22"/>
        </w:rPr>
      </w:pPr>
      <w:r w:rsidRPr="002E0DAB">
        <w:rPr>
          <w:szCs w:val="22"/>
        </w:rPr>
        <w:t>Display Energy Certificates</w:t>
      </w:r>
    </w:p>
    <w:p w:rsidR="00AF3139" w:rsidRPr="002E0DAB" w:rsidRDefault="00AF3139" w:rsidP="00AF3139">
      <w:pPr>
        <w:pStyle w:val="ListParagraph"/>
        <w:numPr>
          <w:ilvl w:val="0"/>
          <w:numId w:val="1"/>
        </w:numPr>
        <w:rPr>
          <w:szCs w:val="22"/>
        </w:rPr>
      </w:pPr>
      <w:r w:rsidRPr="002E0DAB">
        <w:rPr>
          <w:szCs w:val="22"/>
        </w:rPr>
        <w:t>Air Conditioning Inspections</w:t>
      </w:r>
    </w:p>
    <w:p w:rsidR="00AF3139" w:rsidRPr="002E0DAB" w:rsidRDefault="00AF3139" w:rsidP="00AF3139">
      <w:pPr>
        <w:spacing w:line="360" w:lineRule="auto"/>
        <w:rPr>
          <w:szCs w:val="22"/>
        </w:rPr>
      </w:pPr>
    </w:p>
    <w:p w:rsidR="00AF3139" w:rsidRPr="002E0DAB" w:rsidRDefault="00AF3139" w:rsidP="00AF3139">
      <w:pPr>
        <w:spacing w:line="360" w:lineRule="auto"/>
        <w:rPr>
          <w:szCs w:val="22"/>
        </w:rPr>
      </w:pPr>
      <w:r w:rsidRPr="002E0DAB">
        <w:rPr>
          <w:szCs w:val="22"/>
        </w:rPr>
        <w:t>The framework is also split into separate regional areas covering:</w:t>
      </w:r>
    </w:p>
    <w:p w:rsidR="00AF3139" w:rsidRPr="002E0DAB" w:rsidRDefault="00AF3139" w:rsidP="00AF3139">
      <w:pPr>
        <w:pStyle w:val="ListParagraph"/>
        <w:numPr>
          <w:ilvl w:val="0"/>
          <w:numId w:val="2"/>
        </w:numPr>
        <w:rPr>
          <w:szCs w:val="22"/>
        </w:rPr>
      </w:pPr>
      <w:r w:rsidRPr="002E0DAB">
        <w:rPr>
          <w:szCs w:val="22"/>
        </w:rPr>
        <w:t>Northumberland</w:t>
      </w:r>
    </w:p>
    <w:p w:rsidR="00AF3139" w:rsidRPr="002E0DAB" w:rsidRDefault="00AF3139" w:rsidP="00AF3139">
      <w:pPr>
        <w:pStyle w:val="ListParagraph"/>
        <w:numPr>
          <w:ilvl w:val="0"/>
          <w:numId w:val="2"/>
        </w:numPr>
        <w:rPr>
          <w:szCs w:val="22"/>
        </w:rPr>
      </w:pPr>
      <w:r w:rsidRPr="002E0DAB">
        <w:rPr>
          <w:szCs w:val="22"/>
        </w:rPr>
        <w:t>Durham</w:t>
      </w:r>
    </w:p>
    <w:p w:rsidR="00AF3139" w:rsidRPr="002E0DAB" w:rsidRDefault="00AF3139" w:rsidP="00AF3139">
      <w:pPr>
        <w:pStyle w:val="ListParagraph"/>
        <w:numPr>
          <w:ilvl w:val="0"/>
          <w:numId w:val="2"/>
        </w:numPr>
        <w:rPr>
          <w:szCs w:val="22"/>
        </w:rPr>
      </w:pPr>
      <w:r w:rsidRPr="002E0DAB">
        <w:rPr>
          <w:szCs w:val="22"/>
        </w:rPr>
        <w:t>Tyne and Wear</w:t>
      </w:r>
    </w:p>
    <w:p w:rsidR="00AF3139" w:rsidRPr="002E0DAB" w:rsidRDefault="00AF3139" w:rsidP="00AF3139">
      <w:pPr>
        <w:pStyle w:val="ListParagraph"/>
        <w:numPr>
          <w:ilvl w:val="0"/>
          <w:numId w:val="2"/>
        </w:numPr>
        <w:rPr>
          <w:szCs w:val="22"/>
        </w:rPr>
      </w:pPr>
      <w:r w:rsidRPr="002E0DAB">
        <w:rPr>
          <w:szCs w:val="22"/>
        </w:rPr>
        <w:t>Tees Valley</w:t>
      </w:r>
    </w:p>
    <w:p w:rsidR="00AF3139" w:rsidRPr="002E0DAB" w:rsidRDefault="00AF3139" w:rsidP="00AF3139">
      <w:pPr>
        <w:pStyle w:val="ListParagraph"/>
        <w:numPr>
          <w:ilvl w:val="0"/>
          <w:numId w:val="2"/>
        </w:numPr>
        <w:rPr>
          <w:szCs w:val="22"/>
        </w:rPr>
      </w:pPr>
      <w:r w:rsidRPr="002E0DAB">
        <w:rPr>
          <w:szCs w:val="22"/>
        </w:rPr>
        <w:t>Associate Members (National)</w:t>
      </w:r>
    </w:p>
    <w:p w:rsidR="00AF3139" w:rsidRDefault="00AF3139">
      <w:pPr>
        <w:rPr>
          <w:spacing w:val="20"/>
          <w:sz w:val="24"/>
        </w:rPr>
      </w:pPr>
      <w:r>
        <w:rPr>
          <w:spacing w:val="20"/>
          <w:sz w:val="24"/>
        </w:rPr>
        <w:br w:type="page"/>
      </w:r>
    </w:p>
    <w:p w:rsidR="00AF3139" w:rsidRPr="002E0DAB" w:rsidRDefault="00AF3139" w:rsidP="002E0DAB">
      <w:pPr>
        <w:pStyle w:val="Default"/>
        <w:spacing w:line="360" w:lineRule="auto"/>
        <w:rPr>
          <w:rFonts w:ascii="Arial" w:hAnsi="Arial" w:cs="Arial"/>
          <w:b/>
          <w:bCs/>
          <w:sz w:val="28"/>
          <w:szCs w:val="28"/>
        </w:rPr>
      </w:pPr>
      <w:r w:rsidRPr="002E0DAB">
        <w:rPr>
          <w:rFonts w:ascii="Arial" w:hAnsi="Arial" w:cs="Arial"/>
          <w:b/>
          <w:bCs/>
          <w:sz w:val="28"/>
          <w:szCs w:val="28"/>
        </w:rPr>
        <w:lastRenderedPageBreak/>
        <w:t>ESTABLISHING THE FRAMEWORK</w:t>
      </w:r>
    </w:p>
    <w:p w:rsidR="00AF3139" w:rsidRDefault="00AF3139" w:rsidP="002E0DAB">
      <w:pPr>
        <w:pStyle w:val="Default"/>
        <w:spacing w:line="360" w:lineRule="auto"/>
        <w:rPr>
          <w:rFonts w:ascii="Arial" w:hAnsi="Arial" w:cs="Arial"/>
          <w:spacing w:val="20"/>
        </w:rPr>
      </w:pPr>
    </w:p>
    <w:p w:rsidR="00AF3139" w:rsidRPr="002E0DAB" w:rsidRDefault="00AF3139" w:rsidP="002E0DAB">
      <w:pPr>
        <w:pStyle w:val="Default"/>
        <w:spacing w:line="360" w:lineRule="auto"/>
        <w:rPr>
          <w:rFonts w:ascii="Arial" w:hAnsi="Arial" w:cs="Arial"/>
        </w:rPr>
      </w:pPr>
      <w:r w:rsidRPr="002E0DAB">
        <w:rPr>
          <w:rFonts w:ascii="Arial" w:hAnsi="Arial" w:cs="Arial"/>
          <w:b/>
          <w:bCs/>
        </w:rPr>
        <w:t>GENERAL</w:t>
      </w:r>
    </w:p>
    <w:p w:rsidR="00AF3139" w:rsidRDefault="00AF3139" w:rsidP="002E0DAB">
      <w:pPr>
        <w:pStyle w:val="Default"/>
        <w:spacing w:line="360" w:lineRule="auto"/>
        <w:rPr>
          <w:rFonts w:ascii="Arial" w:hAnsi="Arial" w:cs="Arial"/>
          <w:spacing w:val="20"/>
        </w:rPr>
      </w:pPr>
    </w:p>
    <w:p w:rsidR="00AF3139" w:rsidRPr="002E0DAB" w:rsidRDefault="00AF3139" w:rsidP="002E0DAB">
      <w:pPr>
        <w:pStyle w:val="Default"/>
        <w:spacing w:line="360" w:lineRule="auto"/>
        <w:rPr>
          <w:rFonts w:ascii="Arial" w:hAnsi="Arial" w:cs="Arial"/>
          <w:color w:val="FF0000"/>
          <w:sz w:val="22"/>
        </w:rPr>
      </w:pPr>
      <w:r w:rsidRPr="002C3F3F">
        <w:rPr>
          <w:rFonts w:ascii="Arial" w:hAnsi="Arial" w:cs="Arial"/>
          <w:sz w:val="22"/>
          <w:szCs w:val="22"/>
        </w:rPr>
        <w:t>The 48 month Framework Agreement for Energy Performance of Buildings Inspections commenced on 1</w:t>
      </w:r>
      <w:r w:rsidRPr="002C3F3F">
        <w:rPr>
          <w:rFonts w:ascii="Arial" w:hAnsi="Arial" w:cs="Arial"/>
          <w:sz w:val="22"/>
          <w:szCs w:val="22"/>
          <w:vertAlign w:val="superscript"/>
        </w:rPr>
        <w:t>st</w:t>
      </w:r>
      <w:r w:rsidRPr="002C3F3F">
        <w:rPr>
          <w:rFonts w:ascii="Arial" w:hAnsi="Arial" w:cs="Arial"/>
          <w:sz w:val="22"/>
          <w:szCs w:val="22"/>
        </w:rPr>
        <w:t xml:space="preserve"> February 2016 - OJEU reference </w:t>
      </w:r>
      <w:r w:rsidR="002C3F3F" w:rsidRPr="002C3F3F">
        <w:rPr>
          <w:rFonts w:ascii="Arial" w:hAnsi="Arial" w:cs="Arial"/>
          <w:sz w:val="22"/>
          <w:szCs w:val="22"/>
        </w:rPr>
        <w:t>2015/S 192-348135</w:t>
      </w:r>
      <w:r w:rsidRPr="002E0DAB">
        <w:rPr>
          <w:rFonts w:ascii="Arial" w:hAnsi="Arial" w:cs="Arial"/>
          <w:color w:val="FF0000"/>
          <w:sz w:val="22"/>
        </w:rPr>
        <w:t>.</w:t>
      </w:r>
    </w:p>
    <w:p w:rsidR="00AF3139" w:rsidRPr="002E0DAB" w:rsidRDefault="00AF3139" w:rsidP="002E0DAB">
      <w:pPr>
        <w:pStyle w:val="Default"/>
        <w:spacing w:line="360" w:lineRule="auto"/>
        <w:rPr>
          <w:rFonts w:ascii="Arial" w:hAnsi="Arial" w:cs="Arial"/>
          <w:sz w:val="22"/>
        </w:rPr>
      </w:pPr>
    </w:p>
    <w:p w:rsidR="00AF3139" w:rsidRPr="002E0DAB" w:rsidRDefault="00AF3139" w:rsidP="002E0DAB">
      <w:pPr>
        <w:pStyle w:val="Default"/>
        <w:spacing w:line="360" w:lineRule="auto"/>
        <w:rPr>
          <w:rFonts w:ascii="Arial" w:hAnsi="Arial" w:cs="Arial"/>
          <w:sz w:val="22"/>
        </w:rPr>
      </w:pPr>
      <w:r w:rsidRPr="002E0DAB">
        <w:rPr>
          <w:rFonts w:ascii="Arial" w:hAnsi="Arial" w:cs="Arial"/>
          <w:sz w:val="22"/>
        </w:rPr>
        <w:t xml:space="preserve">This Framework Agreement has been arranged in accordance with the Public Contracts Regulations 2015. </w:t>
      </w:r>
    </w:p>
    <w:p w:rsidR="00AF3139" w:rsidRPr="002E0DAB" w:rsidRDefault="00AF3139" w:rsidP="002E0DAB">
      <w:pPr>
        <w:pStyle w:val="Default"/>
        <w:spacing w:line="360" w:lineRule="auto"/>
        <w:rPr>
          <w:rFonts w:ascii="Arial" w:hAnsi="Arial" w:cs="Arial"/>
          <w:sz w:val="22"/>
        </w:rPr>
      </w:pPr>
      <w:r w:rsidRPr="002E0DAB">
        <w:rPr>
          <w:rFonts w:ascii="Arial" w:hAnsi="Arial" w:cs="Arial"/>
          <w:sz w:val="22"/>
        </w:rPr>
        <w:t>A Framework Agreement allows purchasers to order works or services under the terms and conditions specified within that Framework Agreement (i.e. it provides a mechanism for calling off orders as and when required).</w:t>
      </w:r>
    </w:p>
    <w:p w:rsidR="00AF3139" w:rsidRPr="002E0DAB" w:rsidRDefault="00AF3139" w:rsidP="002E0DAB">
      <w:pPr>
        <w:pStyle w:val="Default"/>
        <w:spacing w:line="360" w:lineRule="auto"/>
        <w:rPr>
          <w:rFonts w:ascii="Arial" w:hAnsi="Arial" w:cs="Arial"/>
          <w:sz w:val="22"/>
        </w:rPr>
      </w:pPr>
    </w:p>
    <w:p w:rsidR="00AF3139" w:rsidRPr="002E0DAB" w:rsidRDefault="00AF3139" w:rsidP="002E0DAB">
      <w:pPr>
        <w:pStyle w:val="Default"/>
        <w:spacing w:line="360" w:lineRule="auto"/>
        <w:rPr>
          <w:rFonts w:ascii="Arial" w:hAnsi="Arial" w:cs="Arial"/>
          <w:sz w:val="22"/>
        </w:rPr>
      </w:pPr>
      <w:r w:rsidRPr="002E0DAB">
        <w:rPr>
          <w:rFonts w:ascii="Arial" w:hAnsi="Arial" w:cs="Arial"/>
          <w:sz w:val="22"/>
        </w:rPr>
        <w:t>Authorities should consult with their own procurement departments for further advice on using this framework agreement to ensure the method used to place orders against the framework is fully compliant with the Regulations and thereafter with their own Authority's standing orders.</w:t>
      </w:r>
    </w:p>
    <w:p w:rsidR="00AF3139" w:rsidRPr="002E0DAB" w:rsidRDefault="00AF3139" w:rsidP="002E0DAB">
      <w:pPr>
        <w:pStyle w:val="Default"/>
        <w:spacing w:line="360" w:lineRule="auto"/>
        <w:rPr>
          <w:rFonts w:ascii="Arial" w:hAnsi="Arial" w:cs="Arial"/>
          <w:sz w:val="22"/>
        </w:rPr>
      </w:pPr>
    </w:p>
    <w:p w:rsidR="00AF3139" w:rsidRPr="002E0DAB" w:rsidRDefault="00AF3139" w:rsidP="002E0DAB">
      <w:pPr>
        <w:pStyle w:val="Default"/>
        <w:spacing w:line="360" w:lineRule="auto"/>
        <w:rPr>
          <w:rFonts w:ascii="Arial" w:hAnsi="Arial" w:cs="Arial"/>
          <w:sz w:val="22"/>
        </w:rPr>
      </w:pPr>
      <w:r w:rsidRPr="002E0DAB">
        <w:rPr>
          <w:rFonts w:ascii="Arial" w:hAnsi="Arial" w:cs="Arial"/>
          <w:sz w:val="22"/>
        </w:rPr>
        <w:t>NEPO, acting on behalf of the 12 Local Authorities has established the terms and conditions which will apply to any call-off arrangements during the period of the Framework.</w:t>
      </w:r>
    </w:p>
    <w:p w:rsidR="00AF3139" w:rsidRPr="002E0DAB" w:rsidRDefault="00AF3139" w:rsidP="002E0DAB">
      <w:pPr>
        <w:pStyle w:val="Default"/>
        <w:spacing w:line="360" w:lineRule="auto"/>
        <w:rPr>
          <w:rFonts w:ascii="Arial" w:hAnsi="Arial" w:cs="Arial"/>
          <w:sz w:val="22"/>
        </w:rPr>
      </w:pPr>
    </w:p>
    <w:p w:rsidR="00AF3139" w:rsidRPr="002E0DAB" w:rsidRDefault="00AF3139" w:rsidP="002E0DAB">
      <w:pPr>
        <w:pStyle w:val="Default"/>
        <w:spacing w:line="360" w:lineRule="auto"/>
        <w:rPr>
          <w:rFonts w:ascii="Arial" w:hAnsi="Arial" w:cs="Arial"/>
          <w:sz w:val="22"/>
        </w:rPr>
      </w:pPr>
      <w:r w:rsidRPr="002E0DAB">
        <w:rPr>
          <w:rFonts w:ascii="Arial" w:hAnsi="Arial" w:cs="Arial"/>
          <w:sz w:val="22"/>
        </w:rPr>
        <w:t>It is anticipated that day to day transactions (including undertaking mini-competitions, the appointment of Contractors to specific jobs, and delivery of and payment for services) will all be conducted directly between the Contracting Authority and the Contractor unless otherwise instructed by NEPO.</w:t>
      </w:r>
    </w:p>
    <w:p w:rsidR="00AF3139" w:rsidRPr="002E0DAB" w:rsidRDefault="00AF3139" w:rsidP="002E0DAB">
      <w:pPr>
        <w:pStyle w:val="Default"/>
        <w:spacing w:line="360" w:lineRule="auto"/>
        <w:rPr>
          <w:rFonts w:ascii="Arial" w:hAnsi="Arial" w:cs="Arial"/>
          <w:sz w:val="22"/>
        </w:rPr>
      </w:pPr>
    </w:p>
    <w:p w:rsidR="00AF3139" w:rsidRDefault="00AF3139" w:rsidP="002E0DAB">
      <w:pPr>
        <w:pStyle w:val="Default"/>
        <w:spacing w:line="360" w:lineRule="auto"/>
        <w:rPr>
          <w:rFonts w:ascii="Arial" w:hAnsi="Arial" w:cs="Arial"/>
          <w:sz w:val="22"/>
        </w:rPr>
      </w:pPr>
      <w:r w:rsidRPr="002E0DAB">
        <w:rPr>
          <w:rFonts w:ascii="Arial" w:hAnsi="Arial" w:cs="Arial"/>
          <w:sz w:val="22"/>
        </w:rPr>
        <w:t>Contracting Authorities in receipt of grant funding should seek its own legal advice pertaining to the obligations upon it in terms of procurement for goods, works and services required for the project activ</w:t>
      </w:r>
      <w:r w:rsidR="002E0DAB">
        <w:rPr>
          <w:rFonts w:ascii="Arial" w:hAnsi="Arial" w:cs="Arial"/>
          <w:sz w:val="22"/>
        </w:rPr>
        <w:t>ities it is bound to carry out.</w:t>
      </w:r>
    </w:p>
    <w:p w:rsidR="002E0DAB" w:rsidRPr="002E0DAB" w:rsidRDefault="002E0DAB" w:rsidP="002E0DAB">
      <w:pPr>
        <w:pStyle w:val="Default"/>
        <w:spacing w:line="360" w:lineRule="auto"/>
        <w:rPr>
          <w:rFonts w:ascii="Arial" w:hAnsi="Arial" w:cs="Arial"/>
        </w:rPr>
      </w:pPr>
      <w:r>
        <w:rPr>
          <w:rFonts w:ascii="Arial" w:hAnsi="Arial" w:cs="Arial"/>
          <w:b/>
          <w:bCs/>
        </w:rPr>
        <w:lastRenderedPageBreak/>
        <w:t>CONTRACTUA</w:t>
      </w:r>
      <w:r w:rsidRPr="002E0DAB">
        <w:rPr>
          <w:rFonts w:ascii="Arial" w:hAnsi="Arial" w:cs="Arial"/>
          <w:b/>
          <w:bCs/>
        </w:rPr>
        <w:t>L</w:t>
      </w:r>
      <w:r>
        <w:rPr>
          <w:rFonts w:ascii="Arial" w:hAnsi="Arial" w:cs="Arial"/>
          <w:b/>
          <w:bCs/>
        </w:rPr>
        <w:t xml:space="preserve"> STRUCTURE</w:t>
      </w:r>
    </w:p>
    <w:p w:rsidR="002E0DAB" w:rsidRDefault="002E0DAB" w:rsidP="002E0DAB">
      <w:pPr>
        <w:pStyle w:val="Default"/>
        <w:spacing w:line="360" w:lineRule="auto"/>
        <w:rPr>
          <w:rFonts w:ascii="Arial" w:hAnsi="Arial" w:cs="Arial"/>
          <w:sz w:val="22"/>
        </w:rPr>
      </w:pPr>
    </w:p>
    <w:p w:rsidR="002E0DAB" w:rsidRDefault="002E0DAB" w:rsidP="002E0DAB">
      <w:pPr>
        <w:pStyle w:val="Default"/>
        <w:spacing w:line="360" w:lineRule="auto"/>
        <w:rPr>
          <w:rFonts w:ascii="Arial" w:hAnsi="Arial" w:cs="Arial"/>
          <w:sz w:val="22"/>
        </w:rPr>
      </w:pPr>
      <w:r>
        <w:rPr>
          <w:rFonts w:ascii="Arial" w:hAnsi="Arial" w:cs="Arial"/>
          <w:sz w:val="22"/>
        </w:rPr>
        <w:t xml:space="preserve">When you place an order with a Contractor on the framework, a contract is formed between you and the Contractor. The contract will be based on the terms and Conditions contained and referred to in the Memorandum of Agreement (Schedule </w:t>
      </w:r>
      <w:r w:rsidR="003D479B">
        <w:rPr>
          <w:rFonts w:ascii="Arial" w:hAnsi="Arial" w:cs="Arial"/>
          <w:sz w:val="22"/>
        </w:rPr>
        <w:t>A</w:t>
      </w:r>
      <w:r>
        <w:rPr>
          <w:rFonts w:ascii="Arial" w:hAnsi="Arial" w:cs="Arial"/>
          <w:sz w:val="22"/>
        </w:rPr>
        <w:t>).</w:t>
      </w:r>
    </w:p>
    <w:p w:rsidR="002E0DAB" w:rsidRPr="002E0DAB" w:rsidRDefault="002E0DAB" w:rsidP="002E0DAB">
      <w:pPr>
        <w:pStyle w:val="Default"/>
        <w:spacing w:line="360" w:lineRule="auto"/>
        <w:rPr>
          <w:rFonts w:ascii="Arial" w:hAnsi="Arial" w:cs="Arial"/>
          <w:sz w:val="22"/>
        </w:rPr>
      </w:pPr>
    </w:p>
    <w:p w:rsidR="002E0DAB" w:rsidRDefault="002E0DAB" w:rsidP="002E0DAB">
      <w:pPr>
        <w:pStyle w:val="Default"/>
        <w:spacing w:line="360" w:lineRule="auto"/>
        <w:rPr>
          <w:rFonts w:ascii="Arial" w:hAnsi="Arial" w:cs="Arial"/>
          <w:sz w:val="22"/>
          <w:szCs w:val="22"/>
        </w:rPr>
      </w:pPr>
      <w:r w:rsidRPr="002E0DAB">
        <w:rPr>
          <w:rFonts w:ascii="Arial" w:hAnsi="Arial" w:cs="Arial"/>
          <w:sz w:val="22"/>
          <w:szCs w:val="22"/>
        </w:rPr>
        <w:t xml:space="preserve">The Call </w:t>
      </w:r>
      <w:proofErr w:type="gramStart"/>
      <w:r w:rsidRPr="002E0DAB">
        <w:rPr>
          <w:rFonts w:ascii="Arial" w:hAnsi="Arial" w:cs="Arial"/>
          <w:sz w:val="22"/>
          <w:szCs w:val="22"/>
        </w:rPr>
        <w:t>Off</w:t>
      </w:r>
      <w:proofErr w:type="gramEnd"/>
      <w:r w:rsidRPr="002E0DAB">
        <w:rPr>
          <w:rFonts w:ascii="Arial" w:hAnsi="Arial" w:cs="Arial"/>
          <w:sz w:val="22"/>
          <w:szCs w:val="22"/>
        </w:rPr>
        <w:t xml:space="preserve"> Contract Data sheet at Schedule </w:t>
      </w:r>
      <w:r w:rsidR="003D479B">
        <w:rPr>
          <w:rFonts w:ascii="Arial" w:hAnsi="Arial" w:cs="Arial"/>
          <w:sz w:val="22"/>
          <w:szCs w:val="22"/>
        </w:rPr>
        <w:t>B</w:t>
      </w:r>
      <w:r w:rsidRPr="002E0DAB">
        <w:rPr>
          <w:rFonts w:ascii="Arial" w:hAnsi="Arial" w:cs="Arial"/>
          <w:sz w:val="22"/>
          <w:szCs w:val="22"/>
        </w:rPr>
        <w:t xml:space="preserve"> should be completed and attached to all other further competition documents including your </w:t>
      </w:r>
      <w:r>
        <w:rPr>
          <w:rFonts w:ascii="Arial" w:hAnsi="Arial" w:cs="Arial"/>
          <w:sz w:val="22"/>
          <w:szCs w:val="22"/>
        </w:rPr>
        <w:t>inspections</w:t>
      </w:r>
      <w:r w:rsidRPr="002E0DAB">
        <w:rPr>
          <w:rFonts w:ascii="Arial" w:hAnsi="Arial" w:cs="Arial"/>
          <w:sz w:val="22"/>
          <w:szCs w:val="22"/>
        </w:rPr>
        <w:t xml:space="preserve"> request (</w:t>
      </w:r>
      <w:r>
        <w:rPr>
          <w:rFonts w:ascii="Arial" w:hAnsi="Arial" w:cs="Arial"/>
          <w:sz w:val="22"/>
          <w:szCs w:val="22"/>
        </w:rPr>
        <w:t>inspection type, location, property type, property size, timescales), pricing document etc.</w:t>
      </w:r>
    </w:p>
    <w:p w:rsidR="002E0DAB" w:rsidRPr="002E0DAB" w:rsidRDefault="002E0DAB" w:rsidP="002E0DAB">
      <w:pPr>
        <w:pStyle w:val="Default"/>
        <w:spacing w:line="360" w:lineRule="auto"/>
        <w:rPr>
          <w:rFonts w:ascii="Arial" w:hAnsi="Arial" w:cs="Arial"/>
          <w:sz w:val="22"/>
          <w:szCs w:val="22"/>
        </w:rPr>
      </w:pPr>
    </w:p>
    <w:p w:rsidR="002E0DAB" w:rsidRDefault="002E0DAB" w:rsidP="002E0DAB">
      <w:pPr>
        <w:pStyle w:val="Default"/>
        <w:spacing w:line="360" w:lineRule="auto"/>
        <w:rPr>
          <w:rFonts w:ascii="Arial" w:hAnsi="Arial" w:cs="Arial"/>
          <w:sz w:val="22"/>
          <w:szCs w:val="22"/>
        </w:rPr>
      </w:pPr>
      <w:r w:rsidRPr="002E0DAB">
        <w:rPr>
          <w:rFonts w:ascii="Arial" w:hAnsi="Arial" w:cs="Arial"/>
          <w:sz w:val="22"/>
          <w:szCs w:val="22"/>
        </w:rPr>
        <w:t xml:space="preserve">If you, or your procurement or legal advisors wish to see copies of any of the documentation used in setting up the framework (such as the invitation to tender, </w:t>
      </w:r>
      <w:proofErr w:type="spellStart"/>
      <w:r w:rsidRPr="002E0DAB">
        <w:rPr>
          <w:rFonts w:ascii="Arial" w:hAnsi="Arial" w:cs="Arial"/>
          <w:sz w:val="22"/>
          <w:szCs w:val="22"/>
        </w:rPr>
        <w:t>etc</w:t>
      </w:r>
      <w:proofErr w:type="spellEnd"/>
      <w:r w:rsidRPr="002E0DAB">
        <w:rPr>
          <w:rFonts w:ascii="Arial" w:hAnsi="Arial" w:cs="Arial"/>
          <w:sz w:val="22"/>
          <w:szCs w:val="22"/>
        </w:rPr>
        <w:t xml:space="preserve">) please contact </w:t>
      </w:r>
      <w:r>
        <w:rPr>
          <w:rFonts w:ascii="Arial" w:hAnsi="Arial" w:cs="Arial"/>
          <w:sz w:val="22"/>
          <w:szCs w:val="22"/>
        </w:rPr>
        <w:t>NEPO and this will be arranged.</w:t>
      </w:r>
    </w:p>
    <w:p w:rsidR="002E0DAB" w:rsidRPr="002E0DAB" w:rsidRDefault="002E0DAB" w:rsidP="002E0DAB">
      <w:pPr>
        <w:pStyle w:val="Default"/>
        <w:spacing w:line="360" w:lineRule="auto"/>
        <w:rPr>
          <w:rFonts w:ascii="Arial" w:hAnsi="Arial" w:cs="Arial"/>
          <w:sz w:val="22"/>
          <w:szCs w:val="22"/>
        </w:rPr>
      </w:pPr>
    </w:p>
    <w:p w:rsidR="002E0DAB" w:rsidRPr="002E0DAB" w:rsidRDefault="002E0DAB" w:rsidP="002E0DAB">
      <w:pPr>
        <w:pStyle w:val="Default"/>
        <w:spacing w:line="360" w:lineRule="auto"/>
        <w:rPr>
          <w:rFonts w:ascii="Arial" w:hAnsi="Arial" w:cs="Arial"/>
          <w:sz w:val="22"/>
          <w:szCs w:val="22"/>
        </w:rPr>
      </w:pPr>
      <w:r w:rsidRPr="002E0DAB">
        <w:rPr>
          <w:rFonts w:ascii="Arial" w:hAnsi="Arial" w:cs="Arial"/>
          <w:b/>
          <w:bCs/>
          <w:sz w:val="22"/>
          <w:szCs w:val="22"/>
        </w:rPr>
        <w:t xml:space="preserve">EVALUATION OF TENDER SUBMISSIONS </w:t>
      </w:r>
    </w:p>
    <w:p w:rsidR="002E0DAB" w:rsidRDefault="002E0DAB" w:rsidP="002E0DAB">
      <w:pPr>
        <w:pStyle w:val="Default"/>
        <w:spacing w:line="360" w:lineRule="auto"/>
        <w:rPr>
          <w:rFonts w:ascii="Arial" w:hAnsi="Arial" w:cs="Arial"/>
          <w:sz w:val="22"/>
          <w:szCs w:val="22"/>
        </w:rPr>
      </w:pPr>
      <w:r w:rsidRPr="002E0DAB">
        <w:rPr>
          <w:rFonts w:ascii="Arial" w:hAnsi="Arial" w:cs="Arial"/>
          <w:sz w:val="22"/>
          <w:szCs w:val="22"/>
        </w:rPr>
        <w:t>Tenders submitted in response to this procurement were evaluated against a set of pre-determined evaluation criteria which are set out below.</w:t>
      </w:r>
    </w:p>
    <w:p w:rsidR="002E0DAB" w:rsidRDefault="002E0DAB" w:rsidP="002E0DAB">
      <w:pPr>
        <w:pStyle w:val="Default"/>
        <w:spacing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9214"/>
        <w:gridCol w:w="4852"/>
      </w:tblGrid>
      <w:tr w:rsidR="002E0DAB" w:rsidTr="002E0DAB">
        <w:trPr>
          <w:trHeight w:val="393"/>
        </w:trPr>
        <w:tc>
          <w:tcPr>
            <w:tcW w:w="9214" w:type="dxa"/>
            <w:tcBorders>
              <w:bottom w:val="single" w:sz="4" w:space="0" w:color="auto"/>
            </w:tcBorders>
            <w:shd w:val="clear" w:color="auto" w:fill="000000" w:themeFill="text1"/>
            <w:vAlign w:val="center"/>
          </w:tcPr>
          <w:p w:rsidR="002E0DAB" w:rsidRPr="002E0DAB" w:rsidRDefault="002E0DAB" w:rsidP="002E0DAB">
            <w:pPr>
              <w:pStyle w:val="Default"/>
              <w:jc w:val="center"/>
              <w:rPr>
                <w:rFonts w:ascii="Arial" w:hAnsi="Arial" w:cs="Arial"/>
                <w:b/>
                <w:sz w:val="22"/>
                <w:szCs w:val="22"/>
              </w:rPr>
            </w:pPr>
            <w:r w:rsidRPr="002E0DAB">
              <w:rPr>
                <w:rFonts w:ascii="Arial" w:hAnsi="Arial" w:cs="Arial"/>
                <w:b/>
                <w:color w:val="FFFFFF" w:themeColor="background1"/>
                <w:sz w:val="22"/>
                <w:szCs w:val="22"/>
              </w:rPr>
              <w:t>Award Criteria</w:t>
            </w:r>
          </w:p>
        </w:tc>
        <w:tc>
          <w:tcPr>
            <w:tcW w:w="4852" w:type="dxa"/>
            <w:tcBorders>
              <w:bottom w:val="single" w:sz="4" w:space="0" w:color="auto"/>
            </w:tcBorders>
            <w:shd w:val="solid" w:color="auto" w:fill="auto"/>
            <w:vAlign w:val="center"/>
          </w:tcPr>
          <w:p w:rsidR="002E0DAB" w:rsidRDefault="002E0DAB" w:rsidP="002E0DAB">
            <w:pPr>
              <w:pStyle w:val="Default"/>
              <w:jc w:val="center"/>
              <w:rPr>
                <w:rFonts w:ascii="Arial" w:hAnsi="Arial" w:cs="Arial"/>
                <w:sz w:val="22"/>
                <w:szCs w:val="22"/>
              </w:rPr>
            </w:pPr>
            <w:r>
              <w:rPr>
                <w:rFonts w:ascii="Arial" w:hAnsi="Arial" w:cs="Arial"/>
                <w:b/>
                <w:color w:val="FFFFFF" w:themeColor="background1"/>
                <w:sz w:val="22"/>
                <w:szCs w:val="22"/>
              </w:rPr>
              <w:t>Weighting</w:t>
            </w:r>
          </w:p>
        </w:tc>
      </w:tr>
      <w:tr w:rsidR="002E0DAB" w:rsidRPr="002E0DAB" w:rsidTr="002E0DAB">
        <w:trPr>
          <w:trHeight w:val="414"/>
        </w:trPr>
        <w:tc>
          <w:tcPr>
            <w:tcW w:w="9214" w:type="dxa"/>
            <w:shd w:val="pct15" w:color="auto" w:fill="auto"/>
            <w:vAlign w:val="center"/>
          </w:tcPr>
          <w:p w:rsidR="002E0DAB" w:rsidRPr="002E0DAB" w:rsidRDefault="002E0DAB" w:rsidP="002E0DAB">
            <w:pPr>
              <w:pStyle w:val="Default"/>
              <w:rPr>
                <w:rFonts w:ascii="Arial" w:hAnsi="Arial" w:cs="Arial"/>
                <w:b/>
                <w:sz w:val="22"/>
                <w:szCs w:val="22"/>
              </w:rPr>
            </w:pPr>
            <w:r w:rsidRPr="002E0DAB">
              <w:rPr>
                <w:rFonts w:ascii="Arial" w:hAnsi="Arial" w:cs="Arial"/>
                <w:b/>
                <w:sz w:val="22"/>
                <w:szCs w:val="22"/>
              </w:rPr>
              <w:t>Quality</w:t>
            </w:r>
          </w:p>
        </w:tc>
        <w:tc>
          <w:tcPr>
            <w:tcW w:w="4852" w:type="dxa"/>
            <w:shd w:val="pct15" w:color="auto" w:fill="auto"/>
            <w:vAlign w:val="center"/>
          </w:tcPr>
          <w:p w:rsidR="002E0DAB" w:rsidRPr="002E0DAB" w:rsidRDefault="002E0DAB" w:rsidP="002E0DAB">
            <w:pPr>
              <w:pStyle w:val="Default"/>
              <w:jc w:val="center"/>
              <w:rPr>
                <w:rFonts w:ascii="Arial" w:hAnsi="Arial" w:cs="Arial"/>
                <w:b/>
                <w:sz w:val="22"/>
                <w:szCs w:val="22"/>
              </w:rPr>
            </w:pPr>
            <w:r w:rsidRPr="002E0DAB">
              <w:rPr>
                <w:rFonts w:ascii="Arial" w:hAnsi="Arial" w:cs="Arial"/>
                <w:b/>
                <w:sz w:val="22"/>
                <w:szCs w:val="22"/>
              </w:rPr>
              <w:t>30%</w:t>
            </w:r>
          </w:p>
        </w:tc>
      </w:tr>
      <w:tr w:rsidR="002E0DAB" w:rsidTr="002E0DAB">
        <w:trPr>
          <w:trHeight w:val="414"/>
        </w:trPr>
        <w:tc>
          <w:tcPr>
            <w:tcW w:w="9214" w:type="dxa"/>
            <w:vAlign w:val="center"/>
          </w:tcPr>
          <w:p w:rsidR="002E0DAB" w:rsidRDefault="002E0DAB" w:rsidP="002E0DAB">
            <w:pPr>
              <w:pStyle w:val="Default"/>
              <w:rPr>
                <w:rFonts w:ascii="Arial" w:hAnsi="Arial" w:cs="Arial"/>
                <w:sz w:val="22"/>
                <w:szCs w:val="22"/>
              </w:rPr>
            </w:pPr>
            <w:r>
              <w:rPr>
                <w:rFonts w:ascii="Arial" w:hAnsi="Arial" w:cs="Arial"/>
                <w:sz w:val="22"/>
                <w:szCs w:val="22"/>
              </w:rPr>
              <w:t>Service Provision and Delivery Method</w:t>
            </w:r>
          </w:p>
        </w:tc>
        <w:tc>
          <w:tcPr>
            <w:tcW w:w="4852" w:type="dxa"/>
            <w:vAlign w:val="center"/>
          </w:tcPr>
          <w:p w:rsidR="002E0DAB" w:rsidRDefault="002E0DAB" w:rsidP="002E0DAB">
            <w:pPr>
              <w:pStyle w:val="Default"/>
              <w:jc w:val="center"/>
              <w:rPr>
                <w:rFonts w:ascii="Arial" w:hAnsi="Arial" w:cs="Arial"/>
                <w:sz w:val="22"/>
                <w:szCs w:val="22"/>
              </w:rPr>
            </w:pPr>
            <w:r>
              <w:rPr>
                <w:rFonts w:ascii="Arial" w:hAnsi="Arial" w:cs="Arial"/>
                <w:sz w:val="22"/>
                <w:szCs w:val="22"/>
              </w:rPr>
              <w:t>15%</w:t>
            </w:r>
          </w:p>
        </w:tc>
      </w:tr>
      <w:tr w:rsidR="002E0DAB" w:rsidTr="002E0DAB">
        <w:trPr>
          <w:trHeight w:val="414"/>
        </w:trPr>
        <w:tc>
          <w:tcPr>
            <w:tcW w:w="9214" w:type="dxa"/>
            <w:vAlign w:val="center"/>
          </w:tcPr>
          <w:p w:rsidR="002E0DAB" w:rsidRDefault="002E0DAB" w:rsidP="002E0DAB">
            <w:pPr>
              <w:pStyle w:val="Default"/>
              <w:rPr>
                <w:rFonts w:ascii="Arial" w:hAnsi="Arial" w:cs="Arial"/>
                <w:sz w:val="22"/>
                <w:szCs w:val="22"/>
              </w:rPr>
            </w:pPr>
            <w:r>
              <w:rPr>
                <w:rFonts w:ascii="Arial" w:hAnsi="Arial" w:cs="Arial"/>
                <w:sz w:val="22"/>
                <w:szCs w:val="22"/>
              </w:rPr>
              <w:t>Content of Certification and Reports</w:t>
            </w:r>
          </w:p>
        </w:tc>
        <w:tc>
          <w:tcPr>
            <w:tcW w:w="4852" w:type="dxa"/>
            <w:vAlign w:val="center"/>
          </w:tcPr>
          <w:p w:rsidR="002E0DAB" w:rsidRDefault="002E0DAB" w:rsidP="002E0DAB">
            <w:pPr>
              <w:pStyle w:val="Default"/>
              <w:jc w:val="center"/>
              <w:rPr>
                <w:rFonts w:ascii="Arial" w:hAnsi="Arial" w:cs="Arial"/>
                <w:sz w:val="22"/>
                <w:szCs w:val="22"/>
              </w:rPr>
            </w:pPr>
            <w:r>
              <w:rPr>
                <w:rFonts w:ascii="Arial" w:hAnsi="Arial" w:cs="Arial"/>
                <w:sz w:val="22"/>
                <w:szCs w:val="22"/>
              </w:rPr>
              <w:t>10%</w:t>
            </w:r>
          </w:p>
        </w:tc>
      </w:tr>
      <w:tr w:rsidR="002E0DAB" w:rsidTr="002E0DAB">
        <w:trPr>
          <w:trHeight w:val="414"/>
        </w:trPr>
        <w:tc>
          <w:tcPr>
            <w:tcW w:w="9214" w:type="dxa"/>
            <w:tcBorders>
              <w:bottom w:val="single" w:sz="4" w:space="0" w:color="auto"/>
            </w:tcBorders>
            <w:vAlign w:val="center"/>
          </w:tcPr>
          <w:p w:rsidR="002E0DAB" w:rsidRDefault="002E0DAB" w:rsidP="002E0DAB">
            <w:pPr>
              <w:pStyle w:val="Default"/>
              <w:rPr>
                <w:rFonts w:ascii="Arial" w:hAnsi="Arial" w:cs="Arial"/>
                <w:sz w:val="22"/>
                <w:szCs w:val="22"/>
              </w:rPr>
            </w:pPr>
            <w:r>
              <w:rPr>
                <w:rFonts w:ascii="Arial" w:hAnsi="Arial" w:cs="Arial"/>
                <w:sz w:val="22"/>
                <w:szCs w:val="22"/>
              </w:rPr>
              <w:t>Social Value and Sustainability</w:t>
            </w:r>
          </w:p>
        </w:tc>
        <w:tc>
          <w:tcPr>
            <w:tcW w:w="4852" w:type="dxa"/>
            <w:tcBorders>
              <w:bottom w:val="single" w:sz="4" w:space="0" w:color="auto"/>
            </w:tcBorders>
            <w:vAlign w:val="center"/>
          </w:tcPr>
          <w:p w:rsidR="002E0DAB" w:rsidRDefault="002E0DAB" w:rsidP="002E0DAB">
            <w:pPr>
              <w:pStyle w:val="Default"/>
              <w:jc w:val="center"/>
              <w:rPr>
                <w:rFonts w:ascii="Arial" w:hAnsi="Arial" w:cs="Arial"/>
                <w:sz w:val="22"/>
                <w:szCs w:val="22"/>
              </w:rPr>
            </w:pPr>
            <w:r>
              <w:rPr>
                <w:rFonts w:ascii="Arial" w:hAnsi="Arial" w:cs="Arial"/>
                <w:sz w:val="22"/>
                <w:szCs w:val="22"/>
              </w:rPr>
              <w:t>5%</w:t>
            </w:r>
          </w:p>
        </w:tc>
      </w:tr>
      <w:tr w:rsidR="002E0DAB" w:rsidTr="002E0DAB">
        <w:trPr>
          <w:trHeight w:val="392"/>
        </w:trPr>
        <w:tc>
          <w:tcPr>
            <w:tcW w:w="9214" w:type="dxa"/>
            <w:shd w:val="pct15" w:color="auto" w:fill="auto"/>
            <w:vAlign w:val="center"/>
          </w:tcPr>
          <w:p w:rsidR="002E0DAB" w:rsidRPr="002E0DAB" w:rsidRDefault="002E0DAB" w:rsidP="005B0C8F">
            <w:pPr>
              <w:pStyle w:val="Default"/>
              <w:rPr>
                <w:rFonts w:ascii="Arial" w:hAnsi="Arial" w:cs="Arial"/>
                <w:b/>
                <w:sz w:val="22"/>
                <w:szCs w:val="22"/>
              </w:rPr>
            </w:pPr>
            <w:r>
              <w:rPr>
                <w:rFonts w:ascii="Arial" w:hAnsi="Arial" w:cs="Arial"/>
                <w:b/>
                <w:sz w:val="22"/>
                <w:szCs w:val="22"/>
              </w:rPr>
              <w:t>Price</w:t>
            </w:r>
          </w:p>
        </w:tc>
        <w:tc>
          <w:tcPr>
            <w:tcW w:w="4852" w:type="dxa"/>
            <w:shd w:val="pct15" w:color="auto" w:fill="auto"/>
            <w:vAlign w:val="center"/>
          </w:tcPr>
          <w:p w:rsidR="002E0DAB" w:rsidRPr="002E0DAB" w:rsidRDefault="002E0DAB" w:rsidP="005B0C8F">
            <w:pPr>
              <w:pStyle w:val="Default"/>
              <w:jc w:val="center"/>
              <w:rPr>
                <w:rFonts w:ascii="Arial" w:hAnsi="Arial" w:cs="Arial"/>
                <w:b/>
                <w:sz w:val="22"/>
                <w:szCs w:val="22"/>
              </w:rPr>
            </w:pPr>
            <w:r>
              <w:rPr>
                <w:rFonts w:ascii="Arial" w:hAnsi="Arial" w:cs="Arial"/>
                <w:b/>
                <w:sz w:val="22"/>
                <w:szCs w:val="22"/>
              </w:rPr>
              <w:t>7</w:t>
            </w:r>
            <w:r w:rsidRPr="002E0DAB">
              <w:rPr>
                <w:rFonts w:ascii="Arial" w:hAnsi="Arial" w:cs="Arial"/>
                <w:b/>
                <w:sz w:val="22"/>
                <w:szCs w:val="22"/>
              </w:rPr>
              <w:t>0%</w:t>
            </w:r>
          </w:p>
        </w:tc>
      </w:tr>
    </w:tbl>
    <w:p w:rsidR="002E0DAB" w:rsidRDefault="002E0DAB" w:rsidP="002E0DAB">
      <w:pPr>
        <w:pStyle w:val="Default"/>
        <w:spacing w:line="360" w:lineRule="auto"/>
        <w:rPr>
          <w:rFonts w:ascii="Arial" w:hAnsi="Arial" w:cs="Arial"/>
          <w:sz w:val="22"/>
          <w:szCs w:val="22"/>
        </w:rPr>
      </w:pPr>
    </w:p>
    <w:p w:rsidR="002E0DAB" w:rsidRDefault="002E0DAB">
      <w:pPr>
        <w:rPr>
          <w:color w:val="000000"/>
          <w:szCs w:val="22"/>
          <w:lang w:eastAsia="en-GB"/>
        </w:rPr>
      </w:pPr>
      <w:r>
        <w:rPr>
          <w:szCs w:val="22"/>
        </w:rPr>
        <w:br w:type="page"/>
      </w:r>
    </w:p>
    <w:p w:rsidR="002E0DAB" w:rsidRPr="002E0DAB" w:rsidRDefault="002E0DAB" w:rsidP="002E0DAB">
      <w:pPr>
        <w:pStyle w:val="Default"/>
        <w:spacing w:line="360" w:lineRule="auto"/>
        <w:rPr>
          <w:rFonts w:ascii="Arial" w:hAnsi="Arial" w:cs="Arial"/>
        </w:rPr>
      </w:pPr>
      <w:r>
        <w:rPr>
          <w:rFonts w:ascii="Arial" w:hAnsi="Arial" w:cs="Arial"/>
          <w:b/>
          <w:bCs/>
        </w:rPr>
        <w:lastRenderedPageBreak/>
        <w:t>THE CONTRACTORS</w:t>
      </w:r>
    </w:p>
    <w:p w:rsidR="007F0654" w:rsidRPr="007F0654" w:rsidRDefault="007F0654" w:rsidP="007F0654">
      <w:pPr>
        <w:jc w:val="center"/>
        <w:rPr>
          <w:b/>
          <w:szCs w:val="22"/>
        </w:rPr>
      </w:pPr>
      <w:r w:rsidRPr="007F0654">
        <w:rPr>
          <w:b/>
          <w:szCs w:val="22"/>
        </w:rPr>
        <w:t>DOMESTIC ENERGY PERFORMANCE CERTIFICATES (EPCs)</w:t>
      </w:r>
    </w:p>
    <w:tbl>
      <w:tblPr>
        <w:tblStyle w:val="TableGrid"/>
        <w:tblpPr w:leftFromText="180" w:rightFromText="180" w:vertAnchor="text" w:horzAnchor="margin" w:tblpXSpec="center" w:tblpY="265"/>
        <w:tblW w:w="14709" w:type="dxa"/>
        <w:tblLook w:val="04A0" w:firstRow="1" w:lastRow="0" w:firstColumn="1" w:lastColumn="0" w:noHBand="0" w:noVBand="1"/>
      </w:tblPr>
      <w:tblGrid>
        <w:gridCol w:w="1390"/>
        <w:gridCol w:w="2546"/>
        <w:gridCol w:w="2693"/>
        <w:gridCol w:w="2693"/>
        <w:gridCol w:w="2693"/>
        <w:gridCol w:w="2694"/>
      </w:tblGrid>
      <w:tr w:rsidR="0095055D" w:rsidTr="0095055D">
        <w:tc>
          <w:tcPr>
            <w:tcW w:w="1390" w:type="dxa"/>
            <w:shd w:val="pct15" w:color="auto" w:fill="auto"/>
            <w:vAlign w:val="center"/>
          </w:tcPr>
          <w:p w:rsidR="0095055D" w:rsidRPr="007F0654" w:rsidRDefault="0095055D" w:rsidP="0095055D">
            <w:pPr>
              <w:jc w:val="center"/>
              <w:rPr>
                <w:b/>
                <w:szCs w:val="22"/>
              </w:rPr>
            </w:pPr>
            <w:r>
              <w:rPr>
                <w:b/>
                <w:szCs w:val="22"/>
              </w:rPr>
              <w:t>Framework Ranking</w:t>
            </w:r>
          </w:p>
        </w:tc>
        <w:tc>
          <w:tcPr>
            <w:tcW w:w="2546" w:type="dxa"/>
            <w:shd w:val="pct15" w:color="auto" w:fill="auto"/>
            <w:vAlign w:val="center"/>
          </w:tcPr>
          <w:p w:rsidR="0095055D" w:rsidRDefault="0095055D" w:rsidP="0095055D">
            <w:pPr>
              <w:jc w:val="center"/>
              <w:rPr>
                <w:b/>
                <w:szCs w:val="22"/>
              </w:rPr>
            </w:pPr>
            <w:r w:rsidRPr="007F0654">
              <w:rPr>
                <w:b/>
                <w:szCs w:val="22"/>
              </w:rPr>
              <w:t>LOT 1.1 Northumberland Domestic EPCs</w:t>
            </w:r>
          </w:p>
        </w:tc>
        <w:tc>
          <w:tcPr>
            <w:tcW w:w="2693" w:type="dxa"/>
            <w:shd w:val="pct15" w:color="auto" w:fill="auto"/>
            <w:vAlign w:val="center"/>
          </w:tcPr>
          <w:p w:rsidR="0095055D" w:rsidRDefault="0095055D" w:rsidP="0095055D">
            <w:pPr>
              <w:jc w:val="center"/>
              <w:rPr>
                <w:b/>
                <w:szCs w:val="22"/>
              </w:rPr>
            </w:pPr>
            <w:r w:rsidRPr="007F0654">
              <w:rPr>
                <w:b/>
                <w:szCs w:val="22"/>
              </w:rPr>
              <w:t>LOT 1.2 Durham Domestic EPCs</w:t>
            </w:r>
          </w:p>
        </w:tc>
        <w:tc>
          <w:tcPr>
            <w:tcW w:w="2693" w:type="dxa"/>
            <w:shd w:val="pct15" w:color="auto" w:fill="auto"/>
            <w:vAlign w:val="center"/>
          </w:tcPr>
          <w:p w:rsidR="0095055D" w:rsidRDefault="0095055D" w:rsidP="0095055D">
            <w:pPr>
              <w:jc w:val="center"/>
              <w:rPr>
                <w:b/>
                <w:szCs w:val="22"/>
              </w:rPr>
            </w:pPr>
            <w:r w:rsidRPr="007F0654">
              <w:rPr>
                <w:b/>
                <w:szCs w:val="22"/>
              </w:rPr>
              <w:t xml:space="preserve">LOT 1.3 Tyne </w:t>
            </w:r>
            <w:r>
              <w:rPr>
                <w:b/>
                <w:szCs w:val="22"/>
              </w:rPr>
              <w:t>&amp;</w:t>
            </w:r>
            <w:r w:rsidRPr="007F0654">
              <w:rPr>
                <w:b/>
                <w:szCs w:val="22"/>
              </w:rPr>
              <w:t xml:space="preserve"> Wear Domestic EPCs</w:t>
            </w:r>
          </w:p>
        </w:tc>
        <w:tc>
          <w:tcPr>
            <w:tcW w:w="2693" w:type="dxa"/>
            <w:shd w:val="pct15" w:color="auto" w:fill="auto"/>
            <w:vAlign w:val="center"/>
          </w:tcPr>
          <w:p w:rsidR="0095055D" w:rsidRPr="007F0654" w:rsidRDefault="0095055D" w:rsidP="0095055D">
            <w:pPr>
              <w:jc w:val="center"/>
              <w:rPr>
                <w:b/>
                <w:szCs w:val="22"/>
              </w:rPr>
            </w:pPr>
            <w:r w:rsidRPr="007F0654">
              <w:rPr>
                <w:b/>
                <w:szCs w:val="22"/>
              </w:rPr>
              <w:t>LOT 1.4 Tees Valley Domestic EPCs</w:t>
            </w:r>
          </w:p>
        </w:tc>
        <w:tc>
          <w:tcPr>
            <w:tcW w:w="2694" w:type="dxa"/>
            <w:shd w:val="pct15" w:color="auto" w:fill="auto"/>
            <w:vAlign w:val="center"/>
          </w:tcPr>
          <w:p w:rsidR="0095055D" w:rsidRPr="007F0654" w:rsidRDefault="0095055D" w:rsidP="0095055D">
            <w:pPr>
              <w:jc w:val="center"/>
              <w:rPr>
                <w:b/>
                <w:szCs w:val="22"/>
              </w:rPr>
            </w:pPr>
            <w:r w:rsidRPr="007F0654">
              <w:rPr>
                <w:b/>
                <w:szCs w:val="22"/>
              </w:rPr>
              <w:t>LOT 1.5 Associate Member Domestic EPCs</w:t>
            </w:r>
          </w:p>
        </w:tc>
      </w:tr>
      <w:tr w:rsidR="0095055D" w:rsidTr="0095055D">
        <w:trPr>
          <w:trHeight w:val="465"/>
        </w:trPr>
        <w:tc>
          <w:tcPr>
            <w:tcW w:w="1390" w:type="dxa"/>
            <w:vAlign w:val="center"/>
          </w:tcPr>
          <w:p w:rsidR="0095055D" w:rsidRPr="007F0654" w:rsidRDefault="0095055D" w:rsidP="0095055D">
            <w:pPr>
              <w:ind w:left="1134" w:hanging="1134"/>
              <w:jc w:val="center"/>
              <w:rPr>
                <w:sz w:val="20"/>
                <w:szCs w:val="20"/>
              </w:rPr>
            </w:pPr>
            <w:bookmarkStart w:id="0" w:name="_GoBack" w:colFirst="3" w:colLast="4"/>
            <w:r w:rsidRPr="007F0654">
              <w:rPr>
                <w:sz w:val="20"/>
                <w:szCs w:val="20"/>
              </w:rPr>
              <w:t>1</w:t>
            </w:r>
            <w:r w:rsidRPr="0095055D">
              <w:rPr>
                <w:sz w:val="20"/>
                <w:szCs w:val="20"/>
                <w:vertAlign w:val="superscript"/>
              </w:rPr>
              <w:t>st</w:t>
            </w:r>
            <w:r>
              <w:rPr>
                <w:sz w:val="20"/>
                <w:szCs w:val="20"/>
              </w:rPr>
              <w:t xml:space="preserve"> </w:t>
            </w:r>
            <w:r w:rsidRPr="007F0654">
              <w:rPr>
                <w:sz w:val="20"/>
                <w:szCs w:val="20"/>
              </w:rPr>
              <w:t>ranked</w:t>
            </w:r>
          </w:p>
        </w:tc>
        <w:tc>
          <w:tcPr>
            <w:tcW w:w="2546" w:type="dxa"/>
            <w:vAlign w:val="center"/>
          </w:tcPr>
          <w:p w:rsidR="0095055D" w:rsidRDefault="0095055D" w:rsidP="0095055D">
            <w:pPr>
              <w:ind w:left="28" w:hanging="28"/>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4" w:type="dxa"/>
            <w:vAlign w:val="center"/>
          </w:tcPr>
          <w:p w:rsidR="0095055D" w:rsidRDefault="0095055D" w:rsidP="0095055D">
            <w:pPr>
              <w:ind w:left="34" w:hanging="34"/>
              <w:jc w:val="center"/>
              <w:rPr>
                <w:b/>
                <w:szCs w:val="22"/>
              </w:rPr>
            </w:pPr>
            <w:r>
              <w:rPr>
                <w:sz w:val="20"/>
                <w:szCs w:val="20"/>
              </w:rPr>
              <w:t xml:space="preserve">ECT Ltd t/a Compliance </w:t>
            </w:r>
            <w:r w:rsidRPr="007F0654">
              <w:rPr>
                <w:sz w:val="20"/>
                <w:szCs w:val="20"/>
              </w:rPr>
              <w:t>365</w:t>
            </w:r>
          </w:p>
        </w:tc>
      </w:tr>
      <w:tr w:rsidR="0095055D" w:rsidTr="0095055D">
        <w:trPr>
          <w:trHeight w:val="465"/>
        </w:trPr>
        <w:tc>
          <w:tcPr>
            <w:tcW w:w="1390" w:type="dxa"/>
            <w:vAlign w:val="center"/>
          </w:tcPr>
          <w:p w:rsidR="0095055D" w:rsidRPr="007F0654" w:rsidRDefault="0095055D" w:rsidP="0095055D">
            <w:pPr>
              <w:jc w:val="center"/>
              <w:rPr>
                <w:sz w:val="20"/>
                <w:szCs w:val="20"/>
              </w:rPr>
            </w:pPr>
            <w:r w:rsidRPr="007F0654">
              <w:rPr>
                <w:sz w:val="20"/>
                <w:szCs w:val="20"/>
              </w:rPr>
              <w:t>2</w:t>
            </w:r>
            <w:r w:rsidRPr="0095055D">
              <w:rPr>
                <w:sz w:val="20"/>
                <w:szCs w:val="20"/>
                <w:vertAlign w:val="superscript"/>
              </w:rPr>
              <w:t>nd</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Gentoo Group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4" w:type="dxa"/>
            <w:vAlign w:val="center"/>
          </w:tcPr>
          <w:p w:rsidR="0095055D" w:rsidRDefault="0095055D" w:rsidP="0095055D">
            <w:pPr>
              <w:jc w:val="center"/>
              <w:rPr>
                <w:b/>
                <w:szCs w:val="22"/>
              </w:rPr>
            </w:pPr>
            <w:r w:rsidRPr="007F0654">
              <w:rPr>
                <w:sz w:val="20"/>
                <w:szCs w:val="20"/>
              </w:rPr>
              <w:t>EPC Portal Ltd</w:t>
            </w:r>
          </w:p>
        </w:tc>
      </w:tr>
      <w:tr w:rsidR="0095055D" w:rsidTr="0095055D">
        <w:trPr>
          <w:trHeight w:val="465"/>
        </w:trPr>
        <w:tc>
          <w:tcPr>
            <w:tcW w:w="1390" w:type="dxa"/>
            <w:vAlign w:val="center"/>
          </w:tcPr>
          <w:p w:rsidR="0095055D" w:rsidRPr="007F0654" w:rsidRDefault="0095055D" w:rsidP="0095055D">
            <w:pPr>
              <w:jc w:val="center"/>
              <w:rPr>
                <w:sz w:val="20"/>
                <w:szCs w:val="20"/>
              </w:rPr>
            </w:pPr>
            <w:r w:rsidRPr="007F0654">
              <w:rPr>
                <w:sz w:val="20"/>
                <w:szCs w:val="20"/>
              </w:rPr>
              <w:t>3</w:t>
            </w:r>
            <w:r w:rsidRPr="0095055D">
              <w:rPr>
                <w:sz w:val="20"/>
                <w:szCs w:val="20"/>
                <w:vertAlign w:val="superscript"/>
              </w:rPr>
              <w:t>rd</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7F0654">
              <w:rPr>
                <w:sz w:val="20"/>
                <w:szCs w:val="20"/>
              </w:rPr>
              <w:t>Pennington Choices Ltd</w:t>
            </w:r>
          </w:p>
        </w:tc>
        <w:tc>
          <w:tcPr>
            <w:tcW w:w="2693" w:type="dxa"/>
            <w:vAlign w:val="center"/>
          </w:tcPr>
          <w:p w:rsidR="0095055D" w:rsidRDefault="0095055D" w:rsidP="0095055D">
            <w:pPr>
              <w:jc w:val="center"/>
              <w:rPr>
                <w:b/>
                <w:szCs w:val="22"/>
              </w:rPr>
            </w:pPr>
            <w:r w:rsidRPr="007F0654">
              <w:rPr>
                <w:sz w:val="20"/>
                <w:szCs w:val="20"/>
              </w:rPr>
              <w:t>Pennington Choices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Pennington Choices Ltd</w:t>
            </w:r>
          </w:p>
        </w:tc>
        <w:tc>
          <w:tcPr>
            <w:tcW w:w="2694" w:type="dxa"/>
            <w:vAlign w:val="center"/>
          </w:tcPr>
          <w:p w:rsidR="0095055D" w:rsidRDefault="0095055D" w:rsidP="0095055D">
            <w:pPr>
              <w:jc w:val="center"/>
              <w:rPr>
                <w:b/>
                <w:szCs w:val="22"/>
              </w:rPr>
            </w:pPr>
            <w:r w:rsidRPr="007F0654">
              <w:rPr>
                <w:sz w:val="20"/>
                <w:szCs w:val="20"/>
              </w:rPr>
              <w:t>Pennington Choices Ltd</w:t>
            </w:r>
          </w:p>
        </w:tc>
      </w:tr>
      <w:tr w:rsidR="0095055D" w:rsidTr="0095055D">
        <w:trPr>
          <w:trHeight w:val="465"/>
        </w:trPr>
        <w:tc>
          <w:tcPr>
            <w:tcW w:w="1390" w:type="dxa"/>
            <w:vAlign w:val="center"/>
          </w:tcPr>
          <w:p w:rsidR="0095055D" w:rsidRPr="007F0654" w:rsidRDefault="0095055D" w:rsidP="0095055D">
            <w:pPr>
              <w:ind w:left="1134" w:hanging="1134"/>
              <w:jc w:val="center"/>
              <w:rPr>
                <w:sz w:val="20"/>
                <w:szCs w:val="20"/>
              </w:rPr>
            </w:pPr>
            <w:r>
              <w:rPr>
                <w:sz w:val="20"/>
                <w:szCs w:val="20"/>
              </w:rPr>
              <w:t>4</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proofErr w:type="spellStart"/>
            <w:r w:rsidRPr="007F0654">
              <w:rPr>
                <w:sz w:val="20"/>
                <w:szCs w:val="20"/>
              </w:rPr>
              <w:t>Elvet</w:t>
            </w:r>
            <w:proofErr w:type="spellEnd"/>
            <w:r w:rsidRPr="007F0654">
              <w:rPr>
                <w:sz w:val="20"/>
                <w:szCs w:val="20"/>
              </w:rPr>
              <w:t xml:space="preserve"> Construction Consultants</w:t>
            </w:r>
          </w:p>
        </w:tc>
        <w:tc>
          <w:tcPr>
            <w:tcW w:w="2693" w:type="dxa"/>
            <w:vAlign w:val="center"/>
          </w:tcPr>
          <w:p w:rsidR="0095055D" w:rsidRDefault="0095055D" w:rsidP="0095055D">
            <w:pPr>
              <w:jc w:val="center"/>
              <w:rPr>
                <w:b/>
                <w:szCs w:val="22"/>
              </w:rPr>
            </w:pPr>
            <w:r w:rsidRPr="007F0654">
              <w:rPr>
                <w:sz w:val="20"/>
                <w:szCs w:val="20"/>
              </w:rPr>
              <w:t>GH Energy Ltd</w:t>
            </w:r>
          </w:p>
        </w:tc>
        <w:tc>
          <w:tcPr>
            <w:tcW w:w="2693" w:type="dxa"/>
            <w:vAlign w:val="center"/>
          </w:tcPr>
          <w:p w:rsidR="0095055D" w:rsidRDefault="0095055D" w:rsidP="0095055D">
            <w:pPr>
              <w:jc w:val="center"/>
              <w:rPr>
                <w:b/>
                <w:szCs w:val="22"/>
              </w:rPr>
            </w:pPr>
            <w:r w:rsidRPr="007F0654">
              <w:rPr>
                <w:sz w:val="20"/>
                <w:szCs w:val="20"/>
              </w:rPr>
              <w:t>Pennington Choices Ltd</w:t>
            </w:r>
          </w:p>
        </w:tc>
        <w:tc>
          <w:tcPr>
            <w:tcW w:w="2693" w:type="dxa"/>
            <w:vAlign w:val="center"/>
          </w:tcPr>
          <w:p w:rsidR="0095055D" w:rsidRDefault="0095055D" w:rsidP="0095055D">
            <w:pPr>
              <w:jc w:val="center"/>
              <w:rPr>
                <w:b/>
                <w:szCs w:val="22"/>
              </w:rPr>
            </w:pPr>
            <w:r w:rsidRPr="007F0654">
              <w:rPr>
                <w:sz w:val="20"/>
                <w:szCs w:val="20"/>
              </w:rPr>
              <w:t>GH Energy Ltd</w:t>
            </w:r>
          </w:p>
        </w:tc>
        <w:tc>
          <w:tcPr>
            <w:tcW w:w="2694" w:type="dxa"/>
            <w:vAlign w:val="center"/>
          </w:tcPr>
          <w:p w:rsidR="0095055D" w:rsidRDefault="0095055D" w:rsidP="0095055D">
            <w:pPr>
              <w:jc w:val="center"/>
              <w:rPr>
                <w:b/>
                <w:szCs w:val="22"/>
              </w:rPr>
            </w:pPr>
            <w:proofErr w:type="spellStart"/>
            <w:r w:rsidRPr="007F0654">
              <w:rPr>
                <w:sz w:val="20"/>
                <w:szCs w:val="20"/>
              </w:rPr>
              <w:t>Elvet</w:t>
            </w:r>
            <w:proofErr w:type="spellEnd"/>
            <w:r w:rsidRPr="007F0654">
              <w:rPr>
                <w:sz w:val="20"/>
                <w:szCs w:val="20"/>
              </w:rPr>
              <w:t xml:space="preserve"> Construction Consultants</w:t>
            </w:r>
          </w:p>
        </w:tc>
      </w:tr>
      <w:tr w:rsidR="0095055D" w:rsidTr="0095055D">
        <w:trPr>
          <w:trHeight w:val="465"/>
        </w:trPr>
        <w:tc>
          <w:tcPr>
            <w:tcW w:w="1390" w:type="dxa"/>
            <w:vAlign w:val="center"/>
          </w:tcPr>
          <w:p w:rsidR="0095055D" w:rsidRPr="007F0654" w:rsidRDefault="0095055D" w:rsidP="0095055D">
            <w:pPr>
              <w:jc w:val="center"/>
              <w:rPr>
                <w:sz w:val="20"/>
                <w:szCs w:val="20"/>
              </w:rPr>
            </w:pPr>
            <w:r>
              <w:rPr>
                <w:sz w:val="20"/>
                <w:szCs w:val="20"/>
              </w:rPr>
              <w:t>5</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7F0654">
              <w:rPr>
                <w:sz w:val="20"/>
                <w:szCs w:val="20"/>
              </w:rPr>
              <w:t>PAC Energy Solutions Ltd</w:t>
            </w:r>
          </w:p>
        </w:tc>
        <w:tc>
          <w:tcPr>
            <w:tcW w:w="2693" w:type="dxa"/>
            <w:vAlign w:val="center"/>
          </w:tcPr>
          <w:p w:rsidR="0095055D" w:rsidRDefault="0095055D" w:rsidP="0095055D">
            <w:pPr>
              <w:jc w:val="center"/>
              <w:rPr>
                <w:b/>
                <w:szCs w:val="22"/>
              </w:rPr>
            </w:pPr>
            <w:r w:rsidRPr="007F0654">
              <w:rPr>
                <w:sz w:val="20"/>
                <w:szCs w:val="20"/>
              </w:rPr>
              <w:t>Gentoo Group Ltd</w:t>
            </w:r>
          </w:p>
        </w:tc>
        <w:tc>
          <w:tcPr>
            <w:tcW w:w="2693" w:type="dxa"/>
            <w:vAlign w:val="center"/>
          </w:tcPr>
          <w:p w:rsidR="0095055D" w:rsidRDefault="0095055D" w:rsidP="0095055D">
            <w:pPr>
              <w:jc w:val="center"/>
              <w:rPr>
                <w:b/>
                <w:szCs w:val="22"/>
              </w:rPr>
            </w:pPr>
            <w:r w:rsidRPr="007F0654">
              <w:rPr>
                <w:sz w:val="20"/>
                <w:szCs w:val="20"/>
              </w:rPr>
              <w:t>GH Energy Ltd</w:t>
            </w:r>
          </w:p>
        </w:tc>
        <w:tc>
          <w:tcPr>
            <w:tcW w:w="2693" w:type="dxa"/>
            <w:vAlign w:val="center"/>
          </w:tcPr>
          <w:p w:rsidR="0095055D" w:rsidRPr="007F0654" w:rsidRDefault="0095055D" w:rsidP="0095055D">
            <w:pPr>
              <w:jc w:val="center"/>
              <w:rPr>
                <w:sz w:val="20"/>
                <w:szCs w:val="20"/>
              </w:rPr>
            </w:pPr>
            <w:proofErr w:type="spellStart"/>
            <w:r w:rsidRPr="007F0654">
              <w:rPr>
                <w:sz w:val="20"/>
                <w:szCs w:val="20"/>
              </w:rPr>
              <w:t>Elvet</w:t>
            </w:r>
            <w:proofErr w:type="spellEnd"/>
            <w:r w:rsidRPr="007F0654">
              <w:rPr>
                <w:sz w:val="20"/>
                <w:szCs w:val="20"/>
              </w:rPr>
              <w:t xml:space="preserve"> Construction Consultants</w:t>
            </w:r>
          </w:p>
        </w:tc>
        <w:tc>
          <w:tcPr>
            <w:tcW w:w="2694" w:type="dxa"/>
            <w:vAlign w:val="center"/>
          </w:tcPr>
          <w:p w:rsidR="0095055D" w:rsidRPr="007F0654" w:rsidRDefault="0095055D" w:rsidP="0095055D">
            <w:pPr>
              <w:jc w:val="center"/>
              <w:rPr>
                <w:sz w:val="20"/>
                <w:szCs w:val="20"/>
              </w:rPr>
            </w:pPr>
            <w:r w:rsidRPr="00C6511C">
              <w:rPr>
                <w:sz w:val="20"/>
                <w:szCs w:val="20"/>
              </w:rPr>
              <w:t>PAC Energy Solutions Ltd</w:t>
            </w:r>
          </w:p>
        </w:tc>
      </w:tr>
      <w:bookmarkEnd w:id="0"/>
    </w:tbl>
    <w:p w:rsidR="007F0654" w:rsidRDefault="007F0654" w:rsidP="007F0654">
      <w:pPr>
        <w:rPr>
          <w:b/>
          <w:szCs w:val="22"/>
        </w:rPr>
      </w:pPr>
    </w:p>
    <w:p w:rsidR="0095055D" w:rsidRDefault="0095055D" w:rsidP="007F0654">
      <w:pPr>
        <w:rPr>
          <w:b/>
          <w:szCs w:val="22"/>
        </w:rPr>
      </w:pPr>
    </w:p>
    <w:p w:rsidR="0095055D" w:rsidRDefault="0095055D" w:rsidP="007F0654">
      <w:pPr>
        <w:rPr>
          <w:b/>
          <w:szCs w:val="22"/>
        </w:rPr>
      </w:pPr>
    </w:p>
    <w:p w:rsidR="0095055D" w:rsidRPr="007F0654" w:rsidRDefault="0095055D" w:rsidP="0095055D">
      <w:pPr>
        <w:jc w:val="center"/>
        <w:rPr>
          <w:b/>
          <w:szCs w:val="22"/>
        </w:rPr>
      </w:pPr>
      <w:r>
        <w:rPr>
          <w:b/>
          <w:szCs w:val="22"/>
        </w:rPr>
        <w:t xml:space="preserve">NON </w:t>
      </w:r>
      <w:r w:rsidRPr="007F0654">
        <w:rPr>
          <w:b/>
          <w:szCs w:val="22"/>
        </w:rPr>
        <w:t>DOMESTIC ENERGY PERFORMANCE CERTIFICATES (EPCs)</w:t>
      </w:r>
    </w:p>
    <w:tbl>
      <w:tblPr>
        <w:tblStyle w:val="TableGrid"/>
        <w:tblpPr w:leftFromText="180" w:rightFromText="180" w:vertAnchor="text" w:horzAnchor="margin" w:tblpXSpec="center" w:tblpY="265"/>
        <w:tblW w:w="14709" w:type="dxa"/>
        <w:tblLook w:val="04A0" w:firstRow="1" w:lastRow="0" w:firstColumn="1" w:lastColumn="0" w:noHBand="0" w:noVBand="1"/>
      </w:tblPr>
      <w:tblGrid>
        <w:gridCol w:w="1390"/>
        <w:gridCol w:w="2546"/>
        <w:gridCol w:w="2693"/>
        <w:gridCol w:w="2693"/>
        <w:gridCol w:w="2693"/>
        <w:gridCol w:w="2694"/>
      </w:tblGrid>
      <w:tr w:rsidR="0095055D" w:rsidTr="005B0C8F">
        <w:tc>
          <w:tcPr>
            <w:tcW w:w="1390" w:type="dxa"/>
            <w:shd w:val="pct15" w:color="auto" w:fill="auto"/>
            <w:vAlign w:val="center"/>
          </w:tcPr>
          <w:p w:rsidR="0095055D" w:rsidRPr="007F0654" w:rsidRDefault="0095055D" w:rsidP="005B0C8F">
            <w:pPr>
              <w:jc w:val="center"/>
              <w:rPr>
                <w:b/>
                <w:szCs w:val="22"/>
              </w:rPr>
            </w:pPr>
            <w:r>
              <w:rPr>
                <w:b/>
                <w:szCs w:val="22"/>
              </w:rPr>
              <w:t>Framework Ranking</w:t>
            </w:r>
          </w:p>
        </w:tc>
        <w:tc>
          <w:tcPr>
            <w:tcW w:w="2546" w:type="dxa"/>
            <w:shd w:val="pct15" w:color="auto" w:fill="auto"/>
            <w:vAlign w:val="center"/>
          </w:tcPr>
          <w:p w:rsidR="0095055D" w:rsidRDefault="0095055D" w:rsidP="005B0C8F">
            <w:pPr>
              <w:jc w:val="center"/>
              <w:rPr>
                <w:b/>
                <w:szCs w:val="22"/>
              </w:rPr>
            </w:pPr>
            <w:r w:rsidRPr="007F0654">
              <w:rPr>
                <w:b/>
                <w:szCs w:val="22"/>
              </w:rPr>
              <w:t>L</w:t>
            </w:r>
            <w:r>
              <w:rPr>
                <w:b/>
                <w:szCs w:val="22"/>
              </w:rPr>
              <w:t>OT 2</w:t>
            </w:r>
            <w:r w:rsidRPr="007F0654">
              <w:rPr>
                <w:b/>
                <w:szCs w:val="22"/>
              </w:rPr>
              <w:t xml:space="preserve">.1 Northumberland </w:t>
            </w:r>
            <w:r>
              <w:rPr>
                <w:b/>
                <w:szCs w:val="22"/>
              </w:rPr>
              <w:t xml:space="preserve">Non </w:t>
            </w:r>
            <w:r w:rsidRPr="007F0654">
              <w:rPr>
                <w:b/>
                <w:szCs w:val="22"/>
              </w:rPr>
              <w:t>Domestic EPCs</w:t>
            </w:r>
          </w:p>
        </w:tc>
        <w:tc>
          <w:tcPr>
            <w:tcW w:w="2693" w:type="dxa"/>
            <w:shd w:val="pct15" w:color="auto" w:fill="auto"/>
            <w:vAlign w:val="center"/>
          </w:tcPr>
          <w:p w:rsidR="0095055D" w:rsidRDefault="0095055D" w:rsidP="005B0C8F">
            <w:pPr>
              <w:jc w:val="center"/>
              <w:rPr>
                <w:b/>
                <w:szCs w:val="22"/>
              </w:rPr>
            </w:pPr>
            <w:r>
              <w:rPr>
                <w:b/>
                <w:szCs w:val="22"/>
              </w:rPr>
              <w:t>LOT 2</w:t>
            </w:r>
            <w:r w:rsidRPr="007F0654">
              <w:rPr>
                <w:b/>
                <w:szCs w:val="22"/>
              </w:rPr>
              <w:t xml:space="preserve">.2 Durham </w:t>
            </w:r>
            <w:r>
              <w:rPr>
                <w:b/>
                <w:szCs w:val="22"/>
              </w:rPr>
              <w:t xml:space="preserve">Non </w:t>
            </w:r>
            <w:r w:rsidRPr="007F0654">
              <w:rPr>
                <w:b/>
                <w:szCs w:val="22"/>
              </w:rPr>
              <w:t>Domestic EPCs</w:t>
            </w:r>
          </w:p>
        </w:tc>
        <w:tc>
          <w:tcPr>
            <w:tcW w:w="2693" w:type="dxa"/>
            <w:shd w:val="pct15" w:color="auto" w:fill="auto"/>
            <w:vAlign w:val="center"/>
          </w:tcPr>
          <w:p w:rsidR="0095055D" w:rsidRDefault="0095055D" w:rsidP="005B0C8F">
            <w:pPr>
              <w:jc w:val="center"/>
              <w:rPr>
                <w:b/>
                <w:szCs w:val="22"/>
              </w:rPr>
            </w:pPr>
            <w:r>
              <w:rPr>
                <w:b/>
                <w:szCs w:val="22"/>
              </w:rPr>
              <w:t>LOT 2</w:t>
            </w:r>
            <w:r w:rsidRPr="007F0654">
              <w:rPr>
                <w:b/>
                <w:szCs w:val="22"/>
              </w:rPr>
              <w:t xml:space="preserve">.3 Tyne </w:t>
            </w:r>
            <w:r>
              <w:rPr>
                <w:b/>
                <w:szCs w:val="22"/>
              </w:rPr>
              <w:t>&amp;</w:t>
            </w:r>
            <w:r w:rsidRPr="007F0654">
              <w:rPr>
                <w:b/>
                <w:szCs w:val="22"/>
              </w:rPr>
              <w:t xml:space="preserve"> Wear </w:t>
            </w:r>
            <w:r>
              <w:rPr>
                <w:b/>
                <w:szCs w:val="22"/>
              </w:rPr>
              <w:t xml:space="preserve">Non </w:t>
            </w:r>
            <w:r w:rsidRPr="007F0654">
              <w:rPr>
                <w:b/>
                <w:szCs w:val="22"/>
              </w:rPr>
              <w:t>Domestic EPCs</w:t>
            </w:r>
          </w:p>
        </w:tc>
        <w:tc>
          <w:tcPr>
            <w:tcW w:w="2693" w:type="dxa"/>
            <w:shd w:val="pct15" w:color="auto" w:fill="auto"/>
            <w:vAlign w:val="center"/>
          </w:tcPr>
          <w:p w:rsidR="0095055D" w:rsidRPr="007F0654" w:rsidRDefault="0095055D" w:rsidP="005B0C8F">
            <w:pPr>
              <w:jc w:val="center"/>
              <w:rPr>
                <w:b/>
                <w:szCs w:val="22"/>
              </w:rPr>
            </w:pPr>
            <w:r>
              <w:rPr>
                <w:b/>
                <w:szCs w:val="22"/>
              </w:rPr>
              <w:t>LOT 2</w:t>
            </w:r>
            <w:r w:rsidRPr="007F0654">
              <w:rPr>
                <w:b/>
                <w:szCs w:val="22"/>
              </w:rPr>
              <w:t xml:space="preserve">.4 Tees Valley </w:t>
            </w:r>
            <w:r>
              <w:rPr>
                <w:b/>
                <w:szCs w:val="22"/>
              </w:rPr>
              <w:t xml:space="preserve">Non </w:t>
            </w:r>
            <w:r w:rsidRPr="007F0654">
              <w:rPr>
                <w:b/>
                <w:szCs w:val="22"/>
              </w:rPr>
              <w:t>Domestic EPCs</w:t>
            </w:r>
          </w:p>
        </w:tc>
        <w:tc>
          <w:tcPr>
            <w:tcW w:w="2694" w:type="dxa"/>
            <w:shd w:val="pct15" w:color="auto" w:fill="auto"/>
            <w:vAlign w:val="center"/>
          </w:tcPr>
          <w:p w:rsidR="0095055D" w:rsidRPr="007F0654" w:rsidRDefault="0095055D" w:rsidP="005B0C8F">
            <w:pPr>
              <w:jc w:val="center"/>
              <w:rPr>
                <w:b/>
                <w:szCs w:val="22"/>
              </w:rPr>
            </w:pPr>
            <w:r>
              <w:rPr>
                <w:b/>
                <w:szCs w:val="22"/>
              </w:rPr>
              <w:t>LOT 2</w:t>
            </w:r>
            <w:r w:rsidRPr="007F0654">
              <w:rPr>
                <w:b/>
                <w:szCs w:val="22"/>
              </w:rPr>
              <w:t xml:space="preserve">.5 Associate Member </w:t>
            </w:r>
            <w:r>
              <w:rPr>
                <w:b/>
                <w:szCs w:val="22"/>
              </w:rPr>
              <w:t xml:space="preserve">Non </w:t>
            </w:r>
            <w:r w:rsidRPr="007F0654">
              <w:rPr>
                <w:b/>
                <w:szCs w:val="22"/>
              </w:rPr>
              <w:t>Domestic EPCs</w:t>
            </w:r>
          </w:p>
        </w:tc>
      </w:tr>
      <w:tr w:rsidR="0095055D" w:rsidTr="005B0C8F">
        <w:trPr>
          <w:trHeight w:val="465"/>
        </w:trPr>
        <w:tc>
          <w:tcPr>
            <w:tcW w:w="1390" w:type="dxa"/>
            <w:vAlign w:val="center"/>
          </w:tcPr>
          <w:p w:rsidR="0095055D" w:rsidRPr="007F0654" w:rsidRDefault="0095055D" w:rsidP="0095055D">
            <w:pPr>
              <w:ind w:left="1134" w:hanging="1134"/>
              <w:jc w:val="center"/>
              <w:rPr>
                <w:sz w:val="20"/>
                <w:szCs w:val="20"/>
              </w:rPr>
            </w:pPr>
            <w:r w:rsidRPr="007F0654">
              <w:rPr>
                <w:sz w:val="20"/>
                <w:szCs w:val="20"/>
              </w:rPr>
              <w:t>1</w:t>
            </w:r>
            <w:r w:rsidRPr="0095055D">
              <w:rPr>
                <w:sz w:val="20"/>
                <w:szCs w:val="20"/>
                <w:vertAlign w:val="superscript"/>
              </w:rPr>
              <w:t>st</w:t>
            </w:r>
            <w:r>
              <w:rPr>
                <w:sz w:val="20"/>
                <w:szCs w:val="20"/>
              </w:rPr>
              <w:t xml:space="preserve"> </w:t>
            </w:r>
            <w:r w:rsidRPr="007F0654">
              <w:rPr>
                <w:sz w:val="20"/>
                <w:szCs w:val="20"/>
              </w:rPr>
              <w:t>ranked</w:t>
            </w:r>
          </w:p>
        </w:tc>
        <w:tc>
          <w:tcPr>
            <w:tcW w:w="2546" w:type="dxa"/>
            <w:vAlign w:val="center"/>
          </w:tcPr>
          <w:p w:rsidR="0095055D" w:rsidRDefault="0095055D" w:rsidP="0095055D">
            <w:pPr>
              <w:ind w:left="28" w:hanging="28"/>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3" w:type="dxa"/>
            <w:vAlign w:val="center"/>
          </w:tcPr>
          <w:p w:rsidR="0095055D" w:rsidRDefault="0095055D" w:rsidP="0095055D">
            <w:pPr>
              <w:jc w:val="center"/>
              <w:rPr>
                <w:b/>
                <w:szCs w:val="22"/>
              </w:rPr>
            </w:pPr>
            <w:r w:rsidRPr="007F0654">
              <w:rPr>
                <w:sz w:val="20"/>
                <w:szCs w:val="20"/>
              </w:rPr>
              <w:t>ECT Ltd t/a Compliance 365</w:t>
            </w:r>
          </w:p>
        </w:tc>
        <w:tc>
          <w:tcPr>
            <w:tcW w:w="2694" w:type="dxa"/>
            <w:vAlign w:val="center"/>
          </w:tcPr>
          <w:p w:rsidR="0095055D" w:rsidRDefault="0095055D" w:rsidP="0095055D">
            <w:pPr>
              <w:ind w:left="34" w:hanging="34"/>
              <w:jc w:val="center"/>
              <w:rPr>
                <w:b/>
                <w:szCs w:val="22"/>
              </w:rPr>
            </w:pPr>
            <w:r>
              <w:rPr>
                <w:sz w:val="20"/>
                <w:szCs w:val="20"/>
              </w:rPr>
              <w:t xml:space="preserve">ECT Ltd t/a Compliance </w:t>
            </w:r>
            <w:r w:rsidRPr="007F0654">
              <w:rPr>
                <w:sz w:val="20"/>
                <w:szCs w:val="20"/>
              </w:rPr>
              <w:t>365</w:t>
            </w:r>
          </w:p>
        </w:tc>
      </w:tr>
      <w:tr w:rsidR="0095055D" w:rsidTr="005B0C8F">
        <w:trPr>
          <w:trHeight w:val="465"/>
        </w:trPr>
        <w:tc>
          <w:tcPr>
            <w:tcW w:w="1390" w:type="dxa"/>
            <w:vAlign w:val="center"/>
          </w:tcPr>
          <w:p w:rsidR="0095055D" w:rsidRPr="007F0654" w:rsidRDefault="0095055D" w:rsidP="0095055D">
            <w:pPr>
              <w:jc w:val="center"/>
              <w:rPr>
                <w:sz w:val="20"/>
                <w:szCs w:val="20"/>
              </w:rPr>
            </w:pPr>
            <w:r w:rsidRPr="007F0654">
              <w:rPr>
                <w:sz w:val="20"/>
                <w:szCs w:val="20"/>
              </w:rPr>
              <w:t>2</w:t>
            </w:r>
            <w:r w:rsidRPr="0095055D">
              <w:rPr>
                <w:sz w:val="20"/>
                <w:szCs w:val="20"/>
                <w:vertAlign w:val="superscript"/>
              </w:rPr>
              <w:t>nd</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3" w:type="dxa"/>
            <w:vAlign w:val="center"/>
          </w:tcPr>
          <w:p w:rsidR="0095055D" w:rsidRDefault="0095055D" w:rsidP="0095055D">
            <w:pPr>
              <w:jc w:val="center"/>
              <w:rPr>
                <w:b/>
                <w:szCs w:val="22"/>
              </w:rPr>
            </w:pPr>
            <w:r w:rsidRPr="007F0654">
              <w:rPr>
                <w:sz w:val="20"/>
                <w:szCs w:val="20"/>
              </w:rPr>
              <w:t>EPC Portal Ltd</w:t>
            </w:r>
          </w:p>
        </w:tc>
        <w:tc>
          <w:tcPr>
            <w:tcW w:w="2694" w:type="dxa"/>
            <w:vAlign w:val="center"/>
          </w:tcPr>
          <w:p w:rsidR="0095055D" w:rsidRDefault="0095055D" w:rsidP="0095055D">
            <w:pPr>
              <w:jc w:val="center"/>
              <w:rPr>
                <w:b/>
                <w:szCs w:val="22"/>
              </w:rPr>
            </w:pPr>
            <w:r w:rsidRPr="007F0654">
              <w:rPr>
                <w:sz w:val="20"/>
                <w:szCs w:val="20"/>
              </w:rPr>
              <w:t>EPC Portal Ltd</w:t>
            </w:r>
          </w:p>
        </w:tc>
      </w:tr>
      <w:tr w:rsidR="0095055D" w:rsidTr="005B0C8F">
        <w:trPr>
          <w:trHeight w:val="465"/>
        </w:trPr>
        <w:tc>
          <w:tcPr>
            <w:tcW w:w="1390" w:type="dxa"/>
            <w:vAlign w:val="center"/>
          </w:tcPr>
          <w:p w:rsidR="0095055D" w:rsidRPr="007F0654" w:rsidRDefault="0095055D" w:rsidP="0095055D">
            <w:pPr>
              <w:jc w:val="center"/>
              <w:rPr>
                <w:sz w:val="20"/>
                <w:szCs w:val="20"/>
              </w:rPr>
            </w:pPr>
            <w:r w:rsidRPr="007F0654">
              <w:rPr>
                <w:sz w:val="20"/>
                <w:szCs w:val="20"/>
              </w:rPr>
              <w:t>3</w:t>
            </w:r>
            <w:r w:rsidRPr="0095055D">
              <w:rPr>
                <w:sz w:val="20"/>
                <w:szCs w:val="20"/>
                <w:vertAlign w:val="superscript"/>
              </w:rPr>
              <w:t>rd</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7F0654">
              <w:rPr>
                <w:sz w:val="20"/>
                <w:szCs w:val="20"/>
              </w:rPr>
              <w:t>GH Energy Ltd</w:t>
            </w:r>
          </w:p>
        </w:tc>
        <w:tc>
          <w:tcPr>
            <w:tcW w:w="2693" w:type="dxa"/>
            <w:vAlign w:val="center"/>
          </w:tcPr>
          <w:p w:rsidR="0095055D" w:rsidRDefault="0095055D" w:rsidP="0095055D">
            <w:pPr>
              <w:jc w:val="center"/>
              <w:rPr>
                <w:b/>
                <w:szCs w:val="22"/>
              </w:rPr>
            </w:pPr>
            <w:r w:rsidRPr="00C6511C">
              <w:rPr>
                <w:sz w:val="20"/>
                <w:szCs w:val="20"/>
              </w:rPr>
              <w:t>RE Currie Reduced Energy Consultants</w:t>
            </w:r>
          </w:p>
        </w:tc>
        <w:tc>
          <w:tcPr>
            <w:tcW w:w="2693" w:type="dxa"/>
            <w:vAlign w:val="center"/>
          </w:tcPr>
          <w:p w:rsidR="0095055D" w:rsidRPr="0095055D" w:rsidRDefault="0095055D" w:rsidP="0095055D">
            <w:pPr>
              <w:tabs>
                <w:tab w:val="left" w:pos="9356"/>
              </w:tabs>
              <w:ind w:left="4820" w:right="-1068" w:hanging="4820"/>
              <w:rPr>
                <w:sz w:val="20"/>
                <w:szCs w:val="20"/>
              </w:rPr>
            </w:pPr>
            <w:r w:rsidRPr="00C6511C">
              <w:rPr>
                <w:sz w:val="20"/>
                <w:szCs w:val="20"/>
              </w:rPr>
              <w:t>EPCs and DECs North East</w:t>
            </w:r>
          </w:p>
        </w:tc>
        <w:tc>
          <w:tcPr>
            <w:tcW w:w="2693" w:type="dxa"/>
            <w:vAlign w:val="center"/>
          </w:tcPr>
          <w:p w:rsidR="0095055D" w:rsidRDefault="0095055D" w:rsidP="0095055D">
            <w:pPr>
              <w:jc w:val="center"/>
              <w:rPr>
                <w:b/>
                <w:szCs w:val="22"/>
              </w:rPr>
            </w:pPr>
            <w:r w:rsidRPr="00C6511C">
              <w:rPr>
                <w:sz w:val="20"/>
                <w:szCs w:val="20"/>
              </w:rPr>
              <w:t>RE Currie Reduced Energy Consultants</w:t>
            </w:r>
          </w:p>
        </w:tc>
        <w:tc>
          <w:tcPr>
            <w:tcW w:w="2694" w:type="dxa"/>
            <w:vAlign w:val="center"/>
          </w:tcPr>
          <w:p w:rsidR="0095055D" w:rsidRDefault="0095055D" w:rsidP="0095055D">
            <w:pPr>
              <w:jc w:val="center"/>
              <w:rPr>
                <w:b/>
                <w:szCs w:val="22"/>
              </w:rPr>
            </w:pPr>
            <w:r w:rsidRPr="007F0654">
              <w:rPr>
                <w:sz w:val="20"/>
                <w:szCs w:val="20"/>
              </w:rPr>
              <w:t>GH Energy Ltd</w:t>
            </w:r>
          </w:p>
        </w:tc>
      </w:tr>
      <w:tr w:rsidR="0095055D" w:rsidTr="005B0C8F">
        <w:trPr>
          <w:trHeight w:val="465"/>
        </w:trPr>
        <w:tc>
          <w:tcPr>
            <w:tcW w:w="1390" w:type="dxa"/>
            <w:vAlign w:val="center"/>
          </w:tcPr>
          <w:p w:rsidR="0095055D" w:rsidRPr="007F0654" w:rsidRDefault="0095055D" w:rsidP="0095055D">
            <w:pPr>
              <w:ind w:left="1134" w:hanging="1134"/>
              <w:jc w:val="center"/>
              <w:rPr>
                <w:sz w:val="20"/>
                <w:szCs w:val="20"/>
              </w:rPr>
            </w:pPr>
            <w:r>
              <w:rPr>
                <w:sz w:val="20"/>
                <w:szCs w:val="20"/>
              </w:rPr>
              <w:t>4</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95055D" w:rsidRDefault="0095055D" w:rsidP="0095055D">
            <w:pPr>
              <w:jc w:val="center"/>
              <w:rPr>
                <w:b/>
                <w:szCs w:val="22"/>
              </w:rPr>
            </w:pPr>
            <w:r w:rsidRPr="00C6511C">
              <w:rPr>
                <w:sz w:val="20"/>
                <w:szCs w:val="20"/>
              </w:rPr>
              <w:t>Green Zone Surveys (UK) Ltd</w:t>
            </w:r>
          </w:p>
        </w:tc>
        <w:tc>
          <w:tcPr>
            <w:tcW w:w="2693" w:type="dxa"/>
            <w:vAlign w:val="center"/>
          </w:tcPr>
          <w:p w:rsidR="0095055D" w:rsidRDefault="0095055D" w:rsidP="0095055D">
            <w:pPr>
              <w:jc w:val="center"/>
              <w:rPr>
                <w:b/>
                <w:szCs w:val="22"/>
              </w:rPr>
            </w:pPr>
            <w:r w:rsidRPr="007F0654">
              <w:rPr>
                <w:sz w:val="20"/>
                <w:szCs w:val="20"/>
              </w:rPr>
              <w:t>GH Energy Ltd</w:t>
            </w:r>
          </w:p>
        </w:tc>
        <w:tc>
          <w:tcPr>
            <w:tcW w:w="2693" w:type="dxa"/>
            <w:vAlign w:val="center"/>
          </w:tcPr>
          <w:p w:rsidR="0095055D" w:rsidRDefault="0095055D" w:rsidP="0095055D">
            <w:pPr>
              <w:jc w:val="center"/>
              <w:rPr>
                <w:b/>
                <w:szCs w:val="22"/>
              </w:rPr>
            </w:pPr>
            <w:r w:rsidRPr="007F0654">
              <w:rPr>
                <w:sz w:val="20"/>
                <w:szCs w:val="20"/>
              </w:rPr>
              <w:t>GH Energy Ltd</w:t>
            </w:r>
          </w:p>
        </w:tc>
        <w:tc>
          <w:tcPr>
            <w:tcW w:w="2693" w:type="dxa"/>
            <w:vAlign w:val="center"/>
          </w:tcPr>
          <w:p w:rsidR="0095055D" w:rsidRDefault="0095055D" w:rsidP="0095055D">
            <w:pPr>
              <w:jc w:val="center"/>
              <w:rPr>
                <w:b/>
                <w:szCs w:val="22"/>
              </w:rPr>
            </w:pPr>
            <w:r w:rsidRPr="007F0654">
              <w:rPr>
                <w:sz w:val="20"/>
                <w:szCs w:val="20"/>
              </w:rPr>
              <w:t>GH Energy Ltd</w:t>
            </w:r>
          </w:p>
        </w:tc>
        <w:tc>
          <w:tcPr>
            <w:tcW w:w="2694" w:type="dxa"/>
            <w:vAlign w:val="center"/>
          </w:tcPr>
          <w:p w:rsidR="0095055D" w:rsidRPr="007F0654" w:rsidRDefault="0095055D" w:rsidP="0095055D">
            <w:pPr>
              <w:jc w:val="center"/>
              <w:rPr>
                <w:sz w:val="20"/>
                <w:szCs w:val="20"/>
              </w:rPr>
            </w:pPr>
            <w:proofErr w:type="spellStart"/>
            <w:r w:rsidRPr="00C6511C">
              <w:rPr>
                <w:sz w:val="20"/>
                <w:szCs w:val="20"/>
              </w:rPr>
              <w:t>Lakehouse</w:t>
            </w:r>
            <w:proofErr w:type="spellEnd"/>
            <w:r w:rsidRPr="00C6511C">
              <w:rPr>
                <w:sz w:val="20"/>
                <w:szCs w:val="20"/>
              </w:rPr>
              <w:t xml:space="preserve"> Ltd</w:t>
            </w:r>
          </w:p>
        </w:tc>
      </w:tr>
      <w:tr w:rsidR="0095055D" w:rsidTr="005B0C8F">
        <w:trPr>
          <w:trHeight w:val="465"/>
        </w:trPr>
        <w:tc>
          <w:tcPr>
            <w:tcW w:w="1390" w:type="dxa"/>
            <w:vAlign w:val="center"/>
          </w:tcPr>
          <w:p w:rsidR="0095055D" w:rsidRPr="007F0654" w:rsidRDefault="0095055D" w:rsidP="005B0C8F">
            <w:pPr>
              <w:jc w:val="center"/>
              <w:rPr>
                <w:sz w:val="20"/>
                <w:szCs w:val="20"/>
              </w:rPr>
            </w:pPr>
            <w:r>
              <w:rPr>
                <w:sz w:val="20"/>
                <w:szCs w:val="20"/>
              </w:rPr>
              <w:t>5</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95055D" w:rsidRDefault="0095055D" w:rsidP="005B0C8F">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95055D" w:rsidRDefault="00480B97" w:rsidP="005B0C8F">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95055D" w:rsidRDefault="0095055D" w:rsidP="005B0C8F">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95055D" w:rsidRPr="007F0654" w:rsidRDefault="0095055D" w:rsidP="005B0C8F">
            <w:pPr>
              <w:jc w:val="center"/>
              <w:rPr>
                <w:sz w:val="20"/>
                <w:szCs w:val="20"/>
              </w:rPr>
            </w:pPr>
            <w:proofErr w:type="spellStart"/>
            <w:r w:rsidRPr="00C6511C">
              <w:rPr>
                <w:sz w:val="20"/>
                <w:szCs w:val="20"/>
              </w:rPr>
              <w:t>Lakehouse</w:t>
            </w:r>
            <w:proofErr w:type="spellEnd"/>
            <w:r w:rsidRPr="00C6511C">
              <w:rPr>
                <w:sz w:val="20"/>
                <w:szCs w:val="20"/>
              </w:rPr>
              <w:t xml:space="preserve"> Ltd</w:t>
            </w:r>
          </w:p>
        </w:tc>
        <w:tc>
          <w:tcPr>
            <w:tcW w:w="2694" w:type="dxa"/>
            <w:vAlign w:val="center"/>
          </w:tcPr>
          <w:p w:rsidR="0095055D" w:rsidRPr="007F0654" w:rsidRDefault="0095055D" w:rsidP="0095055D">
            <w:pPr>
              <w:jc w:val="center"/>
              <w:rPr>
                <w:sz w:val="20"/>
                <w:szCs w:val="20"/>
              </w:rPr>
            </w:pPr>
            <w:r w:rsidRPr="0095055D">
              <w:rPr>
                <w:sz w:val="20"/>
                <w:szCs w:val="20"/>
              </w:rPr>
              <w:t xml:space="preserve">Energy Information Centre Ltd </w:t>
            </w:r>
            <w:proofErr w:type="spellStart"/>
            <w:r w:rsidRPr="0095055D">
              <w:rPr>
                <w:sz w:val="20"/>
                <w:szCs w:val="20"/>
              </w:rPr>
              <w:t>Ltd</w:t>
            </w:r>
            <w:proofErr w:type="spellEnd"/>
            <w:r w:rsidRPr="0095055D">
              <w:rPr>
                <w:sz w:val="20"/>
                <w:szCs w:val="20"/>
              </w:rPr>
              <w:t xml:space="preserve"> t/a </w:t>
            </w:r>
            <w:proofErr w:type="spellStart"/>
            <w:r w:rsidRPr="0095055D">
              <w:rPr>
                <w:sz w:val="20"/>
                <w:szCs w:val="20"/>
              </w:rPr>
              <w:t>Utilitywise</w:t>
            </w:r>
            <w:proofErr w:type="spellEnd"/>
            <w:r w:rsidRPr="0095055D">
              <w:rPr>
                <w:sz w:val="20"/>
                <w:szCs w:val="20"/>
              </w:rPr>
              <w:t xml:space="preserve"> </w:t>
            </w:r>
          </w:p>
        </w:tc>
      </w:tr>
    </w:tbl>
    <w:p w:rsidR="0095055D" w:rsidRDefault="0095055D" w:rsidP="0095055D">
      <w:pPr>
        <w:rPr>
          <w:b/>
          <w:szCs w:val="22"/>
        </w:rPr>
      </w:pPr>
    </w:p>
    <w:p w:rsidR="0095055D" w:rsidRDefault="0095055D" w:rsidP="0095055D">
      <w:pPr>
        <w:rPr>
          <w:b/>
          <w:szCs w:val="22"/>
        </w:rPr>
      </w:pPr>
    </w:p>
    <w:p w:rsidR="0095055D" w:rsidRDefault="0095055D" w:rsidP="0095055D">
      <w:pPr>
        <w:rPr>
          <w:b/>
          <w:szCs w:val="22"/>
        </w:rPr>
      </w:pPr>
    </w:p>
    <w:p w:rsidR="0095055D" w:rsidRDefault="0095055D" w:rsidP="007F0654">
      <w:pPr>
        <w:rPr>
          <w:b/>
          <w:szCs w:val="22"/>
        </w:rPr>
      </w:pPr>
    </w:p>
    <w:p w:rsidR="00C6511C" w:rsidRPr="00C6511C" w:rsidRDefault="00C6511C" w:rsidP="0095055D">
      <w:pPr>
        <w:ind w:left="4820" w:hanging="4820"/>
        <w:rPr>
          <w:sz w:val="20"/>
          <w:szCs w:val="20"/>
        </w:rPr>
      </w:pPr>
    </w:p>
    <w:p w:rsidR="0095055D" w:rsidRPr="007F0654" w:rsidRDefault="0095055D" w:rsidP="0095055D">
      <w:pPr>
        <w:jc w:val="center"/>
        <w:rPr>
          <w:b/>
          <w:szCs w:val="22"/>
        </w:rPr>
      </w:pPr>
      <w:r>
        <w:rPr>
          <w:b/>
          <w:szCs w:val="22"/>
        </w:rPr>
        <w:t>DISPLAY</w:t>
      </w:r>
      <w:r w:rsidRPr="007F0654">
        <w:rPr>
          <w:b/>
          <w:szCs w:val="22"/>
        </w:rPr>
        <w:t xml:space="preserve"> ENERGY</w:t>
      </w:r>
      <w:r>
        <w:rPr>
          <w:b/>
          <w:szCs w:val="22"/>
        </w:rPr>
        <w:t xml:space="preserve"> CERTIFICATES (DE</w:t>
      </w:r>
      <w:r w:rsidRPr="007F0654">
        <w:rPr>
          <w:b/>
          <w:szCs w:val="22"/>
        </w:rPr>
        <w:t>Cs)</w:t>
      </w:r>
    </w:p>
    <w:tbl>
      <w:tblPr>
        <w:tblStyle w:val="TableGrid"/>
        <w:tblpPr w:leftFromText="180" w:rightFromText="180" w:vertAnchor="text" w:horzAnchor="margin" w:tblpXSpec="center" w:tblpY="265"/>
        <w:tblW w:w="14709" w:type="dxa"/>
        <w:tblLook w:val="04A0" w:firstRow="1" w:lastRow="0" w:firstColumn="1" w:lastColumn="0" w:noHBand="0" w:noVBand="1"/>
      </w:tblPr>
      <w:tblGrid>
        <w:gridCol w:w="1390"/>
        <w:gridCol w:w="2546"/>
        <w:gridCol w:w="2693"/>
        <w:gridCol w:w="2693"/>
        <w:gridCol w:w="2693"/>
        <w:gridCol w:w="2694"/>
      </w:tblGrid>
      <w:tr w:rsidR="00480B97" w:rsidRPr="007F0654" w:rsidTr="005B0C8F">
        <w:tc>
          <w:tcPr>
            <w:tcW w:w="1390" w:type="dxa"/>
            <w:shd w:val="pct15" w:color="auto" w:fill="auto"/>
            <w:vAlign w:val="center"/>
          </w:tcPr>
          <w:p w:rsidR="00480B97" w:rsidRPr="007F0654" w:rsidRDefault="00480B97" w:rsidP="005B0C8F">
            <w:pPr>
              <w:jc w:val="center"/>
              <w:rPr>
                <w:b/>
                <w:szCs w:val="22"/>
              </w:rPr>
            </w:pPr>
            <w:r>
              <w:rPr>
                <w:b/>
                <w:szCs w:val="22"/>
              </w:rPr>
              <w:t>Framework Ranking</w:t>
            </w:r>
          </w:p>
        </w:tc>
        <w:tc>
          <w:tcPr>
            <w:tcW w:w="2546" w:type="dxa"/>
            <w:shd w:val="pct15" w:color="auto" w:fill="auto"/>
            <w:vAlign w:val="center"/>
          </w:tcPr>
          <w:p w:rsidR="00480B97" w:rsidRDefault="00480B97" w:rsidP="00480B97">
            <w:pPr>
              <w:jc w:val="center"/>
              <w:rPr>
                <w:b/>
                <w:szCs w:val="22"/>
              </w:rPr>
            </w:pPr>
            <w:r w:rsidRPr="007F0654">
              <w:rPr>
                <w:b/>
                <w:szCs w:val="22"/>
              </w:rPr>
              <w:t>L</w:t>
            </w:r>
            <w:r>
              <w:rPr>
                <w:b/>
                <w:szCs w:val="22"/>
              </w:rPr>
              <w:t>OT 3.1 Northumberland DE</w:t>
            </w:r>
            <w:r w:rsidRPr="007F0654">
              <w:rPr>
                <w:b/>
                <w:szCs w:val="22"/>
              </w:rPr>
              <w:t>Cs</w:t>
            </w:r>
          </w:p>
        </w:tc>
        <w:tc>
          <w:tcPr>
            <w:tcW w:w="2693" w:type="dxa"/>
            <w:shd w:val="pct15" w:color="auto" w:fill="auto"/>
            <w:vAlign w:val="center"/>
          </w:tcPr>
          <w:p w:rsidR="00480B97" w:rsidRDefault="00480B97" w:rsidP="005B0C8F">
            <w:pPr>
              <w:jc w:val="center"/>
              <w:rPr>
                <w:b/>
                <w:szCs w:val="22"/>
              </w:rPr>
            </w:pPr>
            <w:r>
              <w:rPr>
                <w:b/>
                <w:szCs w:val="22"/>
              </w:rPr>
              <w:t>LOT 3</w:t>
            </w:r>
            <w:r w:rsidRPr="007F0654">
              <w:rPr>
                <w:b/>
                <w:szCs w:val="22"/>
              </w:rPr>
              <w:t xml:space="preserve">.2 Durham </w:t>
            </w:r>
            <w:r>
              <w:rPr>
                <w:b/>
                <w:szCs w:val="22"/>
              </w:rPr>
              <w:t>DE</w:t>
            </w:r>
            <w:r w:rsidRPr="007F0654">
              <w:rPr>
                <w:b/>
                <w:szCs w:val="22"/>
              </w:rPr>
              <w:t>Cs</w:t>
            </w:r>
          </w:p>
        </w:tc>
        <w:tc>
          <w:tcPr>
            <w:tcW w:w="2693" w:type="dxa"/>
            <w:shd w:val="pct15" w:color="auto" w:fill="auto"/>
            <w:vAlign w:val="center"/>
          </w:tcPr>
          <w:p w:rsidR="00480B97" w:rsidRDefault="00480B97" w:rsidP="00480B97">
            <w:pPr>
              <w:jc w:val="center"/>
              <w:rPr>
                <w:b/>
                <w:szCs w:val="22"/>
              </w:rPr>
            </w:pPr>
            <w:r>
              <w:rPr>
                <w:b/>
                <w:szCs w:val="22"/>
              </w:rPr>
              <w:t>LOT 3</w:t>
            </w:r>
            <w:r w:rsidRPr="007F0654">
              <w:rPr>
                <w:b/>
                <w:szCs w:val="22"/>
              </w:rPr>
              <w:t xml:space="preserve">.3 Tyne </w:t>
            </w:r>
            <w:r>
              <w:rPr>
                <w:b/>
                <w:szCs w:val="22"/>
              </w:rPr>
              <w:t>&amp;</w:t>
            </w:r>
            <w:r w:rsidRPr="007F0654">
              <w:rPr>
                <w:b/>
                <w:szCs w:val="22"/>
              </w:rPr>
              <w:t xml:space="preserve"> Wear </w:t>
            </w:r>
            <w:r>
              <w:rPr>
                <w:b/>
                <w:szCs w:val="22"/>
              </w:rPr>
              <w:t>D</w:t>
            </w:r>
            <w:r w:rsidRPr="007F0654">
              <w:rPr>
                <w:b/>
                <w:szCs w:val="22"/>
              </w:rPr>
              <w:t>ECs</w:t>
            </w:r>
          </w:p>
        </w:tc>
        <w:tc>
          <w:tcPr>
            <w:tcW w:w="2693" w:type="dxa"/>
            <w:shd w:val="pct15" w:color="auto" w:fill="auto"/>
            <w:vAlign w:val="center"/>
          </w:tcPr>
          <w:p w:rsidR="00480B97" w:rsidRPr="007F0654" w:rsidRDefault="00480B97" w:rsidP="005B0C8F">
            <w:pPr>
              <w:jc w:val="center"/>
              <w:rPr>
                <w:b/>
                <w:szCs w:val="22"/>
              </w:rPr>
            </w:pPr>
            <w:r>
              <w:rPr>
                <w:b/>
                <w:szCs w:val="22"/>
              </w:rPr>
              <w:t>LOT 3</w:t>
            </w:r>
            <w:r w:rsidRPr="007F0654">
              <w:rPr>
                <w:b/>
                <w:szCs w:val="22"/>
              </w:rPr>
              <w:t xml:space="preserve">.4 Tees Valley </w:t>
            </w:r>
            <w:r>
              <w:rPr>
                <w:b/>
                <w:szCs w:val="22"/>
              </w:rPr>
              <w:t>DE</w:t>
            </w:r>
            <w:r w:rsidRPr="007F0654">
              <w:rPr>
                <w:b/>
                <w:szCs w:val="22"/>
              </w:rPr>
              <w:t>Cs</w:t>
            </w:r>
          </w:p>
        </w:tc>
        <w:tc>
          <w:tcPr>
            <w:tcW w:w="2694" w:type="dxa"/>
            <w:shd w:val="pct15" w:color="auto" w:fill="auto"/>
            <w:vAlign w:val="center"/>
          </w:tcPr>
          <w:p w:rsidR="00480B97" w:rsidRPr="007F0654" w:rsidRDefault="00480B97" w:rsidP="00480B97">
            <w:pPr>
              <w:jc w:val="center"/>
              <w:rPr>
                <w:b/>
                <w:szCs w:val="22"/>
              </w:rPr>
            </w:pPr>
            <w:r>
              <w:rPr>
                <w:b/>
                <w:szCs w:val="22"/>
              </w:rPr>
              <w:t>LOT 3</w:t>
            </w:r>
            <w:r w:rsidRPr="007F0654">
              <w:rPr>
                <w:b/>
                <w:szCs w:val="22"/>
              </w:rPr>
              <w:t>.5 Associate Member D</w:t>
            </w:r>
            <w:r>
              <w:rPr>
                <w:b/>
                <w:szCs w:val="22"/>
              </w:rPr>
              <w:t>E</w:t>
            </w:r>
            <w:r w:rsidRPr="007F0654">
              <w:rPr>
                <w:b/>
                <w:szCs w:val="22"/>
              </w:rPr>
              <w:t>Cs</w:t>
            </w:r>
          </w:p>
        </w:tc>
      </w:tr>
      <w:tr w:rsidR="00480B97" w:rsidTr="005B0C8F">
        <w:trPr>
          <w:trHeight w:val="465"/>
        </w:trPr>
        <w:tc>
          <w:tcPr>
            <w:tcW w:w="1390" w:type="dxa"/>
            <w:vAlign w:val="center"/>
          </w:tcPr>
          <w:p w:rsidR="00480B97" w:rsidRPr="007F0654" w:rsidRDefault="00480B97" w:rsidP="00480B97">
            <w:pPr>
              <w:ind w:left="1134" w:hanging="1134"/>
              <w:jc w:val="center"/>
              <w:rPr>
                <w:sz w:val="20"/>
                <w:szCs w:val="20"/>
              </w:rPr>
            </w:pPr>
            <w:r w:rsidRPr="007F0654">
              <w:rPr>
                <w:sz w:val="20"/>
                <w:szCs w:val="20"/>
              </w:rPr>
              <w:t>1</w:t>
            </w:r>
            <w:r w:rsidRPr="0095055D">
              <w:rPr>
                <w:sz w:val="20"/>
                <w:szCs w:val="20"/>
                <w:vertAlign w:val="superscript"/>
              </w:rPr>
              <w:t>st</w:t>
            </w:r>
            <w:r>
              <w:rPr>
                <w:sz w:val="20"/>
                <w:szCs w:val="20"/>
              </w:rPr>
              <w:t xml:space="preserve"> </w:t>
            </w:r>
            <w:r w:rsidRPr="007F0654">
              <w:rPr>
                <w:sz w:val="20"/>
                <w:szCs w:val="20"/>
              </w:rPr>
              <w:t>ranked</w:t>
            </w:r>
          </w:p>
        </w:tc>
        <w:tc>
          <w:tcPr>
            <w:tcW w:w="2546" w:type="dxa"/>
            <w:vAlign w:val="center"/>
          </w:tcPr>
          <w:p w:rsidR="00480B97" w:rsidRDefault="00480B97" w:rsidP="00480B97">
            <w:pPr>
              <w:ind w:left="28" w:hanging="28"/>
              <w:jc w:val="center"/>
              <w:rPr>
                <w:b/>
                <w:szCs w:val="22"/>
              </w:rPr>
            </w:pPr>
            <w:r w:rsidRPr="007F0654">
              <w:rPr>
                <w:sz w:val="20"/>
                <w:szCs w:val="20"/>
              </w:rPr>
              <w:t>ECT Ltd t/a Compliance 365</w:t>
            </w:r>
          </w:p>
        </w:tc>
        <w:tc>
          <w:tcPr>
            <w:tcW w:w="2693" w:type="dxa"/>
            <w:vAlign w:val="center"/>
          </w:tcPr>
          <w:p w:rsidR="00480B97" w:rsidRDefault="00480B97" w:rsidP="00480B97">
            <w:pPr>
              <w:ind w:left="28" w:hanging="28"/>
              <w:jc w:val="center"/>
              <w:rPr>
                <w:b/>
                <w:szCs w:val="22"/>
              </w:rPr>
            </w:pPr>
            <w:r w:rsidRPr="007F0654">
              <w:rPr>
                <w:sz w:val="20"/>
                <w:szCs w:val="20"/>
              </w:rPr>
              <w:t>ECT Ltd t/a Compliance 365</w:t>
            </w:r>
          </w:p>
        </w:tc>
        <w:tc>
          <w:tcPr>
            <w:tcW w:w="2693" w:type="dxa"/>
            <w:vAlign w:val="center"/>
          </w:tcPr>
          <w:p w:rsidR="00480B97" w:rsidRDefault="00480B97" w:rsidP="00480B97">
            <w:pPr>
              <w:jc w:val="center"/>
              <w:rPr>
                <w:b/>
                <w:szCs w:val="22"/>
              </w:rPr>
            </w:pPr>
            <w:r w:rsidRPr="007F0654">
              <w:rPr>
                <w:sz w:val="20"/>
                <w:szCs w:val="20"/>
              </w:rPr>
              <w:t>ECT Ltd t/a Compliance 365</w:t>
            </w:r>
          </w:p>
        </w:tc>
        <w:tc>
          <w:tcPr>
            <w:tcW w:w="2693" w:type="dxa"/>
            <w:vAlign w:val="center"/>
          </w:tcPr>
          <w:p w:rsidR="00480B97" w:rsidRDefault="00480B97" w:rsidP="00480B97">
            <w:pPr>
              <w:jc w:val="center"/>
              <w:rPr>
                <w:b/>
                <w:szCs w:val="22"/>
              </w:rPr>
            </w:pPr>
            <w:r w:rsidRPr="007F0654">
              <w:rPr>
                <w:sz w:val="20"/>
                <w:szCs w:val="20"/>
              </w:rPr>
              <w:t>ECT Ltd t/a Compliance 365</w:t>
            </w:r>
          </w:p>
        </w:tc>
        <w:tc>
          <w:tcPr>
            <w:tcW w:w="2694" w:type="dxa"/>
            <w:vAlign w:val="center"/>
          </w:tcPr>
          <w:p w:rsidR="00480B97" w:rsidRDefault="00480B97" w:rsidP="00480B97">
            <w:pPr>
              <w:ind w:left="28" w:hanging="28"/>
              <w:jc w:val="center"/>
              <w:rPr>
                <w:b/>
                <w:szCs w:val="22"/>
              </w:rPr>
            </w:pPr>
            <w:r w:rsidRPr="007F0654">
              <w:rPr>
                <w:sz w:val="20"/>
                <w:szCs w:val="20"/>
              </w:rPr>
              <w:t>ECT Ltd t/a Compliance 365</w:t>
            </w:r>
          </w:p>
        </w:tc>
      </w:tr>
      <w:tr w:rsidR="00480B97" w:rsidTr="005B0C8F">
        <w:trPr>
          <w:trHeight w:val="465"/>
        </w:trPr>
        <w:tc>
          <w:tcPr>
            <w:tcW w:w="1390" w:type="dxa"/>
            <w:vAlign w:val="center"/>
          </w:tcPr>
          <w:p w:rsidR="00480B97" w:rsidRPr="007F0654" w:rsidRDefault="00480B97" w:rsidP="00480B97">
            <w:pPr>
              <w:jc w:val="center"/>
              <w:rPr>
                <w:sz w:val="20"/>
                <w:szCs w:val="20"/>
              </w:rPr>
            </w:pPr>
            <w:r w:rsidRPr="007F0654">
              <w:rPr>
                <w:sz w:val="20"/>
                <w:szCs w:val="20"/>
              </w:rPr>
              <w:t>2</w:t>
            </w:r>
            <w:r w:rsidRPr="0095055D">
              <w:rPr>
                <w:sz w:val="20"/>
                <w:szCs w:val="20"/>
                <w:vertAlign w:val="superscript"/>
              </w:rPr>
              <w:t>nd</w:t>
            </w:r>
            <w:r>
              <w:rPr>
                <w:sz w:val="20"/>
                <w:szCs w:val="20"/>
              </w:rPr>
              <w:t xml:space="preserve"> </w:t>
            </w:r>
            <w:r w:rsidRPr="007F0654">
              <w:rPr>
                <w:sz w:val="20"/>
                <w:szCs w:val="20"/>
              </w:rPr>
              <w:t>ranked</w:t>
            </w:r>
          </w:p>
        </w:tc>
        <w:tc>
          <w:tcPr>
            <w:tcW w:w="2546" w:type="dxa"/>
            <w:vAlign w:val="center"/>
          </w:tcPr>
          <w:p w:rsidR="00480B97" w:rsidRDefault="00480B97" w:rsidP="00480B97">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480B97" w:rsidRDefault="00480B97" w:rsidP="00480B97">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480B97" w:rsidRDefault="00480B97" w:rsidP="00480B97">
            <w:pPr>
              <w:jc w:val="center"/>
              <w:rPr>
                <w:b/>
                <w:szCs w:val="22"/>
              </w:rPr>
            </w:pPr>
            <w:r w:rsidRPr="00C6511C">
              <w:rPr>
                <w:sz w:val="20"/>
                <w:szCs w:val="20"/>
              </w:rPr>
              <w:t>EPCs and DECs North East</w:t>
            </w:r>
          </w:p>
        </w:tc>
        <w:tc>
          <w:tcPr>
            <w:tcW w:w="2693" w:type="dxa"/>
            <w:vAlign w:val="center"/>
          </w:tcPr>
          <w:p w:rsidR="00480B97" w:rsidRDefault="00480B97" w:rsidP="00480B97">
            <w:pPr>
              <w:jc w:val="center"/>
              <w:rPr>
                <w:b/>
                <w:szCs w:val="22"/>
              </w:rPr>
            </w:pPr>
            <w:proofErr w:type="spellStart"/>
            <w:r w:rsidRPr="00C6511C">
              <w:rPr>
                <w:sz w:val="20"/>
                <w:szCs w:val="20"/>
              </w:rPr>
              <w:t>Lakehouse</w:t>
            </w:r>
            <w:proofErr w:type="spellEnd"/>
            <w:r w:rsidRPr="00C6511C">
              <w:rPr>
                <w:sz w:val="20"/>
                <w:szCs w:val="20"/>
              </w:rPr>
              <w:t xml:space="preserve"> Ltd</w:t>
            </w:r>
          </w:p>
        </w:tc>
        <w:tc>
          <w:tcPr>
            <w:tcW w:w="2694" w:type="dxa"/>
            <w:vAlign w:val="center"/>
          </w:tcPr>
          <w:p w:rsidR="00480B97" w:rsidRDefault="00480B97" w:rsidP="00480B97">
            <w:pPr>
              <w:jc w:val="center"/>
              <w:rPr>
                <w:b/>
                <w:szCs w:val="22"/>
              </w:rPr>
            </w:pPr>
            <w:proofErr w:type="spellStart"/>
            <w:r w:rsidRPr="00C6511C">
              <w:rPr>
                <w:sz w:val="20"/>
                <w:szCs w:val="20"/>
              </w:rPr>
              <w:t>Lakehouse</w:t>
            </w:r>
            <w:proofErr w:type="spellEnd"/>
            <w:r w:rsidRPr="00C6511C">
              <w:rPr>
                <w:sz w:val="20"/>
                <w:szCs w:val="20"/>
              </w:rPr>
              <w:t xml:space="preserve"> Ltd</w:t>
            </w:r>
          </w:p>
        </w:tc>
      </w:tr>
      <w:tr w:rsidR="00480B97" w:rsidTr="005B0C8F">
        <w:trPr>
          <w:trHeight w:val="465"/>
        </w:trPr>
        <w:tc>
          <w:tcPr>
            <w:tcW w:w="1390" w:type="dxa"/>
            <w:vAlign w:val="center"/>
          </w:tcPr>
          <w:p w:rsidR="00480B97" w:rsidRPr="007F0654" w:rsidRDefault="00480B97" w:rsidP="00480B97">
            <w:pPr>
              <w:jc w:val="center"/>
              <w:rPr>
                <w:sz w:val="20"/>
                <w:szCs w:val="20"/>
              </w:rPr>
            </w:pPr>
            <w:r w:rsidRPr="007F0654">
              <w:rPr>
                <w:sz w:val="20"/>
                <w:szCs w:val="20"/>
              </w:rPr>
              <w:t>3</w:t>
            </w:r>
            <w:r w:rsidRPr="0095055D">
              <w:rPr>
                <w:sz w:val="20"/>
                <w:szCs w:val="20"/>
                <w:vertAlign w:val="superscript"/>
              </w:rPr>
              <w:t>rd</w:t>
            </w:r>
            <w:r>
              <w:rPr>
                <w:sz w:val="20"/>
                <w:szCs w:val="20"/>
              </w:rPr>
              <w:t xml:space="preserve"> </w:t>
            </w:r>
            <w:r w:rsidRPr="007F0654">
              <w:rPr>
                <w:sz w:val="20"/>
                <w:szCs w:val="20"/>
              </w:rPr>
              <w:t>ranked</w:t>
            </w:r>
          </w:p>
        </w:tc>
        <w:tc>
          <w:tcPr>
            <w:tcW w:w="2546" w:type="dxa"/>
            <w:vAlign w:val="center"/>
          </w:tcPr>
          <w:p w:rsidR="00480B97" w:rsidRPr="00480B97" w:rsidRDefault="00480B97" w:rsidP="00480B97">
            <w:pPr>
              <w:jc w:val="center"/>
              <w:rPr>
                <w:b/>
                <w:sz w:val="20"/>
                <w:szCs w:val="20"/>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480B97" w:rsidRPr="00480B97" w:rsidRDefault="00480B97" w:rsidP="00480B97">
            <w:pPr>
              <w:jc w:val="center"/>
              <w:rPr>
                <w:b/>
                <w:sz w:val="20"/>
                <w:szCs w:val="20"/>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480B97" w:rsidRPr="00C6511C" w:rsidRDefault="00480B97" w:rsidP="00480B97">
            <w:pPr>
              <w:jc w:val="center"/>
              <w:rPr>
                <w:sz w:val="20"/>
                <w:szCs w:val="20"/>
              </w:rPr>
            </w:pPr>
            <w:proofErr w:type="spellStart"/>
            <w:r w:rsidRPr="00C6511C">
              <w:rPr>
                <w:sz w:val="20"/>
                <w:szCs w:val="20"/>
              </w:rPr>
              <w:t>Lakehouse</w:t>
            </w:r>
            <w:proofErr w:type="spellEnd"/>
            <w:r w:rsidRPr="00C6511C">
              <w:rPr>
                <w:sz w:val="20"/>
                <w:szCs w:val="20"/>
              </w:rPr>
              <w:t xml:space="preserve"> Ltd</w:t>
            </w:r>
          </w:p>
        </w:tc>
        <w:tc>
          <w:tcPr>
            <w:tcW w:w="2693" w:type="dxa"/>
            <w:vAlign w:val="center"/>
          </w:tcPr>
          <w:p w:rsidR="00480B97" w:rsidRPr="00480B97" w:rsidRDefault="00480B97" w:rsidP="00480B97">
            <w:pPr>
              <w:jc w:val="center"/>
              <w:rPr>
                <w:b/>
                <w:sz w:val="20"/>
                <w:szCs w:val="20"/>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4" w:type="dxa"/>
            <w:vAlign w:val="center"/>
          </w:tcPr>
          <w:p w:rsidR="00480B97" w:rsidRPr="00480B97" w:rsidRDefault="00480B97" w:rsidP="00480B97">
            <w:pPr>
              <w:jc w:val="center"/>
              <w:rPr>
                <w:b/>
                <w:sz w:val="20"/>
                <w:szCs w:val="20"/>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r>
      <w:tr w:rsidR="00480B97" w:rsidRPr="007F0654" w:rsidTr="005B0C8F">
        <w:trPr>
          <w:trHeight w:val="465"/>
        </w:trPr>
        <w:tc>
          <w:tcPr>
            <w:tcW w:w="1390" w:type="dxa"/>
            <w:vAlign w:val="center"/>
          </w:tcPr>
          <w:p w:rsidR="00480B97" w:rsidRPr="007F0654" w:rsidRDefault="00480B97" w:rsidP="00480B97">
            <w:pPr>
              <w:ind w:left="1134" w:hanging="1134"/>
              <w:jc w:val="center"/>
              <w:rPr>
                <w:sz w:val="20"/>
                <w:szCs w:val="20"/>
              </w:rPr>
            </w:pPr>
            <w:r>
              <w:rPr>
                <w:sz w:val="20"/>
                <w:szCs w:val="20"/>
              </w:rPr>
              <w:t>4</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480B97" w:rsidRPr="00480B97" w:rsidRDefault="00480B97" w:rsidP="00480B97">
            <w:pPr>
              <w:jc w:val="center"/>
              <w:rPr>
                <w:b/>
                <w:sz w:val="20"/>
                <w:szCs w:val="20"/>
              </w:rPr>
            </w:pPr>
            <w:r w:rsidRPr="00480B97">
              <w:rPr>
                <w:sz w:val="20"/>
                <w:szCs w:val="20"/>
              </w:rPr>
              <w:t>Small Feet Energy Ltd</w:t>
            </w:r>
          </w:p>
        </w:tc>
        <w:tc>
          <w:tcPr>
            <w:tcW w:w="2693" w:type="dxa"/>
            <w:vAlign w:val="center"/>
          </w:tcPr>
          <w:p w:rsidR="00480B97" w:rsidRPr="00480B97" w:rsidRDefault="00480B97" w:rsidP="00480B97">
            <w:pPr>
              <w:jc w:val="center"/>
              <w:rPr>
                <w:b/>
                <w:sz w:val="20"/>
                <w:szCs w:val="20"/>
              </w:rPr>
            </w:pPr>
            <w:r w:rsidRPr="00480B97">
              <w:rPr>
                <w:sz w:val="20"/>
                <w:szCs w:val="20"/>
              </w:rPr>
              <w:t>Small Feet Energy Ltd</w:t>
            </w:r>
          </w:p>
        </w:tc>
        <w:tc>
          <w:tcPr>
            <w:tcW w:w="2693" w:type="dxa"/>
            <w:vAlign w:val="center"/>
          </w:tcPr>
          <w:p w:rsidR="00480B97" w:rsidRDefault="00480B97" w:rsidP="00480B97">
            <w:pPr>
              <w:jc w:val="center"/>
              <w:rPr>
                <w:b/>
                <w:szCs w:val="22"/>
              </w:rPr>
            </w:pPr>
            <w:r w:rsidRPr="007F0654">
              <w:rPr>
                <w:sz w:val="20"/>
                <w:szCs w:val="20"/>
              </w:rPr>
              <w:t>Gentoo Group Ltd</w:t>
            </w:r>
          </w:p>
        </w:tc>
        <w:tc>
          <w:tcPr>
            <w:tcW w:w="2693" w:type="dxa"/>
            <w:vAlign w:val="center"/>
          </w:tcPr>
          <w:p w:rsidR="00480B97" w:rsidRPr="00480B97" w:rsidRDefault="00480B97" w:rsidP="00480B97">
            <w:pPr>
              <w:jc w:val="center"/>
              <w:rPr>
                <w:b/>
                <w:sz w:val="20"/>
                <w:szCs w:val="20"/>
              </w:rPr>
            </w:pPr>
            <w:r w:rsidRPr="00480B97">
              <w:rPr>
                <w:sz w:val="20"/>
                <w:szCs w:val="20"/>
              </w:rPr>
              <w:t>Small Feet Energy Ltd</w:t>
            </w:r>
          </w:p>
        </w:tc>
        <w:tc>
          <w:tcPr>
            <w:tcW w:w="2694" w:type="dxa"/>
            <w:vAlign w:val="center"/>
          </w:tcPr>
          <w:p w:rsidR="00480B97" w:rsidRPr="00480B97" w:rsidRDefault="00480B97" w:rsidP="00480B97">
            <w:pPr>
              <w:jc w:val="center"/>
              <w:rPr>
                <w:b/>
                <w:sz w:val="20"/>
                <w:szCs w:val="20"/>
              </w:rPr>
            </w:pPr>
            <w:r w:rsidRPr="00480B97">
              <w:rPr>
                <w:sz w:val="20"/>
                <w:szCs w:val="20"/>
              </w:rPr>
              <w:t>Small Feet Energy Ltd</w:t>
            </w:r>
          </w:p>
        </w:tc>
      </w:tr>
      <w:tr w:rsidR="00480B97" w:rsidRPr="007F0654" w:rsidTr="005B0C8F">
        <w:trPr>
          <w:trHeight w:val="465"/>
        </w:trPr>
        <w:tc>
          <w:tcPr>
            <w:tcW w:w="1390" w:type="dxa"/>
            <w:vAlign w:val="center"/>
          </w:tcPr>
          <w:p w:rsidR="00480B97" w:rsidRPr="007F0654" w:rsidRDefault="00480B97" w:rsidP="00480B97">
            <w:pPr>
              <w:jc w:val="center"/>
              <w:rPr>
                <w:sz w:val="20"/>
                <w:szCs w:val="20"/>
              </w:rPr>
            </w:pPr>
            <w:r>
              <w:rPr>
                <w:sz w:val="20"/>
                <w:szCs w:val="20"/>
              </w:rPr>
              <w:t>5</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480B97" w:rsidRDefault="00480B97" w:rsidP="00480B97">
            <w:pPr>
              <w:jc w:val="center"/>
              <w:rPr>
                <w:b/>
                <w:szCs w:val="22"/>
              </w:rPr>
            </w:pPr>
            <w:r w:rsidRPr="00C6511C">
              <w:rPr>
                <w:sz w:val="20"/>
                <w:szCs w:val="20"/>
              </w:rPr>
              <w:t>Green Zone Surveys (UK) Ltd</w:t>
            </w:r>
          </w:p>
        </w:tc>
        <w:tc>
          <w:tcPr>
            <w:tcW w:w="2693" w:type="dxa"/>
            <w:vAlign w:val="center"/>
          </w:tcPr>
          <w:p w:rsidR="00480B97" w:rsidRDefault="00480B97" w:rsidP="00480B97">
            <w:pPr>
              <w:jc w:val="center"/>
              <w:rPr>
                <w:b/>
                <w:szCs w:val="22"/>
              </w:rPr>
            </w:pPr>
            <w:r w:rsidRPr="007F0654">
              <w:rPr>
                <w:sz w:val="20"/>
                <w:szCs w:val="20"/>
              </w:rPr>
              <w:t>Gentoo Group Ltd</w:t>
            </w:r>
          </w:p>
        </w:tc>
        <w:tc>
          <w:tcPr>
            <w:tcW w:w="2693" w:type="dxa"/>
            <w:vAlign w:val="center"/>
          </w:tcPr>
          <w:p w:rsidR="00480B97" w:rsidRPr="00480B97" w:rsidRDefault="00480B97" w:rsidP="00480B97">
            <w:pPr>
              <w:jc w:val="center"/>
              <w:rPr>
                <w:b/>
                <w:sz w:val="20"/>
                <w:szCs w:val="20"/>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480B97" w:rsidRPr="007F0654" w:rsidRDefault="00480B97" w:rsidP="00480B97">
            <w:pPr>
              <w:jc w:val="center"/>
              <w:rPr>
                <w:sz w:val="20"/>
                <w:szCs w:val="20"/>
              </w:rPr>
            </w:pPr>
            <w:r w:rsidRPr="00480B97">
              <w:rPr>
                <w:sz w:val="20"/>
                <w:szCs w:val="20"/>
              </w:rPr>
              <w:t>CSH Ltd Chartered Surveyors</w:t>
            </w:r>
          </w:p>
        </w:tc>
        <w:tc>
          <w:tcPr>
            <w:tcW w:w="2694" w:type="dxa"/>
            <w:vAlign w:val="center"/>
          </w:tcPr>
          <w:p w:rsidR="00480B97" w:rsidRDefault="00480B97" w:rsidP="00480B97">
            <w:pPr>
              <w:jc w:val="center"/>
              <w:rPr>
                <w:b/>
                <w:szCs w:val="22"/>
              </w:rPr>
            </w:pPr>
            <w:r w:rsidRPr="00C6511C">
              <w:rPr>
                <w:sz w:val="20"/>
                <w:szCs w:val="20"/>
              </w:rPr>
              <w:t>Green Zone Surveys (UK) Ltd</w:t>
            </w:r>
          </w:p>
        </w:tc>
      </w:tr>
    </w:tbl>
    <w:p w:rsidR="00480B97" w:rsidRDefault="00480B97" w:rsidP="00480B97">
      <w:pPr>
        <w:rPr>
          <w:b/>
          <w:szCs w:val="22"/>
        </w:rPr>
      </w:pPr>
    </w:p>
    <w:p w:rsidR="00480B97" w:rsidRDefault="00480B97" w:rsidP="00480B97">
      <w:pPr>
        <w:rPr>
          <w:b/>
          <w:szCs w:val="22"/>
        </w:rPr>
      </w:pPr>
    </w:p>
    <w:p w:rsidR="00480B97" w:rsidRDefault="00480B97" w:rsidP="00480B97">
      <w:pPr>
        <w:rPr>
          <w:b/>
          <w:szCs w:val="22"/>
        </w:rPr>
      </w:pPr>
    </w:p>
    <w:p w:rsidR="00480B97" w:rsidRPr="007F0654" w:rsidRDefault="00480B97" w:rsidP="00480B97">
      <w:pPr>
        <w:jc w:val="center"/>
        <w:rPr>
          <w:b/>
          <w:szCs w:val="22"/>
        </w:rPr>
      </w:pPr>
      <w:r>
        <w:rPr>
          <w:b/>
          <w:szCs w:val="22"/>
        </w:rPr>
        <w:t xml:space="preserve">AIR CONDITIONING </w:t>
      </w:r>
      <w:proofErr w:type="gramStart"/>
      <w:r>
        <w:rPr>
          <w:b/>
          <w:szCs w:val="22"/>
        </w:rPr>
        <w:t>IN</w:t>
      </w:r>
      <w:r w:rsidR="003D479B">
        <w:rPr>
          <w:b/>
          <w:szCs w:val="22"/>
        </w:rPr>
        <w:t>S</w:t>
      </w:r>
      <w:r>
        <w:rPr>
          <w:b/>
          <w:szCs w:val="22"/>
        </w:rPr>
        <w:t>PECTIONS(</w:t>
      </w:r>
      <w:proofErr w:type="gramEnd"/>
      <w:r>
        <w:rPr>
          <w:b/>
          <w:szCs w:val="22"/>
        </w:rPr>
        <w:t>A</w:t>
      </w:r>
      <w:r w:rsidRPr="007F0654">
        <w:rPr>
          <w:b/>
          <w:szCs w:val="22"/>
        </w:rPr>
        <w:t>C</w:t>
      </w:r>
      <w:r>
        <w:rPr>
          <w:b/>
          <w:szCs w:val="22"/>
        </w:rPr>
        <w:t>I</w:t>
      </w:r>
      <w:r w:rsidRPr="007F0654">
        <w:rPr>
          <w:b/>
          <w:szCs w:val="22"/>
        </w:rPr>
        <w:t>s)</w:t>
      </w:r>
    </w:p>
    <w:tbl>
      <w:tblPr>
        <w:tblStyle w:val="TableGrid"/>
        <w:tblpPr w:leftFromText="180" w:rightFromText="180" w:vertAnchor="text" w:horzAnchor="margin" w:tblpXSpec="center" w:tblpY="265"/>
        <w:tblW w:w="14709" w:type="dxa"/>
        <w:tblLook w:val="04A0" w:firstRow="1" w:lastRow="0" w:firstColumn="1" w:lastColumn="0" w:noHBand="0" w:noVBand="1"/>
      </w:tblPr>
      <w:tblGrid>
        <w:gridCol w:w="1390"/>
        <w:gridCol w:w="2546"/>
        <w:gridCol w:w="2693"/>
        <w:gridCol w:w="2693"/>
        <w:gridCol w:w="2693"/>
        <w:gridCol w:w="2694"/>
      </w:tblGrid>
      <w:tr w:rsidR="00480B97" w:rsidRPr="007F0654" w:rsidTr="005B0C8F">
        <w:tc>
          <w:tcPr>
            <w:tcW w:w="1390" w:type="dxa"/>
            <w:shd w:val="pct15" w:color="auto" w:fill="auto"/>
            <w:vAlign w:val="center"/>
          </w:tcPr>
          <w:p w:rsidR="00480B97" w:rsidRPr="007F0654" w:rsidRDefault="00480B97" w:rsidP="005B0C8F">
            <w:pPr>
              <w:jc w:val="center"/>
              <w:rPr>
                <w:b/>
                <w:szCs w:val="22"/>
              </w:rPr>
            </w:pPr>
            <w:r>
              <w:rPr>
                <w:b/>
                <w:szCs w:val="22"/>
              </w:rPr>
              <w:t>Framework Ranking</w:t>
            </w:r>
          </w:p>
        </w:tc>
        <w:tc>
          <w:tcPr>
            <w:tcW w:w="2546" w:type="dxa"/>
            <w:shd w:val="pct15" w:color="auto" w:fill="auto"/>
            <w:vAlign w:val="center"/>
          </w:tcPr>
          <w:p w:rsidR="00480B97" w:rsidRDefault="00480B97" w:rsidP="005B0C8F">
            <w:pPr>
              <w:jc w:val="center"/>
              <w:rPr>
                <w:b/>
                <w:szCs w:val="22"/>
              </w:rPr>
            </w:pPr>
            <w:r w:rsidRPr="007F0654">
              <w:rPr>
                <w:b/>
                <w:szCs w:val="22"/>
              </w:rPr>
              <w:t>L</w:t>
            </w:r>
            <w:r>
              <w:rPr>
                <w:b/>
                <w:szCs w:val="22"/>
              </w:rPr>
              <w:t>OT 4.1 Northumberland  A</w:t>
            </w:r>
            <w:r w:rsidRPr="007F0654">
              <w:rPr>
                <w:b/>
                <w:szCs w:val="22"/>
              </w:rPr>
              <w:t>C</w:t>
            </w:r>
            <w:r>
              <w:rPr>
                <w:b/>
                <w:szCs w:val="22"/>
              </w:rPr>
              <w:t>I</w:t>
            </w:r>
            <w:r w:rsidRPr="007F0654">
              <w:rPr>
                <w:b/>
                <w:szCs w:val="22"/>
              </w:rPr>
              <w:t>s</w:t>
            </w:r>
          </w:p>
        </w:tc>
        <w:tc>
          <w:tcPr>
            <w:tcW w:w="2693" w:type="dxa"/>
            <w:shd w:val="pct15" w:color="auto" w:fill="auto"/>
            <w:vAlign w:val="center"/>
          </w:tcPr>
          <w:p w:rsidR="00480B97" w:rsidRDefault="00480B97" w:rsidP="005B0C8F">
            <w:pPr>
              <w:jc w:val="center"/>
              <w:rPr>
                <w:b/>
                <w:szCs w:val="22"/>
              </w:rPr>
            </w:pPr>
            <w:r>
              <w:rPr>
                <w:b/>
                <w:szCs w:val="22"/>
              </w:rPr>
              <w:t>LOT 4</w:t>
            </w:r>
            <w:r w:rsidRPr="007F0654">
              <w:rPr>
                <w:b/>
                <w:szCs w:val="22"/>
              </w:rPr>
              <w:t xml:space="preserve">.2 Durham </w:t>
            </w:r>
            <w:r>
              <w:rPr>
                <w:b/>
                <w:szCs w:val="22"/>
              </w:rPr>
              <w:t>A</w:t>
            </w:r>
            <w:r w:rsidRPr="007F0654">
              <w:rPr>
                <w:b/>
                <w:szCs w:val="22"/>
              </w:rPr>
              <w:t>C</w:t>
            </w:r>
            <w:r>
              <w:rPr>
                <w:b/>
                <w:szCs w:val="22"/>
              </w:rPr>
              <w:t>I</w:t>
            </w:r>
            <w:r w:rsidRPr="007F0654">
              <w:rPr>
                <w:b/>
                <w:szCs w:val="22"/>
              </w:rPr>
              <w:t>s</w:t>
            </w:r>
          </w:p>
        </w:tc>
        <w:tc>
          <w:tcPr>
            <w:tcW w:w="2693" w:type="dxa"/>
            <w:shd w:val="pct15" w:color="auto" w:fill="auto"/>
            <w:vAlign w:val="center"/>
          </w:tcPr>
          <w:p w:rsidR="00480B97" w:rsidRDefault="00480B97" w:rsidP="005B0C8F">
            <w:pPr>
              <w:jc w:val="center"/>
              <w:rPr>
                <w:b/>
                <w:szCs w:val="22"/>
              </w:rPr>
            </w:pPr>
            <w:r>
              <w:rPr>
                <w:b/>
                <w:szCs w:val="22"/>
              </w:rPr>
              <w:t>LOT 4</w:t>
            </w:r>
            <w:r w:rsidRPr="007F0654">
              <w:rPr>
                <w:b/>
                <w:szCs w:val="22"/>
              </w:rPr>
              <w:t xml:space="preserve">.3 Tyne </w:t>
            </w:r>
            <w:r>
              <w:rPr>
                <w:b/>
                <w:szCs w:val="22"/>
              </w:rPr>
              <w:t>&amp;</w:t>
            </w:r>
            <w:r w:rsidRPr="007F0654">
              <w:rPr>
                <w:b/>
                <w:szCs w:val="22"/>
              </w:rPr>
              <w:t xml:space="preserve"> Wear </w:t>
            </w:r>
            <w:r>
              <w:rPr>
                <w:b/>
                <w:szCs w:val="22"/>
              </w:rPr>
              <w:t xml:space="preserve"> A</w:t>
            </w:r>
            <w:r w:rsidRPr="007F0654">
              <w:rPr>
                <w:b/>
                <w:szCs w:val="22"/>
              </w:rPr>
              <w:t>C</w:t>
            </w:r>
            <w:r>
              <w:rPr>
                <w:b/>
                <w:szCs w:val="22"/>
              </w:rPr>
              <w:t>I</w:t>
            </w:r>
            <w:r w:rsidRPr="007F0654">
              <w:rPr>
                <w:b/>
                <w:szCs w:val="22"/>
              </w:rPr>
              <w:t>s</w:t>
            </w:r>
          </w:p>
        </w:tc>
        <w:tc>
          <w:tcPr>
            <w:tcW w:w="2693" w:type="dxa"/>
            <w:shd w:val="pct15" w:color="auto" w:fill="auto"/>
            <w:vAlign w:val="center"/>
          </w:tcPr>
          <w:p w:rsidR="00480B97" w:rsidRPr="007F0654" w:rsidRDefault="00480B97" w:rsidP="005B0C8F">
            <w:pPr>
              <w:jc w:val="center"/>
              <w:rPr>
                <w:b/>
                <w:szCs w:val="22"/>
              </w:rPr>
            </w:pPr>
            <w:r>
              <w:rPr>
                <w:b/>
                <w:szCs w:val="22"/>
              </w:rPr>
              <w:t>LOT 4</w:t>
            </w:r>
            <w:r w:rsidRPr="007F0654">
              <w:rPr>
                <w:b/>
                <w:szCs w:val="22"/>
              </w:rPr>
              <w:t xml:space="preserve">.4 Tees Valley </w:t>
            </w:r>
            <w:r>
              <w:rPr>
                <w:b/>
                <w:szCs w:val="22"/>
              </w:rPr>
              <w:t xml:space="preserve"> A</w:t>
            </w:r>
            <w:r w:rsidRPr="007F0654">
              <w:rPr>
                <w:b/>
                <w:szCs w:val="22"/>
              </w:rPr>
              <w:t>C</w:t>
            </w:r>
            <w:r>
              <w:rPr>
                <w:b/>
                <w:szCs w:val="22"/>
              </w:rPr>
              <w:t>I</w:t>
            </w:r>
            <w:r w:rsidRPr="007F0654">
              <w:rPr>
                <w:b/>
                <w:szCs w:val="22"/>
              </w:rPr>
              <w:t>s</w:t>
            </w:r>
          </w:p>
        </w:tc>
        <w:tc>
          <w:tcPr>
            <w:tcW w:w="2694" w:type="dxa"/>
            <w:shd w:val="pct15" w:color="auto" w:fill="auto"/>
            <w:vAlign w:val="center"/>
          </w:tcPr>
          <w:p w:rsidR="00480B97" w:rsidRPr="007F0654" w:rsidRDefault="00480B97" w:rsidP="005B0C8F">
            <w:pPr>
              <w:jc w:val="center"/>
              <w:rPr>
                <w:b/>
                <w:szCs w:val="22"/>
              </w:rPr>
            </w:pPr>
            <w:r>
              <w:rPr>
                <w:b/>
                <w:szCs w:val="22"/>
              </w:rPr>
              <w:t>LOT 4</w:t>
            </w:r>
            <w:r w:rsidRPr="007F0654">
              <w:rPr>
                <w:b/>
                <w:szCs w:val="22"/>
              </w:rPr>
              <w:t xml:space="preserve">.5 Associate Member </w:t>
            </w:r>
            <w:r>
              <w:rPr>
                <w:b/>
                <w:szCs w:val="22"/>
              </w:rPr>
              <w:t xml:space="preserve"> A</w:t>
            </w:r>
            <w:r w:rsidRPr="007F0654">
              <w:rPr>
                <w:b/>
                <w:szCs w:val="22"/>
              </w:rPr>
              <w:t>C</w:t>
            </w:r>
            <w:r>
              <w:rPr>
                <w:b/>
                <w:szCs w:val="22"/>
              </w:rPr>
              <w:t>I</w:t>
            </w:r>
            <w:r w:rsidRPr="007F0654">
              <w:rPr>
                <w:b/>
                <w:szCs w:val="22"/>
              </w:rPr>
              <w:t>s</w:t>
            </w:r>
          </w:p>
        </w:tc>
      </w:tr>
      <w:tr w:rsidR="001E7A8A" w:rsidTr="005B0C8F">
        <w:trPr>
          <w:trHeight w:val="465"/>
        </w:trPr>
        <w:tc>
          <w:tcPr>
            <w:tcW w:w="1390" w:type="dxa"/>
            <w:vAlign w:val="center"/>
          </w:tcPr>
          <w:p w:rsidR="001E7A8A" w:rsidRPr="007F0654" w:rsidRDefault="001E7A8A" w:rsidP="001E7A8A">
            <w:pPr>
              <w:ind w:left="1134" w:hanging="1134"/>
              <w:jc w:val="center"/>
              <w:rPr>
                <w:sz w:val="20"/>
                <w:szCs w:val="20"/>
              </w:rPr>
            </w:pPr>
            <w:r w:rsidRPr="007F0654">
              <w:rPr>
                <w:sz w:val="20"/>
                <w:szCs w:val="20"/>
              </w:rPr>
              <w:t>1</w:t>
            </w:r>
            <w:r w:rsidRPr="0095055D">
              <w:rPr>
                <w:sz w:val="20"/>
                <w:szCs w:val="20"/>
                <w:vertAlign w:val="superscript"/>
              </w:rPr>
              <w:t>st</w:t>
            </w:r>
            <w:r>
              <w:rPr>
                <w:sz w:val="20"/>
                <w:szCs w:val="20"/>
              </w:rPr>
              <w:t xml:space="preserve"> </w:t>
            </w:r>
            <w:r w:rsidRPr="007F0654">
              <w:rPr>
                <w:sz w:val="20"/>
                <w:szCs w:val="20"/>
              </w:rPr>
              <w:t>ranked</w:t>
            </w:r>
          </w:p>
        </w:tc>
        <w:tc>
          <w:tcPr>
            <w:tcW w:w="2546" w:type="dxa"/>
            <w:vAlign w:val="center"/>
          </w:tcPr>
          <w:p w:rsidR="001E7A8A" w:rsidRDefault="001E7A8A" w:rsidP="001E7A8A">
            <w:pPr>
              <w:ind w:left="28" w:hanging="28"/>
              <w:jc w:val="center"/>
              <w:rPr>
                <w:b/>
                <w:szCs w:val="22"/>
              </w:rPr>
            </w:pPr>
            <w:r>
              <w:rPr>
                <w:sz w:val="20"/>
                <w:szCs w:val="20"/>
              </w:rPr>
              <w:t>ACI Reports Ltd</w:t>
            </w:r>
          </w:p>
        </w:tc>
        <w:tc>
          <w:tcPr>
            <w:tcW w:w="2693" w:type="dxa"/>
            <w:vAlign w:val="center"/>
          </w:tcPr>
          <w:p w:rsidR="001E7A8A" w:rsidRDefault="001E7A8A" w:rsidP="001E7A8A">
            <w:pPr>
              <w:ind w:left="28" w:hanging="28"/>
              <w:jc w:val="center"/>
              <w:rPr>
                <w:b/>
                <w:szCs w:val="22"/>
              </w:rPr>
            </w:pPr>
            <w:r>
              <w:rPr>
                <w:sz w:val="20"/>
                <w:szCs w:val="20"/>
              </w:rPr>
              <w:t>ACI Reports Ltd</w:t>
            </w:r>
          </w:p>
        </w:tc>
        <w:tc>
          <w:tcPr>
            <w:tcW w:w="2693" w:type="dxa"/>
            <w:vAlign w:val="center"/>
          </w:tcPr>
          <w:p w:rsidR="001E7A8A" w:rsidRDefault="001E7A8A" w:rsidP="001E7A8A">
            <w:pPr>
              <w:ind w:left="28" w:hanging="28"/>
              <w:jc w:val="center"/>
              <w:rPr>
                <w:b/>
                <w:szCs w:val="22"/>
              </w:rPr>
            </w:pPr>
            <w:r>
              <w:rPr>
                <w:sz w:val="20"/>
                <w:szCs w:val="20"/>
              </w:rPr>
              <w:t>ACI Reports Ltd</w:t>
            </w:r>
          </w:p>
        </w:tc>
        <w:tc>
          <w:tcPr>
            <w:tcW w:w="2693" w:type="dxa"/>
            <w:vAlign w:val="center"/>
          </w:tcPr>
          <w:p w:rsidR="001E7A8A" w:rsidRDefault="001E7A8A" w:rsidP="001E7A8A">
            <w:pPr>
              <w:ind w:left="28" w:hanging="28"/>
              <w:jc w:val="center"/>
              <w:rPr>
                <w:b/>
                <w:szCs w:val="22"/>
              </w:rPr>
            </w:pPr>
            <w:r>
              <w:rPr>
                <w:sz w:val="20"/>
                <w:szCs w:val="20"/>
              </w:rPr>
              <w:t>ACI Reports Ltd</w:t>
            </w:r>
          </w:p>
        </w:tc>
        <w:tc>
          <w:tcPr>
            <w:tcW w:w="2694" w:type="dxa"/>
            <w:vAlign w:val="center"/>
          </w:tcPr>
          <w:p w:rsidR="001E7A8A" w:rsidRDefault="001E7A8A" w:rsidP="001E7A8A">
            <w:pPr>
              <w:ind w:left="28" w:hanging="28"/>
              <w:jc w:val="center"/>
              <w:rPr>
                <w:b/>
                <w:szCs w:val="22"/>
              </w:rPr>
            </w:pPr>
            <w:r>
              <w:rPr>
                <w:sz w:val="20"/>
                <w:szCs w:val="20"/>
              </w:rPr>
              <w:t>ACI Reports Ltd</w:t>
            </w:r>
          </w:p>
        </w:tc>
      </w:tr>
      <w:tr w:rsidR="001E7A8A" w:rsidTr="005B0C8F">
        <w:trPr>
          <w:trHeight w:val="465"/>
        </w:trPr>
        <w:tc>
          <w:tcPr>
            <w:tcW w:w="1390" w:type="dxa"/>
            <w:vAlign w:val="center"/>
          </w:tcPr>
          <w:p w:rsidR="001E7A8A" w:rsidRPr="007F0654" w:rsidRDefault="001E7A8A" w:rsidP="001E7A8A">
            <w:pPr>
              <w:jc w:val="center"/>
              <w:rPr>
                <w:sz w:val="20"/>
                <w:szCs w:val="20"/>
              </w:rPr>
            </w:pPr>
            <w:r w:rsidRPr="007F0654">
              <w:rPr>
                <w:sz w:val="20"/>
                <w:szCs w:val="20"/>
              </w:rPr>
              <w:t>2</w:t>
            </w:r>
            <w:r w:rsidRPr="0095055D">
              <w:rPr>
                <w:sz w:val="20"/>
                <w:szCs w:val="20"/>
                <w:vertAlign w:val="superscript"/>
              </w:rPr>
              <w:t>nd</w:t>
            </w:r>
            <w:r>
              <w:rPr>
                <w:sz w:val="20"/>
                <w:szCs w:val="20"/>
              </w:rPr>
              <w:t xml:space="preserve"> </w:t>
            </w:r>
            <w:r w:rsidRPr="007F0654">
              <w:rPr>
                <w:sz w:val="20"/>
                <w:szCs w:val="20"/>
              </w:rPr>
              <w:t>ranked</w:t>
            </w:r>
          </w:p>
        </w:tc>
        <w:tc>
          <w:tcPr>
            <w:tcW w:w="2546" w:type="dxa"/>
            <w:vAlign w:val="center"/>
          </w:tcPr>
          <w:p w:rsidR="001E7A8A" w:rsidRDefault="001E7A8A" w:rsidP="001E7A8A">
            <w:pPr>
              <w:jc w:val="center"/>
              <w:rPr>
                <w:b/>
                <w:szCs w:val="22"/>
              </w:rPr>
            </w:pPr>
            <w:r w:rsidRPr="00C6511C">
              <w:rPr>
                <w:sz w:val="20"/>
                <w:szCs w:val="20"/>
              </w:rPr>
              <w:t>Green Zone Surveys (UK) Ltd</w:t>
            </w:r>
          </w:p>
        </w:tc>
        <w:tc>
          <w:tcPr>
            <w:tcW w:w="2693" w:type="dxa"/>
            <w:vAlign w:val="center"/>
          </w:tcPr>
          <w:p w:rsidR="001E7A8A" w:rsidRDefault="001E7A8A" w:rsidP="001E7A8A">
            <w:pPr>
              <w:jc w:val="center"/>
              <w:rPr>
                <w:b/>
                <w:szCs w:val="22"/>
              </w:rPr>
            </w:pPr>
            <w:r w:rsidRPr="00C6511C">
              <w:rPr>
                <w:sz w:val="20"/>
                <w:szCs w:val="20"/>
              </w:rPr>
              <w:t>Green Zone Surveys (UK) Ltd</w:t>
            </w:r>
          </w:p>
        </w:tc>
        <w:tc>
          <w:tcPr>
            <w:tcW w:w="2693" w:type="dxa"/>
            <w:vAlign w:val="center"/>
          </w:tcPr>
          <w:p w:rsidR="001E7A8A" w:rsidRDefault="001E7A8A" w:rsidP="001E7A8A">
            <w:pPr>
              <w:jc w:val="center"/>
              <w:rPr>
                <w:b/>
                <w:szCs w:val="22"/>
              </w:rPr>
            </w:pPr>
            <w:r w:rsidRPr="00C6511C">
              <w:rPr>
                <w:sz w:val="20"/>
                <w:szCs w:val="20"/>
              </w:rPr>
              <w:t>Green Zone Surveys (UK) Ltd</w:t>
            </w:r>
          </w:p>
        </w:tc>
        <w:tc>
          <w:tcPr>
            <w:tcW w:w="2693" w:type="dxa"/>
            <w:vAlign w:val="center"/>
          </w:tcPr>
          <w:p w:rsidR="001E7A8A" w:rsidRDefault="001E7A8A" w:rsidP="001E7A8A">
            <w:pPr>
              <w:jc w:val="center"/>
              <w:rPr>
                <w:b/>
                <w:szCs w:val="22"/>
              </w:rPr>
            </w:pPr>
            <w:r w:rsidRPr="00C6511C">
              <w:rPr>
                <w:sz w:val="20"/>
                <w:szCs w:val="20"/>
              </w:rPr>
              <w:t>Green Zone Surveys (UK) Ltd</w:t>
            </w:r>
          </w:p>
        </w:tc>
        <w:tc>
          <w:tcPr>
            <w:tcW w:w="2694" w:type="dxa"/>
            <w:vAlign w:val="center"/>
          </w:tcPr>
          <w:p w:rsidR="001E7A8A" w:rsidRDefault="001E7A8A" w:rsidP="001E7A8A">
            <w:pPr>
              <w:jc w:val="center"/>
              <w:rPr>
                <w:b/>
                <w:szCs w:val="22"/>
              </w:rPr>
            </w:pPr>
            <w:r w:rsidRPr="00C6511C">
              <w:rPr>
                <w:sz w:val="20"/>
                <w:szCs w:val="20"/>
              </w:rPr>
              <w:t>Green Zone Surveys (UK) Ltd</w:t>
            </w:r>
          </w:p>
        </w:tc>
      </w:tr>
      <w:tr w:rsidR="001E7A8A" w:rsidTr="005B0C8F">
        <w:trPr>
          <w:trHeight w:val="465"/>
        </w:trPr>
        <w:tc>
          <w:tcPr>
            <w:tcW w:w="1390" w:type="dxa"/>
            <w:vAlign w:val="center"/>
          </w:tcPr>
          <w:p w:rsidR="001E7A8A" w:rsidRPr="007F0654" w:rsidRDefault="001E7A8A" w:rsidP="001E7A8A">
            <w:pPr>
              <w:jc w:val="center"/>
              <w:rPr>
                <w:sz w:val="20"/>
                <w:szCs w:val="20"/>
              </w:rPr>
            </w:pPr>
            <w:r w:rsidRPr="007F0654">
              <w:rPr>
                <w:sz w:val="20"/>
                <w:szCs w:val="20"/>
              </w:rPr>
              <w:t>3</w:t>
            </w:r>
            <w:r w:rsidRPr="0095055D">
              <w:rPr>
                <w:sz w:val="20"/>
                <w:szCs w:val="20"/>
                <w:vertAlign w:val="superscript"/>
              </w:rPr>
              <w:t>rd</w:t>
            </w:r>
            <w:r>
              <w:rPr>
                <w:sz w:val="20"/>
                <w:szCs w:val="20"/>
              </w:rPr>
              <w:t xml:space="preserve"> </w:t>
            </w:r>
            <w:r w:rsidRPr="007F0654">
              <w:rPr>
                <w:sz w:val="20"/>
                <w:szCs w:val="20"/>
              </w:rPr>
              <w:t>ranked</w:t>
            </w:r>
          </w:p>
        </w:tc>
        <w:tc>
          <w:tcPr>
            <w:tcW w:w="2546" w:type="dxa"/>
            <w:vAlign w:val="center"/>
          </w:tcPr>
          <w:p w:rsidR="001E7A8A" w:rsidRPr="00480B97" w:rsidRDefault="001E7A8A" w:rsidP="001E7A8A">
            <w:pPr>
              <w:jc w:val="center"/>
              <w:rPr>
                <w:b/>
                <w:sz w:val="20"/>
                <w:szCs w:val="20"/>
              </w:rPr>
            </w:pPr>
            <w:r w:rsidRPr="007F0654">
              <w:rPr>
                <w:sz w:val="20"/>
                <w:szCs w:val="20"/>
              </w:rPr>
              <w:t>ECT Ltd t/a Compliance 365</w:t>
            </w:r>
          </w:p>
        </w:tc>
        <w:tc>
          <w:tcPr>
            <w:tcW w:w="2693" w:type="dxa"/>
            <w:vAlign w:val="center"/>
          </w:tcPr>
          <w:p w:rsidR="001E7A8A" w:rsidRPr="00480B97" w:rsidRDefault="001E7A8A" w:rsidP="001E7A8A">
            <w:pPr>
              <w:jc w:val="center"/>
              <w:rPr>
                <w:b/>
                <w:sz w:val="20"/>
                <w:szCs w:val="20"/>
              </w:rPr>
            </w:pPr>
            <w:r w:rsidRPr="007F0654">
              <w:rPr>
                <w:sz w:val="20"/>
                <w:szCs w:val="20"/>
              </w:rPr>
              <w:t>ECT Ltd t/a Compliance 365</w:t>
            </w:r>
          </w:p>
        </w:tc>
        <w:tc>
          <w:tcPr>
            <w:tcW w:w="2693" w:type="dxa"/>
            <w:vAlign w:val="center"/>
          </w:tcPr>
          <w:p w:rsidR="001E7A8A" w:rsidRPr="00480B97" w:rsidRDefault="001E7A8A" w:rsidP="001E7A8A">
            <w:pPr>
              <w:jc w:val="center"/>
              <w:rPr>
                <w:b/>
                <w:sz w:val="20"/>
                <w:szCs w:val="20"/>
              </w:rPr>
            </w:pPr>
            <w:r w:rsidRPr="007F0654">
              <w:rPr>
                <w:sz w:val="20"/>
                <w:szCs w:val="20"/>
              </w:rPr>
              <w:t>ECT Ltd t/a Compliance 365</w:t>
            </w:r>
          </w:p>
        </w:tc>
        <w:tc>
          <w:tcPr>
            <w:tcW w:w="2693" w:type="dxa"/>
            <w:vAlign w:val="center"/>
          </w:tcPr>
          <w:p w:rsidR="001E7A8A" w:rsidRPr="00480B97" w:rsidRDefault="001E7A8A" w:rsidP="001E7A8A">
            <w:pPr>
              <w:jc w:val="center"/>
              <w:rPr>
                <w:b/>
                <w:sz w:val="20"/>
                <w:szCs w:val="20"/>
              </w:rPr>
            </w:pPr>
            <w:r w:rsidRPr="007F0654">
              <w:rPr>
                <w:sz w:val="20"/>
                <w:szCs w:val="20"/>
              </w:rPr>
              <w:t>ECT Ltd t/a Compliance 365</w:t>
            </w:r>
          </w:p>
        </w:tc>
        <w:tc>
          <w:tcPr>
            <w:tcW w:w="2694" w:type="dxa"/>
            <w:vAlign w:val="center"/>
          </w:tcPr>
          <w:p w:rsidR="001E7A8A" w:rsidRPr="00480B97" w:rsidRDefault="001E7A8A" w:rsidP="001E7A8A">
            <w:pPr>
              <w:jc w:val="center"/>
              <w:rPr>
                <w:b/>
                <w:sz w:val="20"/>
                <w:szCs w:val="20"/>
              </w:rPr>
            </w:pPr>
            <w:r w:rsidRPr="007F0654">
              <w:rPr>
                <w:sz w:val="20"/>
                <w:szCs w:val="20"/>
              </w:rPr>
              <w:t>ECT Ltd t/a Compliance 365</w:t>
            </w:r>
          </w:p>
        </w:tc>
      </w:tr>
      <w:tr w:rsidR="001E7A8A" w:rsidRPr="007F0654" w:rsidTr="005B0C8F">
        <w:trPr>
          <w:trHeight w:val="465"/>
        </w:trPr>
        <w:tc>
          <w:tcPr>
            <w:tcW w:w="1390" w:type="dxa"/>
            <w:vAlign w:val="center"/>
          </w:tcPr>
          <w:p w:rsidR="001E7A8A" w:rsidRPr="007F0654" w:rsidRDefault="001E7A8A" w:rsidP="001E7A8A">
            <w:pPr>
              <w:ind w:left="1134" w:hanging="1134"/>
              <w:jc w:val="center"/>
              <w:rPr>
                <w:sz w:val="20"/>
                <w:szCs w:val="20"/>
              </w:rPr>
            </w:pPr>
            <w:r>
              <w:rPr>
                <w:sz w:val="20"/>
                <w:szCs w:val="20"/>
              </w:rPr>
              <w:t>4</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1E7A8A" w:rsidRPr="00480B97" w:rsidRDefault="001E7A8A" w:rsidP="001E7A8A">
            <w:pPr>
              <w:jc w:val="center"/>
              <w:rPr>
                <w:b/>
                <w:sz w:val="20"/>
                <w:szCs w:val="20"/>
              </w:rPr>
            </w:pPr>
            <w:r w:rsidRPr="007F0654">
              <w:rPr>
                <w:sz w:val="20"/>
                <w:szCs w:val="20"/>
              </w:rPr>
              <w:t>EPC Portal Ltd</w:t>
            </w:r>
          </w:p>
        </w:tc>
        <w:tc>
          <w:tcPr>
            <w:tcW w:w="2693" w:type="dxa"/>
            <w:vAlign w:val="center"/>
          </w:tcPr>
          <w:p w:rsidR="001E7A8A" w:rsidRPr="00480B97" w:rsidRDefault="001E7A8A" w:rsidP="001E7A8A">
            <w:pPr>
              <w:jc w:val="center"/>
              <w:rPr>
                <w:b/>
                <w:sz w:val="20"/>
                <w:szCs w:val="20"/>
              </w:rPr>
            </w:pPr>
            <w:r w:rsidRPr="007F0654">
              <w:rPr>
                <w:sz w:val="20"/>
                <w:szCs w:val="20"/>
              </w:rPr>
              <w:t>EPC Portal Ltd</w:t>
            </w:r>
          </w:p>
        </w:tc>
        <w:tc>
          <w:tcPr>
            <w:tcW w:w="2693" w:type="dxa"/>
            <w:vAlign w:val="center"/>
          </w:tcPr>
          <w:p w:rsidR="001E7A8A" w:rsidRPr="00480B97" w:rsidRDefault="001E7A8A" w:rsidP="001E7A8A">
            <w:pPr>
              <w:jc w:val="center"/>
              <w:rPr>
                <w:b/>
                <w:sz w:val="20"/>
                <w:szCs w:val="20"/>
              </w:rPr>
            </w:pPr>
            <w:r w:rsidRPr="007F0654">
              <w:rPr>
                <w:sz w:val="20"/>
                <w:szCs w:val="20"/>
              </w:rPr>
              <w:t>EPC Portal Ltd</w:t>
            </w:r>
          </w:p>
        </w:tc>
        <w:tc>
          <w:tcPr>
            <w:tcW w:w="2693" w:type="dxa"/>
            <w:vAlign w:val="center"/>
          </w:tcPr>
          <w:p w:rsidR="001E7A8A" w:rsidRPr="00480B97" w:rsidRDefault="001E7A8A" w:rsidP="001E7A8A">
            <w:pPr>
              <w:jc w:val="center"/>
              <w:rPr>
                <w:b/>
                <w:sz w:val="20"/>
                <w:szCs w:val="20"/>
              </w:rPr>
            </w:pPr>
            <w:r w:rsidRPr="007F0654">
              <w:rPr>
                <w:sz w:val="20"/>
                <w:szCs w:val="20"/>
              </w:rPr>
              <w:t>EPC Portal Ltd</w:t>
            </w:r>
          </w:p>
        </w:tc>
        <w:tc>
          <w:tcPr>
            <w:tcW w:w="2694" w:type="dxa"/>
            <w:vAlign w:val="center"/>
          </w:tcPr>
          <w:p w:rsidR="001E7A8A" w:rsidRPr="00480B97" w:rsidRDefault="001E7A8A" w:rsidP="001E7A8A">
            <w:pPr>
              <w:jc w:val="center"/>
              <w:rPr>
                <w:b/>
                <w:sz w:val="20"/>
                <w:szCs w:val="20"/>
              </w:rPr>
            </w:pPr>
            <w:r w:rsidRPr="007F0654">
              <w:rPr>
                <w:sz w:val="20"/>
                <w:szCs w:val="20"/>
              </w:rPr>
              <w:t>EPC Portal Ltd</w:t>
            </w:r>
          </w:p>
        </w:tc>
      </w:tr>
      <w:tr w:rsidR="001E7A8A" w:rsidRPr="007F0654" w:rsidTr="005B0C8F">
        <w:trPr>
          <w:trHeight w:val="465"/>
        </w:trPr>
        <w:tc>
          <w:tcPr>
            <w:tcW w:w="1390" w:type="dxa"/>
            <w:vAlign w:val="center"/>
          </w:tcPr>
          <w:p w:rsidR="001E7A8A" w:rsidRPr="007F0654" w:rsidRDefault="001E7A8A" w:rsidP="001E7A8A">
            <w:pPr>
              <w:jc w:val="center"/>
              <w:rPr>
                <w:sz w:val="20"/>
                <w:szCs w:val="20"/>
              </w:rPr>
            </w:pPr>
            <w:r>
              <w:rPr>
                <w:sz w:val="20"/>
                <w:szCs w:val="20"/>
              </w:rPr>
              <w:t>5</w:t>
            </w:r>
            <w:r w:rsidRPr="0095055D">
              <w:rPr>
                <w:sz w:val="20"/>
                <w:szCs w:val="20"/>
                <w:vertAlign w:val="superscript"/>
              </w:rPr>
              <w:t>th</w:t>
            </w:r>
            <w:r>
              <w:rPr>
                <w:sz w:val="20"/>
                <w:szCs w:val="20"/>
              </w:rPr>
              <w:t xml:space="preserve"> </w:t>
            </w:r>
            <w:r w:rsidRPr="007F0654">
              <w:rPr>
                <w:sz w:val="20"/>
                <w:szCs w:val="20"/>
              </w:rPr>
              <w:t>ranked</w:t>
            </w:r>
          </w:p>
        </w:tc>
        <w:tc>
          <w:tcPr>
            <w:tcW w:w="2546" w:type="dxa"/>
            <w:vAlign w:val="center"/>
          </w:tcPr>
          <w:p w:rsidR="001E7A8A" w:rsidRDefault="001E7A8A" w:rsidP="001E7A8A">
            <w:pPr>
              <w:jc w:val="center"/>
              <w:rPr>
                <w:b/>
                <w:szCs w:val="22"/>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1E7A8A" w:rsidRDefault="001E7A8A" w:rsidP="001E7A8A">
            <w:pPr>
              <w:jc w:val="center"/>
              <w:rPr>
                <w:b/>
                <w:szCs w:val="22"/>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1E7A8A" w:rsidRDefault="001E7A8A" w:rsidP="001E7A8A">
            <w:pPr>
              <w:jc w:val="center"/>
              <w:rPr>
                <w:b/>
                <w:szCs w:val="22"/>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3" w:type="dxa"/>
            <w:vAlign w:val="center"/>
          </w:tcPr>
          <w:p w:rsidR="001E7A8A" w:rsidRDefault="001E7A8A" w:rsidP="001E7A8A">
            <w:pPr>
              <w:jc w:val="center"/>
              <w:rPr>
                <w:b/>
                <w:szCs w:val="22"/>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c>
          <w:tcPr>
            <w:tcW w:w="2694" w:type="dxa"/>
            <w:vAlign w:val="center"/>
          </w:tcPr>
          <w:p w:rsidR="001E7A8A" w:rsidRDefault="001E7A8A" w:rsidP="001E7A8A">
            <w:pPr>
              <w:jc w:val="center"/>
              <w:rPr>
                <w:b/>
                <w:szCs w:val="22"/>
              </w:rPr>
            </w:pPr>
            <w:r w:rsidRPr="00480B97">
              <w:rPr>
                <w:sz w:val="20"/>
                <w:szCs w:val="20"/>
              </w:rPr>
              <w:t>Energy Information Centre Ltd</w:t>
            </w:r>
            <w:r>
              <w:rPr>
                <w:sz w:val="20"/>
                <w:szCs w:val="20"/>
              </w:rPr>
              <w:t xml:space="preserve"> </w:t>
            </w:r>
            <w:r w:rsidRPr="00480B97">
              <w:rPr>
                <w:sz w:val="20"/>
                <w:szCs w:val="20"/>
              </w:rPr>
              <w:t xml:space="preserve">t/a </w:t>
            </w:r>
            <w:proofErr w:type="spellStart"/>
            <w:r w:rsidRPr="00480B97">
              <w:rPr>
                <w:sz w:val="20"/>
                <w:szCs w:val="20"/>
              </w:rPr>
              <w:t>Utilitywise</w:t>
            </w:r>
            <w:proofErr w:type="spellEnd"/>
          </w:p>
        </w:tc>
      </w:tr>
    </w:tbl>
    <w:p w:rsidR="00480B97" w:rsidRDefault="00480B97" w:rsidP="00480B97">
      <w:pPr>
        <w:pStyle w:val="Default"/>
        <w:spacing w:line="360" w:lineRule="auto"/>
        <w:rPr>
          <w:rFonts w:ascii="Arial" w:hAnsi="Arial" w:cs="Arial"/>
          <w:sz w:val="22"/>
        </w:rPr>
      </w:pPr>
    </w:p>
    <w:p w:rsidR="0094357C" w:rsidRDefault="0094357C">
      <w:pPr>
        <w:rPr>
          <w:b/>
          <w:sz w:val="24"/>
        </w:rPr>
      </w:pPr>
      <w:r>
        <w:rPr>
          <w:b/>
          <w:sz w:val="24"/>
        </w:rPr>
        <w:br w:type="page"/>
      </w:r>
    </w:p>
    <w:p w:rsidR="00C6511C" w:rsidRDefault="00C6511C" w:rsidP="00C6511C">
      <w:pPr>
        <w:rPr>
          <w:b/>
          <w:sz w:val="24"/>
        </w:rPr>
      </w:pPr>
    </w:p>
    <w:p w:rsidR="0094357C" w:rsidRDefault="0094357C" w:rsidP="0094357C">
      <w:pPr>
        <w:pStyle w:val="Default"/>
        <w:rPr>
          <w:b/>
          <w:bCs/>
          <w:sz w:val="32"/>
          <w:szCs w:val="32"/>
        </w:rPr>
      </w:pPr>
      <w:r>
        <w:rPr>
          <w:b/>
          <w:bCs/>
          <w:sz w:val="32"/>
          <w:szCs w:val="32"/>
        </w:rPr>
        <w:t>WHY USE THE NEPO FRAMEWORK?</w:t>
      </w:r>
    </w:p>
    <w:p w:rsidR="0094357C" w:rsidRDefault="0094357C" w:rsidP="0094357C">
      <w:pPr>
        <w:pStyle w:val="Default"/>
        <w:rPr>
          <w:sz w:val="32"/>
          <w:szCs w:val="32"/>
        </w:rPr>
      </w:pPr>
    </w:p>
    <w:p w:rsidR="0094357C" w:rsidRDefault="0094357C" w:rsidP="0094357C">
      <w:pPr>
        <w:pStyle w:val="Default"/>
        <w:rPr>
          <w:sz w:val="22"/>
          <w:szCs w:val="22"/>
        </w:rPr>
      </w:pPr>
      <w:r>
        <w:rPr>
          <w:sz w:val="22"/>
          <w:szCs w:val="22"/>
        </w:rPr>
        <w:t xml:space="preserve">Using the Framework Agreement for Energy Performance of Buildings Inspections can bring a number of benefits: </w:t>
      </w:r>
    </w:p>
    <w:p w:rsidR="0094357C" w:rsidRDefault="0094357C" w:rsidP="0094357C">
      <w:pPr>
        <w:pStyle w:val="Default"/>
        <w:rPr>
          <w:sz w:val="22"/>
          <w:szCs w:val="22"/>
        </w:rPr>
      </w:pPr>
    </w:p>
    <w:p w:rsidR="0094357C" w:rsidRDefault="0094357C" w:rsidP="0094357C">
      <w:pPr>
        <w:pStyle w:val="Default"/>
        <w:rPr>
          <w:sz w:val="22"/>
          <w:szCs w:val="22"/>
        </w:rPr>
      </w:pPr>
      <w:proofErr w:type="gramStart"/>
      <w:r>
        <w:rPr>
          <w:sz w:val="22"/>
          <w:szCs w:val="22"/>
        </w:rPr>
        <w:t>FULLY COMPLIANT with the Public Contracts Regulations 2015.</w:t>
      </w:r>
      <w:proofErr w:type="gramEnd"/>
      <w:r>
        <w:rPr>
          <w:sz w:val="22"/>
          <w:szCs w:val="22"/>
        </w:rPr>
        <w:t xml:space="preserve"> </w:t>
      </w:r>
    </w:p>
    <w:p w:rsidR="0094357C" w:rsidRDefault="0094357C" w:rsidP="0094357C">
      <w:pPr>
        <w:pStyle w:val="Default"/>
        <w:rPr>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No need to advertise your procurement exercise; SAVING YOU VALUABLE TIME AND RESOURCES with GREATLY REDUCED PROCUREMENT TIMESCALES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Contractors appointed to the framework have already been assessed for their, TECHINCAL AND PROFESSIONAL ABILITY, giving client authorities’ CONFIDENCE TO PROCURE with no further vetting.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Pre-agreed TERMS, CONDITIONS AND SAFEGUARDS to underpin all contracts placed under the framework.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FLEXIBLE SELECTION METHODS within the option for direct award or to run a further competition where requirements are planned.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PROFESSIONAL PROCUREMENT SUPPORT always on hand from NEPO. Whilst the aim of the framework is to simplify the process by covering all procedural compliance matters on your behalf, it is recognised that sometimes specific guidance, advice or assistance may be required; this is always freely available from NEPO.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ECONOMIC BENEFITS such as employment and training opportunities for those in disadvantaged employment categories. </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numPr>
          <w:ilvl w:val="0"/>
          <w:numId w:val="3"/>
        </w:numPr>
        <w:rPr>
          <w:rFonts w:ascii="Arial" w:hAnsi="Arial" w:cs="Arial"/>
          <w:sz w:val="22"/>
          <w:szCs w:val="22"/>
        </w:rPr>
      </w:pPr>
      <w:r w:rsidRPr="0094357C">
        <w:rPr>
          <w:rFonts w:ascii="Arial" w:hAnsi="Arial" w:cs="Arial"/>
          <w:sz w:val="22"/>
          <w:szCs w:val="22"/>
        </w:rPr>
        <w:t xml:space="preserve">SUSTAINABILITY BENEFITS </w:t>
      </w:r>
      <w:r>
        <w:rPr>
          <w:rFonts w:ascii="Arial" w:hAnsi="Arial" w:cs="Arial"/>
          <w:sz w:val="22"/>
          <w:szCs w:val="22"/>
        </w:rPr>
        <w:t>including the reduction of CO</w:t>
      </w:r>
      <w:r w:rsidRPr="0094357C">
        <w:rPr>
          <w:rFonts w:ascii="Arial" w:hAnsi="Arial" w:cs="Arial"/>
          <w:sz w:val="22"/>
          <w:szCs w:val="22"/>
          <w:vertAlign w:val="subscript"/>
        </w:rPr>
        <w:t>2</w:t>
      </w:r>
      <w:r>
        <w:rPr>
          <w:rFonts w:ascii="Arial" w:hAnsi="Arial" w:cs="Arial"/>
          <w:sz w:val="22"/>
          <w:szCs w:val="22"/>
        </w:rPr>
        <w:t xml:space="preserve"> through </w:t>
      </w:r>
      <w:r w:rsidRPr="0094357C">
        <w:rPr>
          <w:rFonts w:ascii="Arial" w:hAnsi="Arial" w:cs="Arial"/>
          <w:sz w:val="22"/>
          <w:szCs w:val="22"/>
        </w:rPr>
        <w:t>the recycling of was</w:t>
      </w:r>
      <w:r>
        <w:rPr>
          <w:rFonts w:ascii="Arial" w:hAnsi="Arial" w:cs="Arial"/>
          <w:sz w:val="22"/>
          <w:szCs w:val="22"/>
        </w:rPr>
        <w:t>te and</w:t>
      </w:r>
      <w:r w:rsidRPr="0094357C">
        <w:rPr>
          <w:rFonts w:ascii="Arial" w:hAnsi="Arial" w:cs="Arial"/>
          <w:sz w:val="22"/>
          <w:szCs w:val="22"/>
        </w:rPr>
        <w:t xml:space="preserve"> providing the service in a sustainable manner</w:t>
      </w:r>
      <w:r>
        <w:rPr>
          <w:rFonts w:ascii="Arial" w:hAnsi="Arial" w:cs="Arial"/>
          <w:sz w:val="22"/>
          <w:szCs w:val="22"/>
        </w:rPr>
        <w:t xml:space="preserve"> through transport options along with</w:t>
      </w:r>
      <w:r w:rsidRPr="0094357C">
        <w:rPr>
          <w:rFonts w:ascii="Arial" w:hAnsi="Arial" w:cs="Arial"/>
          <w:sz w:val="22"/>
          <w:szCs w:val="22"/>
        </w:rPr>
        <w:t xml:space="preserve"> advice and support in CO</w:t>
      </w:r>
      <w:r w:rsidRPr="0094357C">
        <w:rPr>
          <w:rFonts w:ascii="Arial" w:hAnsi="Arial" w:cs="Arial"/>
          <w:sz w:val="22"/>
          <w:szCs w:val="22"/>
          <w:vertAlign w:val="subscript"/>
        </w:rPr>
        <w:t>2</w:t>
      </w:r>
      <w:r w:rsidRPr="0094357C">
        <w:rPr>
          <w:rFonts w:ascii="Arial" w:hAnsi="Arial" w:cs="Arial"/>
          <w:sz w:val="22"/>
          <w:szCs w:val="22"/>
        </w:rPr>
        <w:t xml:space="preserve"> reduction</w:t>
      </w:r>
      <w:r>
        <w:rPr>
          <w:rFonts w:ascii="Arial" w:hAnsi="Arial" w:cs="Arial"/>
          <w:sz w:val="22"/>
          <w:szCs w:val="22"/>
        </w:rPr>
        <w:t xml:space="preserve"> options for authority sites</w:t>
      </w:r>
      <w:proofErr w:type="gramStart"/>
      <w:r>
        <w:rPr>
          <w:rFonts w:ascii="Arial" w:hAnsi="Arial" w:cs="Arial"/>
          <w:sz w:val="22"/>
          <w:szCs w:val="22"/>
        </w:rPr>
        <w:t>.</w:t>
      </w:r>
      <w:r w:rsidRPr="0094357C">
        <w:rPr>
          <w:rFonts w:ascii="Arial" w:hAnsi="Arial" w:cs="Arial"/>
          <w:sz w:val="22"/>
          <w:szCs w:val="22"/>
        </w:rPr>
        <w:t>.</w:t>
      </w:r>
      <w:proofErr w:type="gramEnd"/>
    </w:p>
    <w:p w:rsidR="0094357C" w:rsidRDefault="0094357C">
      <w:pPr>
        <w:rPr>
          <w:color w:val="000000"/>
          <w:lang w:eastAsia="en-GB"/>
        </w:rPr>
      </w:pPr>
      <w:r>
        <w:br w:type="page"/>
      </w:r>
    </w:p>
    <w:p w:rsidR="0094357C" w:rsidRDefault="0094357C" w:rsidP="0094357C">
      <w:pPr>
        <w:pStyle w:val="Default"/>
        <w:rPr>
          <w:b/>
          <w:bCs/>
          <w:sz w:val="32"/>
          <w:szCs w:val="32"/>
        </w:rPr>
      </w:pPr>
      <w:r>
        <w:rPr>
          <w:b/>
          <w:bCs/>
          <w:sz w:val="32"/>
          <w:szCs w:val="32"/>
        </w:rPr>
        <w:lastRenderedPageBreak/>
        <w:t>USING THE NEPO FRAMEWORK</w:t>
      </w:r>
    </w:p>
    <w:p w:rsidR="0094357C" w:rsidRPr="0094357C" w:rsidRDefault="0094357C" w:rsidP="0094357C">
      <w:pPr>
        <w:pStyle w:val="Default"/>
        <w:rPr>
          <w:rFonts w:ascii="Arial" w:hAnsi="Arial" w:cs="Arial"/>
          <w:sz w:val="32"/>
          <w:szCs w:val="32"/>
        </w:rPr>
      </w:pPr>
    </w:p>
    <w:p w:rsidR="0094357C" w:rsidRPr="0094357C" w:rsidRDefault="0094357C" w:rsidP="0094357C">
      <w:pPr>
        <w:pStyle w:val="Default"/>
        <w:rPr>
          <w:rFonts w:ascii="Arial" w:hAnsi="Arial" w:cs="Arial"/>
          <w:sz w:val="22"/>
          <w:szCs w:val="22"/>
        </w:rPr>
      </w:pPr>
      <w:r w:rsidRPr="0094357C">
        <w:rPr>
          <w:rFonts w:ascii="Arial" w:hAnsi="Arial" w:cs="Arial"/>
          <w:sz w:val="22"/>
          <w:szCs w:val="22"/>
        </w:rPr>
        <w:t xml:space="preserve">Accessing the Framework is easy. Any Public Sector Organisation can access the framework and enjoy the many benefits that it offers through NEPO Associate Membership. </w:t>
      </w:r>
    </w:p>
    <w:p w:rsidR="0094357C" w:rsidRPr="0094357C" w:rsidRDefault="0094357C" w:rsidP="0094357C">
      <w:pPr>
        <w:pStyle w:val="Default"/>
        <w:rPr>
          <w:rFonts w:ascii="Arial" w:hAnsi="Arial" w:cs="Arial"/>
          <w:sz w:val="22"/>
          <w:szCs w:val="22"/>
        </w:rPr>
      </w:pPr>
      <w:r w:rsidRPr="0094357C">
        <w:rPr>
          <w:rFonts w:ascii="Arial" w:hAnsi="Arial" w:cs="Arial"/>
          <w:sz w:val="22"/>
          <w:szCs w:val="22"/>
        </w:rPr>
        <w:t>Always quote ‘</w:t>
      </w:r>
      <w:r w:rsidRPr="0094357C">
        <w:rPr>
          <w:rFonts w:ascii="Arial" w:hAnsi="Arial" w:cs="Arial"/>
          <w:b/>
          <w:bCs/>
          <w:sz w:val="22"/>
          <w:szCs w:val="22"/>
        </w:rPr>
        <w:t xml:space="preserve">As per NEPO Framework for </w:t>
      </w:r>
      <w:r w:rsidR="001D2AA0">
        <w:rPr>
          <w:rFonts w:ascii="Arial" w:hAnsi="Arial" w:cs="Arial"/>
          <w:b/>
          <w:bCs/>
          <w:sz w:val="22"/>
          <w:szCs w:val="22"/>
        </w:rPr>
        <w:t>Energy Performance of Buildings Inspections</w:t>
      </w:r>
      <w:r w:rsidRPr="0094357C">
        <w:rPr>
          <w:rFonts w:ascii="Arial" w:hAnsi="Arial" w:cs="Arial"/>
          <w:b/>
          <w:bCs/>
          <w:sz w:val="22"/>
          <w:szCs w:val="22"/>
        </w:rPr>
        <w:t xml:space="preserve"> </w:t>
      </w:r>
      <w:r w:rsidRPr="0094357C">
        <w:rPr>
          <w:rFonts w:ascii="Arial" w:hAnsi="Arial" w:cs="Arial"/>
          <w:sz w:val="22"/>
          <w:szCs w:val="22"/>
        </w:rPr>
        <w:t>in all your communications with Contractors.</w:t>
      </w:r>
    </w:p>
    <w:p w:rsidR="0094357C" w:rsidRDefault="0094357C" w:rsidP="0094357C">
      <w:pPr>
        <w:pStyle w:val="Default"/>
        <w:rPr>
          <w:sz w:val="22"/>
          <w:szCs w:val="22"/>
        </w:rPr>
      </w:pPr>
    </w:p>
    <w:p w:rsidR="0094357C" w:rsidRPr="0094357C" w:rsidRDefault="0094357C" w:rsidP="0094357C">
      <w:pPr>
        <w:pStyle w:val="Default"/>
        <w:rPr>
          <w:rFonts w:ascii="Arial" w:hAnsi="Arial" w:cs="Arial"/>
          <w:sz w:val="22"/>
          <w:szCs w:val="22"/>
        </w:rPr>
      </w:pPr>
      <w:r w:rsidRPr="0094357C">
        <w:rPr>
          <w:rFonts w:ascii="Arial" w:hAnsi="Arial" w:cs="Arial"/>
          <w:b/>
          <w:bCs/>
          <w:sz w:val="22"/>
          <w:szCs w:val="22"/>
        </w:rPr>
        <w:t xml:space="preserve">FRAMEWORK OPERATION </w:t>
      </w:r>
    </w:p>
    <w:p w:rsidR="0094357C" w:rsidRPr="0094357C" w:rsidRDefault="0094357C" w:rsidP="0094357C">
      <w:pPr>
        <w:pStyle w:val="Default"/>
        <w:rPr>
          <w:rFonts w:ascii="Arial" w:hAnsi="Arial" w:cs="Arial"/>
          <w:sz w:val="22"/>
          <w:szCs w:val="22"/>
        </w:rPr>
      </w:pPr>
      <w:r w:rsidRPr="0094357C">
        <w:rPr>
          <w:rFonts w:ascii="Arial" w:hAnsi="Arial" w:cs="Arial"/>
          <w:sz w:val="22"/>
          <w:szCs w:val="22"/>
        </w:rPr>
        <w:t>The Framework may be used in 2 ways: Direct Award or Mini Competition.</w:t>
      </w:r>
    </w:p>
    <w:p w:rsidR="0094357C" w:rsidRPr="0094357C" w:rsidRDefault="0094357C" w:rsidP="0094357C">
      <w:pPr>
        <w:pStyle w:val="Default"/>
        <w:rPr>
          <w:rFonts w:ascii="Arial" w:hAnsi="Arial" w:cs="Arial"/>
          <w:sz w:val="22"/>
          <w:szCs w:val="22"/>
        </w:rPr>
      </w:pPr>
    </w:p>
    <w:p w:rsidR="0094357C" w:rsidRPr="0094357C" w:rsidRDefault="0094357C" w:rsidP="0094357C">
      <w:pPr>
        <w:pStyle w:val="Default"/>
        <w:rPr>
          <w:rFonts w:ascii="Arial" w:hAnsi="Arial" w:cs="Arial"/>
          <w:b/>
          <w:sz w:val="22"/>
          <w:szCs w:val="22"/>
        </w:rPr>
      </w:pPr>
      <w:r w:rsidRPr="0094357C">
        <w:rPr>
          <w:rFonts w:ascii="Arial" w:hAnsi="Arial" w:cs="Arial"/>
          <w:b/>
          <w:sz w:val="22"/>
          <w:szCs w:val="22"/>
        </w:rPr>
        <w:t>Direct Award</w:t>
      </w:r>
    </w:p>
    <w:p w:rsidR="0021591D" w:rsidRPr="0094357C" w:rsidRDefault="0094357C" w:rsidP="0021591D">
      <w:pPr>
        <w:pStyle w:val="Default"/>
        <w:rPr>
          <w:rFonts w:ascii="Arial" w:hAnsi="Arial" w:cs="Arial"/>
          <w:sz w:val="22"/>
          <w:szCs w:val="22"/>
        </w:rPr>
      </w:pPr>
      <w:r w:rsidRPr="0094357C">
        <w:rPr>
          <w:rFonts w:ascii="Arial" w:hAnsi="Arial" w:cs="Arial"/>
          <w:sz w:val="22"/>
          <w:szCs w:val="22"/>
        </w:rPr>
        <w:t xml:space="preserve">Primary call off from this framework will be direct from the contractor ranked first for the required service where the requirements are of an urgent nature (requirements will be urgent if they are either not part of a planned programme or has arisen due to unforeseen circumstances, and the service is required within a reasonably short timeframe) you may </w:t>
      </w:r>
      <w:r w:rsidRPr="0094357C">
        <w:rPr>
          <w:rFonts w:ascii="Arial" w:hAnsi="Arial" w:cs="Arial"/>
          <w:b/>
          <w:bCs/>
          <w:sz w:val="22"/>
          <w:szCs w:val="22"/>
        </w:rPr>
        <w:t xml:space="preserve">Directly Award </w:t>
      </w:r>
      <w:r w:rsidRPr="0094357C">
        <w:rPr>
          <w:rFonts w:ascii="Arial" w:hAnsi="Arial" w:cs="Arial"/>
          <w:sz w:val="22"/>
          <w:szCs w:val="22"/>
        </w:rPr>
        <w:t xml:space="preserve">a Call-Off Contract to the highest ranked Contractor within the relevant lot. </w:t>
      </w:r>
      <w:r w:rsidR="0021591D" w:rsidRPr="0094357C">
        <w:rPr>
          <w:rFonts w:ascii="Arial" w:hAnsi="Arial" w:cs="Arial"/>
          <w:sz w:val="22"/>
          <w:szCs w:val="22"/>
        </w:rPr>
        <w:t xml:space="preserve">You may only engage the next ranked Contractor if the highest ranked Contractor is unable to carry out the works. </w:t>
      </w:r>
    </w:p>
    <w:p w:rsidR="0094357C" w:rsidRPr="0094357C" w:rsidRDefault="0094357C" w:rsidP="0094357C">
      <w:pPr>
        <w:pStyle w:val="Default"/>
        <w:rPr>
          <w:rFonts w:ascii="Arial" w:hAnsi="Arial" w:cs="Arial"/>
          <w:sz w:val="22"/>
          <w:szCs w:val="22"/>
        </w:rPr>
      </w:pPr>
      <w:r w:rsidRPr="0094357C">
        <w:rPr>
          <w:rFonts w:ascii="Arial" w:hAnsi="Arial" w:cs="Arial"/>
          <w:sz w:val="22"/>
          <w:szCs w:val="22"/>
        </w:rPr>
        <w:t>In the case of a direct award, contractors will be engaged on the prices submitted by the Contractor within their tender.</w:t>
      </w:r>
    </w:p>
    <w:p w:rsidR="006A0D8A" w:rsidRPr="0094357C" w:rsidRDefault="006A0D8A" w:rsidP="0094357C">
      <w:pPr>
        <w:pStyle w:val="Default"/>
        <w:rPr>
          <w:rFonts w:ascii="Arial" w:hAnsi="Arial" w:cs="Arial"/>
          <w:sz w:val="22"/>
          <w:szCs w:val="22"/>
        </w:rPr>
      </w:pPr>
    </w:p>
    <w:p w:rsidR="0094357C" w:rsidRDefault="0094357C" w:rsidP="0094357C">
      <w:pPr>
        <w:pStyle w:val="Default"/>
        <w:rPr>
          <w:rFonts w:ascii="Arial" w:hAnsi="Arial" w:cs="Arial"/>
          <w:b/>
          <w:bCs/>
          <w:sz w:val="22"/>
          <w:szCs w:val="22"/>
        </w:rPr>
      </w:pPr>
      <w:r w:rsidRPr="0094357C">
        <w:rPr>
          <w:rFonts w:ascii="Arial" w:hAnsi="Arial" w:cs="Arial"/>
          <w:b/>
          <w:bCs/>
          <w:sz w:val="22"/>
          <w:szCs w:val="22"/>
        </w:rPr>
        <w:t>Mini Competitions</w:t>
      </w:r>
    </w:p>
    <w:p w:rsidR="00D51958" w:rsidRDefault="00D51958" w:rsidP="0094357C">
      <w:pPr>
        <w:pStyle w:val="Default"/>
        <w:rPr>
          <w:rFonts w:ascii="Arial" w:hAnsi="Arial" w:cs="Arial"/>
          <w:b/>
          <w:bCs/>
          <w:sz w:val="22"/>
          <w:szCs w:val="22"/>
        </w:rPr>
      </w:pPr>
      <w:r w:rsidRPr="0094357C">
        <w:rPr>
          <w:rFonts w:ascii="Arial" w:hAnsi="Arial" w:cs="Arial"/>
          <w:sz w:val="22"/>
          <w:szCs w:val="22"/>
        </w:rPr>
        <w:t>Where authorities are able to provide a 3, 6 or 12 month plan of their requirements prices can be sought by undertaking further competition</w:t>
      </w:r>
      <w:r>
        <w:rPr>
          <w:rFonts w:ascii="Arial" w:hAnsi="Arial" w:cs="Arial"/>
          <w:sz w:val="22"/>
          <w:szCs w:val="22"/>
        </w:rPr>
        <w:t xml:space="preserve"> </w:t>
      </w:r>
      <w:r w:rsidRPr="0094357C">
        <w:rPr>
          <w:rFonts w:ascii="Arial" w:hAnsi="Arial" w:cs="Arial"/>
          <w:sz w:val="22"/>
          <w:szCs w:val="22"/>
        </w:rPr>
        <w:t>between all contracto</w:t>
      </w:r>
      <w:r w:rsidR="00972983">
        <w:rPr>
          <w:rFonts w:ascii="Arial" w:hAnsi="Arial" w:cs="Arial"/>
          <w:sz w:val="22"/>
          <w:szCs w:val="22"/>
        </w:rPr>
        <w:t>rs awarded to the relevant lot.</w:t>
      </w:r>
      <w:r w:rsidRPr="0094357C">
        <w:rPr>
          <w:rFonts w:ascii="Arial" w:hAnsi="Arial" w:cs="Arial"/>
          <w:sz w:val="22"/>
          <w:szCs w:val="22"/>
        </w:rPr>
        <w:t xml:space="preserve"> Mini competitions provide the contractor with the opportunity to provide more competitive</w:t>
      </w:r>
      <w:r>
        <w:rPr>
          <w:rFonts w:ascii="Arial" w:hAnsi="Arial" w:cs="Arial"/>
          <w:sz w:val="22"/>
          <w:szCs w:val="22"/>
        </w:rPr>
        <w:t xml:space="preserve"> </w:t>
      </w:r>
      <w:r w:rsidRPr="0094357C">
        <w:rPr>
          <w:rFonts w:ascii="Arial" w:hAnsi="Arial" w:cs="Arial"/>
          <w:sz w:val="22"/>
          <w:szCs w:val="22"/>
        </w:rPr>
        <w:t>pricing for your specific project (with the ceil</w:t>
      </w:r>
      <w:r w:rsidR="003D479B">
        <w:rPr>
          <w:rFonts w:ascii="Arial" w:hAnsi="Arial" w:cs="Arial"/>
          <w:sz w:val="22"/>
          <w:szCs w:val="22"/>
        </w:rPr>
        <w:t>ing rates detailed at Schedule C</w:t>
      </w:r>
      <w:r w:rsidRPr="0094357C">
        <w:rPr>
          <w:rFonts w:ascii="Arial" w:hAnsi="Arial" w:cs="Arial"/>
          <w:sz w:val="22"/>
          <w:szCs w:val="22"/>
        </w:rPr>
        <w:t xml:space="preserve"> as a maximum price) along with detailed assurance in response to</w:t>
      </w:r>
    </w:p>
    <w:p w:rsidR="00D51958" w:rsidRDefault="00D51958" w:rsidP="0094357C">
      <w:pPr>
        <w:pStyle w:val="Default"/>
        <w:rPr>
          <w:rFonts w:ascii="Arial" w:hAnsi="Arial" w:cs="Arial"/>
          <w:b/>
          <w:bCs/>
          <w:sz w:val="22"/>
          <w:szCs w:val="22"/>
        </w:rPr>
      </w:pPr>
      <w:proofErr w:type="gramStart"/>
      <w:r w:rsidRPr="0094357C">
        <w:rPr>
          <w:rFonts w:ascii="Arial" w:hAnsi="Arial" w:cs="Arial"/>
          <w:sz w:val="22"/>
          <w:szCs w:val="22"/>
        </w:rPr>
        <w:t>any</w:t>
      </w:r>
      <w:proofErr w:type="gramEnd"/>
      <w:r w:rsidRPr="0094357C">
        <w:rPr>
          <w:rFonts w:ascii="Arial" w:hAnsi="Arial" w:cs="Arial"/>
          <w:sz w:val="22"/>
          <w:szCs w:val="22"/>
        </w:rPr>
        <w:t xml:space="preserve"> quality questions you may choose to include at call off stage.</w:t>
      </w:r>
    </w:p>
    <w:p w:rsidR="00D51958" w:rsidRDefault="00D51958" w:rsidP="0094357C">
      <w:pPr>
        <w:pStyle w:val="Default"/>
        <w:rPr>
          <w:rFonts w:ascii="Arial" w:hAnsi="Arial" w:cs="Arial"/>
          <w:sz w:val="22"/>
          <w:szCs w:val="22"/>
        </w:rPr>
      </w:pPr>
      <w:r>
        <w:rPr>
          <w:rFonts w:ascii="Arial" w:hAnsi="Arial" w:cs="Arial"/>
          <w:sz w:val="22"/>
          <w:szCs w:val="22"/>
        </w:rPr>
        <w:t>As the technical ability of the contractors has been assessed when establishing the framework, t</w:t>
      </w:r>
      <w:r w:rsidRPr="0094357C">
        <w:rPr>
          <w:rFonts w:ascii="Arial" w:hAnsi="Arial" w:cs="Arial"/>
          <w:sz w:val="22"/>
          <w:szCs w:val="22"/>
        </w:rPr>
        <w:t>he project specific categories you may include as a quality element to your mini competition must fit within the following headings</w:t>
      </w:r>
    </w:p>
    <w:tbl>
      <w:tblPr>
        <w:tblStyle w:val="TableGrid"/>
        <w:tblW w:w="0" w:type="auto"/>
        <w:tblInd w:w="108" w:type="dxa"/>
        <w:tblLayout w:type="fixed"/>
        <w:tblLook w:val="04A0" w:firstRow="1" w:lastRow="0" w:firstColumn="1" w:lastColumn="0" w:noHBand="0" w:noVBand="1"/>
      </w:tblPr>
      <w:tblGrid>
        <w:gridCol w:w="10915"/>
        <w:gridCol w:w="2977"/>
      </w:tblGrid>
      <w:tr w:rsidR="00D51958" w:rsidTr="00D51958">
        <w:tc>
          <w:tcPr>
            <w:tcW w:w="10915" w:type="dxa"/>
          </w:tcPr>
          <w:p w:rsidR="00D51958" w:rsidRPr="00D51958" w:rsidRDefault="00D51958" w:rsidP="00156FB7">
            <w:pPr>
              <w:pStyle w:val="Default"/>
              <w:rPr>
                <w:rFonts w:ascii="Arial" w:hAnsi="Arial" w:cs="Arial"/>
                <w:sz w:val="22"/>
                <w:szCs w:val="22"/>
              </w:rPr>
            </w:pPr>
            <w:r w:rsidRPr="00D51958">
              <w:rPr>
                <w:rFonts w:ascii="Arial" w:hAnsi="Arial" w:cs="Arial"/>
                <w:b/>
                <w:bCs/>
                <w:sz w:val="22"/>
                <w:szCs w:val="22"/>
              </w:rPr>
              <w:t>Mini Competition Criteria</w:t>
            </w:r>
          </w:p>
        </w:tc>
        <w:tc>
          <w:tcPr>
            <w:tcW w:w="2977" w:type="dxa"/>
          </w:tcPr>
          <w:p w:rsidR="00D51958" w:rsidRPr="00D51958" w:rsidRDefault="00D51958" w:rsidP="00156FB7">
            <w:pPr>
              <w:pStyle w:val="Default"/>
              <w:rPr>
                <w:rFonts w:ascii="Arial" w:hAnsi="Arial" w:cs="Arial"/>
                <w:b/>
                <w:sz w:val="22"/>
                <w:szCs w:val="22"/>
              </w:rPr>
            </w:pPr>
            <w:r w:rsidRPr="00D51958">
              <w:rPr>
                <w:rFonts w:ascii="Arial" w:hAnsi="Arial" w:cs="Arial"/>
                <w:b/>
                <w:sz w:val="22"/>
                <w:szCs w:val="22"/>
              </w:rPr>
              <w:t>Assessment</w:t>
            </w:r>
          </w:p>
        </w:tc>
      </w:tr>
      <w:tr w:rsidR="00D51958" w:rsidTr="00D51958">
        <w:tc>
          <w:tcPr>
            <w:tcW w:w="10915" w:type="dxa"/>
          </w:tcPr>
          <w:p w:rsidR="00D51958" w:rsidRPr="00D51958" w:rsidRDefault="00D51958" w:rsidP="00156FB7">
            <w:pPr>
              <w:pStyle w:val="Default"/>
              <w:rPr>
                <w:rFonts w:ascii="Arial" w:hAnsi="Arial" w:cs="Arial"/>
                <w:sz w:val="22"/>
                <w:szCs w:val="22"/>
              </w:rPr>
            </w:pPr>
            <w:r w:rsidRPr="00D51958">
              <w:rPr>
                <w:rFonts w:ascii="Arial" w:hAnsi="Arial" w:cs="Arial"/>
                <w:sz w:val="22"/>
                <w:szCs w:val="22"/>
              </w:rPr>
              <w:t>Technical requirements (type and level of inspection required, date inspection(s) to be undertaken by)</w:t>
            </w:r>
          </w:p>
        </w:tc>
        <w:tc>
          <w:tcPr>
            <w:tcW w:w="2977" w:type="dxa"/>
          </w:tcPr>
          <w:p w:rsidR="00D51958" w:rsidRPr="00D51958" w:rsidRDefault="00D51958" w:rsidP="00156FB7">
            <w:pPr>
              <w:pStyle w:val="Default"/>
              <w:rPr>
                <w:rFonts w:ascii="Arial" w:hAnsi="Arial" w:cs="Arial"/>
                <w:sz w:val="22"/>
                <w:szCs w:val="22"/>
              </w:rPr>
            </w:pPr>
            <w:r w:rsidRPr="00D51958">
              <w:rPr>
                <w:rFonts w:ascii="Arial" w:hAnsi="Arial" w:cs="Arial"/>
                <w:sz w:val="22"/>
                <w:szCs w:val="22"/>
              </w:rPr>
              <w:t>PASS / FAIL</w:t>
            </w:r>
          </w:p>
        </w:tc>
      </w:tr>
      <w:tr w:rsidR="00D51958" w:rsidTr="00D51958">
        <w:tc>
          <w:tcPr>
            <w:tcW w:w="10915" w:type="dxa"/>
          </w:tcPr>
          <w:p w:rsidR="00D51958" w:rsidRPr="00D51958" w:rsidRDefault="00D51958" w:rsidP="00156FB7">
            <w:pPr>
              <w:pStyle w:val="Default"/>
              <w:rPr>
                <w:rFonts w:ascii="Arial" w:hAnsi="Arial" w:cs="Arial"/>
                <w:sz w:val="22"/>
                <w:szCs w:val="22"/>
              </w:rPr>
            </w:pPr>
            <w:r w:rsidRPr="00D51958">
              <w:rPr>
                <w:rFonts w:ascii="Arial" w:hAnsi="Arial" w:cs="Arial"/>
                <w:sz w:val="22"/>
                <w:szCs w:val="22"/>
              </w:rPr>
              <w:t>Price</w:t>
            </w:r>
          </w:p>
        </w:tc>
        <w:tc>
          <w:tcPr>
            <w:tcW w:w="2977" w:type="dxa"/>
          </w:tcPr>
          <w:p w:rsidR="00D51958" w:rsidRPr="00D51958" w:rsidRDefault="00D51958" w:rsidP="00156FB7">
            <w:pPr>
              <w:pStyle w:val="Default"/>
              <w:rPr>
                <w:rFonts w:ascii="Arial" w:hAnsi="Arial" w:cs="Arial"/>
                <w:sz w:val="22"/>
                <w:szCs w:val="22"/>
              </w:rPr>
            </w:pPr>
            <w:r w:rsidRPr="00D51958">
              <w:rPr>
                <w:rFonts w:ascii="Arial" w:hAnsi="Arial" w:cs="Arial"/>
                <w:sz w:val="22"/>
                <w:szCs w:val="22"/>
              </w:rPr>
              <w:t>100%</w:t>
            </w:r>
          </w:p>
        </w:tc>
      </w:tr>
    </w:tbl>
    <w:p w:rsidR="006A0D8A" w:rsidRDefault="006A0D8A" w:rsidP="006A0D8A">
      <w:pPr>
        <w:pStyle w:val="Default"/>
        <w:rPr>
          <w:rFonts w:ascii="Arial" w:hAnsi="Arial" w:cs="Arial"/>
          <w:sz w:val="22"/>
          <w:szCs w:val="22"/>
        </w:rPr>
      </w:pPr>
    </w:p>
    <w:p w:rsidR="006A0D8A" w:rsidRPr="0094357C" w:rsidRDefault="006A0D8A" w:rsidP="006A0D8A">
      <w:pPr>
        <w:pStyle w:val="Default"/>
        <w:rPr>
          <w:rFonts w:ascii="Arial" w:hAnsi="Arial" w:cs="Arial"/>
          <w:b/>
          <w:sz w:val="22"/>
          <w:szCs w:val="22"/>
        </w:rPr>
      </w:pPr>
      <w:r>
        <w:rPr>
          <w:rFonts w:ascii="Arial" w:hAnsi="Arial" w:cs="Arial"/>
          <w:b/>
          <w:sz w:val="22"/>
          <w:szCs w:val="22"/>
        </w:rPr>
        <w:t>Inspections outside of priced list</w:t>
      </w:r>
    </w:p>
    <w:p w:rsidR="0021591D" w:rsidRDefault="006A0D8A" w:rsidP="006A0D8A">
      <w:pPr>
        <w:rPr>
          <w:szCs w:val="22"/>
        </w:rPr>
      </w:pPr>
      <w:r w:rsidRPr="006A0D8A">
        <w:rPr>
          <w:szCs w:val="22"/>
        </w:rPr>
        <w:t>Non Domestic (Commercial)</w:t>
      </w:r>
      <w:r>
        <w:rPr>
          <w:szCs w:val="22"/>
        </w:rPr>
        <w:t xml:space="preserve"> Energy Performance Certificate inspections for buildings with a floor area over 1,000m</w:t>
      </w:r>
      <w:r>
        <w:rPr>
          <w:szCs w:val="22"/>
          <w:vertAlign w:val="superscript"/>
        </w:rPr>
        <w:t>2</w:t>
      </w:r>
      <w:r>
        <w:rPr>
          <w:szCs w:val="22"/>
        </w:rPr>
        <w:t xml:space="preserve"> must be priced via a mini competition process due to the variant nature of properties of this size.</w:t>
      </w:r>
    </w:p>
    <w:p w:rsidR="0021591D" w:rsidRDefault="0021591D" w:rsidP="006A0D8A">
      <w:pPr>
        <w:rPr>
          <w:szCs w:val="22"/>
        </w:rPr>
      </w:pPr>
    </w:p>
    <w:p w:rsidR="0021591D" w:rsidRDefault="0021591D" w:rsidP="006A0D8A">
      <w:pPr>
        <w:rPr>
          <w:szCs w:val="22"/>
        </w:rPr>
      </w:pPr>
      <w:r>
        <w:rPr>
          <w:szCs w:val="22"/>
        </w:rPr>
        <w:t>The following inspections must also be priced via a mini competition process due to the complex nature of these reports:</w:t>
      </w:r>
    </w:p>
    <w:p w:rsidR="0021591D" w:rsidRPr="0021591D" w:rsidRDefault="0021591D" w:rsidP="0021591D">
      <w:pPr>
        <w:pStyle w:val="ListParagraph"/>
        <w:numPr>
          <w:ilvl w:val="0"/>
          <w:numId w:val="4"/>
        </w:numPr>
        <w:rPr>
          <w:szCs w:val="22"/>
        </w:rPr>
      </w:pPr>
      <w:r w:rsidRPr="0021591D">
        <w:rPr>
          <w:szCs w:val="22"/>
        </w:rPr>
        <w:t xml:space="preserve">Level 5 Non Domestic Energy Performance Certificates (ranked list only </w:t>
      </w:r>
      <w:r>
        <w:rPr>
          <w:szCs w:val="22"/>
        </w:rPr>
        <w:t>covers EPC</w:t>
      </w:r>
      <w:r w:rsidRPr="0021591D">
        <w:rPr>
          <w:szCs w:val="22"/>
        </w:rPr>
        <w:t>s up to Level 4)</w:t>
      </w:r>
    </w:p>
    <w:p w:rsidR="006A0D8A" w:rsidRPr="0021591D" w:rsidRDefault="0021591D" w:rsidP="0021591D">
      <w:pPr>
        <w:pStyle w:val="ListParagraph"/>
        <w:numPr>
          <w:ilvl w:val="0"/>
          <w:numId w:val="4"/>
        </w:numPr>
        <w:rPr>
          <w:szCs w:val="22"/>
        </w:rPr>
      </w:pPr>
      <w:r w:rsidRPr="0021591D">
        <w:rPr>
          <w:szCs w:val="22"/>
        </w:rPr>
        <w:t>Level 4 Air Conditioning I</w:t>
      </w:r>
      <w:r w:rsidR="006A0D8A" w:rsidRPr="0021591D">
        <w:rPr>
          <w:szCs w:val="22"/>
        </w:rPr>
        <w:t xml:space="preserve">nspections </w:t>
      </w:r>
      <w:r w:rsidRPr="0021591D">
        <w:rPr>
          <w:szCs w:val="22"/>
        </w:rPr>
        <w:t>(ranked list only covers Level 3 ACIs)</w:t>
      </w:r>
      <w:r w:rsidR="006A0D8A" w:rsidRPr="0021591D">
        <w:rPr>
          <w:szCs w:val="22"/>
        </w:rPr>
        <w:t>.</w:t>
      </w:r>
    </w:p>
    <w:sectPr w:rsidR="006A0D8A" w:rsidRPr="0021591D" w:rsidSect="00C338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AC3"/>
    <w:multiLevelType w:val="hybridMultilevel"/>
    <w:tmpl w:val="9AD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3305ED"/>
    <w:multiLevelType w:val="hybridMultilevel"/>
    <w:tmpl w:val="ECD6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2C4B2D"/>
    <w:multiLevelType w:val="hybridMultilevel"/>
    <w:tmpl w:val="87F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357E1"/>
    <w:multiLevelType w:val="hybridMultilevel"/>
    <w:tmpl w:val="468C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B5"/>
    <w:rsid w:val="001411A1"/>
    <w:rsid w:val="001D2AA0"/>
    <w:rsid w:val="001E7A8A"/>
    <w:rsid w:val="0021591D"/>
    <w:rsid w:val="002C3F3F"/>
    <w:rsid w:val="002E0DAB"/>
    <w:rsid w:val="003D479B"/>
    <w:rsid w:val="00427650"/>
    <w:rsid w:val="00480652"/>
    <w:rsid w:val="00480B97"/>
    <w:rsid w:val="006A0D8A"/>
    <w:rsid w:val="007F0654"/>
    <w:rsid w:val="008300F6"/>
    <w:rsid w:val="0094357C"/>
    <w:rsid w:val="0095055D"/>
    <w:rsid w:val="00972983"/>
    <w:rsid w:val="009A50F9"/>
    <w:rsid w:val="00AF3139"/>
    <w:rsid w:val="00B17EBA"/>
    <w:rsid w:val="00BF5630"/>
    <w:rsid w:val="00C338B5"/>
    <w:rsid w:val="00C6511C"/>
    <w:rsid w:val="00D51958"/>
    <w:rsid w:val="00DE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30"/>
    <w:rPr>
      <w:rFonts w:ascii="Arial" w:hAnsi="Arial" w:cs="Arial"/>
      <w:sz w:val="22"/>
      <w:szCs w:val="24"/>
      <w:lang w:eastAsia="en-US"/>
    </w:rPr>
  </w:style>
  <w:style w:type="paragraph" w:styleId="Heading1">
    <w:name w:val="heading 1"/>
    <w:basedOn w:val="Normal"/>
    <w:next w:val="Normal"/>
    <w:link w:val="Heading1Char"/>
    <w:qFormat/>
    <w:rsid w:val="00BF5630"/>
    <w:pPr>
      <w:keepNext/>
      <w:spacing w:before="60" w:after="60" w:line="276" w:lineRule="auto"/>
      <w:outlineLvl w:val="0"/>
    </w:pPr>
    <w:rPr>
      <w:b/>
      <w:bCs/>
    </w:rPr>
  </w:style>
  <w:style w:type="paragraph" w:styleId="Heading2">
    <w:name w:val="heading 2"/>
    <w:basedOn w:val="Normal"/>
    <w:next w:val="Normal"/>
    <w:link w:val="Heading2Char"/>
    <w:qFormat/>
    <w:rsid w:val="00BF5630"/>
    <w:pPr>
      <w:keepNext/>
      <w:spacing w:line="276" w:lineRule="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630"/>
    <w:rPr>
      <w:rFonts w:ascii="Arial" w:hAnsi="Arial" w:cs="Arial"/>
      <w:b/>
      <w:bCs/>
      <w:sz w:val="22"/>
      <w:szCs w:val="24"/>
      <w:lang w:eastAsia="en-US"/>
    </w:rPr>
  </w:style>
  <w:style w:type="character" w:customStyle="1" w:styleId="Heading2Char">
    <w:name w:val="Heading 2 Char"/>
    <w:basedOn w:val="DefaultParagraphFont"/>
    <w:link w:val="Heading2"/>
    <w:rsid w:val="00BF5630"/>
    <w:rPr>
      <w:rFonts w:ascii="Arial" w:hAnsi="Arial" w:cs="Arial"/>
      <w:b/>
      <w:bCs/>
      <w:sz w:val="24"/>
      <w:szCs w:val="24"/>
      <w:lang w:eastAsia="en-US"/>
    </w:rPr>
  </w:style>
  <w:style w:type="paragraph" w:styleId="NoSpacing">
    <w:name w:val="No Spacing"/>
    <w:uiPriority w:val="1"/>
    <w:qFormat/>
    <w:rsid w:val="00BF5630"/>
    <w:rPr>
      <w:rFonts w:ascii="Arial" w:hAnsi="Arial" w:cs="Arial"/>
      <w:sz w:val="22"/>
      <w:szCs w:val="24"/>
      <w:lang w:eastAsia="en-US"/>
    </w:rPr>
  </w:style>
  <w:style w:type="character" w:styleId="Hyperlink">
    <w:name w:val="Hyperlink"/>
    <w:basedOn w:val="DefaultParagraphFont"/>
    <w:uiPriority w:val="99"/>
    <w:unhideWhenUsed/>
    <w:rsid w:val="001411A1"/>
    <w:rPr>
      <w:color w:val="0000FF" w:themeColor="hyperlink"/>
      <w:u w:val="single"/>
    </w:rPr>
  </w:style>
  <w:style w:type="paragraph" w:customStyle="1" w:styleId="Default">
    <w:name w:val="Default"/>
    <w:rsid w:val="001411A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3139"/>
    <w:pPr>
      <w:ind w:left="720"/>
      <w:contextualSpacing/>
    </w:pPr>
  </w:style>
  <w:style w:type="table" w:styleId="TableGrid">
    <w:name w:val="Table Grid"/>
    <w:basedOn w:val="TableNormal"/>
    <w:uiPriority w:val="59"/>
    <w:rsid w:val="002E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30"/>
    <w:rPr>
      <w:rFonts w:ascii="Arial" w:hAnsi="Arial" w:cs="Arial"/>
      <w:sz w:val="22"/>
      <w:szCs w:val="24"/>
      <w:lang w:eastAsia="en-US"/>
    </w:rPr>
  </w:style>
  <w:style w:type="paragraph" w:styleId="Heading1">
    <w:name w:val="heading 1"/>
    <w:basedOn w:val="Normal"/>
    <w:next w:val="Normal"/>
    <w:link w:val="Heading1Char"/>
    <w:qFormat/>
    <w:rsid w:val="00BF5630"/>
    <w:pPr>
      <w:keepNext/>
      <w:spacing w:before="60" w:after="60" w:line="276" w:lineRule="auto"/>
      <w:outlineLvl w:val="0"/>
    </w:pPr>
    <w:rPr>
      <w:b/>
      <w:bCs/>
    </w:rPr>
  </w:style>
  <w:style w:type="paragraph" w:styleId="Heading2">
    <w:name w:val="heading 2"/>
    <w:basedOn w:val="Normal"/>
    <w:next w:val="Normal"/>
    <w:link w:val="Heading2Char"/>
    <w:qFormat/>
    <w:rsid w:val="00BF5630"/>
    <w:pPr>
      <w:keepNext/>
      <w:spacing w:line="276" w:lineRule="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630"/>
    <w:rPr>
      <w:rFonts w:ascii="Arial" w:hAnsi="Arial" w:cs="Arial"/>
      <w:b/>
      <w:bCs/>
      <w:sz w:val="22"/>
      <w:szCs w:val="24"/>
      <w:lang w:eastAsia="en-US"/>
    </w:rPr>
  </w:style>
  <w:style w:type="character" w:customStyle="1" w:styleId="Heading2Char">
    <w:name w:val="Heading 2 Char"/>
    <w:basedOn w:val="DefaultParagraphFont"/>
    <w:link w:val="Heading2"/>
    <w:rsid w:val="00BF5630"/>
    <w:rPr>
      <w:rFonts w:ascii="Arial" w:hAnsi="Arial" w:cs="Arial"/>
      <w:b/>
      <w:bCs/>
      <w:sz w:val="24"/>
      <w:szCs w:val="24"/>
      <w:lang w:eastAsia="en-US"/>
    </w:rPr>
  </w:style>
  <w:style w:type="paragraph" w:styleId="NoSpacing">
    <w:name w:val="No Spacing"/>
    <w:uiPriority w:val="1"/>
    <w:qFormat/>
    <w:rsid w:val="00BF5630"/>
    <w:rPr>
      <w:rFonts w:ascii="Arial" w:hAnsi="Arial" w:cs="Arial"/>
      <w:sz w:val="22"/>
      <w:szCs w:val="24"/>
      <w:lang w:eastAsia="en-US"/>
    </w:rPr>
  </w:style>
  <w:style w:type="character" w:styleId="Hyperlink">
    <w:name w:val="Hyperlink"/>
    <w:basedOn w:val="DefaultParagraphFont"/>
    <w:uiPriority w:val="99"/>
    <w:unhideWhenUsed/>
    <w:rsid w:val="001411A1"/>
    <w:rPr>
      <w:color w:val="0000FF" w:themeColor="hyperlink"/>
      <w:u w:val="single"/>
    </w:rPr>
  </w:style>
  <w:style w:type="paragraph" w:customStyle="1" w:styleId="Default">
    <w:name w:val="Default"/>
    <w:rsid w:val="001411A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3139"/>
    <w:pPr>
      <w:ind w:left="720"/>
      <w:contextualSpacing/>
    </w:pPr>
  </w:style>
  <w:style w:type="table" w:styleId="TableGrid">
    <w:name w:val="Table Grid"/>
    <w:basedOn w:val="TableNormal"/>
    <w:uiPriority w:val="59"/>
    <w:rsid w:val="002E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en/Dl1/Directories/Localcouncils/index.htm" TargetMode="External"/><Relationship Id="rId13" Type="http://schemas.openxmlformats.org/officeDocument/2006/relationships/hyperlink" Target="http://www.police-information.co.uk/police-directory/" TargetMode="External"/><Relationship Id="rId18" Type="http://schemas.openxmlformats.org/officeDocument/2006/relationships/hyperlink" Target="http://www.direct.gov.uk/en/Diol1/DoItOnline/DG_1002746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epoportal.org" TargetMode="External"/><Relationship Id="rId12" Type="http://schemas.openxmlformats.org/officeDocument/2006/relationships/hyperlink" Target="http://www.hefce.ac.uk/unicoll/" TargetMode="External"/><Relationship Id="rId17" Type="http://schemas.openxmlformats.org/officeDocument/2006/relationships/hyperlink" Target="http://www.civilservice.gov.uk/about/index.aspx" TargetMode="External"/><Relationship Id="rId2" Type="http://schemas.openxmlformats.org/officeDocument/2006/relationships/styles" Target="styles.xml"/><Relationship Id="rId16" Type="http://schemas.openxmlformats.org/officeDocument/2006/relationships/hyperlink" Target="http://www.direct.gov.uk/en/Dl1/Directories/A-ZOfCentralGovernment/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list_of_universities_in_the_United_Kingdom" TargetMode="External"/><Relationship Id="rId5" Type="http://schemas.openxmlformats.org/officeDocument/2006/relationships/webSettings" Target="webSettings.xml"/><Relationship Id="rId15" Type="http://schemas.openxmlformats.org/officeDocument/2006/relationships/hyperlink" Target="http://www.charity-commission.gov.uk/" TargetMode="External"/><Relationship Id="rId10" Type="http://schemas.openxmlformats.org/officeDocument/2006/relationships/hyperlink" Target="http://schoolswebdirectory.co.uk/localauthorities.php" TargetMode="External"/><Relationship Id="rId19" Type="http://schemas.openxmlformats.org/officeDocument/2006/relationships/hyperlink" Target="mailto:enquiries@nepo.org" TargetMode="External"/><Relationship Id="rId4" Type="http://schemas.openxmlformats.org/officeDocument/2006/relationships/settings" Target="settings.xml"/><Relationship Id="rId9" Type="http://schemas.openxmlformats.org/officeDocument/2006/relationships/hyperlink" Target="http://www.edubase.gov.uk" TargetMode="External"/><Relationship Id="rId14" Type="http://schemas.openxmlformats.org/officeDocument/2006/relationships/hyperlink" Target="http://www.nhs/ServiceDirectories/Pages/AcuteTrustLi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Raft</dc:creator>
  <cp:lastModifiedBy>Andrew Raft</cp:lastModifiedBy>
  <cp:revision>4</cp:revision>
  <dcterms:created xsi:type="dcterms:W3CDTF">2016-05-31T11:23:00Z</dcterms:created>
  <dcterms:modified xsi:type="dcterms:W3CDTF">2016-08-15T16:26:00Z</dcterms:modified>
</cp:coreProperties>
</file>