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E545" w14:textId="3B40882F" w:rsidR="002365A6" w:rsidRPr="002365A6" w:rsidRDefault="002365A6" w:rsidP="002365A6">
      <w:pPr>
        <w:pStyle w:val="Default"/>
        <w:spacing w:after="120"/>
        <w:rPr>
          <w:rFonts w:ascii="Cambria" w:hAnsi="Cambria" w:cs="Cambria"/>
          <w:b/>
          <w:bCs/>
          <w:sz w:val="22"/>
          <w:szCs w:val="22"/>
        </w:rPr>
      </w:pPr>
      <w:r w:rsidRPr="002365A6">
        <w:rPr>
          <w:rFonts w:ascii="Cambria" w:hAnsi="Cambria" w:cs="Cambria"/>
          <w:b/>
          <w:bCs/>
          <w:sz w:val="22"/>
          <w:szCs w:val="22"/>
        </w:rPr>
        <w:t>Project Requirements</w:t>
      </w:r>
    </w:p>
    <w:p w14:paraId="7F42B3DD" w14:textId="47B2E822" w:rsid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Homes England is looking to commission a study to explore the wellbeing effects of moving from temporary accommodation to social rented housing. The study should involve several key stages, including: </w:t>
      </w:r>
    </w:p>
    <w:p w14:paraId="2B16CC03" w14:textId="77777777" w:rsidR="002365A6" w:rsidRDefault="002365A6" w:rsidP="002365A6">
      <w:pPr>
        <w:pStyle w:val="Default"/>
        <w:numPr>
          <w:ilvl w:val="0"/>
          <w:numId w:val="3"/>
        </w:numPr>
        <w:spacing w:after="120"/>
        <w:rPr>
          <w:sz w:val="22"/>
          <w:szCs w:val="22"/>
        </w:rPr>
      </w:pPr>
      <w:r>
        <w:rPr>
          <w:rFonts w:ascii="Cambria" w:hAnsi="Cambria" w:cs="Cambria"/>
          <w:sz w:val="22"/>
          <w:szCs w:val="22"/>
        </w:rPr>
        <w:t xml:space="preserve">Development of appropriate typologies of temporary accommodation, and identification of suitable comparator housing typologies within social (affordable) housing (e.g. is social rented housing the appropriate comparator?). </w:t>
      </w:r>
    </w:p>
    <w:p w14:paraId="5AA57E18" w14:textId="249D46B0" w:rsidR="002365A6" w:rsidRDefault="002365A6" w:rsidP="002365A6">
      <w:pPr>
        <w:pStyle w:val="Default"/>
        <w:numPr>
          <w:ilvl w:val="0"/>
          <w:numId w:val="3"/>
        </w:numPr>
        <w:spacing w:after="120"/>
        <w:rPr>
          <w:sz w:val="22"/>
          <w:szCs w:val="22"/>
        </w:rPr>
      </w:pPr>
      <w:r>
        <w:rPr>
          <w:rFonts w:ascii="Cambria" w:hAnsi="Cambria" w:cs="Cambria"/>
          <w:sz w:val="22"/>
          <w:szCs w:val="22"/>
        </w:rPr>
        <w:t xml:space="preserve">Identification of key beneficiary groups who reside in temporary accommodation and the most common pathways in to (and out of) this accommodation. </w:t>
      </w:r>
    </w:p>
    <w:p w14:paraId="19E3558F" w14:textId="5FC29DB5" w:rsidR="002365A6" w:rsidRDefault="002365A6" w:rsidP="002365A6">
      <w:pPr>
        <w:pStyle w:val="Default"/>
        <w:numPr>
          <w:ilvl w:val="0"/>
          <w:numId w:val="3"/>
        </w:numPr>
        <w:spacing w:after="120"/>
        <w:rPr>
          <w:sz w:val="22"/>
          <w:szCs w:val="22"/>
        </w:rPr>
      </w:pPr>
      <w:r>
        <w:rPr>
          <w:rFonts w:ascii="Cambria" w:hAnsi="Cambria" w:cs="Cambria"/>
          <w:sz w:val="22"/>
          <w:szCs w:val="22"/>
        </w:rPr>
        <w:t xml:space="preserve">Development of a Wellbeing Framework that sets out how moving from temporary accommodation to social rented housing is linked to wellbeing. </w:t>
      </w:r>
    </w:p>
    <w:p w14:paraId="41560592" w14:textId="69AE435F" w:rsidR="002365A6" w:rsidRDefault="002365A6" w:rsidP="002365A6">
      <w:pPr>
        <w:pStyle w:val="Default"/>
        <w:numPr>
          <w:ilvl w:val="0"/>
          <w:numId w:val="3"/>
        </w:numPr>
        <w:spacing w:after="120"/>
        <w:rPr>
          <w:sz w:val="22"/>
          <w:szCs w:val="22"/>
        </w:rPr>
      </w:pPr>
      <w:r>
        <w:rPr>
          <w:rFonts w:ascii="Cambria" w:hAnsi="Cambria" w:cs="Cambria"/>
          <w:sz w:val="22"/>
          <w:szCs w:val="22"/>
        </w:rPr>
        <w:t xml:space="preserve">Exploration of existing research tools, questions and datasets aligned with the Framework and its various domains. </w:t>
      </w:r>
    </w:p>
    <w:p w14:paraId="1C209BD7" w14:textId="180EA0E7" w:rsidR="002365A6" w:rsidRPr="002365A6" w:rsidRDefault="002365A6" w:rsidP="002365A6">
      <w:pPr>
        <w:pStyle w:val="Default"/>
        <w:numPr>
          <w:ilvl w:val="0"/>
          <w:numId w:val="3"/>
        </w:numPr>
        <w:spacing w:after="120"/>
        <w:rPr>
          <w:sz w:val="22"/>
          <w:szCs w:val="22"/>
        </w:rPr>
      </w:pPr>
      <w:r>
        <w:rPr>
          <w:rFonts w:ascii="Cambria" w:hAnsi="Cambria" w:cs="Cambria"/>
          <w:sz w:val="22"/>
          <w:szCs w:val="22"/>
        </w:rPr>
        <w:t xml:space="preserve">Informed by the above, development of a menu of costed options for primary data collection, exploring viability, coverage, recruitment methods, potential sample sizes, </w:t>
      </w:r>
      <w:proofErr w:type="gramStart"/>
      <w:r>
        <w:rPr>
          <w:rFonts w:ascii="Cambria" w:hAnsi="Cambria" w:cs="Cambria"/>
          <w:sz w:val="22"/>
          <w:szCs w:val="22"/>
        </w:rPr>
        <w:t>risks</w:t>
      </w:r>
      <w:proofErr w:type="gramEnd"/>
      <w:r>
        <w:rPr>
          <w:rFonts w:ascii="Cambria" w:hAnsi="Cambria" w:cs="Cambria"/>
          <w:sz w:val="22"/>
          <w:szCs w:val="22"/>
        </w:rPr>
        <w:t xml:space="preserve"> and challenges etc. </w:t>
      </w:r>
    </w:p>
    <w:p w14:paraId="3CFB2D35" w14:textId="0A399254" w:rsidR="002365A6" w:rsidRP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Subject to successful completion of the above and agreement on a preferred costed option, primary research may be undertaken to capture insights into beneficiaries’ wellbeing. The resultant data should be used to illustrate links between temporary accommodation, social </w:t>
      </w:r>
      <w:proofErr w:type="gramStart"/>
      <w:r>
        <w:rPr>
          <w:rFonts w:ascii="Cambria" w:hAnsi="Cambria" w:cs="Cambria"/>
          <w:sz w:val="22"/>
          <w:szCs w:val="22"/>
        </w:rPr>
        <w:t>housing</w:t>
      </w:r>
      <w:proofErr w:type="gramEnd"/>
      <w:r>
        <w:rPr>
          <w:rFonts w:ascii="Cambria" w:hAnsi="Cambria" w:cs="Cambria"/>
          <w:sz w:val="22"/>
          <w:szCs w:val="22"/>
        </w:rPr>
        <w:t xml:space="preserve"> and residents’ wellbeing. Using the latest guidance, any evident shift in life satisfaction would be monetised (as far as possible using a proportionate approach), and </w:t>
      </w:r>
      <w:proofErr w:type="gramStart"/>
      <w:r>
        <w:rPr>
          <w:rFonts w:ascii="Cambria" w:hAnsi="Cambria" w:cs="Cambria"/>
          <w:sz w:val="22"/>
          <w:szCs w:val="22"/>
        </w:rPr>
        <w:t>user friendly</w:t>
      </w:r>
      <w:proofErr w:type="gramEnd"/>
      <w:r>
        <w:rPr>
          <w:rFonts w:ascii="Cambria" w:hAnsi="Cambria" w:cs="Cambria"/>
          <w:sz w:val="22"/>
          <w:szCs w:val="22"/>
        </w:rPr>
        <w:t xml:space="preserve"> appraisal guidance would be developed for use by appraisers in HM Treasury Green Book compliant business cases. </w:t>
      </w:r>
    </w:p>
    <w:p w14:paraId="0B0210EA" w14:textId="6590BE5B" w:rsidR="002365A6" w:rsidRP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The study should involve consultation and engagement with experts in the fields of temporary housing, comparator (social) housing and wellbeing. It should seek to adapt processes from SQW’s recent Older People’s Housing and Wellbeing study, to avoid ‘reinventing the wheel’ and build on insights and outputs generated through that study process. </w:t>
      </w:r>
    </w:p>
    <w:p w14:paraId="2EA6B7B6" w14:textId="06A74541" w:rsidR="002365A6" w:rsidRP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The study should focus on residents in temporary accommodation and a suitable comparator (expected to be social rented housing) in England. Ideally it will generate evidence regarding the wellbeing effects on both children/young people and adults, from those in temporary accommodation and in the comparator group. Qualitative and quantitative insights should ideally be sought where possible. </w:t>
      </w:r>
    </w:p>
    <w:p w14:paraId="21F9ECB2" w14:textId="178C9A2F" w:rsidR="002365A6" w:rsidRP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You require a staged approach, with contract break clauses at suitable points throughout the study. This is to ensure the most suitable approach is adopted for the </w:t>
      </w:r>
      <w:proofErr w:type="gramStart"/>
      <w:r>
        <w:rPr>
          <w:rFonts w:ascii="Cambria" w:hAnsi="Cambria" w:cs="Cambria"/>
          <w:sz w:val="22"/>
          <w:szCs w:val="22"/>
        </w:rPr>
        <w:t>study, and</w:t>
      </w:r>
      <w:proofErr w:type="gramEnd"/>
      <w:r>
        <w:rPr>
          <w:rFonts w:ascii="Cambria" w:hAnsi="Cambria" w:cs="Cambria"/>
          <w:sz w:val="22"/>
          <w:szCs w:val="22"/>
        </w:rPr>
        <w:t xml:space="preserve"> recognises the current uncertainty regarding the most appropriate methodology for evidencing wellbeing amongst residents of temporary accommodation and comparator housing. </w:t>
      </w:r>
    </w:p>
    <w:p w14:paraId="0BFA1A92" w14:textId="5192BEE2" w:rsidR="002365A6" w:rsidRPr="002365A6" w:rsidRDefault="002365A6" w:rsidP="002365A6">
      <w:pPr>
        <w:pStyle w:val="Default"/>
        <w:spacing w:after="120"/>
        <w:rPr>
          <w:rFonts w:ascii="Cambria" w:hAnsi="Cambria" w:cs="Cambria"/>
          <w:sz w:val="22"/>
          <w:szCs w:val="22"/>
        </w:rPr>
      </w:pPr>
      <w:r>
        <w:rPr>
          <w:rFonts w:ascii="Cambria" w:hAnsi="Cambria" w:cs="Cambria"/>
          <w:sz w:val="22"/>
          <w:szCs w:val="22"/>
        </w:rPr>
        <w:t xml:space="preserve">The study must generate some insights by 30 September 2024; final reporting of findings (following primary data collection) is required by spring 2025. </w:t>
      </w:r>
    </w:p>
    <w:p w14:paraId="538304C9" w14:textId="77777777" w:rsidR="00C6084E" w:rsidRDefault="00C6084E" w:rsidP="002365A6">
      <w:pPr>
        <w:spacing w:after="120"/>
      </w:pPr>
    </w:p>
    <w:sectPr w:rsidR="00C6084E">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9C13" w14:textId="77777777" w:rsidR="002365A6" w:rsidRDefault="002365A6" w:rsidP="002365A6">
      <w:pPr>
        <w:spacing w:after="0" w:line="240" w:lineRule="auto"/>
      </w:pPr>
      <w:r>
        <w:separator/>
      </w:r>
    </w:p>
  </w:endnote>
  <w:endnote w:type="continuationSeparator" w:id="0">
    <w:p w14:paraId="3CF99A9F" w14:textId="77777777" w:rsidR="002365A6" w:rsidRDefault="002365A6" w:rsidP="0023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C538" w14:textId="72A6D370" w:rsidR="002365A6" w:rsidRDefault="002365A6">
    <w:pPr>
      <w:pStyle w:val="Footer"/>
    </w:pPr>
    <w:r>
      <w:rPr>
        <w:noProof/>
      </w:rPr>
      <mc:AlternateContent>
        <mc:Choice Requires="wps">
          <w:drawing>
            <wp:anchor distT="0" distB="0" distL="0" distR="0" simplePos="0" relativeHeight="251659264" behindDoc="0" locked="0" layoutInCell="1" allowOverlap="1" wp14:anchorId="050A616F" wp14:editId="11A173F8">
              <wp:simplePos x="635" y="635"/>
              <wp:positionH relativeFrom="page">
                <wp:align>center</wp:align>
              </wp:positionH>
              <wp:positionV relativeFrom="page">
                <wp:align>bottom</wp:align>
              </wp:positionV>
              <wp:extent cx="443865" cy="443865"/>
              <wp:effectExtent l="0" t="0" r="635" b="0"/>
              <wp:wrapNone/>
              <wp:docPr id="279614511"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BBE7D9" w14:textId="46BA65C5"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0A616F" id="_x0000_t202" coordsize="21600,21600" o:spt="202" path="m,l,21600r21600,l21600,xe">
              <v:stroke joinstyle="miter"/>
              <v:path gradientshapeok="t" o:connecttype="rect"/>
            </v:shapetype>
            <v:shape id="Text Box 2" o:spid="_x0000_s1026"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FBBE7D9" w14:textId="46BA65C5"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78AC" w14:textId="383CD7C8" w:rsidR="002365A6" w:rsidRDefault="002365A6">
    <w:pPr>
      <w:pStyle w:val="Footer"/>
    </w:pPr>
    <w:r>
      <w:rPr>
        <w:noProof/>
      </w:rPr>
      <mc:AlternateContent>
        <mc:Choice Requires="wps">
          <w:drawing>
            <wp:anchor distT="0" distB="0" distL="0" distR="0" simplePos="0" relativeHeight="251660288" behindDoc="0" locked="0" layoutInCell="1" allowOverlap="1" wp14:anchorId="112EF418" wp14:editId="3A60D978">
              <wp:simplePos x="914400" y="10067925"/>
              <wp:positionH relativeFrom="page">
                <wp:align>center</wp:align>
              </wp:positionH>
              <wp:positionV relativeFrom="page">
                <wp:align>bottom</wp:align>
              </wp:positionV>
              <wp:extent cx="443865" cy="443865"/>
              <wp:effectExtent l="0" t="0" r="635" b="0"/>
              <wp:wrapNone/>
              <wp:docPr id="950201758"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BA8ED" w14:textId="27DC54DB"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2EF418" id="_x0000_t202" coordsize="21600,21600" o:spt="202" path="m,l,21600r21600,l21600,xe">
              <v:stroke joinstyle="miter"/>
              <v:path gradientshapeok="t" o:connecttype="rect"/>
            </v:shapetype>
            <v:shape id="Text Box 3" o:spid="_x0000_s1027" type="#_x0000_t202" alt="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B8BA8ED" w14:textId="27DC54DB"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6B76" w14:textId="4178F7DA" w:rsidR="002365A6" w:rsidRDefault="002365A6">
    <w:pPr>
      <w:pStyle w:val="Footer"/>
    </w:pPr>
    <w:r>
      <w:rPr>
        <w:noProof/>
      </w:rPr>
      <mc:AlternateContent>
        <mc:Choice Requires="wps">
          <w:drawing>
            <wp:anchor distT="0" distB="0" distL="0" distR="0" simplePos="0" relativeHeight="251658240" behindDoc="0" locked="0" layoutInCell="1" allowOverlap="1" wp14:anchorId="58C942F5" wp14:editId="3B6406FC">
              <wp:simplePos x="635" y="635"/>
              <wp:positionH relativeFrom="page">
                <wp:align>center</wp:align>
              </wp:positionH>
              <wp:positionV relativeFrom="page">
                <wp:align>bottom</wp:align>
              </wp:positionV>
              <wp:extent cx="443865" cy="443865"/>
              <wp:effectExtent l="0" t="0" r="635" b="0"/>
              <wp:wrapNone/>
              <wp:docPr id="143181457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DBBB0" w14:textId="7586046F"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C942F5" id="_x0000_t202" coordsize="21600,21600" o:spt="202" path="m,l,21600r21600,l21600,xe">
              <v:stroke joinstyle="miter"/>
              <v:path gradientshapeok="t" o:connecttype="rect"/>
            </v:shapetype>
            <v:shape id="Text Box 1" o:spid="_x0000_s1028"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02DBBB0" w14:textId="7586046F" w:rsidR="002365A6" w:rsidRPr="002365A6" w:rsidRDefault="002365A6" w:rsidP="002365A6">
                    <w:pPr>
                      <w:spacing w:after="0"/>
                      <w:rPr>
                        <w:rFonts w:ascii="Calibri" w:eastAsia="Calibri" w:hAnsi="Calibri" w:cs="Calibri"/>
                        <w:noProof/>
                        <w:color w:val="0078D7"/>
                        <w:sz w:val="24"/>
                        <w:szCs w:val="24"/>
                      </w:rPr>
                    </w:pPr>
                    <w:r w:rsidRPr="002365A6">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1AEC" w14:textId="77777777" w:rsidR="002365A6" w:rsidRDefault="002365A6" w:rsidP="002365A6">
      <w:pPr>
        <w:spacing w:after="0" w:line="240" w:lineRule="auto"/>
      </w:pPr>
      <w:r>
        <w:separator/>
      </w:r>
    </w:p>
  </w:footnote>
  <w:footnote w:type="continuationSeparator" w:id="0">
    <w:p w14:paraId="48C8B2C5" w14:textId="77777777" w:rsidR="002365A6" w:rsidRDefault="002365A6" w:rsidP="0023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40CB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FEFC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52FC4"/>
    <w:multiLevelType w:val="hybridMultilevel"/>
    <w:tmpl w:val="4EE4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754003">
    <w:abstractNumId w:val="0"/>
  </w:num>
  <w:num w:numId="2" w16cid:durableId="1854026480">
    <w:abstractNumId w:val="1"/>
  </w:num>
  <w:num w:numId="3" w16cid:durableId="1713384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76"/>
    <w:rsid w:val="00227041"/>
    <w:rsid w:val="002365A6"/>
    <w:rsid w:val="005A2676"/>
    <w:rsid w:val="00C6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BCD"/>
  <w15:chartTrackingRefBased/>
  <w15:docId w15:val="{BAD7523B-2F54-40C7-9BB8-106F878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6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26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26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26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26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26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26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26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26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26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26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26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26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26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26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26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2676"/>
    <w:rPr>
      <w:rFonts w:eastAsiaTheme="majorEastAsia" w:cstheme="majorBidi"/>
      <w:color w:val="272727" w:themeColor="text1" w:themeTint="D8"/>
    </w:rPr>
  </w:style>
  <w:style w:type="paragraph" w:styleId="Title">
    <w:name w:val="Title"/>
    <w:basedOn w:val="Normal"/>
    <w:next w:val="Normal"/>
    <w:link w:val="TitleChar"/>
    <w:uiPriority w:val="10"/>
    <w:qFormat/>
    <w:rsid w:val="005A26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26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26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2676"/>
    <w:pPr>
      <w:spacing w:before="160"/>
      <w:jc w:val="center"/>
    </w:pPr>
    <w:rPr>
      <w:i/>
      <w:iCs/>
      <w:color w:val="404040" w:themeColor="text1" w:themeTint="BF"/>
    </w:rPr>
  </w:style>
  <w:style w:type="character" w:customStyle="1" w:styleId="QuoteChar">
    <w:name w:val="Quote Char"/>
    <w:basedOn w:val="DefaultParagraphFont"/>
    <w:link w:val="Quote"/>
    <w:uiPriority w:val="29"/>
    <w:rsid w:val="005A2676"/>
    <w:rPr>
      <w:i/>
      <w:iCs/>
      <w:color w:val="404040" w:themeColor="text1" w:themeTint="BF"/>
    </w:rPr>
  </w:style>
  <w:style w:type="paragraph" w:styleId="ListParagraph">
    <w:name w:val="List Paragraph"/>
    <w:basedOn w:val="Normal"/>
    <w:uiPriority w:val="34"/>
    <w:qFormat/>
    <w:rsid w:val="005A2676"/>
    <w:pPr>
      <w:ind w:left="720"/>
      <w:contextualSpacing/>
    </w:pPr>
  </w:style>
  <w:style w:type="character" w:styleId="IntenseEmphasis">
    <w:name w:val="Intense Emphasis"/>
    <w:basedOn w:val="DefaultParagraphFont"/>
    <w:uiPriority w:val="21"/>
    <w:qFormat/>
    <w:rsid w:val="005A2676"/>
    <w:rPr>
      <w:i/>
      <w:iCs/>
      <w:color w:val="0F4761" w:themeColor="accent1" w:themeShade="BF"/>
    </w:rPr>
  </w:style>
  <w:style w:type="paragraph" w:styleId="IntenseQuote">
    <w:name w:val="Intense Quote"/>
    <w:basedOn w:val="Normal"/>
    <w:next w:val="Normal"/>
    <w:link w:val="IntenseQuoteChar"/>
    <w:uiPriority w:val="30"/>
    <w:qFormat/>
    <w:rsid w:val="005A26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2676"/>
    <w:rPr>
      <w:i/>
      <w:iCs/>
      <w:color w:val="0F4761" w:themeColor="accent1" w:themeShade="BF"/>
    </w:rPr>
  </w:style>
  <w:style w:type="character" w:styleId="IntenseReference">
    <w:name w:val="Intense Reference"/>
    <w:basedOn w:val="DefaultParagraphFont"/>
    <w:uiPriority w:val="32"/>
    <w:qFormat/>
    <w:rsid w:val="005A2676"/>
    <w:rPr>
      <w:b/>
      <w:bCs/>
      <w:smallCaps/>
      <w:color w:val="0F4761" w:themeColor="accent1" w:themeShade="BF"/>
      <w:spacing w:val="5"/>
    </w:rPr>
  </w:style>
  <w:style w:type="paragraph" w:customStyle="1" w:styleId="Default">
    <w:name w:val="Default"/>
    <w:rsid w:val="002365A6"/>
    <w:pPr>
      <w:autoSpaceDE w:val="0"/>
      <w:autoSpaceDN w:val="0"/>
      <w:adjustRightInd w:val="0"/>
      <w:spacing w:after="0" w:line="240" w:lineRule="auto"/>
    </w:pPr>
    <w:rPr>
      <w:rFonts w:ascii="Century Gothic" w:hAnsi="Century Gothic" w:cs="Century Gothic"/>
      <w:color w:val="000000"/>
      <w:kern w:val="0"/>
      <w:sz w:val="24"/>
      <w:szCs w:val="24"/>
    </w:rPr>
  </w:style>
  <w:style w:type="paragraph" w:styleId="Footer">
    <w:name w:val="footer"/>
    <w:basedOn w:val="Normal"/>
    <w:link w:val="FooterChar"/>
    <w:uiPriority w:val="99"/>
    <w:unhideWhenUsed/>
    <w:rsid w:val="0023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Hardwick</dc:creator>
  <cp:keywords/>
  <dc:description/>
  <cp:lastModifiedBy>Will Hardwick</cp:lastModifiedBy>
  <cp:revision>2</cp:revision>
  <dcterms:created xsi:type="dcterms:W3CDTF">2024-04-24T12:34:00Z</dcterms:created>
  <dcterms:modified xsi:type="dcterms:W3CDTF">2024-04-24T12:40:00Z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5557c1ab,10aa942f,38a2ed9e</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2024-04-24T12:40:42Z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b82a0466-37ae-48dd-a2f8-794b93b5e96c</vt:lpwstr>
  </property>
  <property fmtid="{D5CDD505-2E9C-101B-9397-08002B2CF9AE}" pid="11" name="MSIP_Label_727fb50e-81d5-40a5-b712-4eff31972ce4_ContentBits">
    <vt:lpwstr>2</vt:lpwstr>
  </property>
</Properties>
</file>