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72" w:rsidRDefault="00167C50" w:rsidP="00167C50">
      <w:pPr>
        <w:jc w:val="center"/>
        <w:rPr>
          <w:rFonts w:ascii="Arial" w:hAnsi="Arial" w:cs="Arial"/>
          <w:b/>
          <w:u w:val="single"/>
        </w:rPr>
      </w:pPr>
      <w:r w:rsidRPr="00316FBD">
        <w:rPr>
          <w:rFonts w:ascii="Arial" w:hAnsi="Arial" w:cs="Arial"/>
          <w:b/>
          <w:u w:val="single"/>
        </w:rPr>
        <w:t xml:space="preserve">Provision of Specialist Personal Protective Equipment (PPE) Clothing </w:t>
      </w:r>
    </w:p>
    <w:p w:rsidR="00815683" w:rsidRPr="00316FBD" w:rsidRDefault="00316FBD" w:rsidP="00167C50">
      <w:pPr>
        <w:jc w:val="center"/>
        <w:rPr>
          <w:rFonts w:ascii="Arial" w:hAnsi="Arial" w:cs="Arial"/>
          <w:b/>
          <w:u w:val="single"/>
        </w:rPr>
      </w:pPr>
      <w:r w:rsidRPr="00316FBD">
        <w:rPr>
          <w:rFonts w:ascii="Arial" w:hAnsi="Arial" w:cs="Arial"/>
          <w:b/>
          <w:u w:val="single"/>
        </w:rPr>
        <w:t>Supplier Day</w:t>
      </w:r>
    </w:p>
    <w:p w:rsidR="009D5272" w:rsidRDefault="00316FBD" w:rsidP="009D5272">
      <w:pPr>
        <w:spacing w:after="0" w:line="240" w:lineRule="auto"/>
        <w:jc w:val="center"/>
        <w:rPr>
          <w:rFonts w:ascii="Arial" w:hAnsi="Arial" w:cs="Arial"/>
          <w:b/>
        </w:rPr>
      </w:pPr>
      <w:r w:rsidRPr="009D5272">
        <w:rPr>
          <w:rFonts w:ascii="Arial" w:hAnsi="Arial" w:cs="Arial"/>
          <w:b/>
        </w:rPr>
        <w:t>Monday 27</w:t>
      </w:r>
      <w:r w:rsidRPr="009D5272">
        <w:rPr>
          <w:rFonts w:ascii="Arial" w:hAnsi="Arial" w:cs="Arial"/>
          <w:b/>
          <w:vertAlign w:val="superscript"/>
        </w:rPr>
        <w:t>th</w:t>
      </w:r>
      <w:r w:rsidR="009D5272">
        <w:rPr>
          <w:rFonts w:ascii="Arial" w:hAnsi="Arial" w:cs="Arial"/>
          <w:b/>
        </w:rPr>
        <w:t xml:space="preserve"> January 2020 </w:t>
      </w:r>
    </w:p>
    <w:p w:rsidR="009D5272" w:rsidRDefault="009D5272" w:rsidP="009D5272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at</w:t>
      </w:r>
      <w:proofErr w:type="gramEnd"/>
      <w:r>
        <w:rPr>
          <w:rFonts w:ascii="Arial" w:hAnsi="Arial" w:cs="Arial"/>
          <w:b/>
        </w:rPr>
        <w:t xml:space="preserve"> </w:t>
      </w:r>
      <w:r w:rsidRPr="009D5272">
        <w:rPr>
          <w:rFonts w:ascii="Arial" w:hAnsi="Arial" w:cs="Arial"/>
          <w:b/>
        </w:rPr>
        <w:t xml:space="preserve">Maidstone Masonic Centre, </w:t>
      </w:r>
    </w:p>
    <w:p w:rsidR="00167C50" w:rsidRDefault="009D5272" w:rsidP="009D5272">
      <w:pPr>
        <w:spacing w:after="0" w:line="240" w:lineRule="auto"/>
        <w:jc w:val="center"/>
        <w:rPr>
          <w:rFonts w:ascii="Arial" w:hAnsi="Arial" w:cs="Arial"/>
          <w:b/>
        </w:rPr>
      </w:pPr>
      <w:r w:rsidRPr="009D5272">
        <w:rPr>
          <w:rFonts w:ascii="Arial" w:hAnsi="Arial" w:cs="Arial"/>
          <w:b/>
        </w:rPr>
        <w:t xml:space="preserve">Courtenay Rd, Maidstone, Kent ME15 6LF </w:t>
      </w:r>
    </w:p>
    <w:p w:rsidR="009D5272" w:rsidRPr="009D5272" w:rsidRDefault="009D5272" w:rsidP="009D5272">
      <w:pPr>
        <w:spacing w:after="0" w:line="240" w:lineRule="auto"/>
        <w:jc w:val="center"/>
        <w:rPr>
          <w:rFonts w:ascii="Arial" w:hAnsi="Arial" w:cs="Arial"/>
          <w:b/>
        </w:rPr>
      </w:pPr>
    </w:p>
    <w:p w:rsidR="00167C50" w:rsidRPr="00316FBD" w:rsidRDefault="009D5272" w:rsidP="00167C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Supplier </w:t>
      </w:r>
      <w:r w:rsidR="00167C50" w:rsidRPr="00316FBD">
        <w:rPr>
          <w:rFonts w:ascii="Arial" w:hAnsi="Arial" w:cs="Arial"/>
          <w:b/>
        </w:rPr>
        <w:t>Questions and Answers Session</w:t>
      </w:r>
    </w:p>
    <w:tbl>
      <w:tblPr>
        <w:tblStyle w:val="TableGrid1"/>
        <w:tblW w:w="10916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6"/>
        <w:gridCol w:w="8930"/>
      </w:tblGrid>
      <w:tr w:rsidR="00167C50" w:rsidRPr="00316FBD" w:rsidTr="00F96915"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67C50" w:rsidRPr="00316FBD" w:rsidRDefault="00167C50" w:rsidP="00167C5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316FBD">
              <w:rPr>
                <w:rFonts w:ascii="Arial" w:hAnsi="Arial" w:cs="Arial"/>
                <w:b/>
                <w:color w:val="FFFFFF"/>
                <w:sz w:val="22"/>
              </w:rPr>
              <w:t>No.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:rsidR="00167C50" w:rsidRPr="00316FBD" w:rsidRDefault="00167C50" w:rsidP="00167C5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316FBD">
              <w:rPr>
                <w:rFonts w:ascii="Arial" w:hAnsi="Arial" w:cs="Arial"/>
                <w:b/>
                <w:color w:val="FFFFFF"/>
                <w:sz w:val="22"/>
              </w:rPr>
              <w:t xml:space="preserve">Provider Questions and FRS Responses  </w:t>
            </w:r>
          </w:p>
        </w:tc>
      </w:tr>
      <w:tr w:rsidR="00167C50" w:rsidRPr="00316FBD" w:rsidTr="00F96915"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50" w:rsidRPr="00316FBD" w:rsidRDefault="00167C50" w:rsidP="00167C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Q.1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C42" w:rsidRPr="00316FBD" w:rsidRDefault="00936C42" w:rsidP="00936C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have stated that there are a large volume of suppliers potentially interested in bidding for this tender. If the </w:t>
            </w:r>
            <w:r w:rsidR="00316FBD" w:rsidRPr="00316FBD">
              <w:rPr>
                <w:rFonts w:ascii="Arial" w:hAnsi="Arial" w:cs="Arial"/>
                <w:sz w:val="22"/>
              </w:rPr>
              <w:t xml:space="preserve">majority of </w:t>
            </w:r>
            <w:r w:rsidR="0051475E">
              <w:rPr>
                <w:rFonts w:ascii="Arial" w:hAnsi="Arial" w:cs="Arial"/>
                <w:sz w:val="22"/>
              </w:rPr>
              <w:t>tenderers</w:t>
            </w:r>
            <w:r w:rsidR="00316FBD" w:rsidRPr="00316FBD">
              <w:rPr>
                <w:rFonts w:ascii="Arial" w:hAnsi="Arial" w:cs="Arial"/>
                <w:sz w:val="22"/>
              </w:rPr>
              <w:t xml:space="preserve"> are applying for certification</w:t>
            </w:r>
            <w:r>
              <w:rPr>
                <w:rFonts w:ascii="Arial" w:hAnsi="Arial" w:cs="Arial"/>
                <w:sz w:val="22"/>
              </w:rPr>
              <w:t>s</w:t>
            </w:r>
            <w:r w:rsidR="00316FBD" w:rsidRPr="00316FBD">
              <w:rPr>
                <w:rFonts w:ascii="Arial" w:hAnsi="Arial" w:cs="Arial"/>
                <w:sz w:val="22"/>
              </w:rPr>
              <w:t xml:space="preserve"> at the same time, and there are only a few in the UK</w:t>
            </w:r>
            <w:r w:rsidR="0051475E">
              <w:rPr>
                <w:rFonts w:ascii="Arial" w:hAnsi="Arial" w:cs="Arial"/>
                <w:sz w:val="22"/>
              </w:rPr>
              <w:t>, certification labs</w:t>
            </w:r>
            <w:r w:rsidR="00316FBD" w:rsidRPr="00316FBD">
              <w:rPr>
                <w:rFonts w:ascii="Arial" w:hAnsi="Arial" w:cs="Arial"/>
                <w:sz w:val="22"/>
              </w:rPr>
              <w:t xml:space="preserve"> may be inundated and </w:t>
            </w:r>
            <w:r w:rsidR="0051475E">
              <w:rPr>
                <w:rFonts w:ascii="Arial" w:hAnsi="Arial" w:cs="Arial"/>
                <w:sz w:val="22"/>
              </w:rPr>
              <w:t xml:space="preserve">tenderers may </w:t>
            </w:r>
            <w:r w:rsidR="00316FBD" w:rsidRPr="00316FBD">
              <w:rPr>
                <w:rFonts w:ascii="Arial" w:hAnsi="Arial" w:cs="Arial"/>
                <w:sz w:val="22"/>
              </w:rPr>
              <w:t>not be able to get it done within your deadline</w:t>
            </w:r>
            <w:r w:rsidR="007F635D">
              <w:rPr>
                <w:rFonts w:ascii="Arial" w:hAnsi="Arial" w:cs="Arial"/>
                <w:sz w:val="22"/>
              </w:rPr>
              <w:t xml:space="preserve">. Could we potentially get another </w:t>
            </w:r>
            <w:r w:rsidR="00347582">
              <w:rPr>
                <w:rFonts w:ascii="Arial" w:hAnsi="Arial" w:cs="Arial"/>
                <w:sz w:val="22"/>
              </w:rPr>
              <w:t xml:space="preserve">2 or </w:t>
            </w:r>
            <w:r w:rsidR="007F635D" w:rsidRPr="00316FBD">
              <w:rPr>
                <w:rFonts w:ascii="Arial" w:hAnsi="Arial" w:cs="Arial"/>
                <w:sz w:val="22"/>
              </w:rPr>
              <w:t>3 months</w:t>
            </w:r>
            <w:r w:rsidR="007F635D">
              <w:rPr>
                <w:rFonts w:ascii="Arial" w:hAnsi="Arial" w:cs="Arial"/>
                <w:sz w:val="22"/>
              </w:rPr>
              <w:t xml:space="preserve"> extensions to the timescale</w:t>
            </w:r>
            <w:r w:rsidR="007F635D" w:rsidRPr="00316FBD">
              <w:rPr>
                <w:rFonts w:ascii="Arial" w:hAnsi="Arial" w:cs="Arial"/>
                <w:sz w:val="22"/>
              </w:rPr>
              <w:t xml:space="preserve">? </w:t>
            </w:r>
          </w:p>
        </w:tc>
      </w:tr>
      <w:tr w:rsidR="00167C50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0" w:rsidRPr="00316FBD" w:rsidRDefault="00167C50" w:rsidP="00167C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Q.1  Response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C42" w:rsidRPr="00316FBD" w:rsidRDefault="00316FBD" w:rsidP="001B446E">
            <w:pPr>
              <w:rPr>
                <w:rFonts w:ascii="Arial" w:hAnsi="Arial" w:cs="Arial"/>
                <w:sz w:val="22"/>
              </w:rPr>
            </w:pPr>
            <w:r w:rsidRPr="00316FBD">
              <w:rPr>
                <w:rFonts w:ascii="Arial" w:hAnsi="Arial" w:cs="Arial"/>
                <w:sz w:val="22"/>
              </w:rPr>
              <w:t>There are laboratories</w:t>
            </w:r>
            <w:r w:rsidR="00F96915">
              <w:rPr>
                <w:rFonts w:ascii="Arial" w:hAnsi="Arial" w:cs="Arial"/>
                <w:sz w:val="22"/>
              </w:rPr>
              <w:t xml:space="preserve"> worldwide,</w:t>
            </w:r>
            <w:r w:rsidRPr="00316FBD">
              <w:rPr>
                <w:rFonts w:ascii="Arial" w:hAnsi="Arial" w:cs="Arial"/>
                <w:sz w:val="22"/>
              </w:rPr>
              <w:t xml:space="preserve"> not only in the UK. We </w:t>
            </w:r>
            <w:r w:rsidR="007F635D">
              <w:rPr>
                <w:rFonts w:ascii="Arial" w:hAnsi="Arial" w:cs="Arial"/>
                <w:sz w:val="22"/>
              </w:rPr>
              <w:t xml:space="preserve">believe we </w:t>
            </w:r>
            <w:r w:rsidRPr="00316FBD">
              <w:rPr>
                <w:rFonts w:ascii="Arial" w:hAnsi="Arial" w:cs="Arial"/>
                <w:sz w:val="22"/>
              </w:rPr>
              <w:t xml:space="preserve">have </w:t>
            </w:r>
            <w:r w:rsidR="00F96915" w:rsidRPr="00316FBD">
              <w:rPr>
                <w:rFonts w:ascii="Arial" w:hAnsi="Arial" w:cs="Arial"/>
                <w:sz w:val="22"/>
              </w:rPr>
              <w:t>given</w:t>
            </w:r>
            <w:r w:rsidR="00F96915">
              <w:rPr>
                <w:rFonts w:ascii="Arial" w:hAnsi="Arial" w:cs="Arial"/>
                <w:sz w:val="22"/>
              </w:rPr>
              <w:t xml:space="preserve"> adequate notice to all suppliers</w:t>
            </w:r>
            <w:r w:rsidR="00F30C8B">
              <w:rPr>
                <w:rFonts w:ascii="Arial" w:hAnsi="Arial" w:cs="Arial"/>
                <w:sz w:val="22"/>
              </w:rPr>
              <w:t xml:space="preserve"> </w:t>
            </w:r>
            <w:r w:rsidR="001B446E">
              <w:rPr>
                <w:rFonts w:ascii="Arial" w:hAnsi="Arial" w:cs="Arial"/>
                <w:sz w:val="22"/>
              </w:rPr>
              <w:t>and</w:t>
            </w:r>
            <w:r w:rsidR="007F635D">
              <w:rPr>
                <w:rFonts w:ascii="Arial" w:hAnsi="Arial" w:cs="Arial"/>
                <w:sz w:val="22"/>
              </w:rPr>
              <w:t xml:space="preserve"> taken into consideration supplier </w:t>
            </w:r>
            <w:r w:rsidR="001B446E">
              <w:rPr>
                <w:rFonts w:ascii="Arial" w:hAnsi="Arial" w:cs="Arial"/>
                <w:sz w:val="22"/>
              </w:rPr>
              <w:t xml:space="preserve">questionnaire </w:t>
            </w:r>
            <w:bookmarkStart w:id="0" w:name="_GoBack"/>
            <w:bookmarkEnd w:id="0"/>
            <w:r w:rsidR="007F635D">
              <w:rPr>
                <w:rFonts w:ascii="Arial" w:hAnsi="Arial" w:cs="Arial"/>
                <w:sz w:val="22"/>
              </w:rPr>
              <w:t xml:space="preserve">feedback. </w:t>
            </w:r>
            <w:r w:rsidRPr="00316FBD">
              <w:rPr>
                <w:rFonts w:ascii="Arial" w:hAnsi="Arial" w:cs="Arial"/>
                <w:sz w:val="22"/>
              </w:rPr>
              <w:t xml:space="preserve">Fire fighter safety is paramount to us, and </w:t>
            </w:r>
            <w:r w:rsidR="00F96915" w:rsidRPr="00316FBD">
              <w:rPr>
                <w:rFonts w:ascii="Arial" w:hAnsi="Arial" w:cs="Arial"/>
                <w:sz w:val="22"/>
              </w:rPr>
              <w:t>therefore</w:t>
            </w:r>
            <w:r w:rsidRPr="00316FBD">
              <w:rPr>
                <w:rFonts w:ascii="Arial" w:hAnsi="Arial" w:cs="Arial"/>
                <w:sz w:val="22"/>
              </w:rPr>
              <w:t xml:space="preserve"> we need this certification</w:t>
            </w:r>
            <w:r w:rsidR="0051475E">
              <w:rPr>
                <w:rFonts w:ascii="Arial" w:hAnsi="Arial" w:cs="Arial"/>
                <w:sz w:val="22"/>
              </w:rPr>
              <w:t xml:space="preserve"> prior to commencement of wearer trials</w:t>
            </w:r>
            <w:r w:rsidR="007F635D">
              <w:rPr>
                <w:rFonts w:ascii="Arial" w:hAnsi="Arial" w:cs="Arial"/>
                <w:sz w:val="22"/>
              </w:rPr>
              <w:t xml:space="preserve"> (Currently by 12 noon 17</w:t>
            </w:r>
            <w:r w:rsidR="007F635D" w:rsidRPr="007F635D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7F635D">
              <w:rPr>
                <w:rFonts w:ascii="Arial" w:hAnsi="Arial" w:cs="Arial"/>
                <w:sz w:val="22"/>
              </w:rPr>
              <w:t xml:space="preserve"> July 2020)</w:t>
            </w:r>
            <w:r w:rsidR="0051475E">
              <w:rPr>
                <w:rFonts w:ascii="Arial" w:hAnsi="Arial" w:cs="Arial"/>
                <w:sz w:val="22"/>
              </w:rPr>
              <w:t xml:space="preserve">.  </w:t>
            </w:r>
          </w:p>
        </w:tc>
      </w:tr>
      <w:tr w:rsidR="00F30C8B" w:rsidRPr="00316FBD" w:rsidTr="00F30C8B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0C8B" w:rsidRPr="00316FBD" w:rsidRDefault="00F30C8B" w:rsidP="00167C5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30C8B" w:rsidRPr="00316FBD" w:rsidRDefault="00F30C8B" w:rsidP="00316FBD">
            <w:pPr>
              <w:rPr>
                <w:rFonts w:ascii="Arial" w:hAnsi="Arial" w:cs="Arial"/>
              </w:rPr>
            </w:pPr>
          </w:p>
        </w:tc>
      </w:tr>
      <w:tr w:rsidR="00167C50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50" w:rsidRPr="00316FBD" w:rsidRDefault="00167C50" w:rsidP="00167C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7C50" w:rsidRPr="00316FBD" w:rsidRDefault="00316FBD" w:rsidP="00936C42">
            <w:pPr>
              <w:rPr>
                <w:rFonts w:ascii="Arial" w:hAnsi="Arial" w:cs="Arial"/>
                <w:sz w:val="22"/>
              </w:rPr>
            </w:pPr>
            <w:r w:rsidRPr="00316FBD">
              <w:rPr>
                <w:rFonts w:ascii="Arial" w:hAnsi="Arial" w:cs="Arial"/>
                <w:sz w:val="22"/>
              </w:rPr>
              <w:t xml:space="preserve">Does this deadline apply to EN 1159 – 2? </w:t>
            </w:r>
          </w:p>
        </w:tc>
      </w:tr>
      <w:tr w:rsidR="00167C50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0" w:rsidRPr="00316FBD" w:rsidRDefault="00167C50" w:rsidP="00167C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Q.2  Response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7C50" w:rsidRPr="00316FBD" w:rsidRDefault="00316FBD" w:rsidP="008B2EF6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 w:rsidRPr="00316FBD">
              <w:rPr>
                <w:rFonts w:ascii="Arial" w:hAnsi="Arial" w:cs="Arial"/>
                <w:sz w:val="22"/>
              </w:rPr>
              <w:t>Yes</w:t>
            </w:r>
          </w:p>
        </w:tc>
      </w:tr>
      <w:tr w:rsidR="00F30C8B" w:rsidRPr="00316FBD" w:rsidTr="00F30C8B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0C8B" w:rsidRPr="00316FBD" w:rsidRDefault="00F30C8B" w:rsidP="0043169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30C8B" w:rsidRDefault="00F30C8B" w:rsidP="00316FBD">
            <w:pPr>
              <w:rPr>
                <w:rFonts w:ascii="Arial" w:hAnsi="Arial" w:cs="Arial"/>
              </w:rPr>
            </w:pPr>
          </w:p>
        </w:tc>
      </w:tr>
      <w:tr w:rsidR="00431697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97" w:rsidRPr="00316FBD" w:rsidRDefault="00431697" w:rsidP="0043169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FBD" w:rsidRPr="00316FBD" w:rsidRDefault="0051475E" w:rsidP="00316F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With </w:t>
            </w:r>
            <w:r w:rsidR="00F96915">
              <w:rPr>
                <w:rFonts w:ascii="Arial" w:hAnsi="Arial" w:cs="Arial"/>
                <w:sz w:val="22"/>
              </w:rPr>
              <w:t>regards to the c</w:t>
            </w:r>
            <w:r w:rsidR="00316FBD" w:rsidRPr="00316FBD">
              <w:rPr>
                <w:rFonts w:ascii="Arial" w:hAnsi="Arial" w:cs="Arial"/>
                <w:sz w:val="22"/>
              </w:rPr>
              <w:t>hemical hazardous material, there are very specific requirements</w:t>
            </w:r>
            <w:r>
              <w:rPr>
                <w:rFonts w:ascii="Arial" w:hAnsi="Arial" w:cs="Arial"/>
                <w:sz w:val="22"/>
              </w:rPr>
              <w:t>.  I</w:t>
            </w:r>
            <w:r w:rsidR="00316FBD" w:rsidRPr="00316FBD">
              <w:rPr>
                <w:rFonts w:ascii="Arial" w:hAnsi="Arial" w:cs="Arial"/>
                <w:sz w:val="22"/>
              </w:rPr>
              <w:t xml:space="preserve">s there </w:t>
            </w:r>
            <w:r w:rsidR="003A2FB5">
              <w:rPr>
                <w:rFonts w:ascii="Arial" w:hAnsi="Arial" w:cs="Arial"/>
                <w:sz w:val="22"/>
              </w:rPr>
              <w:t xml:space="preserve">an </w:t>
            </w:r>
            <w:r w:rsidR="00316FBD" w:rsidRPr="00316FBD">
              <w:rPr>
                <w:rFonts w:ascii="Arial" w:hAnsi="Arial" w:cs="Arial"/>
                <w:sz w:val="22"/>
              </w:rPr>
              <w:t xml:space="preserve">option to do a double glove arrangement? </w:t>
            </w:r>
          </w:p>
          <w:p w:rsidR="00431697" w:rsidRPr="00316FBD" w:rsidRDefault="00431697" w:rsidP="00D94661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1697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97" w:rsidRPr="00316FBD" w:rsidRDefault="00431697" w:rsidP="0043169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47582">
              <w:rPr>
                <w:rFonts w:ascii="Arial" w:hAnsi="Arial" w:cs="Arial"/>
                <w:b/>
                <w:sz w:val="22"/>
              </w:rPr>
              <w:t>Q.3  Response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661" w:rsidRPr="00316FBD" w:rsidRDefault="00347582" w:rsidP="003475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will be down to individual tenderers to submit a response as to how they believe requirements can be best met</w:t>
            </w:r>
            <w:proofErr w:type="gramStart"/>
            <w:r>
              <w:rPr>
                <w:rFonts w:ascii="Arial" w:hAnsi="Arial" w:cs="Arial"/>
                <w:sz w:val="22"/>
              </w:rPr>
              <w:t>..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 The items will be evaluated by wearers based on comfort and fit and also the ability to undertake various tasks.</w:t>
            </w:r>
          </w:p>
        </w:tc>
      </w:tr>
      <w:tr w:rsidR="00F30C8B" w:rsidRPr="00316FBD" w:rsidTr="00F30C8B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0C8B" w:rsidRPr="00316FBD" w:rsidRDefault="00F30C8B" w:rsidP="007F635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30C8B" w:rsidRDefault="00F30C8B" w:rsidP="00316FBD">
            <w:pPr>
              <w:rPr>
                <w:rFonts w:ascii="Arial" w:hAnsi="Arial" w:cs="Arial"/>
              </w:rPr>
            </w:pPr>
          </w:p>
        </w:tc>
      </w:tr>
      <w:tr w:rsidR="00D94661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61" w:rsidRPr="00316FBD" w:rsidRDefault="00D94661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347582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FBD" w:rsidRPr="00316FBD" w:rsidRDefault="00316FBD" w:rsidP="00316FBD">
            <w:pPr>
              <w:rPr>
                <w:rFonts w:ascii="Arial" w:hAnsi="Arial" w:cs="Arial"/>
                <w:sz w:val="22"/>
              </w:rPr>
            </w:pPr>
            <w:r w:rsidRPr="00316FBD">
              <w:rPr>
                <w:rFonts w:ascii="Arial" w:hAnsi="Arial" w:cs="Arial"/>
                <w:sz w:val="22"/>
              </w:rPr>
              <w:t xml:space="preserve">Will Brexit come into the testing aspect as well? Does this affect standards etc? </w:t>
            </w:r>
          </w:p>
          <w:p w:rsidR="00D94661" w:rsidRPr="00316FBD" w:rsidRDefault="00D94661" w:rsidP="00D94661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94661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61" w:rsidRPr="00316FBD" w:rsidRDefault="00D94661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347582">
              <w:rPr>
                <w:rFonts w:ascii="Arial" w:hAnsi="Arial" w:cs="Arial"/>
                <w:b/>
                <w:sz w:val="22"/>
              </w:rPr>
              <w:t>4</w:t>
            </w:r>
            <w:r w:rsidRPr="00316FBD">
              <w:rPr>
                <w:rFonts w:ascii="Arial" w:hAnsi="Arial" w:cs="Arial"/>
                <w:b/>
                <w:sz w:val="22"/>
              </w:rPr>
              <w:t xml:space="preserve">  Response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475E" w:rsidRPr="00316FBD" w:rsidRDefault="00316FBD" w:rsidP="00936C42">
            <w:pPr>
              <w:rPr>
                <w:rFonts w:ascii="Arial" w:hAnsi="Arial" w:cs="Arial"/>
                <w:sz w:val="22"/>
              </w:rPr>
            </w:pPr>
            <w:r w:rsidRPr="00F96915">
              <w:rPr>
                <w:rFonts w:ascii="Arial" w:hAnsi="Arial" w:cs="Arial"/>
                <w:sz w:val="22"/>
              </w:rPr>
              <w:t>BSI have issued guidance around what will happen</w:t>
            </w:r>
            <w:r w:rsidR="0051475E">
              <w:rPr>
                <w:rFonts w:ascii="Arial" w:hAnsi="Arial" w:cs="Arial"/>
                <w:sz w:val="22"/>
              </w:rPr>
              <w:t xml:space="preserve"> with regards to Brexit and all</w:t>
            </w:r>
            <w:r w:rsidRPr="00F96915">
              <w:rPr>
                <w:rFonts w:ascii="Arial" w:hAnsi="Arial" w:cs="Arial"/>
                <w:sz w:val="22"/>
              </w:rPr>
              <w:t xml:space="preserve"> UK based test houses are getting the required documentation via European test houses. </w:t>
            </w:r>
          </w:p>
        </w:tc>
      </w:tr>
      <w:tr w:rsidR="00F30C8B" w:rsidRPr="00316FBD" w:rsidTr="00F30C8B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0C8B" w:rsidRPr="00316FBD" w:rsidRDefault="00F30C8B" w:rsidP="007F635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30C8B" w:rsidRDefault="00F30C8B" w:rsidP="00316FBD">
            <w:pPr>
              <w:rPr>
                <w:rFonts w:ascii="Arial" w:hAnsi="Arial" w:cs="Arial"/>
              </w:rPr>
            </w:pPr>
          </w:p>
        </w:tc>
      </w:tr>
      <w:tr w:rsidR="00316FBD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D" w:rsidRPr="00316FBD" w:rsidRDefault="00316FBD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347582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FBD" w:rsidRPr="00316FBD" w:rsidRDefault="0051475E" w:rsidP="00316F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With regards to the helmets required under group 4 (water rescue), please confirm the </w:t>
            </w:r>
            <w:r w:rsidR="00316FBD" w:rsidRPr="00316FBD">
              <w:rPr>
                <w:rFonts w:ascii="Arial" w:hAnsi="Arial" w:cs="Arial"/>
                <w:sz w:val="22"/>
              </w:rPr>
              <w:t xml:space="preserve"> </w:t>
            </w:r>
          </w:p>
          <w:p w:rsidR="00316FBD" w:rsidRPr="00316FBD" w:rsidRDefault="00316FBD" w:rsidP="00316FBD">
            <w:pPr>
              <w:rPr>
                <w:rFonts w:ascii="Arial" w:hAnsi="Arial" w:cs="Arial"/>
                <w:sz w:val="22"/>
              </w:rPr>
            </w:pPr>
            <w:r w:rsidRPr="00316FBD">
              <w:rPr>
                <w:rFonts w:ascii="Arial" w:hAnsi="Arial" w:cs="Arial"/>
                <w:sz w:val="22"/>
              </w:rPr>
              <w:t>P</w:t>
            </w:r>
            <w:r w:rsidR="0051475E">
              <w:rPr>
                <w:rFonts w:ascii="Arial" w:hAnsi="Arial" w:cs="Arial"/>
                <w:sz w:val="22"/>
              </w:rPr>
              <w:t>AS</w:t>
            </w:r>
            <w:r w:rsidRPr="00316FBD">
              <w:rPr>
                <w:rFonts w:ascii="Arial" w:hAnsi="Arial" w:cs="Arial"/>
                <w:sz w:val="22"/>
              </w:rPr>
              <w:t xml:space="preserve"> spec and </w:t>
            </w:r>
            <w:r w:rsidR="00F96915">
              <w:rPr>
                <w:rFonts w:ascii="Arial" w:hAnsi="Arial" w:cs="Arial"/>
                <w:sz w:val="22"/>
              </w:rPr>
              <w:t>EN</w:t>
            </w:r>
            <w:r w:rsidRPr="00316FBD">
              <w:rPr>
                <w:rFonts w:ascii="Arial" w:hAnsi="Arial" w:cs="Arial"/>
                <w:sz w:val="22"/>
              </w:rPr>
              <w:t xml:space="preserve"> standard</w:t>
            </w:r>
            <w:r w:rsidR="0051475E">
              <w:rPr>
                <w:rFonts w:ascii="Arial" w:hAnsi="Arial" w:cs="Arial"/>
                <w:sz w:val="22"/>
              </w:rPr>
              <w:t>.</w:t>
            </w:r>
            <w:r w:rsidRPr="00316FBD">
              <w:rPr>
                <w:rFonts w:ascii="Arial" w:hAnsi="Arial" w:cs="Arial"/>
                <w:sz w:val="22"/>
              </w:rPr>
              <w:t xml:space="preserve"> Is this either or, or does it need to be both</w:t>
            </w:r>
            <w:r w:rsidR="00F96915">
              <w:rPr>
                <w:rFonts w:ascii="Arial" w:hAnsi="Arial" w:cs="Arial"/>
                <w:sz w:val="22"/>
              </w:rPr>
              <w:t>?</w:t>
            </w:r>
          </w:p>
          <w:p w:rsidR="00316FBD" w:rsidRPr="00316FBD" w:rsidRDefault="00316FBD" w:rsidP="00D21262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16FBD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4A" w:rsidRPr="00316FBD" w:rsidRDefault="00316FBD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347582">
              <w:rPr>
                <w:rFonts w:ascii="Arial" w:hAnsi="Arial" w:cs="Arial"/>
                <w:b/>
                <w:sz w:val="22"/>
              </w:rPr>
              <w:t>5</w:t>
            </w:r>
            <w:r w:rsidRPr="00316FBD">
              <w:rPr>
                <w:rFonts w:ascii="Arial" w:hAnsi="Arial" w:cs="Arial"/>
                <w:b/>
                <w:sz w:val="22"/>
              </w:rPr>
              <w:t xml:space="preserve"> Response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FBD" w:rsidRPr="00316FBD" w:rsidRDefault="00347582" w:rsidP="003475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</w:t>
            </w:r>
            <w:r w:rsidR="00316FBD" w:rsidRPr="00F96915">
              <w:rPr>
                <w:rFonts w:ascii="Arial" w:hAnsi="Arial" w:cs="Arial"/>
                <w:sz w:val="22"/>
              </w:rPr>
              <w:t xml:space="preserve"> are looking for 2 specific </w:t>
            </w:r>
            <w:r w:rsidR="00F96915" w:rsidRPr="00F96915">
              <w:rPr>
                <w:rFonts w:ascii="Arial" w:hAnsi="Arial" w:cs="Arial"/>
                <w:sz w:val="22"/>
              </w:rPr>
              <w:t>helmets</w:t>
            </w:r>
            <w:r w:rsidR="00F96915">
              <w:rPr>
                <w:rFonts w:ascii="Arial" w:hAnsi="Arial" w:cs="Arial"/>
                <w:sz w:val="22"/>
              </w:rPr>
              <w:t xml:space="preserve"> </w:t>
            </w:r>
            <w:r w:rsidR="009D5272">
              <w:rPr>
                <w:rFonts w:ascii="Arial" w:hAnsi="Arial" w:cs="Arial"/>
                <w:sz w:val="22"/>
              </w:rPr>
              <w:t xml:space="preserve">so </w:t>
            </w:r>
            <w:r w:rsidR="00F96915">
              <w:rPr>
                <w:rFonts w:ascii="Arial" w:hAnsi="Arial" w:cs="Arial"/>
                <w:sz w:val="22"/>
              </w:rPr>
              <w:t xml:space="preserve">it </w:t>
            </w:r>
            <w:r>
              <w:rPr>
                <w:rFonts w:ascii="Arial" w:hAnsi="Arial" w:cs="Arial"/>
                <w:sz w:val="22"/>
              </w:rPr>
              <w:t>may</w:t>
            </w:r>
            <w:r w:rsidR="00316FBD" w:rsidRPr="00F96915">
              <w:rPr>
                <w:rFonts w:ascii="Arial" w:hAnsi="Arial" w:cs="Arial"/>
                <w:sz w:val="22"/>
              </w:rPr>
              <w:t xml:space="preserve"> be either</w:t>
            </w:r>
            <w:r w:rsidR="009D5272">
              <w:rPr>
                <w:rFonts w:ascii="Arial" w:hAnsi="Arial" w:cs="Arial"/>
                <w:sz w:val="22"/>
              </w:rPr>
              <w:t>.</w:t>
            </w:r>
          </w:p>
        </w:tc>
      </w:tr>
      <w:tr w:rsidR="00F30C8B" w:rsidRPr="00316FBD" w:rsidTr="00F30C8B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0C8B" w:rsidRPr="00316FBD" w:rsidRDefault="00F30C8B" w:rsidP="00D2126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30C8B" w:rsidRPr="00316FBD" w:rsidRDefault="00F30C8B" w:rsidP="0051475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6FBD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D" w:rsidRPr="00316FBD" w:rsidRDefault="00316FBD" w:rsidP="00D2126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347582">
              <w:rPr>
                <w:rFonts w:ascii="Arial" w:hAnsi="Arial" w:cs="Arial"/>
                <w:b/>
                <w:sz w:val="22"/>
              </w:rPr>
              <w:t>6</w:t>
            </w:r>
          </w:p>
          <w:p w:rsidR="00316FBD" w:rsidRPr="00316FBD" w:rsidRDefault="00316FBD" w:rsidP="00316FB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FBD" w:rsidRPr="00316FBD" w:rsidRDefault="00316FBD" w:rsidP="0051475E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 w:rsidRPr="00316FBD">
              <w:rPr>
                <w:rFonts w:ascii="Arial" w:hAnsi="Arial" w:cs="Arial"/>
                <w:sz w:val="22"/>
              </w:rPr>
              <w:t xml:space="preserve">Why have you not </w:t>
            </w:r>
            <w:r w:rsidR="00F96915" w:rsidRPr="00316FBD">
              <w:rPr>
                <w:rFonts w:ascii="Arial" w:hAnsi="Arial" w:cs="Arial"/>
                <w:sz w:val="22"/>
              </w:rPr>
              <w:t>gone</w:t>
            </w:r>
            <w:r w:rsidRPr="00316FBD">
              <w:rPr>
                <w:rFonts w:ascii="Arial" w:hAnsi="Arial" w:cs="Arial"/>
                <w:sz w:val="22"/>
              </w:rPr>
              <w:t xml:space="preserve"> down ISO standards for </w:t>
            </w:r>
            <w:r w:rsidR="0051475E">
              <w:rPr>
                <w:rFonts w:ascii="Arial" w:hAnsi="Arial" w:cs="Arial"/>
                <w:sz w:val="22"/>
              </w:rPr>
              <w:t>water rescue helmets?</w:t>
            </w:r>
            <w:r w:rsidRPr="00316FB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16FBD" w:rsidRPr="00316FBD" w:rsidTr="00F96915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BD" w:rsidRPr="00316FBD" w:rsidRDefault="00316FBD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347582">
              <w:rPr>
                <w:rFonts w:ascii="Arial" w:hAnsi="Arial" w:cs="Arial"/>
                <w:b/>
                <w:sz w:val="22"/>
              </w:rPr>
              <w:t>6</w:t>
            </w:r>
            <w:r w:rsidRPr="00316FBD">
              <w:rPr>
                <w:rFonts w:ascii="Arial" w:hAnsi="Arial" w:cs="Arial"/>
                <w:b/>
                <w:sz w:val="22"/>
              </w:rPr>
              <w:t xml:space="preserve"> Response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FBD" w:rsidRPr="00F96915" w:rsidRDefault="00D76377" w:rsidP="00F969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 believe the</w:t>
            </w:r>
            <w:r w:rsidR="00316FBD" w:rsidRPr="00F96915">
              <w:rPr>
                <w:rFonts w:ascii="Arial" w:hAnsi="Arial" w:cs="Arial"/>
                <w:sz w:val="22"/>
              </w:rPr>
              <w:t xml:space="preserve"> ISO </w:t>
            </w:r>
            <w:r>
              <w:rPr>
                <w:rFonts w:ascii="Arial" w:hAnsi="Arial" w:cs="Arial"/>
                <w:sz w:val="22"/>
              </w:rPr>
              <w:t xml:space="preserve">standard </w:t>
            </w:r>
            <w:r w:rsidR="00316FBD" w:rsidRPr="00F96915">
              <w:rPr>
                <w:rFonts w:ascii="Arial" w:hAnsi="Arial" w:cs="Arial"/>
                <w:sz w:val="22"/>
              </w:rPr>
              <w:t xml:space="preserve">attends to address </w:t>
            </w:r>
            <w:r>
              <w:rPr>
                <w:rFonts w:ascii="Arial" w:hAnsi="Arial" w:cs="Arial"/>
                <w:sz w:val="22"/>
              </w:rPr>
              <w:t>the requirements</w:t>
            </w:r>
            <w:r w:rsidR="00316FBD" w:rsidRPr="00F96915">
              <w:rPr>
                <w:rFonts w:ascii="Arial" w:hAnsi="Arial" w:cs="Arial"/>
                <w:sz w:val="22"/>
              </w:rPr>
              <w:t xml:space="preserve"> for water rescue PPE</w:t>
            </w:r>
            <w:r>
              <w:rPr>
                <w:rFonts w:ascii="Arial" w:hAnsi="Arial" w:cs="Arial"/>
                <w:sz w:val="22"/>
              </w:rPr>
              <w:t>.</w:t>
            </w:r>
            <w:r w:rsidR="00316FBD" w:rsidRPr="00F9691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We foresee future </w:t>
            </w:r>
            <w:r w:rsidR="00316FBD" w:rsidRPr="00F96915">
              <w:rPr>
                <w:rFonts w:ascii="Arial" w:hAnsi="Arial" w:cs="Arial"/>
                <w:sz w:val="22"/>
              </w:rPr>
              <w:t xml:space="preserve">development of those ensemble type </w:t>
            </w:r>
            <w:r>
              <w:rPr>
                <w:rFonts w:ascii="Arial" w:hAnsi="Arial" w:cs="Arial"/>
                <w:sz w:val="22"/>
              </w:rPr>
              <w:t>garments</w:t>
            </w:r>
            <w:r w:rsidR="00316FBD" w:rsidRPr="00F96915">
              <w:rPr>
                <w:rFonts w:ascii="Arial" w:hAnsi="Arial" w:cs="Arial"/>
                <w:sz w:val="22"/>
              </w:rPr>
              <w:t xml:space="preserve"> but </w:t>
            </w:r>
            <w:r>
              <w:rPr>
                <w:rFonts w:ascii="Arial" w:hAnsi="Arial" w:cs="Arial"/>
                <w:sz w:val="22"/>
              </w:rPr>
              <w:t>likely to be in 2/3 years</w:t>
            </w:r>
          </w:p>
          <w:p w:rsidR="00316FBD" w:rsidRPr="00316FBD" w:rsidRDefault="00316FBD" w:rsidP="00D21262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67C50" w:rsidRDefault="00167C50" w:rsidP="00167C50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916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6"/>
        <w:gridCol w:w="8930"/>
      </w:tblGrid>
      <w:tr w:rsidR="00D76377" w:rsidRPr="00316FBD" w:rsidTr="00AA4970"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76377" w:rsidRPr="00316FBD" w:rsidRDefault="00D76377" w:rsidP="00AA497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316FBD">
              <w:rPr>
                <w:rFonts w:ascii="Arial" w:hAnsi="Arial" w:cs="Arial"/>
                <w:b/>
                <w:color w:val="FFFFFF"/>
                <w:sz w:val="22"/>
              </w:rPr>
              <w:lastRenderedPageBreak/>
              <w:t>No.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:rsidR="00D76377" w:rsidRPr="00316FBD" w:rsidRDefault="00D76377" w:rsidP="00AA497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Subsequent </w:t>
            </w:r>
            <w:r w:rsidRPr="00316FBD">
              <w:rPr>
                <w:rFonts w:ascii="Arial" w:hAnsi="Arial" w:cs="Arial"/>
                <w:b/>
                <w:color w:val="FFFFFF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Questions Received</w:t>
            </w:r>
          </w:p>
        </w:tc>
      </w:tr>
      <w:tr w:rsidR="00D76377" w:rsidRPr="00316FBD" w:rsidTr="00AA4970"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77" w:rsidRPr="00316FBD" w:rsidRDefault="00D76377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347582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6377" w:rsidRPr="003A2FB5" w:rsidRDefault="003A2FB5" w:rsidP="003A2FB5">
            <w:pPr>
              <w:rPr>
                <w:rFonts w:ascii="Arial" w:hAnsi="Arial" w:cs="Arial"/>
                <w:sz w:val="22"/>
                <w:szCs w:val="22"/>
              </w:rPr>
            </w:pPr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 xml:space="preserve">We were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advised</w:t>
            </w:r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 xml:space="preserve"> that the specification for the water rescue boot was to be an EN ISO 2345 safety boot but that it needed to have a non snag capability, quick release and a drainage solution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"/>
              </w:rPr>
              <w:t>,  P</w:t>
            </w:r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>lease</w:t>
            </w:r>
            <w:proofErr w:type="gramEnd"/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 xml:space="preserve"> clarify this as they are to be worn with a dry suit with a waterproof sock ?</w:t>
            </w:r>
            <w:r w:rsidRPr="003A2FB5">
              <w:rPr>
                <w:rFonts w:ascii="Arial" w:hAnsi="Arial" w:cs="Arial"/>
                <w:color w:val="1F497D"/>
                <w:sz w:val="22"/>
                <w:szCs w:val="22"/>
                <w:lang w:val="en"/>
              </w:rPr>
              <w:t xml:space="preserve">  </w:t>
            </w:r>
          </w:p>
        </w:tc>
      </w:tr>
      <w:tr w:rsidR="00D76377" w:rsidRPr="00316FBD" w:rsidTr="00AA4970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7" w:rsidRPr="00316FBD" w:rsidRDefault="00D76377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347582">
              <w:rPr>
                <w:rFonts w:ascii="Arial" w:hAnsi="Arial" w:cs="Arial"/>
                <w:b/>
                <w:sz w:val="22"/>
              </w:rPr>
              <w:t>7</w:t>
            </w:r>
            <w:r w:rsidRPr="00316FBD">
              <w:rPr>
                <w:rFonts w:ascii="Arial" w:hAnsi="Arial" w:cs="Arial"/>
                <w:b/>
                <w:sz w:val="22"/>
              </w:rPr>
              <w:t xml:space="preserve">  Response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FB5" w:rsidRPr="003A2FB5" w:rsidRDefault="003A2FB5" w:rsidP="003A2FB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 xml:space="preserve">The boot will now need to comply </w:t>
            </w:r>
            <w:proofErr w:type="gramStart"/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>to</w:t>
            </w:r>
            <w:proofErr w:type="gramEnd"/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 xml:space="preserve"> EN ISO 20347.  This is a specialist ankle boot to be worn with dry suits.</w:t>
            </w:r>
          </w:p>
          <w:p w:rsidR="00D76377" w:rsidRPr="00316FBD" w:rsidRDefault="00D76377" w:rsidP="00AA4970">
            <w:pPr>
              <w:rPr>
                <w:rFonts w:ascii="Arial" w:hAnsi="Arial" w:cs="Arial"/>
                <w:sz w:val="22"/>
              </w:rPr>
            </w:pPr>
          </w:p>
        </w:tc>
      </w:tr>
      <w:tr w:rsidR="00F30C8B" w:rsidRPr="00316FBD" w:rsidTr="00F30C8B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0C8B" w:rsidRPr="00316FBD" w:rsidRDefault="00F30C8B" w:rsidP="007F635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30C8B" w:rsidRPr="003A2FB5" w:rsidRDefault="00F30C8B" w:rsidP="003A2FB5">
            <w:pPr>
              <w:spacing w:before="60" w:after="60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76377" w:rsidRPr="00316FBD" w:rsidTr="00AA4970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77" w:rsidRPr="00316FBD" w:rsidRDefault="00D76377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347582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6377" w:rsidRPr="003A2FB5" w:rsidRDefault="003A2FB5" w:rsidP="003A2FB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>There is no mention of the height of the boots in the lots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. </w:t>
            </w:r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 xml:space="preserve"> Please clarify the height of the boot or whether you will accept shoes or mid cut </w:t>
            </w:r>
            <w:proofErr w:type="gramStart"/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>boots ?</w:t>
            </w:r>
            <w:proofErr w:type="gramEnd"/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 xml:space="preserve">  </w:t>
            </w:r>
          </w:p>
        </w:tc>
      </w:tr>
      <w:tr w:rsidR="00D76377" w:rsidRPr="00316FBD" w:rsidTr="00AA4970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7" w:rsidRPr="00316FBD" w:rsidRDefault="00D76377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347582">
              <w:rPr>
                <w:rFonts w:ascii="Arial" w:hAnsi="Arial" w:cs="Arial"/>
                <w:b/>
                <w:sz w:val="22"/>
              </w:rPr>
              <w:t>8</w:t>
            </w:r>
            <w:r w:rsidRPr="00316FBD">
              <w:rPr>
                <w:rFonts w:ascii="Arial" w:hAnsi="Arial" w:cs="Arial"/>
                <w:b/>
                <w:sz w:val="22"/>
              </w:rPr>
              <w:t xml:space="preserve">  Response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FB5" w:rsidRPr="003A2FB5" w:rsidRDefault="003A2FB5" w:rsidP="003A2FB5">
            <w:pPr>
              <w:shd w:val="clear" w:color="auto" w:fill="FFFFFF"/>
              <w:spacing w:after="15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This will be an ankle boot as per EN ISO 20347</w:t>
            </w:r>
          </w:p>
          <w:p w:rsidR="00D76377" w:rsidRPr="00316FBD" w:rsidRDefault="00D76377" w:rsidP="00AA497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0C8B" w:rsidRPr="00316FBD" w:rsidTr="00F30C8B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0C8B" w:rsidRPr="00316FBD" w:rsidRDefault="00F30C8B" w:rsidP="007F635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30C8B" w:rsidRPr="003A2FB5" w:rsidRDefault="00F30C8B" w:rsidP="003A2FB5">
            <w:pPr>
              <w:spacing w:before="60" w:after="60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F30C8B" w:rsidRPr="00316FBD" w:rsidTr="00F30C8B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8B" w:rsidRPr="00F30C8B" w:rsidRDefault="00F30C8B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C8B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4758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0C8B" w:rsidRPr="00F30C8B" w:rsidRDefault="00F30C8B" w:rsidP="00F30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have been in discussion with</w:t>
            </w:r>
            <w:r w:rsidRPr="00F30C8B">
              <w:rPr>
                <w:rFonts w:ascii="Arial" w:hAnsi="Arial" w:cs="Arial"/>
                <w:sz w:val="22"/>
                <w:szCs w:val="22"/>
              </w:rPr>
              <w:t xml:space="preserve"> BSI with regards to the testing of our (Group 1, Lot 1 - EN 943-2) Gas Tight Su</w:t>
            </w:r>
            <w:r>
              <w:rPr>
                <w:rFonts w:ascii="Arial" w:hAnsi="Arial" w:cs="Arial"/>
                <w:sz w:val="22"/>
                <w:szCs w:val="22"/>
              </w:rPr>
              <w:t xml:space="preserve">its to the ISO 11999-2 standard.  </w:t>
            </w:r>
            <w:r w:rsidRPr="00F30C8B">
              <w:rPr>
                <w:rFonts w:ascii="Arial" w:hAnsi="Arial" w:cs="Arial"/>
                <w:sz w:val="22"/>
                <w:szCs w:val="22"/>
              </w:rPr>
              <w:t xml:space="preserve">BSI </w:t>
            </w:r>
            <w:r>
              <w:rPr>
                <w:rFonts w:ascii="Arial" w:hAnsi="Arial" w:cs="Arial"/>
                <w:sz w:val="22"/>
                <w:szCs w:val="22"/>
              </w:rPr>
              <w:t>advised</w:t>
            </w:r>
            <w:r w:rsidRPr="00F30C8B">
              <w:rPr>
                <w:rFonts w:ascii="Arial" w:hAnsi="Arial" w:cs="Arial"/>
                <w:sz w:val="22"/>
                <w:szCs w:val="22"/>
              </w:rPr>
              <w:t xml:space="preserve"> that the wearer’s equipment needed to be measured will be difficult to define due to the variety on the market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0C8B">
              <w:rPr>
                <w:rFonts w:ascii="Arial" w:hAnsi="Arial" w:cs="Arial"/>
                <w:sz w:val="22"/>
                <w:szCs w:val="22"/>
              </w:rPr>
              <w:t xml:space="preserve">plus there is no ISO 17491-5:2013 test chamber that </w:t>
            </w:r>
            <w:r>
              <w:rPr>
                <w:rFonts w:ascii="Arial" w:hAnsi="Arial" w:cs="Arial"/>
                <w:sz w:val="22"/>
                <w:szCs w:val="22"/>
              </w:rPr>
              <w:t>they</w:t>
            </w:r>
            <w:r w:rsidRPr="00F30C8B">
              <w:rPr>
                <w:rFonts w:ascii="Arial" w:hAnsi="Arial" w:cs="Arial"/>
                <w:sz w:val="22"/>
                <w:szCs w:val="22"/>
              </w:rPr>
              <w:t xml:space="preserve"> know of in the UK, certainly not accredited</w:t>
            </w:r>
            <w:r>
              <w:rPr>
                <w:rFonts w:ascii="Arial" w:hAnsi="Arial" w:cs="Arial"/>
                <w:sz w:val="22"/>
                <w:szCs w:val="22"/>
              </w:rPr>
              <w:t>. Would it be possible for a</w:t>
            </w:r>
            <w:r w:rsidRPr="00F30C8B">
              <w:rPr>
                <w:rFonts w:ascii="Arial" w:hAnsi="Arial" w:cs="Arial"/>
                <w:sz w:val="22"/>
                <w:szCs w:val="22"/>
              </w:rPr>
              <w:t xml:space="preserve"> BSI auditor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F30C8B">
              <w:rPr>
                <w:rFonts w:ascii="Arial" w:hAnsi="Arial" w:cs="Arial"/>
                <w:sz w:val="22"/>
                <w:szCs w:val="22"/>
              </w:rPr>
              <w:t xml:space="preserve">attend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Pr="00F30C8B">
              <w:rPr>
                <w:rFonts w:ascii="Arial" w:hAnsi="Arial" w:cs="Arial"/>
                <w:sz w:val="22"/>
                <w:szCs w:val="22"/>
              </w:rPr>
              <w:t>fitting day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C6973">
              <w:rPr>
                <w:rFonts w:ascii="Arial" w:hAnsi="Arial" w:cs="Arial"/>
                <w:sz w:val="22"/>
                <w:szCs w:val="22"/>
              </w:rPr>
              <w:t xml:space="preserve"> in order to</w:t>
            </w:r>
            <w:r w:rsidR="00FC6973" w:rsidRPr="00FC6973">
              <w:rPr>
                <w:rFonts w:ascii="Arial" w:hAnsi="Arial" w:cs="Arial"/>
                <w:sz w:val="22"/>
                <w:szCs w:val="22"/>
              </w:rPr>
              <w:t xml:space="preserve"> have a test report written to show that our suits (and only our suits) are suitable for ISO 11999-2 standard</w:t>
            </w:r>
            <w:r w:rsidR="00FC697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F30C8B" w:rsidRPr="003A2FB5" w:rsidRDefault="00F30C8B" w:rsidP="003A2FB5">
            <w:pPr>
              <w:spacing w:before="60" w:after="60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F30C8B" w:rsidRPr="00316FBD" w:rsidTr="00F30C8B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8B" w:rsidRPr="00F30C8B" w:rsidRDefault="00F30C8B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C8B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47582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6973" w:rsidRPr="009D5272" w:rsidRDefault="00FC6973" w:rsidP="00FC6973">
            <w:pPr>
              <w:rPr>
                <w:rFonts w:ascii="Arial" w:hAnsi="Arial" w:cs="Arial"/>
                <w:sz w:val="22"/>
                <w:szCs w:val="22"/>
              </w:rPr>
            </w:pPr>
            <w:r w:rsidRPr="009D5272">
              <w:rPr>
                <w:rFonts w:ascii="Arial" w:hAnsi="Arial" w:cs="Arial"/>
                <w:sz w:val="22"/>
                <w:szCs w:val="22"/>
              </w:rPr>
              <w:t>We have looked closely at this requirement and can advise that the compatibility testing requirement will now come from EN 943-2, Section 8.  Likewise compatibility for Liquid and Spray tight suit will be from EN 14605, Section 4.3. This therefore negates the need for a BSI auditor to attend fitting days. A detailed test report will be required.</w:t>
            </w:r>
          </w:p>
          <w:p w:rsidR="00F30C8B" w:rsidRPr="003A2FB5" w:rsidRDefault="00F30C8B" w:rsidP="003A2FB5">
            <w:pPr>
              <w:spacing w:before="60" w:after="60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F30C8B" w:rsidRPr="00316FBD" w:rsidTr="00F30C8B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0C8B" w:rsidRPr="00316FBD" w:rsidRDefault="00F30C8B" w:rsidP="007F635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30C8B" w:rsidRPr="003A2FB5" w:rsidRDefault="00F30C8B" w:rsidP="003A2FB5">
            <w:pPr>
              <w:spacing w:before="60" w:after="60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76377" w:rsidRPr="00316FBD" w:rsidTr="00AA4970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77" w:rsidRPr="00316FBD" w:rsidRDefault="00D76377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16FBD">
              <w:rPr>
                <w:rFonts w:ascii="Arial" w:hAnsi="Arial" w:cs="Arial"/>
                <w:b/>
                <w:sz w:val="22"/>
              </w:rPr>
              <w:t>Q.</w:t>
            </w:r>
            <w:r w:rsidR="007F635D">
              <w:rPr>
                <w:rFonts w:ascii="Arial" w:hAnsi="Arial" w:cs="Arial"/>
                <w:b/>
                <w:sz w:val="22"/>
              </w:rPr>
              <w:t>1</w:t>
            </w:r>
            <w:r w:rsidR="00347582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6377" w:rsidRPr="003A2FB5" w:rsidRDefault="003A2FB5" w:rsidP="003A2FB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>We are able to supply EN ISO 20347 rated work boots - Is there no scope for work boots or is the requirement strictly for safety boots?</w:t>
            </w:r>
            <w:r w:rsidRPr="003A2FB5">
              <w:rPr>
                <w:rFonts w:ascii="Arial" w:hAnsi="Arial" w:cs="Arial"/>
                <w:color w:val="1F497D"/>
                <w:sz w:val="22"/>
                <w:szCs w:val="22"/>
                <w:lang w:val="en"/>
              </w:rPr>
              <w:t xml:space="preserve">  </w:t>
            </w:r>
          </w:p>
        </w:tc>
      </w:tr>
      <w:tr w:rsidR="00D76377" w:rsidRPr="00316FBD" w:rsidTr="00AA4970"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7" w:rsidRPr="00316FBD" w:rsidRDefault="00D76377" w:rsidP="003475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3A2FB5">
              <w:rPr>
                <w:rFonts w:ascii="Arial" w:hAnsi="Arial" w:cs="Arial"/>
                <w:b/>
                <w:sz w:val="22"/>
              </w:rPr>
              <w:t>Q.</w:t>
            </w:r>
            <w:r w:rsidR="003A2FB5" w:rsidRPr="003A2FB5">
              <w:rPr>
                <w:rFonts w:ascii="Arial" w:hAnsi="Arial" w:cs="Arial"/>
                <w:b/>
                <w:sz w:val="22"/>
              </w:rPr>
              <w:t>1</w:t>
            </w:r>
            <w:r w:rsidR="00347582">
              <w:rPr>
                <w:rFonts w:ascii="Arial" w:hAnsi="Arial" w:cs="Arial"/>
                <w:b/>
                <w:sz w:val="22"/>
              </w:rPr>
              <w:t>0</w:t>
            </w:r>
            <w:r w:rsidRPr="003A2FB5">
              <w:rPr>
                <w:rFonts w:ascii="Arial" w:hAnsi="Arial" w:cs="Arial"/>
                <w:b/>
                <w:sz w:val="22"/>
              </w:rPr>
              <w:t xml:space="preserve">  Response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FB5" w:rsidRPr="003A2FB5" w:rsidRDefault="003A2FB5" w:rsidP="003A2FB5">
            <w:pPr>
              <w:shd w:val="clear" w:color="auto" w:fill="FFFFFF"/>
              <w:spacing w:after="15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>This is a specialist ankle boot to be worn with dry suits.  Work boots will be included within Group 5 – Generic lot</w:t>
            </w:r>
            <w:r w:rsidR="007F635D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This</w:t>
            </w:r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 xml:space="preserve"> will be tendered separately as a Dynamic Purchasing System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, timescales to be confirmed</w:t>
            </w:r>
            <w:r w:rsidRPr="003A2FB5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D76377" w:rsidRPr="00316FBD" w:rsidRDefault="00D76377" w:rsidP="00AA4970">
            <w:pPr>
              <w:rPr>
                <w:rFonts w:ascii="Arial" w:hAnsi="Arial" w:cs="Arial"/>
                <w:sz w:val="22"/>
              </w:rPr>
            </w:pPr>
          </w:p>
        </w:tc>
      </w:tr>
    </w:tbl>
    <w:p w:rsidR="00D76377" w:rsidRDefault="00D76377" w:rsidP="00167C50">
      <w:pPr>
        <w:jc w:val="center"/>
        <w:rPr>
          <w:rFonts w:ascii="Arial" w:hAnsi="Arial" w:cs="Arial"/>
          <w:b/>
        </w:rPr>
      </w:pPr>
    </w:p>
    <w:sectPr w:rsidR="00D76377" w:rsidSect="0034758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6E1F"/>
    <w:multiLevelType w:val="hybridMultilevel"/>
    <w:tmpl w:val="03D2F010"/>
    <w:lvl w:ilvl="0" w:tplc="A05A4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50D"/>
    <w:multiLevelType w:val="hybridMultilevel"/>
    <w:tmpl w:val="16646B2C"/>
    <w:lvl w:ilvl="0" w:tplc="F15033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50"/>
    <w:rsid w:val="00112757"/>
    <w:rsid w:val="00167C50"/>
    <w:rsid w:val="001B446E"/>
    <w:rsid w:val="002A2605"/>
    <w:rsid w:val="00316FBD"/>
    <w:rsid w:val="00347582"/>
    <w:rsid w:val="0037122D"/>
    <w:rsid w:val="003A2FB5"/>
    <w:rsid w:val="003C5455"/>
    <w:rsid w:val="00431697"/>
    <w:rsid w:val="0051475E"/>
    <w:rsid w:val="00543C4A"/>
    <w:rsid w:val="007F635D"/>
    <w:rsid w:val="00815683"/>
    <w:rsid w:val="008B2EF6"/>
    <w:rsid w:val="008C4519"/>
    <w:rsid w:val="00936C42"/>
    <w:rsid w:val="009D5272"/>
    <w:rsid w:val="00D76377"/>
    <w:rsid w:val="00D94661"/>
    <w:rsid w:val="00F30C8B"/>
    <w:rsid w:val="00F96915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EDA10-49A5-453F-A378-68734FB9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6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16FBD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F30C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8ED0F8741AA459EE898D43C4EB70D" ma:contentTypeVersion="10" ma:contentTypeDescription="Create a new document." ma:contentTypeScope="" ma:versionID="c7fc7bf624ff97a7336298717641f784">
  <xsd:schema xmlns:xsd="http://www.w3.org/2001/XMLSchema" xmlns:xs="http://www.w3.org/2001/XMLSchema" xmlns:p="http://schemas.microsoft.com/office/2006/metadata/properties" xmlns:ns3="ea43becb-634f-4145-883a-f6ed0197fe4b" targetNamespace="http://schemas.microsoft.com/office/2006/metadata/properties" ma:root="true" ma:fieldsID="5a1075a02c487a918e06b89011399be0" ns3:_="">
    <xsd:import namespace="ea43becb-634f-4145-883a-f6ed0197f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ecb-634f-4145-883a-f6ed0197f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087AA-5B37-48C2-9CE4-24BE0D274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7DFAE-E3D0-4C4A-BB14-2F3652116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A96F5-6CC4-4438-A75B-40854B6C9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3becb-634f-4145-883a-f6ed0197f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Herrington</dc:creator>
  <cp:lastModifiedBy>Smith, David (Procurement)</cp:lastModifiedBy>
  <cp:revision>2</cp:revision>
  <dcterms:created xsi:type="dcterms:W3CDTF">2020-02-25T12:39:00Z</dcterms:created>
  <dcterms:modified xsi:type="dcterms:W3CDTF">2020-02-25T12:39:00Z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0x0101007038ED0F8741AA459EE898D43C4EB70D</vt:lpwstr>
  </property>
</Properties>
</file>