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1D" w:rsidRDefault="008B4FB7" w:rsidP="006B724A">
      <w:pPr>
        <w:pStyle w:val="Header"/>
        <w:tabs>
          <w:tab w:val="clear" w:pos="4153"/>
          <w:tab w:val="clear" w:pos="8306"/>
        </w:tabs>
        <w:ind w:left="720"/>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765F0E">
      <w:pPr>
        <w:jc w:val="center"/>
      </w:pPr>
    </w:p>
    <w:p w:rsidR="004F661D" w:rsidRDefault="004F661D" w:rsidP="00765F0E">
      <w:pPr>
        <w:pStyle w:val="Header"/>
        <w:tabs>
          <w:tab w:val="clear" w:pos="4153"/>
          <w:tab w:val="clear" w:pos="8306"/>
        </w:tabs>
        <w:jc w:val="center"/>
      </w:pPr>
    </w:p>
    <w:p w:rsidR="004F661D" w:rsidRDefault="004F661D" w:rsidP="00765F0E">
      <w:pPr>
        <w:pStyle w:val="Header"/>
        <w:tabs>
          <w:tab w:val="clear" w:pos="4153"/>
          <w:tab w:val="clear" w:pos="8306"/>
        </w:tabs>
        <w:jc w:val="center"/>
      </w:pPr>
    </w:p>
    <w:p w:rsidR="004F661D" w:rsidRDefault="004F661D" w:rsidP="00765F0E">
      <w:pPr>
        <w:jc w:val="center"/>
      </w:pPr>
    </w:p>
    <w:p w:rsidR="004F661D" w:rsidRPr="000529EC" w:rsidRDefault="000529EC" w:rsidP="00765F0E">
      <w:pPr>
        <w:pStyle w:val="BodyText"/>
        <w:jc w:val="center"/>
        <w:rPr>
          <w:b/>
          <w:bCs/>
          <w:color w:val="000000"/>
          <w:sz w:val="72"/>
        </w:rPr>
      </w:pPr>
      <w:r>
        <w:rPr>
          <w:b/>
          <w:bCs/>
          <w:color w:val="000000"/>
          <w:sz w:val="72"/>
        </w:rPr>
        <w:t>Invitation t</w:t>
      </w:r>
      <w:r w:rsidRPr="000529EC">
        <w:rPr>
          <w:b/>
          <w:bCs/>
          <w:color w:val="000000"/>
          <w:sz w:val="72"/>
        </w:rPr>
        <w:t>o Tender</w:t>
      </w:r>
    </w:p>
    <w:p w:rsidR="004F661D" w:rsidRDefault="004F661D" w:rsidP="00765F0E">
      <w:pPr>
        <w:jc w:val="center"/>
        <w:rPr>
          <w:noProof/>
        </w:rPr>
      </w:pPr>
    </w:p>
    <w:p w:rsidR="004F661D" w:rsidRDefault="004F661D" w:rsidP="00765F0E">
      <w:pPr>
        <w:jc w:val="center"/>
        <w:rPr>
          <w:noProof/>
        </w:rPr>
      </w:pPr>
    </w:p>
    <w:p w:rsidR="004F661D" w:rsidRPr="00307475" w:rsidRDefault="000529EC" w:rsidP="00765F0E">
      <w:pPr>
        <w:jc w:val="center"/>
        <w:rPr>
          <w:b/>
          <w:noProof/>
          <w:sz w:val="44"/>
          <w:szCs w:val="44"/>
        </w:rPr>
      </w:pPr>
      <w:r w:rsidRPr="000529EC">
        <w:rPr>
          <w:b/>
          <w:noProof/>
          <w:sz w:val="44"/>
          <w:szCs w:val="44"/>
        </w:rPr>
        <w:t>for</w:t>
      </w:r>
    </w:p>
    <w:p w:rsidR="004F661D" w:rsidRPr="00307475" w:rsidRDefault="004F661D" w:rsidP="00765F0E">
      <w:pPr>
        <w:jc w:val="center"/>
        <w:rPr>
          <w:noProof/>
        </w:rPr>
      </w:pPr>
    </w:p>
    <w:p w:rsidR="004F661D" w:rsidRPr="00307475" w:rsidRDefault="004F661D" w:rsidP="00765F0E">
      <w:pPr>
        <w:jc w:val="center"/>
        <w:rPr>
          <w:noProof/>
        </w:rPr>
      </w:pPr>
    </w:p>
    <w:p w:rsidR="00C64AFC" w:rsidRDefault="00340A73" w:rsidP="00C84C3F">
      <w:pPr>
        <w:pStyle w:val="BodyText3"/>
        <w:spacing w:line="240" w:lineRule="auto"/>
        <w:ind w:left="0"/>
        <w:jc w:val="center"/>
        <w:rPr>
          <w:b/>
          <w:bCs/>
          <w:color w:val="auto"/>
          <w:sz w:val="56"/>
        </w:rPr>
      </w:pPr>
      <w:r>
        <w:rPr>
          <w:b/>
          <w:bCs/>
          <w:color w:val="auto"/>
          <w:sz w:val="56"/>
        </w:rPr>
        <w:t>Vinyl Flooring Renewal</w:t>
      </w:r>
    </w:p>
    <w:p w:rsidR="00CA3051" w:rsidRDefault="00D23A2E" w:rsidP="00C84C3F">
      <w:pPr>
        <w:pStyle w:val="BodyText3"/>
        <w:spacing w:line="240" w:lineRule="auto"/>
        <w:ind w:left="0"/>
        <w:jc w:val="center"/>
        <w:rPr>
          <w:b/>
          <w:bCs/>
          <w:color w:val="auto"/>
          <w:sz w:val="56"/>
        </w:rPr>
      </w:pPr>
      <w:r>
        <w:rPr>
          <w:b/>
          <w:bCs/>
          <w:color w:val="auto"/>
          <w:sz w:val="56"/>
        </w:rPr>
        <w:t>2021</w:t>
      </w:r>
      <w:r w:rsidR="00340A73">
        <w:rPr>
          <w:b/>
          <w:bCs/>
          <w:color w:val="auto"/>
          <w:sz w:val="56"/>
        </w:rPr>
        <w:t>-202</w:t>
      </w:r>
      <w:r>
        <w:rPr>
          <w:b/>
          <w:bCs/>
          <w:color w:val="auto"/>
          <w:sz w:val="56"/>
        </w:rPr>
        <w:t>4</w:t>
      </w:r>
    </w:p>
    <w:p w:rsidR="005B6B50" w:rsidRDefault="005B6B50" w:rsidP="00C84C3F">
      <w:pPr>
        <w:pStyle w:val="BodyText3"/>
        <w:spacing w:line="240" w:lineRule="auto"/>
        <w:ind w:left="0"/>
        <w:jc w:val="center"/>
        <w:rPr>
          <w:b/>
          <w:bCs/>
          <w:color w:val="auto"/>
          <w:sz w:val="56"/>
        </w:rPr>
      </w:pPr>
    </w:p>
    <w:p w:rsidR="005B6B50" w:rsidRPr="00307475" w:rsidRDefault="005B6B50" w:rsidP="00C84C3F">
      <w:pPr>
        <w:pStyle w:val="BodyText3"/>
        <w:spacing w:line="240" w:lineRule="auto"/>
        <w:ind w:left="0"/>
        <w:jc w:val="center"/>
        <w:rPr>
          <w:b/>
          <w:bCs/>
          <w:color w:val="auto"/>
          <w:sz w:val="56"/>
        </w:rPr>
      </w:pPr>
      <w:r>
        <w:rPr>
          <w:b/>
          <w:bCs/>
          <w:color w:val="auto"/>
          <w:sz w:val="56"/>
        </w:rPr>
        <w:t>DN514264</w:t>
      </w:r>
      <w:bookmarkStart w:id="0" w:name="_GoBack"/>
      <w:bookmarkEnd w:id="0"/>
    </w:p>
    <w:p w:rsidR="000D354A" w:rsidRDefault="000D354A" w:rsidP="00765F0E">
      <w:pPr>
        <w:pStyle w:val="BodyText3"/>
        <w:spacing w:line="240" w:lineRule="auto"/>
        <w:jc w:val="center"/>
        <w:rPr>
          <w:b/>
          <w:bCs/>
          <w:color w:val="auto"/>
          <w:sz w:val="56"/>
        </w:rPr>
      </w:pPr>
    </w:p>
    <w:p w:rsidR="007A4FCB" w:rsidRPr="00307475" w:rsidRDefault="007A4FCB" w:rsidP="00765F0E">
      <w:pPr>
        <w:pStyle w:val="BodyText3"/>
        <w:spacing w:line="240" w:lineRule="auto"/>
        <w:jc w:val="center"/>
        <w:rPr>
          <w:b/>
          <w:bCs/>
          <w:color w:val="auto"/>
          <w:sz w:val="56"/>
        </w:rPr>
      </w:pPr>
      <w:r>
        <w:rPr>
          <w:b/>
          <w:bCs/>
          <w:color w:val="auto"/>
          <w:sz w:val="56"/>
        </w:rPr>
        <w:t>Section E</w:t>
      </w:r>
    </w:p>
    <w:p w:rsidR="009C75DA" w:rsidRDefault="009C75DA" w:rsidP="00765F0E">
      <w:pPr>
        <w:pStyle w:val="BodyText3"/>
        <w:spacing w:line="240" w:lineRule="auto"/>
        <w:jc w:val="center"/>
        <w:rPr>
          <w:b/>
          <w:bCs/>
          <w:color w:val="auto"/>
          <w:sz w:val="56"/>
        </w:rPr>
      </w:pPr>
    </w:p>
    <w:p w:rsidR="003128E9" w:rsidRPr="003128E9" w:rsidRDefault="003128E9" w:rsidP="00765F0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4F661D" w:rsidRDefault="006A5000" w:rsidP="00F32141">
      <w:pPr>
        <w:jc w:val="both"/>
      </w:pPr>
      <w:r>
        <w:br w:type="page"/>
      </w:r>
    </w:p>
    <w:p w:rsidR="009173AF" w:rsidRPr="00962D4B" w:rsidRDefault="003955E5" w:rsidP="001969C8">
      <w:pPr>
        <w:pStyle w:val="CBSectionHeader"/>
        <w:rPr>
          <w:rStyle w:val="Heading1Text"/>
          <w:caps/>
        </w:rPr>
      </w:pPr>
      <w:bookmarkStart w:id="1" w:name="_Toc42165153"/>
      <w:r>
        <w:rPr>
          <w:rStyle w:val="Heading1Text"/>
          <w:caps/>
        </w:rPr>
        <w:lastRenderedPageBreak/>
        <w:t xml:space="preserve">SECTION </w:t>
      </w:r>
      <w:r w:rsidR="00185BA9">
        <w:rPr>
          <w:rStyle w:val="Heading1Text"/>
          <w:caps/>
        </w:rPr>
        <w:t>e</w:t>
      </w:r>
      <w:r w:rsidR="009655DC" w:rsidRPr="00962D4B">
        <w:rPr>
          <w:rStyle w:val="Heading1Text"/>
          <w:caps/>
        </w:rPr>
        <w:t xml:space="preserve"> – PRICING</w:t>
      </w:r>
      <w:bookmarkEnd w:id="1"/>
    </w:p>
    <w:p w:rsidR="009655DC" w:rsidRDefault="009655DC" w:rsidP="00F32141">
      <w:pPr>
        <w:tabs>
          <w:tab w:val="left" w:pos="-720"/>
        </w:tabs>
        <w:suppressAutoHyphens/>
        <w:jc w:val="both"/>
        <w:rPr>
          <w:rFonts w:cs="Arial"/>
          <w:b/>
          <w:spacing w:val="-2"/>
          <w:sz w:val="24"/>
          <w:szCs w:val="24"/>
          <w:u w:val="single"/>
        </w:rPr>
      </w:pPr>
    </w:p>
    <w:p w:rsidR="007F5B20" w:rsidRPr="009822B2" w:rsidRDefault="00185BA9" w:rsidP="007F5B20">
      <w:pPr>
        <w:keepNext/>
        <w:pBdr>
          <w:top w:val="single" w:sz="4" w:space="0" w:color="auto"/>
          <w:left w:val="single" w:sz="4" w:space="4" w:color="auto"/>
          <w:bottom w:val="single" w:sz="4" w:space="1" w:color="auto"/>
          <w:right w:val="single" w:sz="4" w:space="4" w:color="auto"/>
        </w:pBdr>
        <w:tabs>
          <w:tab w:val="left" w:pos="1134"/>
          <w:tab w:val="left" w:pos="2268"/>
          <w:tab w:val="left" w:pos="3402"/>
        </w:tabs>
        <w:outlineLvl w:val="0"/>
        <w:rPr>
          <w:b/>
          <w:caps/>
          <w:sz w:val="28"/>
        </w:rPr>
      </w:pPr>
      <w:bookmarkStart w:id="2" w:name="_Toc470180548"/>
      <w:r>
        <w:rPr>
          <w:b/>
          <w:caps/>
          <w:sz w:val="28"/>
        </w:rPr>
        <w:t>E</w:t>
      </w:r>
      <w:r w:rsidR="007F5B20" w:rsidRPr="009822B2">
        <w:rPr>
          <w:b/>
          <w:caps/>
          <w:sz w:val="28"/>
        </w:rPr>
        <w:t>1</w:t>
      </w:r>
      <w:r w:rsidR="007F5B20" w:rsidRPr="009822B2">
        <w:rPr>
          <w:b/>
          <w:caps/>
          <w:sz w:val="28"/>
        </w:rPr>
        <w:tab/>
        <w:t>PRICING SCHEDULES</w:t>
      </w:r>
      <w:bookmarkEnd w:id="2"/>
    </w:p>
    <w:p w:rsidR="007F5B20" w:rsidRPr="009822B2" w:rsidRDefault="007F5B20" w:rsidP="007F5B20">
      <w:pPr>
        <w:tabs>
          <w:tab w:val="left" w:pos="-720"/>
        </w:tabs>
        <w:suppressAutoHyphens/>
        <w:jc w:val="both"/>
        <w:rPr>
          <w:rFonts w:cs="Arial"/>
          <w:b/>
          <w:spacing w:val="-2"/>
          <w:sz w:val="24"/>
          <w:szCs w:val="24"/>
          <w:u w:val="single"/>
        </w:rPr>
      </w:pPr>
    </w:p>
    <w:p w:rsidR="007F5B20" w:rsidRPr="009822B2" w:rsidRDefault="007F5B20" w:rsidP="007F5B20">
      <w:pPr>
        <w:rPr>
          <w:snapToGrid w:val="0"/>
          <w:sz w:val="22"/>
        </w:rPr>
      </w:pPr>
      <w:r w:rsidRPr="009822B2">
        <w:rPr>
          <w:snapToGrid w:val="0"/>
          <w:sz w:val="22"/>
        </w:rPr>
        <w:t xml:space="preserve">The price offered by the Contractor in these pricing schedules shall be firm and fixed for the period as stated for the duration of the Contract.  Annual price increases, after year one completion, will be allowed at the rate of the Consumer Price Index for April of that financial year as published by the National Statistical Office.   </w:t>
      </w:r>
      <w:r w:rsidRPr="009822B2">
        <w:rPr>
          <w:rFonts w:cs="Arial"/>
          <w:sz w:val="22"/>
        </w:rPr>
        <w:t xml:space="preserve">Any percentage discounts that may be applied must be detailed in the same. </w:t>
      </w:r>
    </w:p>
    <w:p w:rsidR="007F5B20" w:rsidRPr="009822B2" w:rsidRDefault="007F5B20" w:rsidP="007F5B20">
      <w:pPr>
        <w:rPr>
          <w:snapToGrid w:val="0"/>
          <w:sz w:val="22"/>
        </w:rPr>
      </w:pPr>
      <w:r w:rsidRPr="009822B2">
        <w:rPr>
          <w:snapToGrid w:val="0"/>
          <w:sz w:val="22"/>
        </w:rPr>
        <w:t xml:space="preserve">All prices submitted shall be in pounds sterling and shall be exclusive of Value Added Tax (VAT).  </w:t>
      </w:r>
    </w:p>
    <w:p w:rsidR="007F5B20" w:rsidRPr="009822B2" w:rsidRDefault="007F5B20" w:rsidP="007F5B20">
      <w:pPr>
        <w:rPr>
          <w:snapToGrid w:val="0"/>
          <w:sz w:val="22"/>
        </w:rPr>
      </w:pPr>
    </w:p>
    <w:p w:rsidR="007F5B20" w:rsidRPr="009822B2" w:rsidRDefault="007F5B20" w:rsidP="007F5B20">
      <w:pPr>
        <w:rPr>
          <w:snapToGrid w:val="0"/>
          <w:sz w:val="22"/>
        </w:rPr>
      </w:pPr>
      <w:r w:rsidRPr="009822B2">
        <w:rPr>
          <w:snapToGrid w:val="0"/>
          <w:sz w:val="22"/>
        </w:rPr>
        <w:t>The contractor is to include for all of the fo</w:t>
      </w:r>
      <w:r w:rsidR="002E2FF0">
        <w:rPr>
          <w:snapToGrid w:val="0"/>
          <w:sz w:val="22"/>
        </w:rPr>
        <w:t>llowing within the priced rates.</w:t>
      </w:r>
    </w:p>
    <w:p w:rsidR="007F5B20" w:rsidRPr="009822B2" w:rsidRDefault="007F5B20" w:rsidP="00DD15E6">
      <w:pPr>
        <w:ind w:left="426"/>
        <w:rPr>
          <w:snapToGrid w:val="0"/>
          <w:sz w:val="22"/>
        </w:rPr>
      </w:pPr>
    </w:p>
    <w:p w:rsidR="007F5B20" w:rsidRPr="009822B2" w:rsidRDefault="007F5B20" w:rsidP="00DD15E6">
      <w:pPr>
        <w:numPr>
          <w:ilvl w:val="0"/>
          <w:numId w:val="23"/>
        </w:numPr>
        <w:ind w:left="426" w:hanging="357"/>
        <w:rPr>
          <w:snapToGrid w:val="0"/>
          <w:sz w:val="22"/>
        </w:rPr>
      </w:pPr>
      <w:r w:rsidRPr="009822B2">
        <w:rPr>
          <w:snapToGrid w:val="0"/>
          <w:sz w:val="22"/>
        </w:rPr>
        <w:t>Preliminaries</w:t>
      </w:r>
    </w:p>
    <w:p w:rsidR="007F5B20" w:rsidRPr="009822B2" w:rsidRDefault="007F5B20" w:rsidP="00DD15E6">
      <w:pPr>
        <w:numPr>
          <w:ilvl w:val="0"/>
          <w:numId w:val="23"/>
        </w:numPr>
        <w:ind w:left="426" w:hanging="357"/>
        <w:rPr>
          <w:snapToGrid w:val="0"/>
          <w:sz w:val="22"/>
        </w:rPr>
      </w:pPr>
      <w:r w:rsidRPr="009822B2">
        <w:rPr>
          <w:snapToGrid w:val="0"/>
          <w:sz w:val="22"/>
        </w:rPr>
        <w:t>Overheads and Profit</w:t>
      </w:r>
    </w:p>
    <w:p w:rsidR="007F5B20" w:rsidRPr="009822B2" w:rsidRDefault="007F5B20" w:rsidP="00DD15E6">
      <w:pPr>
        <w:numPr>
          <w:ilvl w:val="0"/>
          <w:numId w:val="23"/>
        </w:numPr>
        <w:ind w:left="426" w:hanging="357"/>
        <w:rPr>
          <w:snapToGrid w:val="0"/>
          <w:sz w:val="22"/>
        </w:rPr>
      </w:pPr>
      <w:r w:rsidRPr="009822B2">
        <w:rPr>
          <w:snapToGrid w:val="0"/>
          <w:sz w:val="22"/>
        </w:rPr>
        <w:t>Tenant Liaison</w:t>
      </w:r>
    </w:p>
    <w:p w:rsidR="007F5B20" w:rsidRPr="009822B2" w:rsidRDefault="007F5B20" w:rsidP="00DD15E6">
      <w:pPr>
        <w:numPr>
          <w:ilvl w:val="0"/>
          <w:numId w:val="23"/>
        </w:numPr>
        <w:ind w:left="426" w:hanging="357"/>
        <w:rPr>
          <w:snapToGrid w:val="0"/>
          <w:sz w:val="22"/>
        </w:rPr>
      </w:pPr>
      <w:r w:rsidRPr="009822B2">
        <w:rPr>
          <w:snapToGrid w:val="0"/>
          <w:sz w:val="22"/>
        </w:rPr>
        <w:t>Design</w:t>
      </w:r>
    </w:p>
    <w:p w:rsidR="007F5B20" w:rsidRPr="009822B2" w:rsidRDefault="007F5B20" w:rsidP="00DD15E6">
      <w:pPr>
        <w:numPr>
          <w:ilvl w:val="0"/>
          <w:numId w:val="23"/>
        </w:numPr>
        <w:ind w:left="426" w:hanging="357"/>
        <w:rPr>
          <w:snapToGrid w:val="0"/>
          <w:sz w:val="22"/>
        </w:rPr>
      </w:pPr>
      <w:r w:rsidRPr="009822B2">
        <w:rPr>
          <w:snapToGrid w:val="0"/>
          <w:sz w:val="22"/>
        </w:rPr>
        <w:t>Preambles</w:t>
      </w:r>
    </w:p>
    <w:p w:rsidR="007F5B20" w:rsidRPr="009822B2" w:rsidRDefault="007F5B20" w:rsidP="00DD15E6">
      <w:pPr>
        <w:numPr>
          <w:ilvl w:val="0"/>
          <w:numId w:val="23"/>
        </w:numPr>
        <w:ind w:left="426" w:hanging="357"/>
        <w:rPr>
          <w:snapToGrid w:val="0"/>
          <w:sz w:val="22"/>
        </w:rPr>
      </w:pPr>
      <w:r w:rsidRPr="009822B2">
        <w:rPr>
          <w:snapToGrid w:val="0"/>
          <w:sz w:val="22"/>
        </w:rPr>
        <w:t>Supplying and fitting of all materials</w:t>
      </w:r>
    </w:p>
    <w:p w:rsidR="007F5B20" w:rsidRPr="009822B2" w:rsidRDefault="007F5B20" w:rsidP="00DD15E6">
      <w:pPr>
        <w:ind w:left="426"/>
        <w:rPr>
          <w:rFonts w:cs="Arial"/>
          <w:sz w:val="28"/>
          <w:szCs w:val="24"/>
        </w:rPr>
      </w:pPr>
    </w:p>
    <w:p w:rsidR="007F5B20" w:rsidRPr="009822B2" w:rsidRDefault="00185BA9" w:rsidP="007F5B20">
      <w:pPr>
        <w:rPr>
          <w:rFonts w:cs="Arial"/>
          <w:sz w:val="22"/>
        </w:rPr>
      </w:pPr>
      <w:r>
        <w:rPr>
          <w:rFonts w:cs="Arial"/>
          <w:sz w:val="22"/>
        </w:rPr>
        <w:t>Section e</w:t>
      </w:r>
      <w:r w:rsidR="007F5B20" w:rsidRPr="009822B2">
        <w:rPr>
          <w:rFonts w:cs="Arial"/>
          <w:sz w:val="22"/>
        </w:rPr>
        <w:t xml:space="preserve"> Pricing Schedule will be evaluated in accordance with the criteria and weightings as set out in this Section </w:t>
      </w:r>
      <w:proofErr w:type="gramStart"/>
      <w:r w:rsidR="007F5B20" w:rsidRPr="009822B2">
        <w:rPr>
          <w:rFonts w:cs="Arial"/>
          <w:sz w:val="22"/>
        </w:rPr>
        <w:t>A</w:t>
      </w:r>
      <w:proofErr w:type="gramEnd"/>
      <w:r w:rsidR="007F5B20" w:rsidRPr="009822B2">
        <w:rPr>
          <w:rFonts w:cs="Arial"/>
          <w:sz w:val="22"/>
        </w:rPr>
        <w:t xml:space="preserve"> Instructions and Information and will form part of the Award section therein. It is the total cost that will be subject to evaluation.  The list of works is indicative and may change post tender</w:t>
      </w:r>
    </w:p>
    <w:p w:rsidR="007F5B20" w:rsidRPr="009822B2" w:rsidRDefault="007F5B20" w:rsidP="007F5B20">
      <w:pPr>
        <w:tabs>
          <w:tab w:val="left" w:pos="-720"/>
        </w:tabs>
        <w:suppressAutoHyphens/>
        <w:jc w:val="both"/>
        <w:rPr>
          <w:rFonts w:cs="Arial"/>
          <w:bCs/>
          <w:sz w:val="22"/>
          <w:lang w:eastAsia="en-GB"/>
        </w:rPr>
      </w:pPr>
    </w:p>
    <w:p w:rsidR="007F5B20" w:rsidRPr="009822B2" w:rsidRDefault="007F5B20" w:rsidP="007F5B20">
      <w:pPr>
        <w:spacing w:line="276" w:lineRule="auto"/>
        <w:ind w:right="-279"/>
        <w:contextualSpacing/>
        <w:rPr>
          <w:rFonts w:cs="Arial"/>
          <w:sz w:val="22"/>
        </w:rPr>
      </w:pPr>
      <w:r w:rsidRPr="009822B2">
        <w:rPr>
          <w:rFonts w:cs="Arial"/>
          <w:bCs/>
          <w:sz w:val="22"/>
          <w:lang w:eastAsia="en-GB"/>
        </w:rPr>
        <w:t xml:space="preserve">Please complete the pricing schedule below.  </w:t>
      </w:r>
      <w:r w:rsidRPr="009822B2">
        <w:rPr>
          <w:rFonts w:cs="Arial"/>
          <w:spacing w:val="-2"/>
          <w:sz w:val="22"/>
        </w:rPr>
        <w:t xml:space="preserve">These costs are to be carried forward into Form of Tender.  </w:t>
      </w:r>
      <w:r w:rsidRPr="009822B2">
        <w:rPr>
          <w:rFonts w:cs="Arial"/>
          <w:sz w:val="22"/>
        </w:rPr>
        <w:t>Your price will be a fully inclusive sum of all of your costs and charges associated with the works.  All Grey areas are to be completed</w:t>
      </w:r>
      <w:r w:rsidR="002E2FF0">
        <w:rPr>
          <w:rFonts w:cs="Arial"/>
          <w:sz w:val="22"/>
        </w:rPr>
        <w:t>.  The numbers within these schedules are indicative only and do not represent the true numbers of floor coverings to be provided.</w:t>
      </w: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197"/>
        <w:gridCol w:w="1197"/>
        <w:gridCol w:w="1197"/>
        <w:gridCol w:w="1512"/>
      </w:tblGrid>
      <w:tr w:rsidR="002E2FF0" w:rsidRPr="009822B2" w:rsidTr="00C004D3">
        <w:tc>
          <w:tcPr>
            <w:tcW w:w="10031" w:type="dxa"/>
            <w:gridSpan w:val="6"/>
            <w:shd w:val="clear" w:color="auto" w:fill="auto"/>
          </w:tcPr>
          <w:p w:rsidR="002E2FF0" w:rsidRPr="009822B2" w:rsidRDefault="002E2FF0" w:rsidP="002E2FF0">
            <w:pPr>
              <w:ind w:right="-279"/>
              <w:contextualSpacing/>
              <w:jc w:val="center"/>
              <w:rPr>
                <w:rFonts w:ascii="Calibri" w:hAnsi="Calibri"/>
                <w:b/>
                <w:sz w:val="22"/>
                <w:szCs w:val="22"/>
              </w:rPr>
            </w:pPr>
            <w:r w:rsidRPr="009822B2">
              <w:rPr>
                <w:rFonts w:ascii="Calibri" w:hAnsi="Calibri"/>
                <w:b/>
                <w:sz w:val="22"/>
                <w:szCs w:val="22"/>
              </w:rPr>
              <w:t>Pricing Schedule for preparation work</w:t>
            </w:r>
          </w:p>
        </w:tc>
      </w:tr>
      <w:tr w:rsidR="002E2FF0" w:rsidRPr="009822B2" w:rsidTr="00C004D3">
        <w:tc>
          <w:tcPr>
            <w:tcW w:w="534" w:type="dxa"/>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Ref</w:t>
            </w:r>
          </w:p>
        </w:tc>
        <w:tc>
          <w:tcPr>
            <w:tcW w:w="4394" w:type="dxa"/>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Works</w:t>
            </w:r>
          </w:p>
        </w:tc>
        <w:tc>
          <w:tcPr>
            <w:tcW w:w="1197" w:type="dxa"/>
            <w:shd w:val="clear" w:color="auto" w:fill="auto"/>
          </w:tcPr>
          <w:p w:rsidR="002E2FF0" w:rsidRPr="009822B2" w:rsidRDefault="002E2FF0" w:rsidP="002E2FF0">
            <w:pPr>
              <w:contextualSpacing/>
              <w:rPr>
                <w:rFonts w:ascii="Calibri" w:hAnsi="Calibri"/>
                <w:b/>
                <w:sz w:val="22"/>
                <w:szCs w:val="22"/>
              </w:rPr>
            </w:pPr>
            <w:r>
              <w:rPr>
                <w:rFonts w:ascii="Calibri" w:hAnsi="Calibri"/>
                <w:b/>
                <w:sz w:val="22"/>
                <w:szCs w:val="22"/>
              </w:rPr>
              <w:t>Size of floor</w:t>
            </w:r>
          </w:p>
        </w:tc>
        <w:tc>
          <w:tcPr>
            <w:tcW w:w="1197" w:type="dxa"/>
            <w:tcBorders>
              <w:bottom w:val="single" w:sz="4" w:space="0" w:color="auto"/>
            </w:tcBorders>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Rate</w:t>
            </w:r>
            <w:r>
              <w:rPr>
                <w:rFonts w:ascii="Calibri" w:hAnsi="Calibri"/>
                <w:b/>
                <w:sz w:val="22"/>
                <w:szCs w:val="22"/>
              </w:rPr>
              <w:t xml:space="preserve"> per floor £</w:t>
            </w:r>
          </w:p>
        </w:tc>
        <w:tc>
          <w:tcPr>
            <w:tcW w:w="1197" w:type="dxa"/>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Quantity</w:t>
            </w:r>
          </w:p>
        </w:tc>
        <w:tc>
          <w:tcPr>
            <w:tcW w:w="1512" w:type="dxa"/>
            <w:tcBorders>
              <w:bottom w:val="single" w:sz="4" w:space="0" w:color="auto"/>
            </w:tcBorders>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Price £</w:t>
            </w: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1</w:t>
            </w: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Removal of existing sheet flooring, preparation and application of a cementitious smoothing compound over a concrete or screed floor</w:t>
            </w:r>
          </w:p>
        </w:tc>
        <w:tc>
          <w:tcPr>
            <w:tcW w:w="1197"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&lt;4m2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20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&lt;8m2</w:t>
            </w:r>
          </w:p>
        </w:tc>
        <w:tc>
          <w:tcPr>
            <w:tcW w:w="1197" w:type="dxa"/>
            <w:shd w:val="clear" w:color="auto" w:fill="D9D9D9" w:themeFill="background1" w:themeFillShade="D9"/>
          </w:tcPr>
          <w:p w:rsidR="0038357D" w:rsidRDefault="0038357D" w:rsidP="0038357D">
            <w:pPr>
              <w:ind w:right="-279"/>
              <w:contextualSpacing/>
              <w:rPr>
                <w:rFonts w:ascii="Calibri" w:hAnsi="Calibri"/>
                <w:sz w:val="22"/>
                <w:szCs w:val="22"/>
              </w:rPr>
            </w:pPr>
          </w:p>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&lt;12m2</w:t>
            </w:r>
          </w:p>
        </w:tc>
        <w:tc>
          <w:tcPr>
            <w:tcW w:w="1197" w:type="dxa"/>
            <w:shd w:val="clear" w:color="auto" w:fill="D9D9D9" w:themeFill="background1" w:themeFillShade="D9"/>
          </w:tcPr>
          <w:p w:rsidR="0038357D" w:rsidRDefault="0038357D" w:rsidP="0038357D">
            <w:pPr>
              <w:ind w:right="-279"/>
              <w:contextualSpacing/>
              <w:rPr>
                <w:rFonts w:ascii="Calibri" w:hAnsi="Calibri"/>
                <w:sz w:val="22"/>
                <w:szCs w:val="22"/>
              </w:rPr>
            </w:pPr>
          </w:p>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&lt;16m2</w:t>
            </w:r>
          </w:p>
        </w:tc>
        <w:tc>
          <w:tcPr>
            <w:tcW w:w="1197" w:type="dxa"/>
            <w:shd w:val="clear" w:color="auto" w:fill="D9D9D9" w:themeFill="background1" w:themeFillShade="D9"/>
          </w:tcPr>
          <w:p w:rsidR="0038357D" w:rsidRDefault="0038357D" w:rsidP="0038357D">
            <w:pPr>
              <w:ind w:right="-279"/>
              <w:contextualSpacing/>
              <w:rPr>
                <w:rFonts w:ascii="Calibri" w:hAnsi="Calibri"/>
                <w:sz w:val="22"/>
                <w:szCs w:val="22"/>
              </w:rPr>
            </w:pPr>
          </w:p>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C6580">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The rate for any works above 20m2 shall be pro-rata the 20m2 rate</w:t>
            </w:r>
          </w:p>
        </w:tc>
        <w:tc>
          <w:tcPr>
            <w:tcW w:w="1197"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&lt;20m2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tcBorders>
              <w:bottom w:val="single" w:sz="4" w:space="0" w:color="auto"/>
            </w:tcBorders>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2E2FF0" w:rsidRPr="009822B2" w:rsidTr="00CC6580">
        <w:tc>
          <w:tcPr>
            <w:tcW w:w="534" w:type="dxa"/>
            <w:shd w:val="clear" w:color="auto" w:fill="auto"/>
          </w:tcPr>
          <w:p w:rsidR="002E2FF0" w:rsidRPr="009822B2" w:rsidRDefault="002E2FF0" w:rsidP="002E2FF0">
            <w:pPr>
              <w:ind w:right="-279"/>
              <w:contextualSpacing/>
              <w:rPr>
                <w:rFonts w:ascii="Calibri" w:hAnsi="Calibri"/>
                <w:sz w:val="22"/>
                <w:szCs w:val="22"/>
              </w:rPr>
            </w:pPr>
          </w:p>
        </w:tc>
        <w:tc>
          <w:tcPr>
            <w:tcW w:w="4394" w:type="dxa"/>
            <w:shd w:val="clear" w:color="auto" w:fill="auto"/>
          </w:tcPr>
          <w:p w:rsidR="002E2FF0" w:rsidRPr="00C004D3" w:rsidRDefault="002E2FF0" w:rsidP="002E2FF0">
            <w:pPr>
              <w:ind w:right="33"/>
              <w:contextualSpacing/>
              <w:rPr>
                <w:rFonts w:ascii="Calibri" w:hAnsi="Calibri"/>
                <w:b/>
                <w:sz w:val="22"/>
                <w:szCs w:val="22"/>
              </w:rPr>
            </w:pPr>
          </w:p>
          <w:p w:rsidR="002E2FF0" w:rsidRPr="00C004D3" w:rsidRDefault="00C004D3" w:rsidP="002E2FF0">
            <w:pPr>
              <w:ind w:right="33"/>
              <w:contextualSpacing/>
              <w:rPr>
                <w:rFonts w:ascii="Calibri" w:hAnsi="Calibri"/>
                <w:b/>
                <w:sz w:val="22"/>
                <w:szCs w:val="22"/>
              </w:rPr>
            </w:pPr>
            <w:r w:rsidRPr="00C004D3">
              <w:rPr>
                <w:rFonts w:ascii="Calibri" w:hAnsi="Calibri"/>
                <w:b/>
                <w:sz w:val="22"/>
                <w:szCs w:val="22"/>
              </w:rPr>
              <w:t>Total Carried forward</w:t>
            </w: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512" w:type="dxa"/>
            <w:tcBorders>
              <w:bottom w:val="double" w:sz="4" w:space="0" w:color="auto"/>
            </w:tcBorders>
            <w:shd w:val="clear" w:color="auto" w:fill="D9D9D9" w:themeFill="background1" w:themeFillShade="D9"/>
          </w:tcPr>
          <w:p w:rsidR="002E2FF0" w:rsidRPr="009822B2" w:rsidRDefault="002E2FF0" w:rsidP="002E2FF0">
            <w:pPr>
              <w:ind w:right="-279"/>
              <w:contextualSpacing/>
              <w:rPr>
                <w:rFonts w:ascii="Calibri" w:hAnsi="Calibri"/>
                <w:sz w:val="22"/>
                <w:szCs w:val="22"/>
              </w:rPr>
            </w:pPr>
          </w:p>
        </w:tc>
      </w:tr>
    </w:tbl>
    <w:p w:rsidR="002E2FF0" w:rsidRDefault="002E2FF0"/>
    <w:p w:rsidR="002E2FF0" w:rsidRDefault="002E2FF0">
      <w:r>
        <w:br w:type="page"/>
      </w:r>
    </w:p>
    <w:p w:rsidR="002E2FF0" w:rsidRDefault="002E2FF0"/>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197"/>
        <w:gridCol w:w="1197"/>
        <w:gridCol w:w="1197"/>
        <w:gridCol w:w="1512"/>
      </w:tblGrid>
      <w:tr w:rsidR="002E2FF0" w:rsidRPr="009822B2" w:rsidTr="00C004D3">
        <w:tc>
          <w:tcPr>
            <w:tcW w:w="534" w:type="dxa"/>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Ref</w:t>
            </w:r>
          </w:p>
        </w:tc>
        <w:tc>
          <w:tcPr>
            <w:tcW w:w="4394" w:type="dxa"/>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Works</w:t>
            </w:r>
          </w:p>
        </w:tc>
        <w:tc>
          <w:tcPr>
            <w:tcW w:w="1197" w:type="dxa"/>
            <w:shd w:val="clear" w:color="auto" w:fill="auto"/>
          </w:tcPr>
          <w:p w:rsidR="002E2FF0" w:rsidRPr="009822B2" w:rsidRDefault="002E2FF0" w:rsidP="002E2FF0">
            <w:pPr>
              <w:contextualSpacing/>
              <w:rPr>
                <w:rFonts w:ascii="Calibri" w:hAnsi="Calibri"/>
                <w:b/>
                <w:sz w:val="22"/>
                <w:szCs w:val="22"/>
              </w:rPr>
            </w:pPr>
            <w:r>
              <w:rPr>
                <w:rFonts w:ascii="Calibri" w:hAnsi="Calibri"/>
                <w:b/>
                <w:sz w:val="22"/>
                <w:szCs w:val="22"/>
              </w:rPr>
              <w:t>Size of floor</w:t>
            </w:r>
          </w:p>
        </w:tc>
        <w:tc>
          <w:tcPr>
            <w:tcW w:w="1197" w:type="dxa"/>
            <w:tcBorders>
              <w:bottom w:val="single" w:sz="4" w:space="0" w:color="auto"/>
            </w:tcBorders>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Rate</w:t>
            </w:r>
            <w:r>
              <w:rPr>
                <w:rFonts w:ascii="Calibri" w:hAnsi="Calibri"/>
                <w:b/>
                <w:sz w:val="22"/>
                <w:szCs w:val="22"/>
              </w:rPr>
              <w:t xml:space="preserve"> per floor £</w:t>
            </w:r>
          </w:p>
        </w:tc>
        <w:tc>
          <w:tcPr>
            <w:tcW w:w="1197" w:type="dxa"/>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Quantity</w:t>
            </w:r>
          </w:p>
        </w:tc>
        <w:tc>
          <w:tcPr>
            <w:tcW w:w="1512" w:type="dxa"/>
            <w:tcBorders>
              <w:bottom w:val="single" w:sz="4" w:space="0" w:color="auto"/>
            </w:tcBorders>
            <w:shd w:val="clear" w:color="auto" w:fill="auto"/>
          </w:tcPr>
          <w:p w:rsidR="002E2FF0" w:rsidRPr="009822B2" w:rsidRDefault="002E2FF0" w:rsidP="002E2FF0">
            <w:pPr>
              <w:ind w:right="-279"/>
              <w:contextualSpacing/>
              <w:rPr>
                <w:rFonts w:ascii="Calibri" w:hAnsi="Calibri"/>
                <w:b/>
                <w:sz w:val="22"/>
                <w:szCs w:val="22"/>
              </w:rPr>
            </w:pPr>
            <w:r w:rsidRPr="009822B2">
              <w:rPr>
                <w:rFonts w:ascii="Calibri" w:hAnsi="Calibri"/>
                <w:b/>
                <w:sz w:val="22"/>
                <w:szCs w:val="22"/>
              </w:rPr>
              <w:t>Price £</w:t>
            </w: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2</w:t>
            </w: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Removal of existing sheet flooring and any underlayment, preparation and application of a new underlayment</w:t>
            </w:r>
            <w:r>
              <w:rPr>
                <w:rFonts w:ascii="Calibri" w:hAnsi="Calibri"/>
                <w:sz w:val="22"/>
                <w:szCs w:val="22"/>
              </w:rPr>
              <w:t xml:space="preserve"> (Plywood)</w:t>
            </w:r>
            <w:r w:rsidRPr="009822B2">
              <w:rPr>
                <w:rFonts w:ascii="Calibri" w:hAnsi="Calibri"/>
                <w:sz w:val="22"/>
                <w:szCs w:val="22"/>
              </w:rPr>
              <w:t xml:space="preserve"> as well as a primer over mastic asphalt</w:t>
            </w: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4m2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20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8m2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12m2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16m2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The rate for any works above 20m2 shall be pro-rata the 20m2 rate</w:t>
            </w: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20m2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2E2FF0" w:rsidRPr="009822B2" w:rsidTr="00C004D3">
        <w:tc>
          <w:tcPr>
            <w:tcW w:w="534" w:type="dxa"/>
            <w:shd w:val="clear" w:color="auto" w:fill="auto"/>
          </w:tcPr>
          <w:p w:rsidR="002E2FF0" w:rsidRPr="009822B2" w:rsidRDefault="002E2FF0" w:rsidP="002E2FF0">
            <w:pPr>
              <w:ind w:right="-279"/>
              <w:contextualSpacing/>
              <w:rPr>
                <w:rFonts w:ascii="Calibri" w:hAnsi="Calibri"/>
                <w:b/>
                <w:sz w:val="22"/>
                <w:szCs w:val="22"/>
              </w:rPr>
            </w:pPr>
          </w:p>
        </w:tc>
        <w:tc>
          <w:tcPr>
            <w:tcW w:w="4394" w:type="dxa"/>
            <w:shd w:val="clear" w:color="auto" w:fill="auto"/>
          </w:tcPr>
          <w:p w:rsidR="002E2FF0" w:rsidRPr="009822B2" w:rsidRDefault="002E2FF0" w:rsidP="002E2FF0">
            <w:pPr>
              <w:ind w:right="-279"/>
              <w:contextualSpacing/>
              <w:rPr>
                <w:rFonts w:ascii="Calibri" w:hAnsi="Calibri"/>
                <w:b/>
                <w:sz w:val="22"/>
                <w:szCs w:val="22"/>
              </w:rPr>
            </w:pPr>
          </w:p>
        </w:tc>
        <w:tc>
          <w:tcPr>
            <w:tcW w:w="1197" w:type="dxa"/>
            <w:shd w:val="clear" w:color="auto" w:fill="auto"/>
          </w:tcPr>
          <w:p w:rsidR="002E2FF0" w:rsidRPr="009822B2" w:rsidRDefault="002E2FF0" w:rsidP="002E2FF0">
            <w:pPr>
              <w:contextualSpacing/>
              <w:rPr>
                <w:rFonts w:ascii="Calibri" w:hAnsi="Calibri"/>
                <w:b/>
                <w:sz w:val="22"/>
                <w:szCs w:val="22"/>
              </w:rPr>
            </w:pPr>
          </w:p>
        </w:tc>
        <w:tc>
          <w:tcPr>
            <w:tcW w:w="1197" w:type="dxa"/>
            <w:shd w:val="clear" w:color="auto" w:fill="auto"/>
          </w:tcPr>
          <w:p w:rsidR="002E2FF0" w:rsidRPr="009822B2" w:rsidRDefault="002E2FF0" w:rsidP="002E2FF0">
            <w:pPr>
              <w:ind w:right="-279"/>
              <w:contextualSpacing/>
              <w:rPr>
                <w:rFonts w:ascii="Calibri" w:hAnsi="Calibri"/>
                <w:b/>
                <w:sz w:val="22"/>
                <w:szCs w:val="22"/>
              </w:rPr>
            </w:pPr>
          </w:p>
        </w:tc>
        <w:tc>
          <w:tcPr>
            <w:tcW w:w="1197" w:type="dxa"/>
            <w:shd w:val="clear" w:color="auto" w:fill="auto"/>
          </w:tcPr>
          <w:p w:rsidR="002E2FF0" w:rsidRPr="009822B2" w:rsidRDefault="002E2FF0" w:rsidP="002E2FF0">
            <w:pPr>
              <w:ind w:right="-279"/>
              <w:contextualSpacing/>
              <w:rPr>
                <w:rFonts w:ascii="Calibri" w:hAnsi="Calibri"/>
                <w:b/>
                <w:sz w:val="22"/>
                <w:szCs w:val="22"/>
              </w:rPr>
            </w:pPr>
          </w:p>
        </w:tc>
        <w:tc>
          <w:tcPr>
            <w:tcW w:w="1512" w:type="dxa"/>
            <w:shd w:val="clear" w:color="auto" w:fill="auto"/>
          </w:tcPr>
          <w:p w:rsidR="002E2FF0" w:rsidRPr="009822B2" w:rsidRDefault="002E2FF0" w:rsidP="002E2FF0">
            <w:pPr>
              <w:ind w:right="-279"/>
              <w:contextualSpacing/>
              <w:rPr>
                <w:rFonts w:ascii="Calibri" w:hAnsi="Calibri"/>
                <w:b/>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3</w:t>
            </w: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Removal of existing sheet flooring, preparation, including mechanical abrasion and application of a cementitious smoothing compound over quarry tiles.</w:t>
            </w: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4m2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20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8m2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12m2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16m2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The rate for any works above 20m2 shall be pro-rata the 20m2 rate</w:t>
            </w: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20m2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2E2FF0" w:rsidRPr="009822B2" w:rsidTr="00C004D3">
        <w:tc>
          <w:tcPr>
            <w:tcW w:w="534" w:type="dxa"/>
            <w:shd w:val="clear" w:color="auto" w:fill="auto"/>
          </w:tcPr>
          <w:p w:rsidR="002E2FF0" w:rsidRPr="009822B2" w:rsidRDefault="002E2FF0" w:rsidP="002E2FF0">
            <w:pPr>
              <w:ind w:right="-279"/>
              <w:contextualSpacing/>
              <w:rPr>
                <w:rFonts w:ascii="Calibri" w:hAnsi="Calibri"/>
                <w:sz w:val="22"/>
                <w:szCs w:val="22"/>
              </w:rPr>
            </w:pPr>
          </w:p>
        </w:tc>
        <w:tc>
          <w:tcPr>
            <w:tcW w:w="4394" w:type="dxa"/>
            <w:shd w:val="clear" w:color="auto" w:fill="auto"/>
          </w:tcPr>
          <w:p w:rsidR="002E2FF0" w:rsidRPr="009822B2" w:rsidRDefault="002E2FF0" w:rsidP="002E2FF0">
            <w:pPr>
              <w:ind w:right="33"/>
              <w:contextualSpacing/>
              <w:rPr>
                <w:rFonts w:ascii="Calibri" w:hAnsi="Calibri"/>
                <w:sz w:val="22"/>
                <w:szCs w:val="22"/>
              </w:rPr>
            </w:pP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512" w:type="dxa"/>
            <w:shd w:val="clear" w:color="auto" w:fill="auto"/>
          </w:tcPr>
          <w:p w:rsidR="002E2FF0" w:rsidRPr="009822B2" w:rsidRDefault="002E2FF0" w:rsidP="002E2FF0">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4</w:t>
            </w: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Removal of existing sheet flooring and any underlayment, preparation of the t</w:t>
            </w:r>
            <w:r>
              <w:rPr>
                <w:rFonts w:ascii="Calibri" w:hAnsi="Calibri"/>
                <w:sz w:val="22"/>
                <w:szCs w:val="22"/>
              </w:rPr>
              <w:t>imber flooring, application of</w:t>
            </w:r>
            <w:r w:rsidRPr="009822B2">
              <w:rPr>
                <w:rFonts w:ascii="Calibri" w:hAnsi="Calibri"/>
                <w:sz w:val="22"/>
                <w:szCs w:val="22"/>
              </w:rPr>
              <w:t xml:space="preserve"> new 6mm WBP plywood (not hardboard).</w:t>
            </w: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4m2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20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8m2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12m2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16m2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The rate for any works above 20m2 shall be pro-rata the 20m2 rate</w:t>
            </w: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20m2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2E2FF0" w:rsidRPr="009822B2" w:rsidTr="00C004D3">
        <w:tc>
          <w:tcPr>
            <w:tcW w:w="534" w:type="dxa"/>
            <w:shd w:val="clear" w:color="auto" w:fill="auto"/>
          </w:tcPr>
          <w:p w:rsidR="002E2FF0" w:rsidRPr="009822B2" w:rsidRDefault="002E2FF0" w:rsidP="002E2FF0">
            <w:pPr>
              <w:ind w:right="-279"/>
              <w:contextualSpacing/>
              <w:rPr>
                <w:rFonts w:ascii="Calibri" w:hAnsi="Calibri"/>
                <w:sz w:val="22"/>
                <w:szCs w:val="22"/>
              </w:rPr>
            </w:pPr>
          </w:p>
        </w:tc>
        <w:tc>
          <w:tcPr>
            <w:tcW w:w="4394" w:type="dxa"/>
            <w:shd w:val="clear" w:color="auto" w:fill="auto"/>
          </w:tcPr>
          <w:p w:rsidR="002E2FF0" w:rsidRPr="009822B2" w:rsidRDefault="002E2FF0" w:rsidP="002E2FF0">
            <w:pPr>
              <w:ind w:right="33"/>
              <w:contextualSpacing/>
              <w:rPr>
                <w:rFonts w:ascii="Calibri" w:hAnsi="Calibri"/>
                <w:sz w:val="22"/>
                <w:szCs w:val="22"/>
              </w:rPr>
            </w:pP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197" w:type="dxa"/>
            <w:shd w:val="clear" w:color="auto" w:fill="auto"/>
          </w:tcPr>
          <w:p w:rsidR="002E2FF0" w:rsidRPr="009822B2" w:rsidRDefault="002E2FF0" w:rsidP="002E2FF0">
            <w:pPr>
              <w:ind w:right="-279"/>
              <w:contextualSpacing/>
              <w:rPr>
                <w:rFonts w:ascii="Calibri" w:hAnsi="Calibri"/>
                <w:sz w:val="22"/>
                <w:szCs w:val="22"/>
              </w:rPr>
            </w:pPr>
          </w:p>
        </w:tc>
        <w:tc>
          <w:tcPr>
            <w:tcW w:w="1512" w:type="dxa"/>
            <w:shd w:val="clear" w:color="auto" w:fill="auto"/>
          </w:tcPr>
          <w:p w:rsidR="002E2FF0" w:rsidRPr="009822B2" w:rsidRDefault="002E2FF0" w:rsidP="002E2FF0">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r w:rsidRPr="009822B2">
              <w:rPr>
                <w:rFonts w:ascii="Calibri" w:hAnsi="Calibri"/>
                <w:sz w:val="22"/>
                <w:szCs w:val="22"/>
              </w:rPr>
              <w:t>5</w:t>
            </w: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 xml:space="preserve">Supply and installation of </w:t>
            </w:r>
            <w:r>
              <w:rPr>
                <w:rFonts w:ascii="Calibri" w:hAnsi="Calibri"/>
                <w:sz w:val="22"/>
                <w:szCs w:val="22"/>
              </w:rPr>
              <w:t xml:space="preserve">vinyl sheet flooring </w:t>
            </w:r>
            <w:r w:rsidRPr="009822B2">
              <w:rPr>
                <w:rFonts w:ascii="Calibri" w:hAnsi="Calibri"/>
                <w:sz w:val="22"/>
                <w:szCs w:val="22"/>
              </w:rPr>
              <w:t xml:space="preserve">to complete kitchen floor.  There are to be no coved formed or pre-formed </w:t>
            </w:r>
            <w:proofErr w:type="spellStart"/>
            <w:r w:rsidRPr="009822B2">
              <w:rPr>
                <w:rFonts w:ascii="Calibri" w:hAnsi="Calibri"/>
                <w:sz w:val="22"/>
                <w:szCs w:val="22"/>
              </w:rPr>
              <w:t>skirtings</w:t>
            </w:r>
            <w:proofErr w:type="spellEnd"/>
            <w:r w:rsidRPr="009822B2">
              <w:rPr>
                <w:rFonts w:ascii="Calibri" w:hAnsi="Calibri"/>
                <w:sz w:val="22"/>
                <w:szCs w:val="22"/>
              </w:rPr>
              <w:t xml:space="preserve"> in kitchens.  The sheet vinyl is to extend under the plinths and fully into every space occupied by an appliance or otherwise.  All joints and cuts are to be hot welded</w:t>
            </w: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4m2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20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8m2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12m2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004D3">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16m2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50 </w:t>
            </w:r>
            <w:proofErr w:type="spellStart"/>
            <w:r>
              <w:rPr>
                <w:rFonts w:ascii="Calibri" w:hAnsi="Calibri"/>
                <w:sz w:val="22"/>
                <w:szCs w:val="22"/>
              </w:rPr>
              <w:t>Nr</w:t>
            </w:r>
            <w:proofErr w:type="spellEnd"/>
          </w:p>
        </w:tc>
        <w:tc>
          <w:tcPr>
            <w:tcW w:w="1512"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38357D" w:rsidRPr="009822B2" w:rsidTr="00CC6580">
        <w:tc>
          <w:tcPr>
            <w:tcW w:w="534" w:type="dxa"/>
            <w:shd w:val="clear" w:color="auto" w:fill="auto"/>
          </w:tcPr>
          <w:p w:rsidR="0038357D" w:rsidRPr="009822B2" w:rsidRDefault="0038357D" w:rsidP="0038357D">
            <w:pPr>
              <w:ind w:right="-279"/>
              <w:contextualSpacing/>
              <w:rPr>
                <w:rFonts w:ascii="Calibri" w:hAnsi="Calibri"/>
                <w:sz w:val="22"/>
                <w:szCs w:val="22"/>
              </w:rPr>
            </w:pPr>
          </w:p>
        </w:tc>
        <w:tc>
          <w:tcPr>
            <w:tcW w:w="4394" w:type="dxa"/>
            <w:shd w:val="clear" w:color="auto" w:fill="auto"/>
          </w:tcPr>
          <w:p w:rsidR="0038357D" w:rsidRPr="009822B2" w:rsidRDefault="0038357D" w:rsidP="0038357D">
            <w:pPr>
              <w:ind w:right="33"/>
              <w:contextualSpacing/>
              <w:rPr>
                <w:rFonts w:ascii="Calibri" w:hAnsi="Calibri"/>
                <w:sz w:val="22"/>
                <w:szCs w:val="22"/>
              </w:rPr>
            </w:pPr>
            <w:r w:rsidRPr="009822B2">
              <w:rPr>
                <w:rFonts w:ascii="Calibri" w:hAnsi="Calibri"/>
                <w:sz w:val="22"/>
                <w:szCs w:val="22"/>
              </w:rPr>
              <w:t>The rate for any works above 20m2 shall be pro-rata the 20m2 rate</w:t>
            </w: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20m2</w:t>
            </w:r>
          </w:p>
        </w:tc>
        <w:tc>
          <w:tcPr>
            <w:tcW w:w="1197" w:type="dxa"/>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c>
          <w:tcPr>
            <w:tcW w:w="1197" w:type="dxa"/>
            <w:shd w:val="clear" w:color="auto" w:fill="auto"/>
          </w:tcPr>
          <w:p w:rsidR="0038357D" w:rsidRPr="009822B2" w:rsidRDefault="0038357D" w:rsidP="0038357D">
            <w:pPr>
              <w:ind w:right="-279"/>
              <w:contextualSpacing/>
              <w:rPr>
                <w:rFonts w:ascii="Calibri" w:hAnsi="Calibri"/>
                <w:sz w:val="22"/>
                <w:szCs w:val="22"/>
              </w:rPr>
            </w:pPr>
            <w:r>
              <w:rPr>
                <w:rFonts w:ascii="Calibri" w:hAnsi="Calibri"/>
                <w:sz w:val="22"/>
                <w:szCs w:val="22"/>
              </w:rPr>
              <w:t xml:space="preserve">40 </w:t>
            </w:r>
            <w:proofErr w:type="spellStart"/>
            <w:r>
              <w:rPr>
                <w:rFonts w:ascii="Calibri" w:hAnsi="Calibri"/>
                <w:sz w:val="22"/>
                <w:szCs w:val="22"/>
              </w:rPr>
              <w:t>Nr</w:t>
            </w:r>
            <w:proofErr w:type="spellEnd"/>
          </w:p>
        </w:tc>
        <w:tc>
          <w:tcPr>
            <w:tcW w:w="1512" w:type="dxa"/>
            <w:tcBorders>
              <w:bottom w:val="single" w:sz="4" w:space="0" w:color="auto"/>
            </w:tcBorders>
            <w:shd w:val="clear" w:color="auto" w:fill="D9D9D9" w:themeFill="background1" w:themeFillShade="D9"/>
          </w:tcPr>
          <w:p w:rsidR="0038357D" w:rsidRPr="009822B2" w:rsidRDefault="0038357D" w:rsidP="0038357D">
            <w:pPr>
              <w:ind w:right="-279"/>
              <w:contextualSpacing/>
              <w:rPr>
                <w:rFonts w:ascii="Calibri" w:hAnsi="Calibri"/>
                <w:sz w:val="22"/>
                <w:szCs w:val="22"/>
              </w:rPr>
            </w:pPr>
          </w:p>
        </w:tc>
      </w:tr>
      <w:tr w:rsidR="00C004D3" w:rsidRPr="009822B2" w:rsidTr="00CC6580">
        <w:tc>
          <w:tcPr>
            <w:tcW w:w="534" w:type="dxa"/>
            <w:shd w:val="clear" w:color="auto" w:fill="auto"/>
          </w:tcPr>
          <w:p w:rsidR="00C004D3" w:rsidRPr="009822B2" w:rsidRDefault="00C004D3" w:rsidP="00C004D3">
            <w:pPr>
              <w:ind w:right="-279"/>
              <w:contextualSpacing/>
              <w:rPr>
                <w:rFonts w:ascii="Calibri" w:hAnsi="Calibri"/>
                <w:sz w:val="22"/>
                <w:szCs w:val="22"/>
              </w:rPr>
            </w:pPr>
          </w:p>
        </w:tc>
        <w:tc>
          <w:tcPr>
            <w:tcW w:w="4394" w:type="dxa"/>
            <w:shd w:val="clear" w:color="auto" w:fill="auto"/>
          </w:tcPr>
          <w:p w:rsidR="00C004D3" w:rsidRPr="00C004D3" w:rsidRDefault="00C004D3" w:rsidP="00C004D3">
            <w:pPr>
              <w:ind w:right="33"/>
              <w:contextualSpacing/>
              <w:rPr>
                <w:rFonts w:ascii="Calibri" w:hAnsi="Calibri"/>
                <w:b/>
                <w:sz w:val="22"/>
                <w:szCs w:val="22"/>
              </w:rPr>
            </w:pPr>
          </w:p>
          <w:p w:rsidR="00C004D3" w:rsidRPr="00C004D3" w:rsidRDefault="00C004D3" w:rsidP="00C004D3">
            <w:pPr>
              <w:ind w:right="33"/>
              <w:contextualSpacing/>
              <w:rPr>
                <w:rFonts w:ascii="Calibri" w:hAnsi="Calibri"/>
                <w:b/>
                <w:sz w:val="22"/>
                <w:szCs w:val="22"/>
              </w:rPr>
            </w:pPr>
            <w:r w:rsidRPr="00C004D3">
              <w:rPr>
                <w:rFonts w:ascii="Calibri" w:hAnsi="Calibri"/>
                <w:b/>
                <w:sz w:val="22"/>
                <w:szCs w:val="22"/>
              </w:rPr>
              <w:t>Total Carried forward</w:t>
            </w:r>
          </w:p>
        </w:tc>
        <w:tc>
          <w:tcPr>
            <w:tcW w:w="1197" w:type="dxa"/>
            <w:shd w:val="clear" w:color="auto" w:fill="auto"/>
          </w:tcPr>
          <w:p w:rsidR="00C004D3" w:rsidRPr="009822B2" w:rsidRDefault="00C004D3" w:rsidP="00C004D3">
            <w:pPr>
              <w:ind w:right="-279"/>
              <w:contextualSpacing/>
              <w:rPr>
                <w:rFonts w:ascii="Calibri" w:hAnsi="Calibri"/>
                <w:sz w:val="22"/>
                <w:szCs w:val="22"/>
              </w:rPr>
            </w:pPr>
          </w:p>
        </w:tc>
        <w:tc>
          <w:tcPr>
            <w:tcW w:w="1197" w:type="dxa"/>
            <w:shd w:val="clear" w:color="auto" w:fill="auto"/>
          </w:tcPr>
          <w:p w:rsidR="00C004D3" w:rsidRPr="009822B2" w:rsidRDefault="00C004D3" w:rsidP="00C004D3">
            <w:pPr>
              <w:ind w:right="-279"/>
              <w:contextualSpacing/>
              <w:rPr>
                <w:rFonts w:ascii="Calibri" w:hAnsi="Calibri"/>
                <w:sz w:val="22"/>
                <w:szCs w:val="22"/>
              </w:rPr>
            </w:pPr>
          </w:p>
        </w:tc>
        <w:tc>
          <w:tcPr>
            <w:tcW w:w="1197" w:type="dxa"/>
            <w:shd w:val="clear" w:color="auto" w:fill="auto"/>
          </w:tcPr>
          <w:p w:rsidR="00C004D3" w:rsidRPr="009822B2" w:rsidRDefault="00C004D3" w:rsidP="00C004D3">
            <w:pPr>
              <w:ind w:right="-279"/>
              <w:contextualSpacing/>
              <w:rPr>
                <w:rFonts w:ascii="Calibri" w:hAnsi="Calibri"/>
                <w:sz w:val="22"/>
                <w:szCs w:val="22"/>
              </w:rPr>
            </w:pPr>
          </w:p>
        </w:tc>
        <w:tc>
          <w:tcPr>
            <w:tcW w:w="1512" w:type="dxa"/>
            <w:tcBorders>
              <w:bottom w:val="double" w:sz="4" w:space="0" w:color="auto"/>
            </w:tcBorders>
            <w:shd w:val="clear" w:color="auto" w:fill="D9D9D9" w:themeFill="background1" w:themeFillShade="D9"/>
          </w:tcPr>
          <w:p w:rsidR="00C004D3" w:rsidRPr="009822B2" w:rsidRDefault="00C004D3" w:rsidP="00C004D3">
            <w:pPr>
              <w:ind w:right="-279"/>
              <w:contextualSpacing/>
              <w:rPr>
                <w:rFonts w:ascii="Calibri" w:hAnsi="Calibri"/>
                <w:sz w:val="22"/>
                <w:szCs w:val="22"/>
              </w:rPr>
            </w:pPr>
          </w:p>
        </w:tc>
      </w:tr>
    </w:tbl>
    <w:p w:rsidR="00C004D3" w:rsidRDefault="00C004D3"/>
    <w:p w:rsidR="00C004D3" w:rsidRDefault="00C004D3">
      <w:r>
        <w:br w:type="page"/>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197"/>
        <w:gridCol w:w="1197"/>
        <w:gridCol w:w="1197"/>
        <w:gridCol w:w="1654"/>
      </w:tblGrid>
      <w:tr w:rsidR="00DD0659" w:rsidRPr="009822B2" w:rsidTr="00DD0659">
        <w:tc>
          <w:tcPr>
            <w:tcW w:w="534"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lastRenderedPageBreak/>
              <w:t>Ref</w:t>
            </w:r>
          </w:p>
        </w:tc>
        <w:tc>
          <w:tcPr>
            <w:tcW w:w="4394"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Works</w:t>
            </w:r>
          </w:p>
        </w:tc>
        <w:tc>
          <w:tcPr>
            <w:tcW w:w="1197" w:type="dxa"/>
            <w:shd w:val="clear" w:color="auto" w:fill="auto"/>
          </w:tcPr>
          <w:p w:rsidR="00DD0659" w:rsidRPr="009822B2" w:rsidRDefault="00DD0659" w:rsidP="00DD0659">
            <w:pPr>
              <w:contextualSpacing/>
              <w:rPr>
                <w:rFonts w:ascii="Calibri" w:hAnsi="Calibri"/>
                <w:b/>
                <w:sz w:val="22"/>
                <w:szCs w:val="22"/>
              </w:rPr>
            </w:pPr>
            <w:r>
              <w:rPr>
                <w:rFonts w:ascii="Calibri" w:hAnsi="Calibri"/>
                <w:b/>
                <w:sz w:val="22"/>
                <w:szCs w:val="22"/>
              </w:rPr>
              <w:t>Size of floor</w:t>
            </w:r>
          </w:p>
        </w:tc>
        <w:tc>
          <w:tcPr>
            <w:tcW w:w="1197"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Rate</w:t>
            </w:r>
            <w:r>
              <w:rPr>
                <w:rFonts w:ascii="Calibri" w:hAnsi="Calibri"/>
                <w:b/>
                <w:sz w:val="22"/>
                <w:szCs w:val="22"/>
              </w:rPr>
              <w:t xml:space="preserve"> per floor £</w:t>
            </w:r>
          </w:p>
        </w:tc>
        <w:tc>
          <w:tcPr>
            <w:tcW w:w="1197"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Quantity</w:t>
            </w:r>
          </w:p>
        </w:tc>
        <w:tc>
          <w:tcPr>
            <w:tcW w:w="1654"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Price £</w:t>
            </w:r>
          </w:p>
        </w:tc>
      </w:tr>
      <w:tr w:rsidR="00DD0659" w:rsidRPr="009822B2" w:rsidTr="00DD0659">
        <w:tc>
          <w:tcPr>
            <w:tcW w:w="534" w:type="dxa"/>
            <w:shd w:val="clear" w:color="auto" w:fill="auto"/>
          </w:tcPr>
          <w:p w:rsidR="00DD0659" w:rsidRPr="009822B2" w:rsidRDefault="00DD0659" w:rsidP="00DD0659">
            <w:pPr>
              <w:ind w:right="-279"/>
              <w:contextualSpacing/>
              <w:rPr>
                <w:rFonts w:ascii="Calibri" w:hAnsi="Calibri"/>
                <w:sz w:val="22"/>
                <w:szCs w:val="22"/>
              </w:rPr>
            </w:pPr>
          </w:p>
        </w:tc>
        <w:tc>
          <w:tcPr>
            <w:tcW w:w="4394" w:type="dxa"/>
            <w:shd w:val="clear" w:color="auto" w:fill="auto"/>
          </w:tcPr>
          <w:p w:rsidR="00DD0659" w:rsidRPr="009822B2" w:rsidRDefault="00DD0659" w:rsidP="00DD0659">
            <w:pPr>
              <w:ind w:right="33"/>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p>
        </w:tc>
        <w:tc>
          <w:tcPr>
            <w:tcW w:w="1654" w:type="dxa"/>
            <w:shd w:val="clear" w:color="auto" w:fill="auto"/>
          </w:tcPr>
          <w:p w:rsidR="00DD0659" w:rsidRPr="009822B2" w:rsidRDefault="00DD0659" w:rsidP="00DD0659">
            <w:pPr>
              <w:ind w:right="-279"/>
              <w:contextualSpacing/>
              <w:rPr>
                <w:rFonts w:ascii="Calibri" w:hAnsi="Calibri"/>
                <w:sz w:val="22"/>
                <w:szCs w:val="22"/>
              </w:rPr>
            </w:pPr>
          </w:p>
        </w:tc>
      </w:tr>
      <w:tr w:rsidR="00DD0659" w:rsidRPr="009822B2" w:rsidTr="00DD0659">
        <w:tc>
          <w:tcPr>
            <w:tcW w:w="534"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6</w:t>
            </w:r>
          </w:p>
        </w:tc>
        <w:tc>
          <w:tcPr>
            <w:tcW w:w="4394" w:type="dxa"/>
            <w:shd w:val="clear" w:color="auto" w:fill="auto"/>
          </w:tcPr>
          <w:p w:rsidR="00DD0659" w:rsidRPr="009822B2" w:rsidRDefault="00DD0659" w:rsidP="00DD0659">
            <w:pPr>
              <w:ind w:right="33"/>
              <w:contextualSpacing/>
              <w:rPr>
                <w:rFonts w:ascii="Calibri" w:hAnsi="Calibri"/>
                <w:sz w:val="22"/>
                <w:szCs w:val="22"/>
              </w:rPr>
            </w:pPr>
            <w:r w:rsidRPr="009822B2">
              <w:rPr>
                <w:rFonts w:ascii="Calibri" w:hAnsi="Calibri"/>
                <w:sz w:val="22"/>
                <w:szCs w:val="22"/>
              </w:rPr>
              <w:t xml:space="preserve">Supply and installation of </w:t>
            </w:r>
            <w:r>
              <w:rPr>
                <w:rFonts w:ascii="Calibri" w:hAnsi="Calibri"/>
                <w:sz w:val="22"/>
                <w:szCs w:val="22"/>
              </w:rPr>
              <w:t xml:space="preserve">vinyl sheet flooring to the </w:t>
            </w:r>
            <w:r w:rsidRPr="009822B2">
              <w:rPr>
                <w:rFonts w:ascii="Calibri" w:hAnsi="Calibri"/>
                <w:sz w:val="22"/>
                <w:szCs w:val="22"/>
              </w:rPr>
              <w:t xml:space="preserve">bathroom floor.  All bathrooms are to have 150mm coved formed </w:t>
            </w:r>
            <w:proofErr w:type="spellStart"/>
            <w:r w:rsidRPr="009822B2">
              <w:rPr>
                <w:rFonts w:ascii="Calibri" w:hAnsi="Calibri"/>
                <w:sz w:val="22"/>
                <w:szCs w:val="22"/>
              </w:rPr>
              <w:t>skirtings</w:t>
            </w:r>
            <w:proofErr w:type="spellEnd"/>
            <w:r w:rsidRPr="009822B2">
              <w:rPr>
                <w:rFonts w:ascii="Calibri" w:hAnsi="Calibri"/>
                <w:sz w:val="22"/>
                <w:szCs w:val="22"/>
              </w:rPr>
              <w:t>.  Allow to run flooring under all appliances to form a wet floor</w:t>
            </w:r>
            <w:r>
              <w:rPr>
                <w:rFonts w:ascii="Calibri" w:hAnsi="Calibri"/>
                <w:sz w:val="22"/>
                <w:szCs w:val="22"/>
              </w:rPr>
              <w:t xml:space="preserve">, also to run the flooring </w:t>
            </w:r>
            <w:r w:rsidRPr="009822B2">
              <w:rPr>
                <w:rFonts w:ascii="Calibri" w:hAnsi="Calibri"/>
                <w:sz w:val="22"/>
                <w:szCs w:val="22"/>
              </w:rPr>
              <w:t>into a</w:t>
            </w:r>
            <w:r>
              <w:rPr>
                <w:rFonts w:ascii="Calibri" w:hAnsi="Calibri"/>
                <w:sz w:val="22"/>
                <w:szCs w:val="22"/>
              </w:rPr>
              <w:t>n</w:t>
            </w:r>
            <w:r w:rsidRPr="009822B2">
              <w:rPr>
                <w:rFonts w:ascii="Calibri" w:hAnsi="Calibri"/>
                <w:sz w:val="22"/>
                <w:szCs w:val="22"/>
              </w:rPr>
              <w:t xml:space="preserve"> inset </w:t>
            </w:r>
            <w:r>
              <w:rPr>
                <w:rFonts w:ascii="Calibri" w:hAnsi="Calibri"/>
                <w:sz w:val="22"/>
                <w:szCs w:val="22"/>
              </w:rPr>
              <w:t xml:space="preserve">floor </w:t>
            </w:r>
            <w:r w:rsidRPr="009822B2">
              <w:rPr>
                <w:rFonts w:ascii="Calibri" w:hAnsi="Calibri"/>
                <w:sz w:val="22"/>
                <w:szCs w:val="22"/>
              </w:rPr>
              <w:t>drain.  All joins and cuts are to be hot welded</w:t>
            </w: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4m2</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 xml:space="preserve">10 </w:t>
            </w:r>
            <w:proofErr w:type="spellStart"/>
            <w:r>
              <w:rPr>
                <w:rFonts w:ascii="Calibri" w:hAnsi="Calibri"/>
                <w:sz w:val="22"/>
                <w:szCs w:val="22"/>
              </w:rPr>
              <w:t>Nr</w:t>
            </w:r>
            <w:proofErr w:type="spellEnd"/>
          </w:p>
        </w:tc>
        <w:tc>
          <w:tcPr>
            <w:tcW w:w="1654"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DD0659">
        <w:tc>
          <w:tcPr>
            <w:tcW w:w="534" w:type="dxa"/>
            <w:shd w:val="clear" w:color="auto" w:fill="auto"/>
          </w:tcPr>
          <w:p w:rsidR="00DD0659" w:rsidRPr="009822B2" w:rsidRDefault="00DD0659" w:rsidP="00DD0659">
            <w:pPr>
              <w:ind w:right="-279"/>
              <w:contextualSpacing/>
              <w:rPr>
                <w:rFonts w:ascii="Calibri" w:hAnsi="Calibri"/>
                <w:sz w:val="22"/>
                <w:szCs w:val="22"/>
              </w:rPr>
            </w:pPr>
          </w:p>
        </w:tc>
        <w:tc>
          <w:tcPr>
            <w:tcW w:w="4394" w:type="dxa"/>
            <w:shd w:val="clear" w:color="auto" w:fill="auto"/>
          </w:tcPr>
          <w:p w:rsidR="00DD0659" w:rsidRPr="009822B2" w:rsidRDefault="00DD0659" w:rsidP="00DD0659">
            <w:pPr>
              <w:ind w:right="33"/>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8m2</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 xml:space="preserve">25 </w:t>
            </w:r>
            <w:proofErr w:type="spellStart"/>
            <w:r>
              <w:rPr>
                <w:rFonts w:ascii="Calibri" w:hAnsi="Calibri"/>
                <w:sz w:val="22"/>
                <w:szCs w:val="22"/>
              </w:rPr>
              <w:t>Nr</w:t>
            </w:r>
            <w:proofErr w:type="spellEnd"/>
          </w:p>
        </w:tc>
        <w:tc>
          <w:tcPr>
            <w:tcW w:w="1654"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DD0659">
        <w:tc>
          <w:tcPr>
            <w:tcW w:w="534" w:type="dxa"/>
            <w:shd w:val="clear" w:color="auto" w:fill="auto"/>
          </w:tcPr>
          <w:p w:rsidR="00DD0659" w:rsidRPr="009822B2" w:rsidRDefault="00DD0659" w:rsidP="00DD0659">
            <w:pPr>
              <w:ind w:right="-279"/>
              <w:contextualSpacing/>
              <w:rPr>
                <w:rFonts w:ascii="Calibri" w:hAnsi="Calibri"/>
                <w:sz w:val="22"/>
                <w:szCs w:val="22"/>
              </w:rPr>
            </w:pPr>
          </w:p>
        </w:tc>
        <w:tc>
          <w:tcPr>
            <w:tcW w:w="4394" w:type="dxa"/>
            <w:shd w:val="clear" w:color="auto" w:fill="auto"/>
          </w:tcPr>
          <w:p w:rsidR="00DD0659" w:rsidRPr="009822B2" w:rsidRDefault="00DD0659" w:rsidP="00DD0659">
            <w:pPr>
              <w:ind w:right="33"/>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12m2</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 xml:space="preserve">20 </w:t>
            </w:r>
            <w:proofErr w:type="spellStart"/>
            <w:r>
              <w:rPr>
                <w:rFonts w:ascii="Calibri" w:hAnsi="Calibri"/>
                <w:sz w:val="22"/>
                <w:szCs w:val="22"/>
              </w:rPr>
              <w:t>Nr</w:t>
            </w:r>
            <w:proofErr w:type="spellEnd"/>
          </w:p>
        </w:tc>
        <w:tc>
          <w:tcPr>
            <w:tcW w:w="1654"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DD0659">
        <w:tc>
          <w:tcPr>
            <w:tcW w:w="534" w:type="dxa"/>
            <w:shd w:val="clear" w:color="auto" w:fill="auto"/>
          </w:tcPr>
          <w:p w:rsidR="00DD0659" w:rsidRPr="009822B2" w:rsidRDefault="00DD0659" w:rsidP="00DD0659">
            <w:pPr>
              <w:ind w:right="-279"/>
              <w:contextualSpacing/>
              <w:rPr>
                <w:rFonts w:ascii="Calibri" w:hAnsi="Calibri"/>
                <w:sz w:val="22"/>
                <w:szCs w:val="22"/>
              </w:rPr>
            </w:pPr>
          </w:p>
        </w:tc>
        <w:tc>
          <w:tcPr>
            <w:tcW w:w="4394" w:type="dxa"/>
            <w:shd w:val="clear" w:color="auto" w:fill="auto"/>
          </w:tcPr>
          <w:p w:rsidR="00DD0659" w:rsidRPr="009822B2" w:rsidRDefault="00DD0659" w:rsidP="00DD0659">
            <w:pPr>
              <w:ind w:right="33"/>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16m2</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 xml:space="preserve">20 </w:t>
            </w:r>
            <w:proofErr w:type="spellStart"/>
            <w:r>
              <w:rPr>
                <w:rFonts w:ascii="Calibri" w:hAnsi="Calibri"/>
                <w:sz w:val="22"/>
                <w:szCs w:val="22"/>
              </w:rPr>
              <w:t>Nr</w:t>
            </w:r>
            <w:proofErr w:type="spellEnd"/>
          </w:p>
        </w:tc>
        <w:tc>
          <w:tcPr>
            <w:tcW w:w="1654"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DD0659">
        <w:tc>
          <w:tcPr>
            <w:tcW w:w="534" w:type="dxa"/>
            <w:shd w:val="clear" w:color="auto" w:fill="auto"/>
          </w:tcPr>
          <w:p w:rsidR="00DD0659" w:rsidRPr="009822B2" w:rsidRDefault="00DD0659" w:rsidP="00DD0659">
            <w:pPr>
              <w:ind w:right="-279"/>
              <w:contextualSpacing/>
              <w:rPr>
                <w:rFonts w:ascii="Calibri" w:hAnsi="Calibri"/>
                <w:sz w:val="22"/>
                <w:szCs w:val="22"/>
              </w:rPr>
            </w:pPr>
          </w:p>
        </w:tc>
        <w:tc>
          <w:tcPr>
            <w:tcW w:w="4394" w:type="dxa"/>
            <w:shd w:val="clear" w:color="auto" w:fill="auto"/>
          </w:tcPr>
          <w:p w:rsidR="00DD0659" w:rsidRPr="009822B2" w:rsidRDefault="00DD0659" w:rsidP="00DD0659">
            <w:pPr>
              <w:ind w:right="33"/>
              <w:contextualSpacing/>
              <w:rPr>
                <w:rFonts w:ascii="Calibri" w:hAnsi="Calibri"/>
                <w:sz w:val="22"/>
                <w:szCs w:val="22"/>
              </w:rPr>
            </w:pPr>
            <w:r w:rsidRPr="009822B2">
              <w:rPr>
                <w:rFonts w:ascii="Calibri" w:hAnsi="Calibri"/>
                <w:sz w:val="22"/>
                <w:szCs w:val="22"/>
              </w:rPr>
              <w:t>The rate for any works above 20m2 shall be pro-rata the 20m2 rate</w:t>
            </w: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cs="Calibri"/>
                <w:sz w:val="22"/>
                <w:szCs w:val="22"/>
              </w:rPr>
              <w:t>≤</w:t>
            </w:r>
            <w:r w:rsidRPr="009822B2">
              <w:rPr>
                <w:rFonts w:ascii="Calibri" w:hAnsi="Calibri"/>
                <w:sz w:val="22"/>
                <w:szCs w:val="22"/>
              </w:rPr>
              <w:t>20m2</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 xml:space="preserve">20 </w:t>
            </w:r>
            <w:proofErr w:type="spellStart"/>
            <w:r>
              <w:rPr>
                <w:rFonts w:ascii="Calibri" w:hAnsi="Calibri"/>
                <w:sz w:val="22"/>
                <w:szCs w:val="22"/>
              </w:rPr>
              <w:t>Nr</w:t>
            </w:r>
            <w:proofErr w:type="spellEnd"/>
          </w:p>
        </w:tc>
        <w:tc>
          <w:tcPr>
            <w:tcW w:w="1654"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DD0659">
        <w:tc>
          <w:tcPr>
            <w:tcW w:w="534" w:type="dxa"/>
            <w:shd w:val="clear" w:color="auto" w:fill="auto"/>
          </w:tcPr>
          <w:p w:rsidR="00DD0659" w:rsidRPr="009822B2" w:rsidRDefault="00DD0659" w:rsidP="00DD0659">
            <w:pPr>
              <w:ind w:right="-279"/>
              <w:contextualSpacing/>
              <w:rPr>
                <w:rFonts w:ascii="Calibri" w:hAnsi="Calibri"/>
                <w:sz w:val="22"/>
                <w:szCs w:val="22"/>
              </w:rPr>
            </w:pPr>
          </w:p>
        </w:tc>
        <w:tc>
          <w:tcPr>
            <w:tcW w:w="4394" w:type="dxa"/>
            <w:shd w:val="clear" w:color="auto" w:fill="auto"/>
          </w:tcPr>
          <w:p w:rsidR="00DD0659" w:rsidRPr="009822B2" w:rsidRDefault="00DD0659" w:rsidP="00DD0659">
            <w:pPr>
              <w:ind w:right="33"/>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p>
        </w:tc>
        <w:tc>
          <w:tcPr>
            <w:tcW w:w="1654" w:type="dxa"/>
            <w:shd w:val="clear" w:color="auto" w:fill="auto"/>
          </w:tcPr>
          <w:p w:rsidR="00DD0659" w:rsidRPr="009822B2" w:rsidRDefault="00DD0659" w:rsidP="00DD0659">
            <w:pPr>
              <w:ind w:right="-279"/>
              <w:contextualSpacing/>
              <w:rPr>
                <w:rFonts w:ascii="Calibri" w:hAnsi="Calibri"/>
                <w:sz w:val="22"/>
                <w:szCs w:val="22"/>
              </w:rPr>
            </w:pPr>
          </w:p>
        </w:tc>
      </w:tr>
      <w:tr w:rsidR="00DD0659" w:rsidRPr="009822B2" w:rsidTr="00DD0659">
        <w:tc>
          <w:tcPr>
            <w:tcW w:w="534"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7</w:t>
            </w:r>
          </w:p>
        </w:tc>
        <w:tc>
          <w:tcPr>
            <w:tcW w:w="4394" w:type="dxa"/>
            <w:shd w:val="clear" w:color="auto" w:fill="auto"/>
          </w:tcPr>
          <w:p w:rsidR="00DD0659" w:rsidRDefault="00DD0659" w:rsidP="00DD0659">
            <w:pPr>
              <w:ind w:right="33"/>
              <w:contextualSpacing/>
              <w:rPr>
                <w:rFonts w:ascii="Calibri" w:hAnsi="Calibri"/>
                <w:sz w:val="22"/>
                <w:szCs w:val="22"/>
              </w:rPr>
            </w:pPr>
            <w:r>
              <w:rPr>
                <w:rFonts w:ascii="Calibri" w:hAnsi="Calibri"/>
                <w:sz w:val="22"/>
                <w:szCs w:val="22"/>
              </w:rPr>
              <w:t>Disconnection and removal of all of the white goods within the bathroom immediately before laying the flooring and reinstating immediately upon completion of the floor.  To these goods, allow for all works associated with disconnecting the live supplies and reconnecting including for any allowance for the slight changes in floor level.  The types of appliances affected include but are not limited to the WHB &amp; Pedestal, WC, bath, large shower tray’s and cubicles.  Allow for Dow Corning 785 White Silicon sealant to be provided to these appliances and cubicles as per manufacturer’s instructions during reinstatement.</w:t>
            </w:r>
          </w:p>
          <w:p w:rsidR="00DD0659" w:rsidRPr="009822B2" w:rsidRDefault="00DD0659" w:rsidP="00DD0659">
            <w:pPr>
              <w:ind w:right="33"/>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Item</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 xml:space="preserve">100 </w:t>
            </w:r>
            <w:proofErr w:type="spellStart"/>
            <w:r>
              <w:rPr>
                <w:rFonts w:ascii="Calibri" w:hAnsi="Calibri"/>
                <w:sz w:val="22"/>
                <w:szCs w:val="22"/>
              </w:rPr>
              <w:t>Nr</w:t>
            </w:r>
            <w:proofErr w:type="spellEnd"/>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DD0659">
        <w:tc>
          <w:tcPr>
            <w:tcW w:w="534" w:type="dxa"/>
            <w:shd w:val="clear" w:color="auto" w:fill="auto"/>
          </w:tcPr>
          <w:p w:rsidR="00DD0659" w:rsidRDefault="00DD0659" w:rsidP="00DD0659">
            <w:pPr>
              <w:ind w:right="-279"/>
              <w:contextualSpacing/>
              <w:rPr>
                <w:rFonts w:ascii="Calibri" w:hAnsi="Calibri"/>
                <w:sz w:val="22"/>
                <w:szCs w:val="22"/>
              </w:rPr>
            </w:pPr>
          </w:p>
        </w:tc>
        <w:tc>
          <w:tcPr>
            <w:tcW w:w="4394" w:type="dxa"/>
            <w:shd w:val="clear" w:color="auto" w:fill="auto"/>
          </w:tcPr>
          <w:p w:rsidR="00DD0659" w:rsidRPr="00C004D3" w:rsidRDefault="00DD0659" w:rsidP="00DD0659">
            <w:pPr>
              <w:ind w:right="33"/>
              <w:contextualSpacing/>
              <w:rPr>
                <w:rFonts w:ascii="Calibri" w:hAnsi="Calibri"/>
                <w:b/>
                <w:sz w:val="22"/>
                <w:szCs w:val="22"/>
              </w:rPr>
            </w:pPr>
          </w:p>
          <w:p w:rsidR="00DD0659" w:rsidRPr="00C004D3" w:rsidRDefault="00DD0659" w:rsidP="00DD0659">
            <w:pPr>
              <w:ind w:right="33"/>
              <w:contextualSpacing/>
              <w:rPr>
                <w:rFonts w:ascii="Calibri" w:hAnsi="Calibri"/>
                <w:b/>
                <w:sz w:val="22"/>
                <w:szCs w:val="22"/>
              </w:rPr>
            </w:pPr>
            <w:r w:rsidRPr="00C004D3">
              <w:rPr>
                <w:rFonts w:ascii="Calibri" w:hAnsi="Calibri"/>
                <w:b/>
                <w:sz w:val="22"/>
                <w:szCs w:val="22"/>
              </w:rPr>
              <w:t>Total Carried forward</w:t>
            </w:r>
            <w:r>
              <w:rPr>
                <w:rFonts w:ascii="Calibri" w:hAnsi="Calibri"/>
                <w:b/>
                <w:sz w:val="22"/>
                <w:szCs w:val="22"/>
              </w:rPr>
              <w:t xml:space="preserve"> </w:t>
            </w:r>
          </w:p>
        </w:tc>
        <w:tc>
          <w:tcPr>
            <w:tcW w:w="1197" w:type="dxa"/>
            <w:shd w:val="clear" w:color="auto" w:fill="auto"/>
          </w:tcPr>
          <w:p w:rsidR="00DD0659" w:rsidRDefault="00DD0659" w:rsidP="00DD0659">
            <w:pPr>
              <w:ind w:right="-279"/>
              <w:contextualSpacing/>
              <w:rPr>
                <w:rFonts w:ascii="Calibri" w:hAnsi="Calibri"/>
                <w:sz w:val="22"/>
                <w:szCs w:val="22"/>
              </w:rPr>
            </w:pPr>
          </w:p>
        </w:tc>
        <w:tc>
          <w:tcPr>
            <w:tcW w:w="1197" w:type="dxa"/>
            <w:shd w:val="clear" w:color="auto" w:fill="auto"/>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DD0659" w:rsidP="00DD0659">
            <w:pPr>
              <w:ind w:right="-279"/>
              <w:contextualSpacing/>
              <w:rPr>
                <w:rFonts w:ascii="Calibri" w:hAnsi="Calibri"/>
                <w:sz w:val="22"/>
                <w:szCs w:val="22"/>
              </w:rPr>
            </w:pPr>
          </w:p>
        </w:tc>
        <w:tc>
          <w:tcPr>
            <w:tcW w:w="1654" w:type="dxa"/>
            <w:tcBorders>
              <w:bottom w:val="doub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bl>
    <w:p w:rsidR="00C004D3" w:rsidRDefault="00C004D3"/>
    <w:p w:rsidR="00DD0659" w:rsidRDefault="00DD0659"/>
    <w:p w:rsidR="00DD0659" w:rsidRDefault="00DD0659">
      <w:r>
        <w:br w:type="page"/>
      </w:r>
    </w:p>
    <w:p w:rsidR="003D6AD1" w:rsidRDefault="003D6AD1"/>
    <w:tbl>
      <w:tblPr>
        <w:tblpPr w:leftFromText="180" w:rightFromText="180" w:vertAnchor="text" w:horzAnchor="margin" w:tblpY="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197"/>
        <w:gridCol w:w="1197"/>
        <w:gridCol w:w="1197"/>
        <w:gridCol w:w="1654"/>
      </w:tblGrid>
      <w:tr w:rsidR="00DD0659" w:rsidRPr="009822B2" w:rsidTr="00A1325F">
        <w:tc>
          <w:tcPr>
            <w:tcW w:w="534"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Ref</w:t>
            </w:r>
          </w:p>
        </w:tc>
        <w:tc>
          <w:tcPr>
            <w:tcW w:w="4394"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Works</w:t>
            </w:r>
          </w:p>
        </w:tc>
        <w:tc>
          <w:tcPr>
            <w:tcW w:w="1197" w:type="dxa"/>
            <w:shd w:val="clear" w:color="auto" w:fill="auto"/>
          </w:tcPr>
          <w:p w:rsidR="00DD0659" w:rsidRPr="009822B2" w:rsidRDefault="00DD0659" w:rsidP="00DD0659">
            <w:pPr>
              <w:contextualSpacing/>
              <w:rPr>
                <w:rFonts w:ascii="Calibri" w:hAnsi="Calibri"/>
                <w:b/>
                <w:sz w:val="22"/>
                <w:szCs w:val="22"/>
              </w:rPr>
            </w:pPr>
            <w:r>
              <w:rPr>
                <w:rFonts w:ascii="Calibri" w:hAnsi="Calibri"/>
                <w:b/>
                <w:sz w:val="22"/>
                <w:szCs w:val="22"/>
              </w:rPr>
              <w:t>Size of floor</w:t>
            </w:r>
          </w:p>
        </w:tc>
        <w:tc>
          <w:tcPr>
            <w:tcW w:w="1197"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Rate</w:t>
            </w:r>
            <w:r>
              <w:rPr>
                <w:rFonts w:ascii="Calibri" w:hAnsi="Calibri"/>
                <w:b/>
                <w:sz w:val="22"/>
                <w:szCs w:val="22"/>
              </w:rPr>
              <w:t xml:space="preserve"> per floor £</w:t>
            </w:r>
          </w:p>
        </w:tc>
        <w:tc>
          <w:tcPr>
            <w:tcW w:w="1197"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Quantity</w:t>
            </w:r>
          </w:p>
        </w:tc>
        <w:tc>
          <w:tcPr>
            <w:tcW w:w="1654" w:type="dxa"/>
            <w:shd w:val="clear" w:color="auto" w:fill="auto"/>
          </w:tcPr>
          <w:p w:rsidR="00DD0659" w:rsidRPr="009822B2" w:rsidRDefault="00DD0659" w:rsidP="00DD0659">
            <w:pPr>
              <w:ind w:right="-279"/>
              <w:contextualSpacing/>
              <w:rPr>
                <w:rFonts w:ascii="Calibri" w:hAnsi="Calibri"/>
                <w:b/>
                <w:sz w:val="22"/>
                <w:szCs w:val="22"/>
              </w:rPr>
            </w:pPr>
            <w:r w:rsidRPr="009822B2">
              <w:rPr>
                <w:rFonts w:ascii="Calibri" w:hAnsi="Calibri"/>
                <w:b/>
                <w:sz w:val="22"/>
                <w:szCs w:val="22"/>
              </w:rPr>
              <w:t>Price £</w:t>
            </w:r>
          </w:p>
        </w:tc>
      </w:tr>
      <w:tr w:rsidR="00DD0659" w:rsidRPr="009822B2" w:rsidTr="00A1325F">
        <w:tc>
          <w:tcPr>
            <w:tcW w:w="534" w:type="dxa"/>
            <w:shd w:val="clear" w:color="auto" w:fill="auto"/>
          </w:tcPr>
          <w:p w:rsidR="00DD0659" w:rsidRDefault="00DD0659" w:rsidP="00DD0659">
            <w:pPr>
              <w:ind w:right="-279"/>
              <w:contextualSpacing/>
              <w:rPr>
                <w:rFonts w:ascii="Calibri" w:hAnsi="Calibri"/>
                <w:sz w:val="22"/>
                <w:szCs w:val="22"/>
              </w:rPr>
            </w:pPr>
            <w:r>
              <w:rPr>
                <w:rFonts w:ascii="Calibri" w:hAnsi="Calibri"/>
                <w:sz w:val="22"/>
                <w:szCs w:val="22"/>
              </w:rPr>
              <w:t>8</w:t>
            </w:r>
          </w:p>
          <w:p w:rsidR="00DD0659" w:rsidRPr="009822B2" w:rsidRDefault="00DD0659" w:rsidP="00DD0659">
            <w:pPr>
              <w:ind w:right="-279"/>
              <w:contextualSpacing/>
              <w:rPr>
                <w:rFonts w:ascii="Calibri" w:hAnsi="Calibri"/>
                <w:sz w:val="22"/>
                <w:szCs w:val="22"/>
              </w:rPr>
            </w:pPr>
          </w:p>
        </w:tc>
        <w:tc>
          <w:tcPr>
            <w:tcW w:w="9639" w:type="dxa"/>
            <w:gridSpan w:val="5"/>
            <w:shd w:val="clear" w:color="auto" w:fill="auto"/>
          </w:tcPr>
          <w:p w:rsidR="00DD0659" w:rsidRDefault="00DD0659" w:rsidP="00DD0659">
            <w:pPr>
              <w:ind w:right="33"/>
              <w:contextualSpacing/>
              <w:rPr>
                <w:rFonts w:ascii="Calibri" w:hAnsi="Calibri"/>
                <w:sz w:val="22"/>
                <w:szCs w:val="22"/>
              </w:rPr>
            </w:pPr>
            <w:r w:rsidRPr="003A5B6F">
              <w:rPr>
                <w:rFonts w:ascii="Calibri" w:hAnsi="Calibri"/>
                <w:sz w:val="22"/>
                <w:szCs w:val="22"/>
              </w:rPr>
              <w:t xml:space="preserve">Cost is a major consideration for any client and Mid Devon District Council are no different.  One of our major concerns are contractor’s that submit tender prices without considering the full requirements requested within the tenders.  This can lead to conflict post contract, which may become contentious.  </w:t>
            </w:r>
            <w:r>
              <w:rPr>
                <w:rFonts w:ascii="Calibri" w:hAnsi="Calibri"/>
                <w:sz w:val="22"/>
                <w:szCs w:val="22"/>
              </w:rPr>
              <w:t xml:space="preserve">Using </w:t>
            </w:r>
            <w:r w:rsidRPr="00D66915">
              <w:rPr>
                <w:rFonts w:ascii="Calibri" w:hAnsi="Calibri"/>
                <w:b/>
                <w:sz w:val="22"/>
                <w:szCs w:val="22"/>
              </w:rPr>
              <w:t xml:space="preserve">item 5 </w:t>
            </w:r>
            <w:r w:rsidRPr="00D66915">
              <w:rPr>
                <w:rFonts w:ascii="Calibri" w:hAnsi="Calibri" w:cs="Calibri"/>
                <w:b/>
                <w:sz w:val="22"/>
                <w:szCs w:val="22"/>
              </w:rPr>
              <w:t>≤</w:t>
            </w:r>
            <w:r w:rsidRPr="00D66915">
              <w:rPr>
                <w:rFonts w:ascii="Calibri" w:hAnsi="Calibri"/>
                <w:b/>
                <w:sz w:val="22"/>
                <w:szCs w:val="22"/>
              </w:rPr>
              <w:t>4m2</w:t>
            </w:r>
            <w:r>
              <w:rPr>
                <w:rFonts w:ascii="Calibri" w:hAnsi="Calibri"/>
                <w:sz w:val="22"/>
                <w:szCs w:val="22"/>
              </w:rPr>
              <w:t xml:space="preserve"> above as an example, p</w:t>
            </w:r>
            <w:r w:rsidRPr="003A5B6F">
              <w:rPr>
                <w:rFonts w:ascii="Calibri" w:hAnsi="Calibri"/>
                <w:sz w:val="22"/>
                <w:szCs w:val="22"/>
              </w:rPr>
              <w:t xml:space="preserve">lease supply details of how you have built up your </w:t>
            </w:r>
            <w:r w:rsidRPr="001709F1">
              <w:rPr>
                <w:rFonts w:ascii="Calibri" w:hAnsi="Calibri"/>
                <w:sz w:val="22"/>
                <w:szCs w:val="22"/>
              </w:rPr>
              <w:t>prices for this item</w:t>
            </w:r>
            <w:r>
              <w:rPr>
                <w:rFonts w:ascii="Calibri" w:hAnsi="Calibri"/>
                <w:sz w:val="22"/>
                <w:szCs w:val="22"/>
              </w:rPr>
              <w:t>,</w:t>
            </w:r>
            <w:r w:rsidRPr="001709F1">
              <w:rPr>
                <w:rFonts w:ascii="Calibri" w:hAnsi="Calibri"/>
                <w:sz w:val="22"/>
                <w:szCs w:val="22"/>
              </w:rPr>
              <w:t xml:space="preserve"> detailing</w:t>
            </w:r>
            <w:r w:rsidRPr="003A5B6F">
              <w:rPr>
                <w:rFonts w:ascii="Calibri" w:hAnsi="Calibri"/>
                <w:sz w:val="22"/>
                <w:szCs w:val="22"/>
              </w:rPr>
              <w:t xml:space="preserve"> exactly what yo</w:t>
            </w:r>
            <w:r>
              <w:rPr>
                <w:rFonts w:ascii="Calibri" w:hAnsi="Calibri"/>
                <w:sz w:val="22"/>
                <w:szCs w:val="22"/>
              </w:rPr>
              <w:t>u have included within the rate</w:t>
            </w:r>
            <w:r w:rsidRPr="003A5B6F">
              <w:rPr>
                <w:rFonts w:ascii="Calibri" w:hAnsi="Calibri"/>
                <w:sz w:val="22"/>
                <w:szCs w:val="22"/>
              </w:rPr>
              <w:t xml:space="preserve"> and the costs of these items</w:t>
            </w:r>
            <w:r>
              <w:rPr>
                <w:rFonts w:ascii="Calibri" w:hAnsi="Calibri"/>
                <w:sz w:val="22"/>
                <w:szCs w:val="22"/>
              </w:rPr>
              <w:t xml:space="preserve">.  To help with this we have itemised a few items that we expect to see, for you to price, but you will need to add to this to equal the rate you have given in </w:t>
            </w:r>
            <w:r w:rsidRPr="00D66915">
              <w:rPr>
                <w:rFonts w:ascii="Calibri" w:hAnsi="Calibri"/>
                <w:b/>
                <w:sz w:val="22"/>
                <w:szCs w:val="22"/>
              </w:rPr>
              <w:t xml:space="preserve">item 5 </w:t>
            </w:r>
            <w:r w:rsidRPr="00D66915">
              <w:rPr>
                <w:rFonts w:ascii="Calibri" w:hAnsi="Calibri" w:cs="Calibri"/>
                <w:b/>
                <w:sz w:val="22"/>
                <w:szCs w:val="22"/>
              </w:rPr>
              <w:t>≤</w:t>
            </w:r>
            <w:r w:rsidRPr="00D66915">
              <w:rPr>
                <w:rFonts w:ascii="Calibri" w:hAnsi="Calibri"/>
                <w:b/>
                <w:sz w:val="22"/>
                <w:szCs w:val="22"/>
              </w:rPr>
              <w:t>4m2</w:t>
            </w:r>
            <w:r>
              <w:rPr>
                <w:rFonts w:ascii="Calibri" w:hAnsi="Calibri"/>
                <w:sz w:val="22"/>
                <w:szCs w:val="22"/>
              </w:rPr>
              <w:t xml:space="preserve"> above.  Please continue this on a separate sheet if necessary.</w:t>
            </w:r>
          </w:p>
          <w:p w:rsidR="00DD0659" w:rsidRPr="009822B2" w:rsidRDefault="00DD0659" w:rsidP="00DD0659">
            <w:pPr>
              <w:ind w:right="-279"/>
              <w:contextualSpacing/>
              <w:rPr>
                <w:rFonts w:ascii="Calibri" w:hAnsi="Calibri"/>
                <w:sz w:val="22"/>
                <w:szCs w:val="22"/>
              </w:rPr>
            </w:pPr>
          </w:p>
        </w:tc>
      </w:tr>
      <w:tr w:rsidR="00DD0659" w:rsidRPr="009822B2" w:rsidTr="00A1325F">
        <w:tc>
          <w:tcPr>
            <w:tcW w:w="534"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A</w:t>
            </w:r>
          </w:p>
        </w:tc>
        <w:tc>
          <w:tcPr>
            <w:tcW w:w="4394" w:type="dxa"/>
            <w:shd w:val="clear" w:color="auto" w:fill="auto"/>
          </w:tcPr>
          <w:p w:rsidR="00DD0659" w:rsidRPr="00D66915" w:rsidRDefault="00DD0659" w:rsidP="00DD0659">
            <w:pPr>
              <w:ind w:right="33"/>
              <w:contextualSpacing/>
              <w:rPr>
                <w:rFonts w:ascii="Calibri" w:hAnsi="Calibri"/>
                <w:sz w:val="22"/>
                <w:szCs w:val="22"/>
              </w:rPr>
            </w:pPr>
            <w:r w:rsidRPr="00D66915">
              <w:rPr>
                <w:rFonts w:ascii="Calibri" w:hAnsi="Calibri"/>
                <w:sz w:val="22"/>
                <w:szCs w:val="22"/>
              </w:rPr>
              <w:t>Labour</w:t>
            </w:r>
          </w:p>
        </w:tc>
        <w:tc>
          <w:tcPr>
            <w:tcW w:w="1197" w:type="dxa"/>
            <w:shd w:val="clear" w:color="auto" w:fill="auto"/>
          </w:tcPr>
          <w:p w:rsidR="00DD0659" w:rsidRPr="009822B2" w:rsidRDefault="00DD0659" w:rsidP="00DD0659">
            <w:pPr>
              <w:ind w:right="-279"/>
              <w:contextualSpacing/>
              <w:rPr>
                <w:rFonts w:ascii="Calibri" w:hAnsi="Calibri"/>
                <w:sz w:val="22"/>
                <w:szCs w:val="22"/>
              </w:rPr>
            </w:pPr>
            <w:r>
              <w:rPr>
                <w:rFonts w:ascii="Calibri" w:hAnsi="Calibri"/>
                <w:sz w:val="22"/>
                <w:szCs w:val="22"/>
              </w:rPr>
              <w:t>Item</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DD0659" w:rsidP="00DD0659">
            <w:pPr>
              <w:ind w:right="-279"/>
              <w:contextualSpacing/>
              <w:rPr>
                <w:rFonts w:ascii="Calibri" w:hAnsi="Calibri"/>
                <w:sz w:val="22"/>
                <w:szCs w:val="22"/>
              </w:rPr>
            </w:pPr>
            <w:r>
              <w:rPr>
                <w:rFonts w:ascii="Calibri" w:hAnsi="Calibri"/>
                <w:sz w:val="22"/>
                <w:szCs w:val="22"/>
              </w:rPr>
              <w:t>1</w:t>
            </w:r>
          </w:p>
          <w:p w:rsidR="00DD0659" w:rsidRPr="009822B2" w:rsidRDefault="00DD0659" w:rsidP="00DD0659">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A1325F">
        <w:tc>
          <w:tcPr>
            <w:tcW w:w="534"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B</w:t>
            </w:r>
          </w:p>
        </w:tc>
        <w:tc>
          <w:tcPr>
            <w:tcW w:w="4394" w:type="dxa"/>
            <w:shd w:val="clear" w:color="auto" w:fill="auto"/>
          </w:tcPr>
          <w:p w:rsidR="00DD0659" w:rsidRPr="00D66915" w:rsidRDefault="00DD0659" w:rsidP="00DD0659">
            <w:pPr>
              <w:ind w:right="33"/>
              <w:contextualSpacing/>
              <w:rPr>
                <w:rFonts w:ascii="Calibri" w:hAnsi="Calibri"/>
                <w:sz w:val="22"/>
                <w:szCs w:val="22"/>
              </w:rPr>
            </w:pPr>
            <w:r w:rsidRPr="00D66915">
              <w:rPr>
                <w:rFonts w:ascii="Calibri" w:hAnsi="Calibri"/>
                <w:sz w:val="22"/>
                <w:szCs w:val="22"/>
              </w:rPr>
              <w:t>Profit</w:t>
            </w:r>
          </w:p>
        </w:tc>
        <w:tc>
          <w:tcPr>
            <w:tcW w:w="1197" w:type="dxa"/>
            <w:shd w:val="clear" w:color="auto" w:fill="auto"/>
          </w:tcPr>
          <w:p w:rsidR="00DD0659" w:rsidRDefault="00DD0659" w:rsidP="00DD0659">
            <w:r w:rsidRPr="00D93152">
              <w:rPr>
                <w:rFonts w:ascii="Calibri" w:hAnsi="Calibri"/>
                <w:sz w:val="22"/>
                <w:szCs w:val="22"/>
              </w:rPr>
              <w:t>Item</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DD0659" w:rsidP="00DD0659">
            <w:pPr>
              <w:ind w:right="-279"/>
              <w:contextualSpacing/>
              <w:rPr>
                <w:rFonts w:ascii="Calibri" w:hAnsi="Calibri"/>
                <w:sz w:val="22"/>
                <w:szCs w:val="22"/>
              </w:rPr>
            </w:pPr>
            <w:r>
              <w:rPr>
                <w:rFonts w:ascii="Calibri" w:hAnsi="Calibri"/>
                <w:sz w:val="22"/>
                <w:szCs w:val="22"/>
              </w:rPr>
              <w:t>1</w:t>
            </w:r>
          </w:p>
          <w:p w:rsidR="00DD0659" w:rsidRPr="009822B2" w:rsidRDefault="00DD0659" w:rsidP="00DD0659">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A1325F">
        <w:tc>
          <w:tcPr>
            <w:tcW w:w="534"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C</w:t>
            </w:r>
          </w:p>
        </w:tc>
        <w:tc>
          <w:tcPr>
            <w:tcW w:w="4394" w:type="dxa"/>
            <w:shd w:val="clear" w:color="auto" w:fill="auto"/>
          </w:tcPr>
          <w:p w:rsidR="00DD0659" w:rsidRPr="00D66915" w:rsidRDefault="00DD0659" w:rsidP="00DD0659">
            <w:pPr>
              <w:ind w:right="33"/>
              <w:contextualSpacing/>
              <w:rPr>
                <w:rFonts w:ascii="Calibri" w:hAnsi="Calibri"/>
                <w:sz w:val="22"/>
                <w:szCs w:val="22"/>
              </w:rPr>
            </w:pPr>
            <w:r w:rsidRPr="00D66915">
              <w:rPr>
                <w:rFonts w:ascii="Calibri" w:hAnsi="Calibri"/>
                <w:sz w:val="22"/>
                <w:szCs w:val="22"/>
              </w:rPr>
              <w:t>Site Welfare</w:t>
            </w:r>
          </w:p>
        </w:tc>
        <w:tc>
          <w:tcPr>
            <w:tcW w:w="1197" w:type="dxa"/>
            <w:shd w:val="clear" w:color="auto" w:fill="auto"/>
          </w:tcPr>
          <w:p w:rsidR="00DD0659" w:rsidRDefault="00DD0659" w:rsidP="00DD0659">
            <w:r w:rsidRPr="00D93152">
              <w:rPr>
                <w:rFonts w:ascii="Calibri" w:hAnsi="Calibri"/>
                <w:sz w:val="22"/>
                <w:szCs w:val="22"/>
              </w:rPr>
              <w:t>Item</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DD0659" w:rsidP="00DD0659">
            <w:pPr>
              <w:ind w:right="-279"/>
              <w:contextualSpacing/>
              <w:rPr>
                <w:rFonts w:ascii="Calibri" w:hAnsi="Calibri"/>
                <w:sz w:val="22"/>
                <w:szCs w:val="22"/>
              </w:rPr>
            </w:pPr>
            <w:r>
              <w:rPr>
                <w:rFonts w:ascii="Calibri" w:hAnsi="Calibri"/>
                <w:sz w:val="22"/>
                <w:szCs w:val="22"/>
              </w:rPr>
              <w:t>1</w:t>
            </w:r>
          </w:p>
          <w:p w:rsidR="00DD0659" w:rsidRPr="009822B2" w:rsidRDefault="00DD0659" w:rsidP="00DD0659">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A1325F">
        <w:tc>
          <w:tcPr>
            <w:tcW w:w="534"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D</w:t>
            </w:r>
          </w:p>
        </w:tc>
        <w:tc>
          <w:tcPr>
            <w:tcW w:w="4394" w:type="dxa"/>
            <w:shd w:val="clear" w:color="auto" w:fill="auto"/>
          </w:tcPr>
          <w:p w:rsidR="00DD0659" w:rsidRPr="00D66915" w:rsidRDefault="00DD0659" w:rsidP="00DD0659">
            <w:pPr>
              <w:ind w:right="33"/>
              <w:contextualSpacing/>
              <w:rPr>
                <w:rFonts w:ascii="Calibri" w:hAnsi="Calibri"/>
                <w:sz w:val="22"/>
                <w:szCs w:val="22"/>
              </w:rPr>
            </w:pPr>
            <w:r w:rsidRPr="00D66915">
              <w:rPr>
                <w:rFonts w:ascii="Calibri" w:hAnsi="Calibri"/>
                <w:sz w:val="22"/>
                <w:szCs w:val="22"/>
              </w:rPr>
              <w:t>Management</w:t>
            </w:r>
          </w:p>
        </w:tc>
        <w:tc>
          <w:tcPr>
            <w:tcW w:w="1197" w:type="dxa"/>
            <w:shd w:val="clear" w:color="auto" w:fill="auto"/>
          </w:tcPr>
          <w:p w:rsidR="00DD0659" w:rsidRDefault="00DD0659" w:rsidP="00DD0659">
            <w:r w:rsidRPr="00D93152">
              <w:rPr>
                <w:rFonts w:ascii="Calibri" w:hAnsi="Calibri"/>
                <w:sz w:val="22"/>
                <w:szCs w:val="22"/>
              </w:rPr>
              <w:t>Item</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DD0659" w:rsidP="00DD0659">
            <w:pPr>
              <w:ind w:right="-279"/>
              <w:contextualSpacing/>
              <w:rPr>
                <w:rFonts w:ascii="Calibri" w:hAnsi="Calibri"/>
                <w:sz w:val="22"/>
                <w:szCs w:val="22"/>
              </w:rPr>
            </w:pPr>
            <w:r>
              <w:rPr>
                <w:rFonts w:ascii="Calibri" w:hAnsi="Calibri"/>
                <w:sz w:val="22"/>
                <w:szCs w:val="22"/>
              </w:rPr>
              <w:t>1</w:t>
            </w:r>
          </w:p>
          <w:p w:rsidR="00DD0659" w:rsidRPr="009822B2" w:rsidRDefault="00DD0659" w:rsidP="00DD0659">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A1325F">
        <w:tc>
          <w:tcPr>
            <w:tcW w:w="534"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E</w:t>
            </w:r>
          </w:p>
        </w:tc>
        <w:tc>
          <w:tcPr>
            <w:tcW w:w="4394" w:type="dxa"/>
            <w:shd w:val="clear" w:color="auto" w:fill="auto"/>
          </w:tcPr>
          <w:p w:rsidR="00DD0659" w:rsidRPr="00D66915" w:rsidRDefault="00DD0659" w:rsidP="00DD0659">
            <w:pPr>
              <w:ind w:right="33"/>
              <w:contextualSpacing/>
              <w:rPr>
                <w:rFonts w:ascii="Calibri" w:hAnsi="Calibri"/>
                <w:sz w:val="22"/>
                <w:szCs w:val="22"/>
              </w:rPr>
            </w:pPr>
            <w:r w:rsidRPr="00D66915">
              <w:rPr>
                <w:rFonts w:ascii="Calibri" w:hAnsi="Calibri"/>
                <w:sz w:val="22"/>
                <w:szCs w:val="22"/>
              </w:rPr>
              <w:t>All materials</w:t>
            </w:r>
          </w:p>
        </w:tc>
        <w:tc>
          <w:tcPr>
            <w:tcW w:w="1197" w:type="dxa"/>
            <w:shd w:val="clear" w:color="auto" w:fill="auto"/>
          </w:tcPr>
          <w:p w:rsidR="00DD0659" w:rsidRDefault="00DD0659" w:rsidP="00DD0659">
            <w:r w:rsidRPr="00D93152">
              <w:rPr>
                <w:rFonts w:ascii="Calibri" w:hAnsi="Calibri"/>
                <w:sz w:val="22"/>
                <w:szCs w:val="22"/>
              </w:rPr>
              <w:t>Item</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DD0659" w:rsidP="00DD0659">
            <w:pPr>
              <w:ind w:right="-279"/>
              <w:contextualSpacing/>
              <w:rPr>
                <w:rFonts w:ascii="Calibri" w:hAnsi="Calibri"/>
                <w:sz w:val="22"/>
                <w:szCs w:val="22"/>
              </w:rPr>
            </w:pPr>
            <w:r>
              <w:rPr>
                <w:rFonts w:ascii="Calibri" w:hAnsi="Calibri"/>
                <w:sz w:val="22"/>
                <w:szCs w:val="22"/>
              </w:rPr>
              <w:t>1</w:t>
            </w:r>
          </w:p>
          <w:p w:rsidR="00DD0659" w:rsidRPr="009822B2" w:rsidRDefault="00DD0659" w:rsidP="00DD0659">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A1325F">
        <w:tc>
          <w:tcPr>
            <w:tcW w:w="534"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F</w:t>
            </w:r>
          </w:p>
        </w:tc>
        <w:tc>
          <w:tcPr>
            <w:tcW w:w="4394" w:type="dxa"/>
            <w:shd w:val="clear" w:color="auto" w:fill="auto"/>
          </w:tcPr>
          <w:p w:rsidR="00DD0659" w:rsidRPr="00C004D3" w:rsidRDefault="00DD0659" w:rsidP="00DD0659">
            <w:pPr>
              <w:ind w:right="33"/>
              <w:contextualSpacing/>
              <w:rPr>
                <w:rFonts w:ascii="Calibri" w:hAnsi="Calibri"/>
                <w:b/>
                <w:sz w:val="22"/>
                <w:szCs w:val="22"/>
              </w:rPr>
            </w:pPr>
          </w:p>
        </w:tc>
        <w:tc>
          <w:tcPr>
            <w:tcW w:w="1197"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Item</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DD0659" w:rsidP="00DD0659">
            <w:pPr>
              <w:ind w:right="-279"/>
              <w:contextualSpacing/>
              <w:rPr>
                <w:rFonts w:ascii="Calibri" w:hAnsi="Calibri"/>
                <w:sz w:val="22"/>
                <w:szCs w:val="22"/>
              </w:rPr>
            </w:pPr>
            <w:r>
              <w:rPr>
                <w:rFonts w:ascii="Calibri" w:hAnsi="Calibri"/>
                <w:sz w:val="22"/>
                <w:szCs w:val="22"/>
              </w:rPr>
              <w:t>1</w:t>
            </w:r>
          </w:p>
          <w:p w:rsidR="00DD0659" w:rsidRPr="009822B2" w:rsidRDefault="00DD0659" w:rsidP="00DD0659">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A1325F">
        <w:tc>
          <w:tcPr>
            <w:tcW w:w="534"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G</w:t>
            </w:r>
          </w:p>
        </w:tc>
        <w:tc>
          <w:tcPr>
            <w:tcW w:w="4394" w:type="dxa"/>
            <w:shd w:val="clear" w:color="auto" w:fill="auto"/>
          </w:tcPr>
          <w:p w:rsidR="00DD0659" w:rsidRPr="00C004D3" w:rsidRDefault="00DD0659" w:rsidP="00DD0659">
            <w:pPr>
              <w:ind w:right="33"/>
              <w:contextualSpacing/>
              <w:rPr>
                <w:rFonts w:ascii="Calibri" w:hAnsi="Calibri"/>
                <w:b/>
                <w:sz w:val="22"/>
                <w:szCs w:val="22"/>
              </w:rPr>
            </w:pPr>
          </w:p>
        </w:tc>
        <w:tc>
          <w:tcPr>
            <w:tcW w:w="1197"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Item</w:t>
            </w: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DD0659" w:rsidP="00DD0659">
            <w:pPr>
              <w:ind w:right="-279"/>
              <w:contextualSpacing/>
              <w:rPr>
                <w:rFonts w:ascii="Calibri" w:hAnsi="Calibri"/>
                <w:sz w:val="22"/>
                <w:szCs w:val="22"/>
              </w:rPr>
            </w:pPr>
            <w:r>
              <w:rPr>
                <w:rFonts w:ascii="Calibri" w:hAnsi="Calibri"/>
                <w:sz w:val="22"/>
                <w:szCs w:val="22"/>
              </w:rPr>
              <w:t>1</w:t>
            </w:r>
          </w:p>
          <w:p w:rsidR="00DD0659" w:rsidRPr="009822B2" w:rsidRDefault="00DD0659" w:rsidP="00DD0659">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DD0659" w:rsidRPr="009822B2" w:rsidTr="00A1325F">
        <w:tc>
          <w:tcPr>
            <w:tcW w:w="534" w:type="dxa"/>
            <w:shd w:val="clear" w:color="auto" w:fill="auto"/>
          </w:tcPr>
          <w:p w:rsidR="00DD0659" w:rsidRPr="009822B2" w:rsidRDefault="00A1325F" w:rsidP="00DD0659">
            <w:pPr>
              <w:ind w:right="-279"/>
              <w:contextualSpacing/>
              <w:rPr>
                <w:rFonts w:ascii="Calibri" w:hAnsi="Calibri"/>
                <w:sz w:val="22"/>
                <w:szCs w:val="22"/>
              </w:rPr>
            </w:pPr>
            <w:r>
              <w:rPr>
                <w:rFonts w:ascii="Calibri" w:hAnsi="Calibri"/>
                <w:sz w:val="22"/>
                <w:szCs w:val="22"/>
              </w:rPr>
              <w:t>H</w:t>
            </w:r>
          </w:p>
        </w:tc>
        <w:tc>
          <w:tcPr>
            <w:tcW w:w="4394" w:type="dxa"/>
            <w:shd w:val="clear" w:color="auto" w:fill="auto"/>
          </w:tcPr>
          <w:p w:rsidR="00DD0659" w:rsidRPr="00C004D3" w:rsidRDefault="00DD0659" w:rsidP="00DD0659">
            <w:pPr>
              <w:ind w:right="33"/>
              <w:contextualSpacing/>
              <w:rPr>
                <w:rFonts w:ascii="Calibri" w:hAnsi="Calibri"/>
                <w:b/>
                <w:sz w:val="22"/>
                <w:szCs w:val="22"/>
              </w:rPr>
            </w:pPr>
          </w:p>
        </w:tc>
        <w:tc>
          <w:tcPr>
            <w:tcW w:w="1197" w:type="dxa"/>
            <w:shd w:val="clear" w:color="auto" w:fill="auto"/>
          </w:tcPr>
          <w:p w:rsidR="00DD0659" w:rsidRDefault="00A1325F" w:rsidP="00DD0659">
            <w:pPr>
              <w:ind w:right="-279"/>
              <w:contextualSpacing/>
              <w:rPr>
                <w:rFonts w:ascii="Calibri" w:hAnsi="Calibri"/>
                <w:sz w:val="22"/>
                <w:szCs w:val="22"/>
              </w:rPr>
            </w:pPr>
            <w:r>
              <w:rPr>
                <w:rFonts w:ascii="Calibri" w:hAnsi="Calibri"/>
                <w:sz w:val="22"/>
                <w:szCs w:val="22"/>
              </w:rPr>
              <w:t>Item</w:t>
            </w:r>
          </w:p>
          <w:p w:rsidR="00A1325F" w:rsidRPr="009822B2" w:rsidRDefault="00A1325F" w:rsidP="00DD0659">
            <w:pPr>
              <w:ind w:right="-279"/>
              <w:contextualSpacing/>
              <w:rPr>
                <w:rFonts w:ascii="Calibri" w:hAnsi="Calibri"/>
                <w:sz w:val="22"/>
                <w:szCs w:val="22"/>
              </w:rPr>
            </w:pPr>
          </w:p>
        </w:tc>
        <w:tc>
          <w:tcPr>
            <w:tcW w:w="1197" w:type="dxa"/>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c>
          <w:tcPr>
            <w:tcW w:w="1197" w:type="dxa"/>
            <w:shd w:val="clear" w:color="auto" w:fill="auto"/>
          </w:tcPr>
          <w:p w:rsidR="00DD0659" w:rsidRDefault="00A1325F" w:rsidP="00DD0659">
            <w:pPr>
              <w:ind w:right="-279"/>
              <w:contextualSpacing/>
              <w:rPr>
                <w:rFonts w:ascii="Calibri" w:hAnsi="Calibri"/>
                <w:sz w:val="22"/>
                <w:szCs w:val="22"/>
              </w:rPr>
            </w:pPr>
            <w:r>
              <w:rPr>
                <w:rFonts w:ascii="Calibri" w:hAnsi="Calibri"/>
                <w:sz w:val="22"/>
                <w:szCs w:val="22"/>
              </w:rPr>
              <w:t>1</w:t>
            </w:r>
          </w:p>
          <w:p w:rsidR="00A1325F" w:rsidRPr="009822B2" w:rsidRDefault="00A1325F" w:rsidP="00DD0659">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DD0659" w:rsidRPr="009822B2" w:rsidRDefault="00DD0659" w:rsidP="00DD0659">
            <w:pPr>
              <w:ind w:right="-279"/>
              <w:contextualSpacing/>
              <w:rPr>
                <w:rFonts w:ascii="Calibri" w:hAnsi="Calibri"/>
                <w:sz w:val="22"/>
                <w:szCs w:val="22"/>
              </w:rPr>
            </w:pPr>
          </w:p>
        </w:tc>
      </w:tr>
      <w:tr w:rsidR="00A1325F" w:rsidRPr="009822B2" w:rsidTr="00A1325F">
        <w:tc>
          <w:tcPr>
            <w:tcW w:w="534" w:type="dxa"/>
            <w:shd w:val="clear" w:color="auto" w:fill="auto"/>
          </w:tcPr>
          <w:p w:rsidR="00A1325F" w:rsidRPr="009822B2" w:rsidRDefault="00A1325F" w:rsidP="00A1325F">
            <w:pPr>
              <w:ind w:right="-279"/>
              <w:contextualSpacing/>
              <w:rPr>
                <w:rFonts w:ascii="Calibri" w:hAnsi="Calibri"/>
                <w:sz w:val="22"/>
                <w:szCs w:val="22"/>
              </w:rPr>
            </w:pPr>
            <w:r>
              <w:rPr>
                <w:rFonts w:ascii="Calibri" w:hAnsi="Calibri"/>
                <w:sz w:val="22"/>
                <w:szCs w:val="22"/>
              </w:rPr>
              <w:t>I</w:t>
            </w:r>
          </w:p>
        </w:tc>
        <w:tc>
          <w:tcPr>
            <w:tcW w:w="4394" w:type="dxa"/>
            <w:shd w:val="clear" w:color="auto" w:fill="auto"/>
          </w:tcPr>
          <w:p w:rsidR="00A1325F" w:rsidRPr="00C004D3" w:rsidRDefault="00A1325F" w:rsidP="00A1325F">
            <w:pPr>
              <w:ind w:right="33"/>
              <w:contextualSpacing/>
              <w:rPr>
                <w:rFonts w:ascii="Calibri" w:hAnsi="Calibri"/>
                <w:b/>
                <w:sz w:val="22"/>
                <w:szCs w:val="22"/>
              </w:rPr>
            </w:pPr>
          </w:p>
        </w:tc>
        <w:tc>
          <w:tcPr>
            <w:tcW w:w="1197" w:type="dxa"/>
            <w:shd w:val="clear" w:color="auto" w:fill="auto"/>
          </w:tcPr>
          <w:p w:rsidR="00A1325F" w:rsidRDefault="00A1325F" w:rsidP="00A1325F">
            <w:pPr>
              <w:ind w:right="-279"/>
              <w:contextualSpacing/>
              <w:rPr>
                <w:rFonts w:ascii="Calibri" w:hAnsi="Calibri"/>
                <w:sz w:val="22"/>
                <w:szCs w:val="22"/>
              </w:rPr>
            </w:pPr>
            <w:r>
              <w:rPr>
                <w:rFonts w:ascii="Calibri" w:hAnsi="Calibri"/>
                <w:sz w:val="22"/>
                <w:szCs w:val="22"/>
              </w:rPr>
              <w:t>Item</w:t>
            </w:r>
          </w:p>
          <w:p w:rsidR="00A1325F" w:rsidRPr="009822B2" w:rsidRDefault="00A1325F" w:rsidP="00A1325F">
            <w:pPr>
              <w:ind w:right="-279"/>
              <w:contextualSpacing/>
              <w:rPr>
                <w:rFonts w:ascii="Calibri" w:hAnsi="Calibri"/>
                <w:sz w:val="22"/>
                <w:szCs w:val="22"/>
              </w:rPr>
            </w:pPr>
          </w:p>
        </w:tc>
        <w:tc>
          <w:tcPr>
            <w:tcW w:w="1197" w:type="dxa"/>
            <w:shd w:val="clear" w:color="auto" w:fill="D9D9D9" w:themeFill="background1" w:themeFillShade="D9"/>
          </w:tcPr>
          <w:p w:rsidR="00A1325F" w:rsidRPr="009822B2" w:rsidRDefault="00A1325F" w:rsidP="00A1325F">
            <w:pPr>
              <w:ind w:right="-279"/>
              <w:contextualSpacing/>
              <w:rPr>
                <w:rFonts w:ascii="Calibri" w:hAnsi="Calibri"/>
                <w:sz w:val="22"/>
                <w:szCs w:val="22"/>
              </w:rPr>
            </w:pPr>
          </w:p>
        </w:tc>
        <w:tc>
          <w:tcPr>
            <w:tcW w:w="1197" w:type="dxa"/>
            <w:shd w:val="clear" w:color="auto" w:fill="auto"/>
          </w:tcPr>
          <w:p w:rsidR="00A1325F" w:rsidRDefault="00A1325F" w:rsidP="00A1325F">
            <w:pPr>
              <w:ind w:right="-279"/>
              <w:contextualSpacing/>
              <w:rPr>
                <w:rFonts w:ascii="Calibri" w:hAnsi="Calibri"/>
                <w:sz w:val="22"/>
                <w:szCs w:val="22"/>
              </w:rPr>
            </w:pPr>
            <w:r>
              <w:rPr>
                <w:rFonts w:ascii="Calibri" w:hAnsi="Calibri"/>
                <w:sz w:val="22"/>
                <w:szCs w:val="22"/>
              </w:rPr>
              <w:t>1</w:t>
            </w:r>
          </w:p>
          <w:p w:rsidR="00A1325F" w:rsidRPr="009822B2" w:rsidRDefault="00A1325F" w:rsidP="00A1325F">
            <w:pPr>
              <w:ind w:right="-279"/>
              <w:contextualSpacing/>
              <w:rPr>
                <w:rFonts w:ascii="Calibri" w:hAnsi="Calibri"/>
                <w:sz w:val="22"/>
                <w:szCs w:val="22"/>
              </w:rPr>
            </w:pPr>
          </w:p>
        </w:tc>
        <w:tc>
          <w:tcPr>
            <w:tcW w:w="1654" w:type="dxa"/>
            <w:tcBorders>
              <w:bottom w:val="single" w:sz="4" w:space="0" w:color="auto"/>
            </w:tcBorders>
            <w:shd w:val="clear" w:color="auto" w:fill="D9D9D9" w:themeFill="background1" w:themeFillShade="D9"/>
          </w:tcPr>
          <w:p w:rsidR="00A1325F" w:rsidRPr="009822B2" w:rsidRDefault="00A1325F" w:rsidP="00A1325F">
            <w:pPr>
              <w:ind w:right="-279"/>
              <w:contextualSpacing/>
              <w:rPr>
                <w:rFonts w:ascii="Calibri" w:hAnsi="Calibri"/>
                <w:sz w:val="22"/>
                <w:szCs w:val="22"/>
              </w:rPr>
            </w:pPr>
          </w:p>
        </w:tc>
      </w:tr>
      <w:tr w:rsidR="00A1325F" w:rsidRPr="009822B2" w:rsidTr="00A1325F">
        <w:tc>
          <w:tcPr>
            <w:tcW w:w="534" w:type="dxa"/>
            <w:shd w:val="clear" w:color="auto" w:fill="auto"/>
          </w:tcPr>
          <w:p w:rsidR="00A1325F" w:rsidRPr="009822B2" w:rsidRDefault="00A1325F" w:rsidP="00A1325F">
            <w:pPr>
              <w:ind w:right="-279"/>
              <w:contextualSpacing/>
              <w:rPr>
                <w:rFonts w:ascii="Calibri" w:hAnsi="Calibri"/>
                <w:sz w:val="22"/>
                <w:szCs w:val="22"/>
              </w:rPr>
            </w:pPr>
            <w:r>
              <w:rPr>
                <w:rFonts w:ascii="Calibri" w:hAnsi="Calibri"/>
                <w:sz w:val="22"/>
                <w:szCs w:val="22"/>
              </w:rPr>
              <w:t>J</w:t>
            </w:r>
          </w:p>
        </w:tc>
        <w:tc>
          <w:tcPr>
            <w:tcW w:w="4394" w:type="dxa"/>
            <w:shd w:val="clear" w:color="auto" w:fill="auto"/>
          </w:tcPr>
          <w:p w:rsidR="00A1325F" w:rsidRPr="00C004D3" w:rsidRDefault="00A1325F" w:rsidP="00A1325F">
            <w:pPr>
              <w:ind w:right="33"/>
              <w:contextualSpacing/>
              <w:rPr>
                <w:rFonts w:ascii="Calibri" w:hAnsi="Calibri"/>
                <w:b/>
                <w:sz w:val="22"/>
                <w:szCs w:val="22"/>
              </w:rPr>
            </w:pPr>
          </w:p>
        </w:tc>
        <w:tc>
          <w:tcPr>
            <w:tcW w:w="1197" w:type="dxa"/>
            <w:shd w:val="clear" w:color="auto" w:fill="auto"/>
          </w:tcPr>
          <w:p w:rsidR="00A1325F" w:rsidRDefault="00A1325F" w:rsidP="00A1325F">
            <w:pPr>
              <w:ind w:right="-279"/>
              <w:contextualSpacing/>
              <w:rPr>
                <w:rFonts w:ascii="Calibri" w:hAnsi="Calibri"/>
                <w:sz w:val="22"/>
                <w:szCs w:val="22"/>
              </w:rPr>
            </w:pPr>
            <w:r>
              <w:rPr>
                <w:rFonts w:ascii="Calibri" w:hAnsi="Calibri"/>
                <w:sz w:val="22"/>
                <w:szCs w:val="22"/>
              </w:rPr>
              <w:t>Item</w:t>
            </w:r>
          </w:p>
          <w:p w:rsidR="00A1325F" w:rsidRPr="009822B2" w:rsidRDefault="00A1325F" w:rsidP="00A1325F">
            <w:pPr>
              <w:ind w:right="-279"/>
              <w:contextualSpacing/>
              <w:rPr>
                <w:rFonts w:ascii="Calibri" w:hAnsi="Calibri"/>
                <w:sz w:val="22"/>
                <w:szCs w:val="22"/>
              </w:rPr>
            </w:pPr>
          </w:p>
        </w:tc>
        <w:tc>
          <w:tcPr>
            <w:tcW w:w="1197" w:type="dxa"/>
            <w:shd w:val="clear" w:color="auto" w:fill="D9D9D9" w:themeFill="background1" w:themeFillShade="D9"/>
          </w:tcPr>
          <w:p w:rsidR="00A1325F" w:rsidRPr="009822B2" w:rsidRDefault="00A1325F" w:rsidP="00A1325F">
            <w:pPr>
              <w:ind w:right="-279"/>
              <w:contextualSpacing/>
              <w:rPr>
                <w:rFonts w:ascii="Calibri" w:hAnsi="Calibri"/>
                <w:sz w:val="22"/>
                <w:szCs w:val="22"/>
              </w:rPr>
            </w:pPr>
          </w:p>
        </w:tc>
        <w:tc>
          <w:tcPr>
            <w:tcW w:w="1197" w:type="dxa"/>
            <w:shd w:val="clear" w:color="auto" w:fill="auto"/>
          </w:tcPr>
          <w:p w:rsidR="00A1325F" w:rsidRPr="009822B2" w:rsidRDefault="00A1325F" w:rsidP="00A1325F">
            <w:pPr>
              <w:ind w:right="-279"/>
              <w:contextualSpacing/>
              <w:rPr>
                <w:rFonts w:ascii="Calibri" w:hAnsi="Calibri"/>
                <w:sz w:val="22"/>
                <w:szCs w:val="22"/>
              </w:rPr>
            </w:pPr>
            <w:r>
              <w:rPr>
                <w:rFonts w:ascii="Calibri" w:hAnsi="Calibri"/>
                <w:sz w:val="22"/>
                <w:szCs w:val="22"/>
              </w:rPr>
              <w:t>1</w:t>
            </w:r>
          </w:p>
        </w:tc>
        <w:tc>
          <w:tcPr>
            <w:tcW w:w="1654" w:type="dxa"/>
            <w:tcBorders>
              <w:bottom w:val="single" w:sz="4" w:space="0" w:color="auto"/>
            </w:tcBorders>
            <w:shd w:val="clear" w:color="auto" w:fill="D9D9D9" w:themeFill="background1" w:themeFillShade="D9"/>
          </w:tcPr>
          <w:p w:rsidR="00A1325F" w:rsidRPr="009822B2" w:rsidRDefault="00A1325F" w:rsidP="00A1325F">
            <w:pPr>
              <w:ind w:right="-279"/>
              <w:contextualSpacing/>
              <w:rPr>
                <w:rFonts w:ascii="Calibri" w:hAnsi="Calibri"/>
                <w:sz w:val="22"/>
                <w:szCs w:val="22"/>
              </w:rPr>
            </w:pPr>
          </w:p>
        </w:tc>
      </w:tr>
      <w:tr w:rsidR="00A1325F" w:rsidRPr="009822B2" w:rsidTr="00A1325F">
        <w:tc>
          <w:tcPr>
            <w:tcW w:w="534" w:type="dxa"/>
            <w:shd w:val="clear" w:color="auto" w:fill="auto"/>
          </w:tcPr>
          <w:p w:rsidR="00A1325F" w:rsidRPr="009822B2" w:rsidRDefault="00A1325F" w:rsidP="00A1325F">
            <w:pPr>
              <w:ind w:right="-279"/>
              <w:contextualSpacing/>
              <w:rPr>
                <w:rFonts w:ascii="Calibri" w:hAnsi="Calibri"/>
                <w:sz w:val="22"/>
                <w:szCs w:val="22"/>
              </w:rPr>
            </w:pPr>
          </w:p>
        </w:tc>
        <w:tc>
          <w:tcPr>
            <w:tcW w:w="4394" w:type="dxa"/>
            <w:shd w:val="clear" w:color="auto" w:fill="auto"/>
          </w:tcPr>
          <w:p w:rsidR="00A1325F" w:rsidRPr="00C004D3" w:rsidRDefault="00A1325F" w:rsidP="00A1325F">
            <w:pPr>
              <w:ind w:right="33"/>
              <w:contextualSpacing/>
              <w:rPr>
                <w:rFonts w:ascii="Calibri" w:hAnsi="Calibri"/>
                <w:b/>
                <w:sz w:val="22"/>
                <w:szCs w:val="22"/>
              </w:rPr>
            </w:pPr>
          </w:p>
          <w:p w:rsidR="00A1325F" w:rsidRPr="00C004D3" w:rsidRDefault="00A1325F" w:rsidP="00A1325F">
            <w:pPr>
              <w:ind w:right="33"/>
              <w:contextualSpacing/>
              <w:rPr>
                <w:rFonts w:ascii="Calibri" w:hAnsi="Calibri"/>
                <w:b/>
                <w:sz w:val="22"/>
                <w:szCs w:val="22"/>
              </w:rPr>
            </w:pPr>
            <w:r w:rsidRPr="00C004D3">
              <w:rPr>
                <w:rFonts w:ascii="Calibri" w:hAnsi="Calibri"/>
                <w:b/>
                <w:sz w:val="22"/>
                <w:szCs w:val="22"/>
              </w:rPr>
              <w:t>Total Carried forward</w:t>
            </w:r>
            <w:r>
              <w:rPr>
                <w:rFonts w:ascii="Calibri" w:hAnsi="Calibri"/>
                <w:b/>
                <w:sz w:val="22"/>
                <w:szCs w:val="22"/>
              </w:rPr>
              <w:t xml:space="preserve"> to Tender</w:t>
            </w:r>
          </w:p>
        </w:tc>
        <w:tc>
          <w:tcPr>
            <w:tcW w:w="1197" w:type="dxa"/>
            <w:shd w:val="clear" w:color="auto" w:fill="auto"/>
          </w:tcPr>
          <w:p w:rsidR="00A1325F" w:rsidRPr="009822B2" w:rsidRDefault="00A1325F" w:rsidP="00A1325F">
            <w:pPr>
              <w:ind w:right="-279"/>
              <w:contextualSpacing/>
              <w:rPr>
                <w:rFonts w:ascii="Calibri" w:hAnsi="Calibri"/>
                <w:sz w:val="22"/>
                <w:szCs w:val="22"/>
              </w:rPr>
            </w:pPr>
          </w:p>
        </w:tc>
        <w:tc>
          <w:tcPr>
            <w:tcW w:w="1197" w:type="dxa"/>
            <w:shd w:val="clear" w:color="auto" w:fill="auto"/>
          </w:tcPr>
          <w:p w:rsidR="00A1325F" w:rsidRPr="009822B2" w:rsidRDefault="00A1325F" w:rsidP="00A1325F">
            <w:pPr>
              <w:ind w:right="-279"/>
              <w:contextualSpacing/>
              <w:rPr>
                <w:rFonts w:ascii="Calibri" w:hAnsi="Calibri"/>
                <w:sz w:val="22"/>
                <w:szCs w:val="22"/>
              </w:rPr>
            </w:pPr>
          </w:p>
        </w:tc>
        <w:tc>
          <w:tcPr>
            <w:tcW w:w="1197" w:type="dxa"/>
            <w:shd w:val="clear" w:color="auto" w:fill="auto"/>
          </w:tcPr>
          <w:p w:rsidR="00A1325F" w:rsidRPr="009822B2" w:rsidRDefault="00A1325F" w:rsidP="00A1325F">
            <w:pPr>
              <w:ind w:right="-279"/>
              <w:contextualSpacing/>
              <w:rPr>
                <w:rFonts w:ascii="Calibri" w:hAnsi="Calibri"/>
                <w:sz w:val="22"/>
                <w:szCs w:val="22"/>
              </w:rPr>
            </w:pPr>
          </w:p>
        </w:tc>
        <w:tc>
          <w:tcPr>
            <w:tcW w:w="1654" w:type="dxa"/>
            <w:tcBorders>
              <w:bottom w:val="double" w:sz="4" w:space="0" w:color="auto"/>
            </w:tcBorders>
            <w:shd w:val="clear" w:color="auto" w:fill="D9D9D9" w:themeFill="background1" w:themeFillShade="D9"/>
          </w:tcPr>
          <w:p w:rsidR="00A1325F" w:rsidRPr="009822B2" w:rsidRDefault="00A1325F" w:rsidP="00A1325F">
            <w:pPr>
              <w:ind w:right="-279"/>
              <w:contextualSpacing/>
              <w:rPr>
                <w:rFonts w:ascii="Calibri" w:hAnsi="Calibri"/>
                <w:sz w:val="22"/>
                <w:szCs w:val="22"/>
              </w:rPr>
            </w:pPr>
          </w:p>
        </w:tc>
      </w:tr>
    </w:tbl>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DD0659" w:rsidRDefault="00DD0659" w:rsidP="00F32141">
      <w:pPr>
        <w:tabs>
          <w:tab w:val="left" w:pos="-720"/>
        </w:tabs>
        <w:suppressAutoHyphens/>
        <w:jc w:val="both"/>
        <w:rPr>
          <w:rFonts w:cs="Arial"/>
          <w:b/>
          <w:spacing w:val="-2"/>
          <w:sz w:val="24"/>
          <w:szCs w:val="24"/>
          <w:u w:val="single"/>
        </w:rPr>
      </w:pPr>
    </w:p>
    <w:p w:rsidR="007F5B20" w:rsidRDefault="007F5B20">
      <w:r>
        <w:br w:type="page"/>
      </w:r>
    </w:p>
    <w:p w:rsidR="006E7B1D" w:rsidRDefault="006E7B1D"/>
    <w:p w:rsidR="006E7B1D" w:rsidRDefault="006E7B1D"/>
    <w:p w:rsidR="009655DC" w:rsidRDefault="00185BA9" w:rsidP="00414EDD">
      <w:pPr>
        <w:pStyle w:val="CBStyle1"/>
      </w:pPr>
      <w:bookmarkStart w:id="3" w:name="_Toc42165154"/>
      <w:r>
        <w:t>e</w:t>
      </w:r>
      <w:r w:rsidR="00414EDD">
        <w:t>2</w:t>
      </w:r>
      <w:r w:rsidR="00414EDD">
        <w:tab/>
      </w:r>
      <w:r w:rsidR="00E2125B">
        <w:t>PRICE REVIEW FRAMEWORK</w:t>
      </w:r>
      <w:bookmarkEnd w:id="3"/>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B4FB7">
      <w:pPr>
        <w:pStyle w:val="Heading2"/>
        <w:numPr>
          <w:ilvl w:val="1"/>
          <w:numId w:val="14"/>
        </w:numPr>
        <w:spacing w:before="120" w:line="300" w:lineRule="atLeast"/>
        <w:ind w:left="851" w:hanging="851"/>
        <w:rPr>
          <w:sz w:val="22"/>
          <w:szCs w:val="22"/>
        </w:rPr>
      </w:pPr>
      <w:bookmarkStart w:id="4" w:name="_Toc348509321"/>
      <w:r w:rsidRPr="00722655">
        <w:rPr>
          <w:sz w:val="22"/>
          <w:szCs w:val="22"/>
        </w:rPr>
        <w:t>Price Validity Period</w:t>
      </w:r>
      <w:bookmarkEnd w:id="4"/>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w:t>
            </w:r>
            <w:r w:rsidR="00DA643A">
              <w:rPr>
                <w:sz w:val="22"/>
                <w:szCs w:val="22"/>
              </w:rPr>
              <w:t>Contractor</w:t>
            </w:r>
            <w:r w:rsidRPr="00722655">
              <w:rPr>
                <w:sz w:val="22"/>
                <w:szCs w:val="22"/>
              </w:rPr>
              <w:t xml:space="preserve"> to complete)</w:t>
            </w:r>
          </w:p>
        </w:tc>
      </w:tr>
    </w:tbl>
    <w:p w:rsidR="00A5075F" w:rsidRPr="00722655" w:rsidRDefault="00A5075F" w:rsidP="009655DC">
      <w:pPr>
        <w:rPr>
          <w:sz w:val="22"/>
          <w:szCs w:val="22"/>
        </w:rPr>
      </w:pPr>
    </w:p>
    <w:p w:rsidR="009655DC" w:rsidRPr="00722655" w:rsidRDefault="009655DC" w:rsidP="008B4FB7">
      <w:pPr>
        <w:pStyle w:val="Heading2"/>
        <w:numPr>
          <w:ilvl w:val="1"/>
          <w:numId w:val="14"/>
        </w:numPr>
        <w:spacing w:before="120" w:line="300" w:lineRule="atLeast"/>
        <w:ind w:left="851" w:hanging="851"/>
        <w:rPr>
          <w:bCs w:val="0"/>
          <w:iCs w:val="0"/>
          <w:sz w:val="22"/>
          <w:szCs w:val="22"/>
        </w:rPr>
      </w:pPr>
      <w:bookmarkStart w:id="5" w:name="_Ref314726086"/>
      <w:bookmarkStart w:id="6" w:name="_Toc348509322"/>
      <w:r w:rsidRPr="00722655">
        <w:rPr>
          <w:sz w:val="22"/>
          <w:szCs w:val="22"/>
        </w:rPr>
        <w:t>Price</w:t>
      </w:r>
      <w:r w:rsidRPr="00722655">
        <w:rPr>
          <w:bCs w:val="0"/>
          <w:iCs w:val="0"/>
          <w:sz w:val="22"/>
          <w:szCs w:val="22"/>
        </w:rPr>
        <w:t xml:space="preserve"> Review Proposals</w:t>
      </w:r>
      <w:bookmarkEnd w:id="5"/>
      <w:bookmarkEnd w:id="6"/>
    </w:p>
    <w:p w:rsidR="00A5075F" w:rsidRPr="00722655" w:rsidRDefault="00A5075F" w:rsidP="00A5075F">
      <w:pPr>
        <w:rPr>
          <w:sz w:val="22"/>
          <w:szCs w:val="22"/>
        </w:rPr>
      </w:pPr>
    </w:p>
    <w:p w:rsidR="009655DC" w:rsidRPr="00722655" w:rsidRDefault="00DD15E6" w:rsidP="009655DC">
      <w:pPr>
        <w:rPr>
          <w:rFonts w:cs="Arial"/>
          <w:color w:val="000000"/>
          <w:sz w:val="22"/>
          <w:szCs w:val="22"/>
          <w:lang w:eastAsia="en-GB"/>
        </w:rPr>
      </w:pPr>
      <w:r w:rsidRPr="00722655">
        <w:rPr>
          <w:rFonts w:cs="Arial"/>
          <w:bCs/>
          <w:color w:val="000000"/>
          <w:sz w:val="22"/>
          <w:szCs w:val="22"/>
          <w:lang w:eastAsia="en-GB"/>
        </w:rPr>
        <w:t xml:space="preserve">The </w:t>
      </w:r>
      <w:r>
        <w:rPr>
          <w:rFonts w:cs="Arial"/>
          <w:bCs/>
          <w:color w:val="000000"/>
          <w:sz w:val="22"/>
          <w:szCs w:val="22"/>
          <w:lang w:eastAsia="en-GB"/>
        </w:rPr>
        <w:t>Council</w:t>
      </w:r>
      <w:r w:rsidRPr="00722655">
        <w:rPr>
          <w:rFonts w:cs="Arial"/>
          <w:bCs/>
          <w:color w:val="000000"/>
          <w:sz w:val="22"/>
          <w:szCs w:val="22"/>
          <w:lang w:eastAsia="en-GB"/>
        </w:rPr>
        <w:t xml:space="preserve"> </w:t>
      </w:r>
      <w:r>
        <w:rPr>
          <w:rFonts w:cs="Arial"/>
          <w:bCs/>
          <w:color w:val="000000"/>
          <w:sz w:val="22"/>
          <w:szCs w:val="22"/>
          <w:lang w:eastAsia="en-GB"/>
        </w:rPr>
        <w:t xml:space="preserve">will </w:t>
      </w:r>
      <w:r w:rsidRPr="00722655">
        <w:rPr>
          <w:rFonts w:cs="Arial"/>
          <w:bCs/>
          <w:color w:val="000000"/>
          <w:sz w:val="22"/>
          <w:szCs w:val="22"/>
          <w:lang w:eastAsia="en-GB"/>
        </w:rPr>
        <w:t xml:space="preserve">not </w:t>
      </w:r>
      <w:r>
        <w:rPr>
          <w:rFonts w:cs="Arial"/>
          <w:bCs/>
          <w:color w:val="000000"/>
          <w:sz w:val="22"/>
          <w:szCs w:val="22"/>
          <w:lang w:eastAsia="en-GB"/>
        </w:rPr>
        <w:t xml:space="preserve">allow any annual price increases above CPI for March 2022, for the financial year 2022- 2023; the March 2023 CPI increase will apply to the 2023 - 2024 year’s works.  MDDC are also committed to exploring </w:t>
      </w:r>
      <w:r w:rsidRPr="00722655">
        <w:rPr>
          <w:rFonts w:cs="Arial"/>
          <w:bCs/>
          <w:color w:val="000000"/>
          <w:sz w:val="22"/>
          <w:szCs w:val="22"/>
          <w:lang w:eastAsia="en-GB"/>
        </w:rPr>
        <w:t xml:space="preserve">ways of reducing costs throughout </w:t>
      </w:r>
      <w:r>
        <w:rPr>
          <w:rFonts w:cs="Arial"/>
          <w:bCs/>
          <w:color w:val="000000"/>
          <w:sz w:val="22"/>
          <w:szCs w:val="22"/>
          <w:lang w:eastAsia="en-GB"/>
        </w:rPr>
        <w:t>the contracts</w:t>
      </w:r>
      <w:r w:rsidRPr="00722655">
        <w:rPr>
          <w:rFonts w:cs="Arial"/>
          <w:bCs/>
          <w:color w:val="000000"/>
          <w:sz w:val="22"/>
          <w:szCs w:val="22"/>
          <w:lang w:eastAsia="en-GB"/>
        </w:rPr>
        <w:t xml:space="preserve"> duration.</w:t>
      </w:r>
      <w:r w:rsidRPr="00722655">
        <w:rPr>
          <w:rFonts w:cs="Arial"/>
          <w:color w:val="000000"/>
          <w:sz w:val="22"/>
          <w:szCs w:val="22"/>
          <w:lang w:eastAsia="en-GB"/>
        </w:rPr>
        <w:t xml:space="preserve"> The </w:t>
      </w:r>
      <w:r>
        <w:rPr>
          <w:rFonts w:cs="Arial"/>
          <w:color w:val="000000"/>
          <w:sz w:val="22"/>
          <w:szCs w:val="22"/>
          <w:lang w:eastAsia="en-GB"/>
        </w:rPr>
        <w:t>Contractor</w:t>
      </w:r>
      <w:r w:rsidRPr="00722655">
        <w:rPr>
          <w:rFonts w:cs="Arial"/>
          <w:color w:val="000000"/>
          <w:sz w:val="22"/>
          <w:szCs w:val="22"/>
          <w:lang w:eastAsia="en-GB"/>
        </w:rPr>
        <w:t xml:space="preserve">’s signature at section </w:t>
      </w:r>
      <w:r>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w:t>
      </w:r>
      <w:r>
        <w:rPr>
          <w:rFonts w:cs="Arial"/>
          <w:color w:val="000000"/>
          <w:sz w:val="22"/>
          <w:szCs w:val="22"/>
          <w:lang w:eastAsia="en-GB"/>
        </w:rPr>
        <w:t>Contractor</w:t>
      </w:r>
      <w:r w:rsidRPr="00722655">
        <w:rPr>
          <w:rFonts w:cs="Arial"/>
          <w:color w:val="000000"/>
          <w:sz w:val="22"/>
          <w:szCs w:val="22"/>
          <w:lang w:eastAsia="en-GB"/>
        </w:rPr>
        <w:t xml:space="preserve">’s whose price review proposal differs from the </w:t>
      </w:r>
      <w:r>
        <w:rPr>
          <w:rFonts w:cs="Arial"/>
          <w:color w:val="000000"/>
          <w:sz w:val="22"/>
          <w:szCs w:val="22"/>
          <w:lang w:eastAsia="en-GB"/>
        </w:rPr>
        <w:t>Council</w:t>
      </w:r>
      <w:r w:rsidRPr="00722655">
        <w:rPr>
          <w:rFonts w:cs="Arial"/>
          <w:color w:val="000000"/>
          <w:sz w:val="22"/>
          <w:szCs w:val="22"/>
          <w:lang w:eastAsia="en-GB"/>
        </w:rPr>
        <w:t xml:space="preserve">’s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t xml:space="preserve">Price Review Proposal if different from above: </w:t>
            </w:r>
          </w:p>
        </w:tc>
      </w:tr>
    </w:tbl>
    <w:p w:rsidR="009655DC" w:rsidRPr="00722655" w:rsidRDefault="009655DC" w:rsidP="009655DC">
      <w:pPr>
        <w:rPr>
          <w:sz w:val="22"/>
          <w:szCs w:val="22"/>
        </w:rPr>
      </w:pPr>
      <w:bookmarkStart w:id="7" w:name="_Toc348509325"/>
      <w:bookmarkEnd w:id="7"/>
    </w:p>
    <w:p w:rsidR="009655DC" w:rsidRDefault="00414EDD" w:rsidP="00B7667E">
      <w:pPr>
        <w:pStyle w:val="CBStyle1"/>
      </w:pPr>
      <w:bookmarkStart w:id="8" w:name="_Toc348509327"/>
      <w:r w:rsidRPr="00722655">
        <w:rPr>
          <w:b w:val="0"/>
          <w:sz w:val="22"/>
          <w:szCs w:val="22"/>
        </w:rPr>
        <w:br w:type="page"/>
      </w:r>
      <w:bookmarkStart w:id="9" w:name="_Toc42165155"/>
      <w:bookmarkEnd w:id="8"/>
      <w:r w:rsidR="00185BA9">
        <w:lastRenderedPageBreak/>
        <w:t>e</w:t>
      </w:r>
      <w:r>
        <w:t>3</w:t>
      </w:r>
      <w:r>
        <w:tab/>
      </w:r>
      <w:r w:rsidR="00E2125B">
        <w:t>PRICING SCHEDULE DECLARATION</w:t>
      </w:r>
      <w:bookmarkEnd w:id="9"/>
    </w:p>
    <w:p w:rsidR="009655DC" w:rsidRDefault="009655DC" w:rsidP="009655DC">
      <w:pPr>
        <w:rPr>
          <w:b/>
          <w:sz w:val="28"/>
          <w:szCs w:val="28"/>
        </w:rPr>
      </w:pPr>
    </w:p>
    <w:p w:rsidR="009655DC" w:rsidRPr="00722655" w:rsidRDefault="009655DC" w:rsidP="00A27276">
      <w:pPr>
        <w:ind w:right="990"/>
        <w:rPr>
          <w:sz w:val="22"/>
        </w:rPr>
      </w:pPr>
      <w:r w:rsidRPr="00722655">
        <w:rPr>
          <w:sz w:val="22"/>
        </w:rPr>
        <w:t>I / We offer to</w:t>
      </w:r>
      <w:r w:rsidR="00A27276" w:rsidRPr="00722655">
        <w:rPr>
          <w:sz w:val="22"/>
        </w:rPr>
        <w:t xml:space="preserve"> </w:t>
      </w:r>
      <w:r w:rsidR="00A27276" w:rsidRPr="00123305">
        <w:rPr>
          <w:sz w:val="22"/>
        </w:rPr>
        <w:t>carry out the</w:t>
      </w:r>
      <w:r w:rsidR="00015245" w:rsidRPr="00123305">
        <w:rPr>
          <w:sz w:val="22"/>
        </w:rPr>
        <w:t xml:space="preserve"> </w:t>
      </w:r>
      <w:r w:rsidR="00A27276" w:rsidRPr="00123305">
        <w:rPr>
          <w:sz w:val="22"/>
        </w:rPr>
        <w:t xml:space="preserve">works </w:t>
      </w:r>
      <w:r w:rsidRPr="00123305">
        <w:rPr>
          <w:sz w:val="22"/>
        </w:rPr>
        <w:t>as</w:t>
      </w:r>
      <w:r w:rsidRPr="00722655">
        <w:rPr>
          <w:sz w:val="22"/>
        </w:rPr>
        <w:t xml:space="preserve">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 xml:space="preserve">*(It must be clearly shown whether the </w:t>
            </w:r>
            <w:r w:rsidR="00DA643A">
              <w:rPr>
                <w:rFonts w:cs="Arial"/>
                <w:i/>
                <w:sz w:val="22"/>
              </w:rPr>
              <w:t>Contractor</w:t>
            </w:r>
            <w:r w:rsidRPr="00722655">
              <w:rPr>
                <w:rFonts w:cs="Arial"/>
                <w:i/>
                <w:sz w:val="22"/>
              </w:rPr>
              <w:t xml:space="preserve"> is a limited company, statutory corporation, partnership or single individual, trading under his own or another name, and also if the signatory is not the actual </w:t>
            </w:r>
            <w:r w:rsidR="00DA643A">
              <w:rPr>
                <w:rFonts w:cs="Arial"/>
                <w:i/>
                <w:sz w:val="22"/>
              </w:rPr>
              <w:t>Contractor</w:t>
            </w:r>
            <w:r w:rsidRPr="00722655">
              <w:rPr>
                <w:rFonts w:cs="Arial"/>
                <w:i/>
                <w:sz w:val="22"/>
              </w:rPr>
              <w:t>, the capacity in which he/she signs or is employed).</w:t>
            </w:r>
          </w:p>
        </w:tc>
      </w:tr>
    </w:tbl>
    <w:p w:rsidR="009655DC" w:rsidRDefault="009655DC" w:rsidP="009655DC">
      <w:pPr>
        <w:rPr>
          <w:color w:val="0000FF"/>
          <w:sz w:val="22"/>
          <w:szCs w:val="22"/>
        </w:rPr>
      </w:pPr>
    </w:p>
    <w:sectPr w:rsidR="009655DC" w:rsidSect="004C7287">
      <w:headerReference w:type="default" r:id="rId9"/>
      <w:footerReference w:type="default" r:id="rId10"/>
      <w:type w:val="evenPage"/>
      <w:pgSz w:w="11906" w:h="16838"/>
      <w:pgMar w:top="1565" w:right="851" w:bottom="1440" w:left="851" w:header="709" w:footer="0" w:gutter="0"/>
      <w:pgNumType w:start="1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85" w:rsidRDefault="00397D85">
      <w:r>
        <w:separator/>
      </w:r>
    </w:p>
  </w:endnote>
  <w:endnote w:type="continuationSeparator" w:id="0">
    <w:p w:rsidR="00397D85" w:rsidRDefault="0039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87" w:rsidRDefault="004C7287" w:rsidP="004C7287"/>
  <w:p w:rsidR="004C7287" w:rsidRDefault="004C7287" w:rsidP="004C7287">
    <w:pPr>
      <w:pStyle w:val="Footer"/>
      <w:tabs>
        <w:tab w:val="clear" w:pos="4153"/>
        <w:tab w:val="clear" w:pos="8306"/>
        <w:tab w:val="center" w:pos="4680"/>
        <w:tab w:val="right" w:pos="10080"/>
      </w:tabs>
      <w:rPr>
        <w:rStyle w:val="PageNumber"/>
        <w:rFonts w:cs="Arial"/>
        <w:b/>
        <w:bCs/>
      </w:rPr>
    </w:pPr>
    <w:r>
      <w:rPr>
        <w:noProof/>
        <w:w w:val="100"/>
        <w:lang w:eastAsia="en-GB"/>
      </w:rPr>
      <mc:AlternateContent>
        <mc:Choice Requires="wps">
          <w:drawing>
            <wp:anchor distT="0" distB="0" distL="114300" distR="114300" simplePos="0" relativeHeight="251659264" behindDoc="0" locked="0" layoutInCell="1" allowOverlap="1" wp14:anchorId="57917EEB" wp14:editId="03BEDAE3">
              <wp:simplePos x="0" y="0"/>
              <wp:positionH relativeFrom="column">
                <wp:posOffset>0</wp:posOffset>
              </wp:positionH>
              <wp:positionV relativeFrom="paragraph">
                <wp:posOffset>-69215</wp:posOffset>
              </wp:positionV>
              <wp:extent cx="6400800" cy="0"/>
              <wp:effectExtent l="6985" t="5080" r="1206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B125"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x+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vI0nad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"/>
          </w:pict>
        </mc:Fallback>
      </mc:AlternateContent>
    </w:r>
    <w:r>
      <w:tab/>
    </w:r>
    <w:r>
      <w:rPr>
        <w:rFonts w:cs="Arial"/>
        <w:b/>
        <w:bCs/>
      </w:rPr>
      <w:t>COMMERCIAL - IN - CONFIDENCE</w:t>
    </w:r>
    <w:r>
      <w:rPr>
        <w:rFonts w:cs="Arial"/>
        <w:b/>
        <w:bCs/>
      </w:rPr>
      <w:tab/>
      <w:t xml:space="preserve">Page </w:t>
    </w:r>
    <w:r>
      <w:rPr>
        <w:rStyle w:val="PageNumber"/>
        <w:rFonts w:cs="Arial"/>
        <w:b/>
        <w:bCs/>
      </w:rPr>
      <w:fldChar w:fldCharType="begin"/>
    </w:r>
    <w:r>
      <w:rPr>
        <w:rStyle w:val="PageNumber"/>
        <w:rFonts w:cs="Arial"/>
        <w:b/>
        <w:bCs/>
      </w:rPr>
      <w:instrText xml:space="preserve"> PAGE  </w:instrText>
    </w:r>
    <w:r>
      <w:rPr>
        <w:rStyle w:val="PageNumber"/>
        <w:rFonts w:cs="Arial"/>
        <w:b/>
        <w:bCs/>
      </w:rPr>
      <w:fldChar w:fldCharType="separate"/>
    </w:r>
    <w:r w:rsidR="005B6B50">
      <w:rPr>
        <w:rStyle w:val="PageNumber"/>
        <w:rFonts w:cs="Arial"/>
        <w:b/>
        <w:bCs/>
        <w:noProof/>
      </w:rPr>
      <w:t>118</w:t>
    </w:r>
    <w:r>
      <w:rPr>
        <w:rStyle w:val="PageNumber"/>
        <w:rFonts w:cs="Arial"/>
        <w:b/>
        <w:bCs/>
      </w:rPr>
      <w:fldChar w:fldCharType="end"/>
    </w:r>
    <w:r>
      <w:rPr>
        <w:rStyle w:val="PageNumber"/>
        <w:rFonts w:cs="Arial"/>
        <w:b/>
        <w:bCs/>
      </w:rPr>
      <w:t xml:space="preserve"> of 118</w:t>
    </w:r>
  </w:p>
  <w:p w:rsidR="004C7287" w:rsidRDefault="004C7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85" w:rsidRDefault="00397D85">
      <w:r>
        <w:separator/>
      </w:r>
    </w:p>
  </w:footnote>
  <w:footnote w:type="continuationSeparator" w:id="0">
    <w:p w:rsidR="00397D85" w:rsidRDefault="0039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50" w:rsidRDefault="005B6B50" w:rsidP="005B6B50">
    <w:pPr>
      <w:pStyle w:val="Header"/>
      <w:tabs>
        <w:tab w:val="clear" w:pos="4153"/>
        <w:tab w:val="center" w:pos="5040"/>
      </w:tabs>
      <w:rPr>
        <w:b/>
        <w:bCs/>
        <w:color w:val="1F497D"/>
        <w:sz w:val="24"/>
        <w:szCs w:val="24"/>
        <w:lang w:val="en-US"/>
      </w:rPr>
    </w:pPr>
    <w:r>
      <w:tab/>
    </w:r>
    <w:r>
      <w:rPr>
        <w:b/>
        <w:bCs/>
        <w:color w:val="1F497D"/>
        <w:sz w:val="24"/>
        <w:szCs w:val="24"/>
        <w:lang w:val="en-US"/>
      </w:rPr>
      <w:t>DN514264 – Vinyl Flooring Renewal 2021 - 2024</w:t>
    </w:r>
  </w:p>
  <w:p w:rsidR="005B6B50" w:rsidRDefault="005B6B50" w:rsidP="005B6B50">
    <w:pPr>
      <w:pStyle w:val="Header"/>
      <w:tabs>
        <w:tab w:val="clear" w:pos="4153"/>
        <w:tab w:val="center" w:pos="5040"/>
      </w:tabs>
    </w:pPr>
  </w:p>
  <w:p w:rsidR="005B6B50" w:rsidRDefault="005B6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03B017E"/>
    <w:multiLevelType w:val="hybridMultilevel"/>
    <w:tmpl w:val="F5B6D1CE"/>
    <w:lvl w:ilvl="0" w:tplc="7E9473CE">
      <w:numFmt w:val="bullet"/>
      <w:pStyle w:val="NBSReportList"/>
      <w:lvlText w:val="·"/>
      <w:lvlJc w:val="left"/>
      <w:pPr>
        <w:ind w:left="600" w:hanging="360"/>
      </w:pPr>
      <w:rPr>
        <w:rFonts w:ascii="Symbol" w:hAnsi="Symbol" w:hint="default"/>
      </w:rPr>
    </w:lvl>
    <w:lvl w:ilvl="1" w:tplc="228A578C">
      <w:numFmt w:val="bullet"/>
      <w:lvlText w:val="-"/>
      <w:lvlJc w:val="left"/>
      <w:pPr>
        <w:ind w:left="1200" w:hanging="360"/>
      </w:pPr>
      <w:rPr>
        <w:rFonts w:ascii="Symbol" w:hAnsi="Symbol" w:hint="default"/>
      </w:rPr>
    </w:lvl>
    <w:lvl w:ilvl="2" w:tplc="F04C389C">
      <w:numFmt w:val="bullet"/>
      <w:lvlText w:val=""/>
      <w:lvlJc w:val="left"/>
      <w:pPr>
        <w:ind w:left="1800" w:hanging="360"/>
      </w:pPr>
      <w:rPr>
        <w:rFonts w:ascii="Symbol" w:hAnsi="Symbol" w:hint="default"/>
      </w:rPr>
    </w:lvl>
    <w:lvl w:ilvl="3" w:tplc="1632F352">
      <w:numFmt w:val="decimal"/>
      <w:lvlText w:val=""/>
      <w:lvlJc w:val="left"/>
    </w:lvl>
    <w:lvl w:ilvl="4" w:tplc="28DCC322">
      <w:numFmt w:val="decimal"/>
      <w:lvlText w:val=""/>
      <w:lvlJc w:val="left"/>
    </w:lvl>
    <w:lvl w:ilvl="5" w:tplc="9F309642">
      <w:numFmt w:val="decimal"/>
      <w:lvlText w:val=""/>
      <w:lvlJc w:val="left"/>
    </w:lvl>
    <w:lvl w:ilvl="6" w:tplc="ECE47790">
      <w:numFmt w:val="decimal"/>
      <w:lvlText w:val=""/>
      <w:lvlJc w:val="left"/>
    </w:lvl>
    <w:lvl w:ilvl="7" w:tplc="68AAE018">
      <w:numFmt w:val="decimal"/>
      <w:lvlText w:val=""/>
      <w:lvlJc w:val="left"/>
    </w:lvl>
    <w:lvl w:ilvl="8" w:tplc="7980AC52">
      <w:numFmt w:val="decimal"/>
      <w:lvlText w:val=""/>
      <w:lvlJc w:val="left"/>
    </w:lvl>
  </w:abstractNum>
  <w:abstractNum w:abstractNumId="5"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08F1467F"/>
    <w:multiLevelType w:val="singleLevel"/>
    <w:tmpl w:val="95C40D7E"/>
    <w:lvl w:ilvl="0">
      <w:start w:val="1"/>
      <w:numFmt w:val="lowerLetter"/>
      <w:lvlText w:val="(%1)"/>
      <w:lvlJc w:val="left"/>
      <w:pPr>
        <w:tabs>
          <w:tab w:val="num" w:pos="1440"/>
        </w:tabs>
        <w:ind w:left="1440" w:hanging="720"/>
      </w:pPr>
      <w:rPr>
        <w:rFonts w:hint="default"/>
      </w:rPr>
    </w:lvl>
  </w:abstractNum>
  <w:abstractNum w:abstractNumId="11" w15:restartNumberingAfterBreak="0">
    <w:nsid w:val="09D01885"/>
    <w:multiLevelType w:val="hybridMultilevel"/>
    <w:tmpl w:val="A37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540"/>
    <w:multiLevelType w:val="multilevel"/>
    <w:tmpl w:val="DCAEC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0644AF"/>
    <w:multiLevelType w:val="multilevel"/>
    <w:tmpl w:val="46D26BC0"/>
    <w:lvl w:ilvl="0">
      <w:start w:val="1"/>
      <w:numFmt w:val="decimal"/>
      <w:lvlText w:val="%1."/>
      <w:lvlJc w:val="left"/>
      <w:pPr>
        <w:tabs>
          <w:tab w:val="num" w:pos="720"/>
        </w:tabs>
        <w:ind w:left="720" w:hanging="720"/>
      </w:pPr>
      <w:rPr>
        <w:rFonts w:hint="default"/>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57F6B66"/>
    <w:multiLevelType w:val="hybridMultilevel"/>
    <w:tmpl w:val="011A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07BA0"/>
    <w:multiLevelType w:val="hybridMultilevel"/>
    <w:tmpl w:val="FF4235FE"/>
    <w:lvl w:ilvl="0" w:tplc="A3BCD298">
      <w:numFmt w:val="bullet"/>
      <w:lvlText w:val="·"/>
      <w:lvlJc w:val="left"/>
      <w:pPr>
        <w:ind w:left="502" w:hanging="360"/>
      </w:pPr>
      <w:rPr>
        <w:rFonts w:ascii="Symbol" w:hAnsi="Symbol" w:hint="default"/>
      </w:rPr>
    </w:lvl>
    <w:lvl w:ilvl="1" w:tplc="B790A18E">
      <w:numFmt w:val="bullet"/>
      <w:lvlText w:val="-"/>
      <w:lvlJc w:val="left"/>
      <w:pPr>
        <w:ind w:left="786" w:hanging="360"/>
      </w:pPr>
      <w:rPr>
        <w:rFonts w:ascii="Symbol" w:hAnsi="Symbol" w:hint="default"/>
      </w:rPr>
    </w:lvl>
    <w:lvl w:ilvl="2" w:tplc="6744042C">
      <w:numFmt w:val="bullet"/>
      <w:lvlText w:val=""/>
      <w:lvlJc w:val="left"/>
      <w:pPr>
        <w:ind w:left="1800" w:hanging="360"/>
      </w:pPr>
      <w:rPr>
        <w:rFonts w:ascii="Symbol" w:hAnsi="Symbol" w:hint="default"/>
      </w:rPr>
    </w:lvl>
    <w:lvl w:ilvl="3" w:tplc="6FE05166">
      <w:numFmt w:val="decimal"/>
      <w:lvlText w:val=""/>
      <w:lvlJc w:val="left"/>
    </w:lvl>
    <w:lvl w:ilvl="4" w:tplc="3E269334">
      <w:numFmt w:val="decimal"/>
      <w:lvlText w:val=""/>
      <w:lvlJc w:val="left"/>
    </w:lvl>
    <w:lvl w:ilvl="5" w:tplc="9454DA8C">
      <w:numFmt w:val="decimal"/>
      <w:lvlText w:val=""/>
      <w:lvlJc w:val="left"/>
    </w:lvl>
    <w:lvl w:ilvl="6" w:tplc="ED242066">
      <w:numFmt w:val="decimal"/>
      <w:lvlText w:val=""/>
      <w:lvlJc w:val="left"/>
    </w:lvl>
    <w:lvl w:ilvl="7" w:tplc="7572010E">
      <w:numFmt w:val="decimal"/>
      <w:lvlText w:val=""/>
      <w:lvlJc w:val="left"/>
    </w:lvl>
    <w:lvl w:ilvl="8" w:tplc="EA86C128">
      <w:numFmt w:val="decimal"/>
      <w:lvlText w:val=""/>
      <w:lvlJc w:val="left"/>
    </w:lvl>
  </w:abstractNum>
  <w:abstractNum w:abstractNumId="16" w15:restartNumberingAfterBreak="0">
    <w:nsid w:val="18536653"/>
    <w:multiLevelType w:val="multilevel"/>
    <w:tmpl w:val="5FA21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B74C7C"/>
    <w:multiLevelType w:val="hybridMultilevel"/>
    <w:tmpl w:val="0FCC5010"/>
    <w:lvl w:ilvl="0" w:tplc="0C4E569C">
      <w:numFmt w:val="bullet"/>
      <w:lvlText w:val="·"/>
      <w:lvlJc w:val="left"/>
      <w:pPr>
        <w:ind w:left="600" w:hanging="360"/>
      </w:pPr>
      <w:rPr>
        <w:rFonts w:ascii="Symbol" w:hAnsi="Symbol" w:hint="default"/>
      </w:rPr>
    </w:lvl>
    <w:lvl w:ilvl="1" w:tplc="1DF2387A">
      <w:numFmt w:val="bullet"/>
      <w:lvlText w:val="-"/>
      <w:lvlJc w:val="left"/>
      <w:pPr>
        <w:ind w:left="1200" w:hanging="360"/>
      </w:pPr>
      <w:rPr>
        <w:rFonts w:ascii="Symbol" w:hAnsi="Symbol" w:hint="default"/>
      </w:rPr>
    </w:lvl>
    <w:lvl w:ilvl="2" w:tplc="057494E2">
      <w:numFmt w:val="bullet"/>
      <w:lvlText w:val=""/>
      <w:lvlJc w:val="left"/>
      <w:pPr>
        <w:ind w:left="1800" w:hanging="360"/>
      </w:pPr>
      <w:rPr>
        <w:rFonts w:ascii="Symbol" w:hAnsi="Symbol" w:hint="default"/>
      </w:rPr>
    </w:lvl>
    <w:lvl w:ilvl="3" w:tplc="12D6027C">
      <w:numFmt w:val="decimal"/>
      <w:lvlText w:val=""/>
      <w:lvlJc w:val="left"/>
    </w:lvl>
    <w:lvl w:ilvl="4" w:tplc="A2F63BBE">
      <w:numFmt w:val="decimal"/>
      <w:lvlText w:val=""/>
      <w:lvlJc w:val="left"/>
    </w:lvl>
    <w:lvl w:ilvl="5" w:tplc="5420B182">
      <w:numFmt w:val="decimal"/>
      <w:lvlText w:val=""/>
      <w:lvlJc w:val="left"/>
    </w:lvl>
    <w:lvl w:ilvl="6" w:tplc="6B841122">
      <w:numFmt w:val="decimal"/>
      <w:lvlText w:val=""/>
      <w:lvlJc w:val="left"/>
    </w:lvl>
    <w:lvl w:ilvl="7" w:tplc="A6161698">
      <w:numFmt w:val="decimal"/>
      <w:lvlText w:val=""/>
      <w:lvlJc w:val="left"/>
    </w:lvl>
    <w:lvl w:ilvl="8" w:tplc="2CD67330">
      <w:numFmt w:val="decimal"/>
      <w:lvlText w:val=""/>
      <w:lvlJc w:val="left"/>
    </w:lvl>
  </w:abstractNum>
  <w:abstractNum w:abstractNumId="18" w15:restartNumberingAfterBreak="0">
    <w:nsid w:val="1D736AF8"/>
    <w:multiLevelType w:val="hybridMultilevel"/>
    <w:tmpl w:val="CC9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20A460D8"/>
    <w:multiLevelType w:val="hybridMultilevel"/>
    <w:tmpl w:val="F71A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EF3676"/>
    <w:multiLevelType w:val="multilevel"/>
    <w:tmpl w:val="FD1A86AE"/>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606D3B"/>
    <w:multiLevelType w:val="hybridMultilevel"/>
    <w:tmpl w:val="59C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BC644E"/>
    <w:multiLevelType w:val="multilevel"/>
    <w:tmpl w:val="99025D86"/>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060148"/>
    <w:multiLevelType w:val="hybridMultilevel"/>
    <w:tmpl w:val="C2409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0E35DB"/>
    <w:multiLevelType w:val="hybridMultilevel"/>
    <w:tmpl w:val="BA0261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75308EB"/>
    <w:multiLevelType w:val="multilevel"/>
    <w:tmpl w:val="D2B895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81299D"/>
    <w:multiLevelType w:val="hybridMultilevel"/>
    <w:tmpl w:val="4A169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8"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3E3467A"/>
    <w:multiLevelType w:val="multilevel"/>
    <w:tmpl w:val="D1983064"/>
    <w:lvl w:ilvl="0">
      <w:start w:val="1"/>
      <w:numFmt w:val="decimal"/>
      <w:lvlText w:val="%1"/>
      <w:lvlJc w:val="left"/>
      <w:pPr>
        <w:tabs>
          <w:tab w:val="num" w:pos="360"/>
        </w:tabs>
        <w:ind w:left="360" w:hanging="360"/>
      </w:pPr>
      <w:rPr>
        <w:rFonts w:ascii="Verdana" w:hAnsi="Verdana" w:cs="Times New Roman" w:hint="default"/>
      </w:rPr>
    </w:lvl>
    <w:lvl w:ilvl="1">
      <w:start w:val="4"/>
      <w:numFmt w:val="decimal"/>
      <w:lvlText w:val="%1.%2"/>
      <w:lvlJc w:val="left"/>
      <w:pPr>
        <w:tabs>
          <w:tab w:val="num" w:pos="360"/>
        </w:tabs>
        <w:ind w:left="360" w:hanging="360"/>
      </w:pPr>
      <w:rPr>
        <w:rFonts w:ascii="Verdana" w:hAnsi="Verdana" w:cs="Times New Roman" w:hint="default"/>
      </w:rPr>
    </w:lvl>
    <w:lvl w:ilvl="2">
      <w:start w:val="1"/>
      <w:numFmt w:val="decimal"/>
      <w:lvlText w:val="%1.%2.%3"/>
      <w:lvlJc w:val="left"/>
      <w:pPr>
        <w:tabs>
          <w:tab w:val="num" w:pos="720"/>
        </w:tabs>
        <w:ind w:left="720" w:hanging="720"/>
      </w:pPr>
      <w:rPr>
        <w:rFonts w:ascii="Verdana" w:hAnsi="Verdana" w:cs="Times New Roman" w:hint="default"/>
      </w:rPr>
    </w:lvl>
    <w:lvl w:ilvl="3">
      <w:start w:val="1"/>
      <w:numFmt w:val="decimal"/>
      <w:lvlText w:val="%1.%2.%3.%4"/>
      <w:lvlJc w:val="left"/>
      <w:pPr>
        <w:tabs>
          <w:tab w:val="num" w:pos="720"/>
        </w:tabs>
        <w:ind w:left="720" w:hanging="720"/>
      </w:pPr>
      <w:rPr>
        <w:rFonts w:ascii="Verdana" w:hAnsi="Verdana" w:cs="Times New Roman" w:hint="default"/>
      </w:rPr>
    </w:lvl>
    <w:lvl w:ilvl="4">
      <w:start w:val="1"/>
      <w:numFmt w:val="decimal"/>
      <w:lvlText w:val="%1.%2.%3.%4.%5"/>
      <w:lvlJc w:val="left"/>
      <w:pPr>
        <w:tabs>
          <w:tab w:val="num" w:pos="1080"/>
        </w:tabs>
        <w:ind w:left="1080" w:hanging="1080"/>
      </w:pPr>
      <w:rPr>
        <w:rFonts w:ascii="Verdana" w:hAnsi="Verdana" w:cs="Times New Roman" w:hint="default"/>
      </w:rPr>
    </w:lvl>
    <w:lvl w:ilvl="5">
      <w:start w:val="1"/>
      <w:numFmt w:val="decimal"/>
      <w:lvlText w:val="%1.%2.%3.%4.%5.%6"/>
      <w:lvlJc w:val="left"/>
      <w:pPr>
        <w:tabs>
          <w:tab w:val="num" w:pos="1080"/>
        </w:tabs>
        <w:ind w:left="1080" w:hanging="1080"/>
      </w:pPr>
      <w:rPr>
        <w:rFonts w:ascii="Verdana" w:hAnsi="Verdana" w:cs="Times New Roman" w:hint="default"/>
      </w:rPr>
    </w:lvl>
    <w:lvl w:ilvl="6">
      <w:start w:val="1"/>
      <w:numFmt w:val="decimal"/>
      <w:lvlText w:val="%1.%2.%3.%4.%5.%6.%7"/>
      <w:lvlJc w:val="left"/>
      <w:pPr>
        <w:tabs>
          <w:tab w:val="num" w:pos="1440"/>
        </w:tabs>
        <w:ind w:left="1440" w:hanging="1440"/>
      </w:pPr>
      <w:rPr>
        <w:rFonts w:ascii="Verdana" w:hAnsi="Verdana" w:cs="Times New Roman" w:hint="default"/>
      </w:rPr>
    </w:lvl>
    <w:lvl w:ilvl="7">
      <w:start w:val="1"/>
      <w:numFmt w:val="decimal"/>
      <w:lvlText w:val="%1.%2.%3.%4.%5.%6.%7.%8"/>
      <w:lvlJc w:val="left"/>
      <w:pPr>
        <w:tabs>
          <w:tab w:val="num" w:pos="1440"/>
        </w:tabs>
        <w:ind w:left="1440" w:hanging="1440"/>
      </w:pPr>
      <w:rPr>
        <w:rFonts w:ascii="Verdana" w:hAnsi="Verdana" w:cs="Times New Roman" w:hint="default"/>
      </w:rPr>
    </w:lvl>
    <w:lvl w:ilvl="8">
      <w:start w:val="1"/>
      <w:numFmt w:val="decimal"/>
      <w:lvlText w:val="%1.%2.%3.%4.%5.%6.%7.%8.%9"/>
      <w:lvlJc w:val="left"/>
      <w:pPr>
        <w:tabs>
          <w:tab w:val="num" w:pos="1800"/>
        </w:tabs>
        <w:ind w:left="1800" w:hanging="1800"/>
      </w:pPr>
      <w:rPr>
        <w:rFonts w:ascii="Verdana" w:hAnsi="Verdana" w:cs="Times New Roman" w:hint="default"/>
      </w:rPr>
    </w:lvl>
  </w:abstractNum>
  <w:abstractNum w:abstractNumId="40" w15:restartNumberingAfterBreak="0">
    <w:nsid w:val="660B78E9"/>
    <w:multiLevelType w:val="hybridMultilevel"/>
    <w:tmpl w:val="CD64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FB4CB7"/>
    <w:multiLevelType w:val="hybridMultilevel"/>
    <w:tmpl w:val="9C26F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1EB1354"/>
    <w:multiLevelType w:val="hybridMultilevel"/>
    <w:tmpl w:val="706A1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E457E6"/>
    <w:multiLevelType w:val="hybridMultilevel"/>
    <w:tmpl w:val="AB4E8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5"/>
  </w:num>
  <w:num w:numId="3">
    <w:abstractNumId w:val="3"/>
  </w:num>
  <w:num w:numId="4">
    <w:abstractNumId w:val="1"/>
  </w:num>
  <w:num w:numId="5">
    <w:abstractNumId w:val="37"/>
  </w:num>
  <w:num w:numId="6">
    <w:abstractNumId w:val="0"/>
  </w:num>
  <w:num w:numId="7">
    <w:abstractNumId w:val="36"/>
  </w:num>
  <w:num w:numId="8">
    <w:abstractNumId w:val="44"/>
  </w:num>
  <w:num w:numId="9">
    <w:abstractNumId w:val="23"/>
  </w:num>
  <w:num w:numId="10">
    <w:abstractNumId w:val="42"/>
  </w:num>
  <w:num w:numId="11">
    <w:abstractNumId w:val="38"/>
  </w:num>
  <w:num w:numId="12">
    <w:abstractNumId w:val="26"/>
  </w:num>
  <w:num w:numId="13">
    <w:abstractNumId w:val="12"/>
  </w:num>
  <w:num w:numId="14">
    <w:abstractNumId w:val="35"/>
  </w:num>
  <w:num w:numId="15">
    <w:abstractNumId w:val="2"/>
  </w:num>
  <w:num w:numId="16">
    <w:abstractNumId w:val="32"/>
  </w:num>
  <w:num w:numId="17">
    <w:abstractNumId w:val="24"/>
  </w:num>
  <w:num w:numId="18">
    <w:abstractNumId w:val="16"/>
  </w:num>
  <w:num w:numId="19">
    <w:abstractNumId w:val="41"/>
  </w:num>
  <w:num w:numId="20">
    <w:abstractNumId w:val="8"/>
  </w:num>
  <w:num w:numId="21">
    <w:abstractNumId w:val="33"/>
  </w:num>
  <w:num w:numId="22">
    <w:abstractNumId w:val="29"/>
  </w:num>
  <w:num w:numId="23">
    <w:abstractNumId w:val="18"/>
  </w:num>
  <w:num w:numId="24">
    <w:abstractNumId w:val="13"/>
  </w:num>
  <w:num w:numId="25">
    <w:abstractNumId w:val="10"/>
  </w:num>
  <w:num w:numId="26">
    <w:abstractNumId w:val="31"/>
  </w:num>
  <w:num w:numId="27">
    <w:abstractNumId w:val="20"/>
  </w:num>
  <w:num w:numId="28">
    <w:abstractNumId w:val="43"/>
  </w:num>
  <w:num w:numId="29">
    <w:abstractNumId w:val="11"/>
  </w:num>
  <w:num w:numId="30">
    <w:abstractNumId w:val="27"/>
  </w:num>
  <w:num w:numId="31">
    <w:abstractNumId w:val="14"/>
  </w:num>
  <w:num w:numId="32">
    <w:abstractNumId w:val="46"/>
  </w:num>
  <w:num w:numId="33">
    <w:abstractNumId w:val="45"/>
  </w:num>
  <w:num w:numId="34">
    <w:abstractNumId w:val="40"/>
  </w:num>
  <w:num w:numId="35">
    <w:abstractNumId w:val="39"/>
  </w:num>
  <w:num w:numId="36">
    <w:abstractNumId w:val="30"/>
  </w:num>
  <w:num w:numId="37">
    <w:abstractNumId w:val="34"/>
  </w:num>
  <w:num w:numId="38">
    <w:abstractNumId w:val="4"/>
  </w:num>
  <w:num w:numId="39">
    <w:abstractNumId w:val="15"/>
  </w:num>
  <w:num w:numId="40">
    <w:abstractNumId w:val="21"/>
  </w:num>
  <w:num w:numId="41">
    <w:abstractNumId w:val="28"/>
  </w:num>
  <w:num w:numId="42">
    <w:abstractNumId w:val="9"/>
  </w:num>
  <w:num w:numId="43">
    <w:abstractNumId w:val="5"/>
  </w:num>
  <w:num w:numId="44">
    <w:abstractNumId w:val="19"/>
  </w:num>
  <w:num w:numId="45">
    <w:abstractNumId w:val="7"/>
  </w:num>
  <w:num w:numId="46">
    <w:abstractNumId w:val="22"/>
  </w:num>
  <w:num w:numId="47">
    <w:abstractNumId w:val="17"/>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3CE1"/>
    <w:rsid w:val="0000498F"/>
    <w:rsid w:val="00011526"/>
    <w:rsid w:val="00013887"/>
    <w:rsid w:val="00014C40"/>
    <w:rsid w:val="00015245"/>
    <w:rsid w:val="00015B5E"/>
    <w:rsid w:val="000173B4"/>
    <w:rsid w:val="00017B36"/>
    <w:rsid w:val="00017CBF"/>
    <w:rsid w:val="00020333"/>
    <w:rsid w:val="00022154"/>
    <w:rsid w:val="00022852"/>
    <w:rsid w:val="000230A4"/>
    <w:rsid w:val="000260BD"/>
    <w:rsid w:val="000307DE"/>
    <w:rsid w:val="00030856"/>
    <w:rsid w:val="00032083"/>
    <w:rsid w:val="000320A7"/>
    <w:rsid w:val="000330FA"/>
    <w:rsid w:val="00036A00"/>
    <w:rsid w:val="0003729E"/>
    <w:rsid w:val="00037810"/>
    <w:rsid w:val="00040C51"/>
    <w:rsid w:val="00043052"/>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5E"/>
    <w:rsid w:val="00077853"/>
    <w:rsid w:val="000823EA"/>
    <w:rsid w:val="00085E96"/>
    <w:rsid w:val="00087170"/>
    <w:rsid w:val="00093260"/>
    <w:rsid w:val="000960E0"/>
    <w:rsid w:val="00096130"/>
    <w:rsid w:val="0009652C"/>
    <w:rsid w:val="000976F9"/>
    <w:rsid w:val="000A00E3"/>
    <w:rsid w:val="000A0208"/>
    <w:rsid w:val="000A08AB"/>
    <w:rsid w:val="000A15CF"/>
    <w:rsid w:val="000A233B"/>
    <w:rsid w:val="000A3557"/>
    <w:rsid w:val="000A5ABD"/>
    <w:rsid w:val="000A7479"/>
    <w:rsid w:val="000B0303"/>
    <w:rsid w:val="000B1C64"/>
    <w:rsid w:val="000B5A53"/>
    <w:rsid w:val="000B5D7C"/>
    <w:rsid w:val="000C1130"/>
    <w:rsid w:val="000C1B5D"/>
    <w:rsid w:val="000C1D20"/>
    <w:rsid w:val="000C2D26"/>
    <w:rsid w:val="000C5B03"/>
    <w:rsid w:val="000C62CC"/>
    <w:rsid w:val="000C735F"/>
    <w:rsid w:val="000D23E8"/>
    <w:rsid w:val="000D2718"/>
    <w:rsid w:val="000D2E92"/>
    <w:rsid w:val="000D3453"/>
    <w:rsid w:val="000D354A"/>
    <w:rsid w:val="000D4B6A"/>
    <w:rsid w:val="000D6133"/>
    <w:rsid w:val="000D7B84"/>
    <w:rsid w:val="000D7E7B"/>
    <w:rsid w:val="000D7EF8"/>
    <w:rsid w:val="000E2682"/>
    <w:rsid w:val="000E6AD0"/>
    <w:rsid w:val="000F043E"/>
    <w:rsid w:val="000F09D3"/>
    <w:rsid w:val="000F3F35"/>
    <w:rsid w:val="000F4054"/>
    <w:rsid w:val="000F5370"/>
    <w:rsid w:val="000F54C2"/>
    <w:rsid w:val="00100959"/>
    <w:rsid w:val="00100A5B"/>
    <w:rsid w:val="001035E1"/>
    <w:rsid w:val="00104EAA"/>
    <w:rsid w:val="00105BD4"/>
    <w:rsid w:val="001106D1"/>
    <w:rsid w:val="00110C0C"/>
    <w:rsid w:val="00112884"/>
    <w:rsid w:val="00112FD0"/>
    <w:rsid w:val="00114917"/>
    <w:rsid w:val="00115CA4"/>
    <w:rsid w:val="0011609D"/>
    <w:rsid w:val="00117134"/>
    <w:rsid w:val="00117E62"/>
    <w:rsid w:val="00120AA3"/>
    <w:rsid w:val="00120ADA"/>
    <w:rsid w:val="00123305"/>
    <w:rsid w:val="001255AE"/>
    <w:rsid w:val="00125AF4"/>
    <w:rsid w:val="00127BBE"/>
    <w:rsid w:val="00127C71"/>
    <w:rsid w:val="00127D17"/>
    <w:rsid w:val="00133941"/>
    <w:rsid w:val="001417E7"/>
    <w:rsid w:val="0014357F"/>
    <w:rsid w:val="001464BD"/>
    <w:rsid w:val="00147DA9"/>
    <w:rsid w:val="00150CAB"/>
    <w:rsid w:val="00151EE1"/>
    <w:rsid w:val="0015277F"/>
    <w:rsid w:val="00153404"/>
    <w:rsid w:val="00153414"/>
    <w:rsid w:val="001570C1"/>
    <w:rsid w:val="001606D5"/>
    <w:rsid w:val="0016133F"/>
    <w:rsid w:val="00162A58"/>
    <w:rsid w:val="00163137"/>
    <w:rsid w:val="001637AA"/>
    <w:rsid w:val="00165B5D"/>
    <w:rsid w:val="00166641"/>
    <w:rsid w:val="00166F85"/>
    <w:rsid w:val="001702B4"/>
    <w:rsid w:val="00171921"/>
    <w:rsid w:val="00174D6D"/>
    <w:rsid w:val="00175897"/>
    <w:rsid w:val="00175C81"/>
    <w:rsid w:val="0018135B"/>
    <w:rsid w:val="00181E2A"/>
    <w:rsid w:val="00183699"/>
    <w:rsid w:val="001851BF"/>
    <w:rsid w:val="00185395"/>
    <w:rsid w:val="001857F1"/>
    <w:rsid w:val="00185BA9"/>
    <w:rsid w:val="00186DEE"/>
    <w:rsid w:val="00190F21"/>
    <w:rsid w:val="001942CF"/>
    <w:rsid w:val="001956E7"/>
    <w:rsid w:val="001969C8"/>
    <w:rsid w:val="0019750F"/>
    <w:rsid w:val="001A0353"/>
    <w:rsid w:val="001A0407"/>
    <w:rsid w:val="001A0953"/>
    <w:rsid w:val="001A1B32"/>
    <w:rsid w:val="001A280F"/>
    <w:rsid w:val="001A2A8D"/>
    <w:rsid w:val="001A2B25"/>
    <w:rsid w:val="001A3B15"/>
    <w:rsid w:val="001A4843"/>
    <w:rsid w:val="001A4A10"/>
    <w:rsid w:val="001A6DCA"/>
    <w:rsid w:val="001B4424"/>
    <w:rsid w:val="001B486A"/>
    <w:rsid w:val="001B5058"/>
    <w:rsid w:val="001B50EE"/>
    <w:rsid w:val="001B6227"/>
    <w:rsid w:val="001B7423"/>
    <w:rsid w:val="001C0A20"/>
    <w:rsid w:val="001C1087"/>
    <w:rsid w:val="001C4016"/>
    <w:rsid w:val="001C5F96"/>
    <w:rsid w:val="001C6CB9"/>
    <w:rsid w:val="001D0261"/>
    <w:rsid w:val="001D203C"/>
    <w:rsid w:val="001D284E"/>
    <w:rsid w:val="001D4A6E"/>
    <w:rsid w:val="001D5526"/>
    <w:rsid w:val="001D6D79"/>
    <w:rsid w:val="001E1348"/>
    <w:rsid w:val="001F059E"/>
    <w:rsid w:val="001F0C74"/>
    <w:rsid w:val="001F1858"/>
    <w:rsid w:val="001F35AB"/>
    <w:rsid w:val="001F5D9D"/>
    <w:rsid w:val="001F7232"/>
    <w:rsid w:val="00202CB2"/>
    <w:rsid w:val="00202E99"/>
    <w:rsid w:val="00204430"/>
    <w:rsid w:val="00205873"/>
    <w:rsid w:val="00206E0D"/>
    <w:rsid w:val="002075B3"/>
    <w:rsid w:val="00207F59"/>
    <w:rsid w:val="00211735"/>
    <w:rsid w:val="002118AA"/>
    <w:rsid w:val="00212238"/>
    <w:rsid w:val="002162E4"/>
    <w:rsid w:val="00217626"/>
    <w:rsid w:val="00222830"/>
    <w:rsid w:val="00224F24"/>
    <w:rsid w:val="002264B0"/>
    <w:rsid w:val="002264E4"/>
    <w:rsid w:val="00226A2D"/>
    <w:rsid w:val="002274DD"/>
    <w:rsid w:val="00234869"/>
    <w:rsid w:val="0023496A"/>
    <w:rsid w:val="00235923"/>
    <w:rsid w:val="00237FE5"/>
    <w:rsid w:val="00240039"/>
    <w:rsid w:val="002404F1"/>
    <w:rsid w:val="002404FC"/>
    <w:rsid w:val="002425BC"/>
    <w:rsid w:val="00243C23"/>
    <w:rsid w:val="00244C63"/>
    <w:rsid w:val="00244FCF"/>
    <w:rsid w:val="00245058"/>
    <w:rsid w:val="00245945"/>
    <w:rsid w:val="00250E3B"/>
    <w:rsid w:val="0025212A"/>
    <w:rsid w:val="00255519"/>
    <w:rsid w:val="00257B4D"/>
    <w:rsid w:val="00257EDE"/>
    <w:rsid w:val="00257FC7"/>
    <w:rsid w:val="00261AA9"/>
    <w:rsid w:val="00261C2A"/>
    <w:rsid w:val="0026252A"/>
    <w:rsid w:val="00262E56"/>
    <w:rsid w:val="00264329"/>
    <w:rsid w:val="0026447A"/>
    <w:rsid w:val="00265560"/>
    <w:rsid w:val="00266F0F"/>
    <w:rsid w:val="00270A12"/>
    <w:rsid w:val="002710B1"/>
    <w:rsid w:val="00271200"/>
    <w:rsid w:val="002713C5"/>
    <w:rsid w:val="00273122"/>
    <w:rsid w:val="00273222"/>
    <w:rsid w:val="00273868"/>
    <w:rsid w:val="00273B64"/>
    <w:rsid w:val="00274A30"/>
    <w:rsid w:val="00276B21"/>
    <w:rsid w:val="0027712B"/>
    <w:rsid w:val="00277C9E"/>
    <w:rsid w:val="002800C7"/>
    <w:rsid w:val="002805AC"/>
    <w:rsid w:val="00281913"/>
    <w:rsid w:val="00281CC8"/>
    <w:rsid w:val="00282C13"/>
    <w:rsid w:val="00283E0A"/>
    <w:rsid w:val="00283FC7"/>
    <w:rsid w:val="002848BC"/>
    <w:rsid w:val="00286940"/>
    <w:rsid w:val="00286CA8"/>
    <w:rsid w:val="0028749A"/>
    <w:rsid w:val="002906C2"/>
    <w:rsid w:val="00290FF8"/>
    <w:rsid w:val="002928C8"/>
    <w:rsid w:val="00292D34"/>
    <w:rsid w:val="00293070"/>
    <w:rsid w:val="00293904"/>
    <w:rsid w:val="002942DC"/>
    <w:rsid w:val="00295076"/>
    <w:rsid w:val="00295571"/>
    <w:rsid w:val="002A0123"/>
    <w:rsid w:val="002A07DE"/>
    <w:rsid w:val="002A1E80"/>
    <w:rsid w:val="002A1FFE"/>
    <w:rsid w:val="002A59E1"/>
    <w:rsid w:val="002A6019"/>
    <w:rsid w:val="002B0485"/>
    <w:rsid w:val="002B0B58"/>
    <w:rsid w:val="002B4F73"/>
    <w:rsid w:val="002B604A"/>
    <w:rsid w:val="002C0B10"/>
    <w:rsid w:val="002C3982"/>
    <w:rsid w:val="002C3FB5"/>
    <w:rsid w:val="002C49DE"/>
    <w:rsid w:val="002C4B06"/>
    <w:rsid w:val="002C50C7"/>
    <w:rsid w:val="002C5384"/>
    <w:rsid w:val="002C5E8D"/>
    <w:rsid w:val="002C6621"/>
    <w:rsid w:val="002C7426"/>
    <w:rsid w:val="002D03B4"/>
    <w:rsid w:val="002D1F30"/>
    <w:rsid w:val="002D247E"/>
    <w:rsid w:val="002D5901"/>
    <w:rsid w:val="002D69BC"/>
    <w:rsid w:val="002E2031"/>
    <w:rsid w:val="002E2FF0"/>
    <w:rsid w:val="002E595D"/>
    <w:rsid w:val="002E6477"/>
    <w:rsid w:val="002E665E"/>
    <w:rsid w:val="002F15D9"/>
    <w:rsid w:val="002F16B8"/>
    <w:rsid w:val="002F3447"/>
    <w:rsid w:val="002F51BE"/>
    <w:rsid w:val="002F5AED"/>
    <w:rsid w:val="003013C1"/>
    <w:rsid w:val="0030555E"/>
    <w:rsid w:val="00307475"/>
    <w:rsid w:val="00310599"/>
    <w:rsid w:val="003124C3"/>
    <w:rsid w:val="003128E9"/>
    <w:rsid w:val="00312BC8"/>
    <w:rsid w:val="00315B31"/>
    <w:rsid w:val="003209AB"/>
    <w:rsid w:val="00325798"/>
    <w:rsid w:val="00326DD4"/>
    <w:rsid w:val="003279FD"/>
    <w:rsid w:val="0033065E"/>
    <w:rsid w:val="00330800"/>
    <w:rsid w:val="0033150C"/>
    <w:rsid w:val="00331F82"/>
    <w:rsid w:val="00333913"/>
    <w:rsid w:val="0033484B"/>
    <w:rsid w:val="00334F4F"/>
    <w:rsid w:val="003368A6"/>
    <w:rsid w:val="00337172"/>
    <w:rsid w:val="00340A73"/>
    <w:rsid w:val="00341EA0"/>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5EFB"/>
    <w:rsid w:val="00366302"/>
    <w:rsid w:val="00372909"/>
    <w:rsid w:val="003744ED"/>
    <w:rsid w:val="0037531D"/>
    <w:rsid w:val="003761AA"/>
    <w:rsid w:val="003762C3"/>
    <w:rsid w:val="00377BAA"/>
    <w:rsid w:val="00380A24"/>
    <w:rsid w:val="00382743"/>
    <w:rsid w:val="0038357D"/>
    <w:rsid w:val="0038420F"/>
    <w:rsid w:val="00385002"/>
    <w:rsid w:val="00385094"/>
    <w:rsid w:val="00385A80"/>
    <w:rsid w:val="003865DF"/>
    <w:rsid w:val="00391279"/>
    <w:rsid w:val="00392E3E"/>
    <w:rsid w:val="003955E5"/>
    <w:rsid w:val="0039641E"/>
    <w:rsid w:val="003965E0"/>
    <w:rsid w:val="00397AF4"/>
    <w:rsid w:val="00397D85"/>
    <w:rsid w:val="003A1F38"/>
    <w:rsid w:val="003A23A8"/>
    <w:rsid w:val="003A3A0C"/>
    <w:rsid w:val="003A443C"/>
    <w:rsid w:val="003A4F54"/>
    <w:rsid w:val="003A520E"/>
    <w:rsid w:val="003A5DF9"/>
    <w:rsid w:val="003A61CB"/>
    <w:rsid w:val="003A6728"/>
    <w:rsid w:val="003A6798"/>
    <w:rsid w:val="003A72FC"/>
    <w:rsid w:val="003B03B1"/>
    <w:rsid w:val="003B128C"/>
    <w:rsid w:val="003B1DD6"/>
    <w:rsid w:val="003B630E"/>
    <w:rsid w:val="003C1689"/>
    <w:rsid w:val="003C2191"/>
    <w:rsid w:val="003C2B7D"/>
    <w:rsid w:val="003C3905"/>
    <w:rsid w:val="003C4393"/>
    <w:rsid w:val="003C4F91"/>
    <w:rsid w:val="003C7EDD"/>
    <w:rsid w:val="003D02C9"/>
    <w:rsid w:val="003D1E42"/>
    <w:rsid w:val="003D2672"/>
    <w:rsid w:val="003D4094"/>
    <w:rsid w:val="003D5A16"/>
    <w:rsid w:val="003D6A3A"/>
    <w:rsid w:val="003D6A79"/>
    <w:rsid w:val="003D6AD1"/>
    <w:rsid w:val="003D79E8"/>
    <w:rsid w:val="003D7D47"/>
    <w:rsid w:val="003E0F46"/>
    <w:rsid w:val="003E1FE5"/>
    <w:rsid w:val="003E3E0A"/>
    <w:rsid w:val="003E3FD2"/>
    <w:rsid w:val="003E7C4B"/>
    <w:rsid w:val="003F0374"/>
    <w:rsid w:val="003F096E"/>
    <w:rsid w:val="003F2F18"/>
    <w:rsid w:val="003F3135"/>
    <w:rsid w:val="003F3846"/>
    <w:rsid w:val="003F7470"/>
    <w:rsid w:val="004002BC"/>
    <w:rsid w:val="004028C7"/>
    <w:rsid w:val="00403CDE"/>
    <w:rsid w:val="00404BCA"/>
    <w:rsid w:val="00404C6E"/>
    <w:rsid w:val="00405C9F"/>
    <w:rsid w:val="00405ED8"/>
    <w:rsid w:val="004067FB"/>
    <w:rsid w:val="004074A2"/>
    <w:rsid w:val="004136A9"/>
    <w:rsid w:val="004138EE"/>
    <w:rsid w:val="00413CE8"/>
    <w:rsid w:val="00414746"/>
    <w:rsid w:val="00414EDD"/>
    <w:rsid w:val="0041596E"/>
    <w:rsid w:val="00415A8F"/>
    <w:rsid w:val="0041608C"/>
    <w:rsid w:val="004173E0"/>
    <w:rsid w:val="0042015D"/>
    <w:rsid w:val="0042039D"/>
    <w:rsid w:val="0042143B"/>
    <w:rsid w:val="004229E8"/>
    <w:rsid w:val="004235F2"/>
    <w:rsid w:val="00424717"/>
    <w:rsid w:val="004256B6"/>
    <w:rsid w:val="00426CB1"/>
    <w:rsid w:val="00430CAA"/>
    <w:rsid w:val="00431B2B"/>
    <w:rsid w:val="00432874"/>
    <w:rsid w:val="00433D8A"/>
    <w:rsid w:val="004347B8"/>
    <w:rsid w:val="004363D7"/>
    <w:rsid w:val="0044309A"/>
    <w:rsid w:val="00443BC9"/>
    <w:rsid w:val="00443D72"/>
    <w:rsid w:val="00443F44"/>
    <w:rsid w:val="00444E37"/>
    <w:rsid w:val="004470CA"/>
    <w:rsid w:val="00447656"/>
    <w:rsid w:val="00452957"/>
    <w:rsid w:val="00452E3C"/>
    <w:rsid w:val="00453A10"/>
    <w:rsid w:val="00453D94"/>
    <w:rsid w:val="0045454B"/>
    <w:rsid w:val="00455729"/>
    <w:rsid w:val="004569AF"/>
    <w:rsid w:val="004579D3"/>
    <w:rsid w:val="00457CD8"/>
    <w:rsid w:val="00457F5E"/>
    <w:rsid w:val="00460681"/>
    <w:rsid w:val="00460AE5"/>
    <w:rsid w:val="00464BB6"/>
    <w:rsid w:val="004660BA"/>
    <w:rsid w:val="00466D23"/>
    <w:rsid w:val="00474637"/>
    <w:rsid w:val="00476A21"/>
    <w:rsid w:val="00476D37"/>
    <w:rsid w:val="004770BB"/>
    <w:rsid w:val="00477D95"/>
    <w:rsid w:val="0048000F"/>
    <w:rsid w:val="00480933"/>
    <w:rsid w:val="0048392A"/>
    <w:rsid w:val="00484490"/>
    <w:rsid w:val="0048475A"/>
    <w:rsid w:val="00486031"/>
    <w:rsid w:val="0048666D"/>
    <w:rsid w:val="00486E7D"/>
    <w:rsid w:val="004901C0"/>
    <w:rsid w:val="00490FC8"/>
    <w:rsid w:val="00491A9C"/>
    <w:rsid w:val="00491B93"/>
    <w:rsid w:val="004947C2"/>
    <w:rsid w:val="00494A19"/>
    <w:rsid w:val="00495C8B"/>
    <w:rsid w:val="004A0500"/>
    <w:rsid w:val="004A1178"/>
    <w:rsid w:val="004A1601"/>
    <w:rsid w:val="004A1C52"/>
    <w:rsid w:val="004A1CD1"/>
    <w:rsid w:val="004A1E6B"/>
    <w:rsid w:val="004A2E09"/>
    <w:rsid w:val="004A4D28"/>
    <w:rsid w:val="004A4E8A"/>
    <w:rsid w:val="004A4ECE"/>
    <w:rsid w:val="004A61EB"/>
    <w:rsid w:val="004B0CBB"/>
    <w:rsid w:val="004B127C"/>
    <w:rsid w:val="004B1E45"/>
    <w:rsid w:val="004B2FE8"/>
    <w:rsid w:val="004B3615"/>
    <w:rsid w:val="004B4A10"/>
    <w:rsid w:val="004B624C"/>
    <w:rsid w:val="004B707A"/>
    <w:rsid w:val="004B7D68"/>
    <w:rsid w:val="004C1933"/>
    <w:rsid w:val="004C4824"/>
    <w:rsid w:val="004C4E9B"/>
    <w:rsid w:val="004C5350"/>
    <w:rsid w:val="004C6066"/>
    <w:rsid w:val="004C6C8A"/>
    <w:rsid w:val="004C7287"/>
    <w:rsid w:val="004D1F5D"/>
    <w:rsid w:val="004D2A51"/>
    <w:rsid w:val="004D37F2"/>
    <w:rsid w:val="004D3B54"/>
    <w:rsid w:val="004D5373"/>
    <w:rsid w:val="004E4CFC"/>
    <w:rsid w:val="004E75DB"/>
    <w:rsid w:val="004F10F4"/>
    <w:rsid w:val="004F40DD"/>
    <w:rsid w:val="004F5C0A"/>
    <w:rsid w:val="004F661D"/>
    <w:rsid w:val="004F7C28"/>
    <w:rsid w:val="0050490D"/>
    <w:rsid w:val="00505724"/>
    <w:rsid w:val="00505770"/>
    <w:rsid w:val="00505F9E"/>
    <w:rsid w:val="00506A42"/>
    <w:rsid w:val="005132CC"/>
    <w:rsid w:val="00513A75"/>
    <w:rsid w:val="0051453E"/>
    <w:rsid w:val="005154F0"/>
    <w:rsid w:val="00515CD0"/>
    <w:rsid w:val="005169E3"/>
    <w:rsid w:val="00516A51"/>
    <w:rsid w:val="00516E27"/>
    <w:rsid w:val="005170E4"/>
    <w:rsid w:val="005172A8"/>
    <w:rsid w:val="0052153B"/>
    <w:rsid w:val="005230B6"/>
    <w:rsid w:val="005235AC"/>
    <w:rsid w:val="005247A6"/>
    <w:rsid w:val="005250A4"/>
    <w:rsid w:val="005250EF"/>
    <w:rsid w:val="005251BA"/>
    <w:rsid w:val="0052549E"/>
    <w:rsid w:val="00526158"/>
    <w:rsid w:val="005272A2"/>
    <w:rsid w:val="00531CAA"/>
    <w:rsid w:val="0053324B"/>
    <w:rsid w:val="0054262E"/>
    <w:rsid w:val="00542B67"/>
    <w:rsid w:val="00542DFD"/>
    <w:rsid w:val="005439A4"/>
    <w:rsid w:val="00544032"/>
    <w:rsid w:val="005471C8"/>
    <w:rsid w:val="00551B3A"/>
    <w:rsid w:val="00552270"/>
    <w:rsid w:val="0055340F"/>
    <w:rsid w:val="00556370"/>
    <w:rsid w:val="00556A3D"/>
    <w:rsid w:val="005572B8"/>
    <w:rsid w:val="005577B5"/>
    <w:rsid w:val="00564901"/>
    <w:rsid w:val="00567408"/>
    <w:rsid w:val="00567DC0"/>
    <w:rsid w:val="00571950"/>
    <w:rsid w:val="00572811"/>
    <w:rsid w:val="005731A3"/>
    <w:rsid w:val="00573726"/>
    <w:rsid w:val="00574CC4"/>
    <w:rsid w:val="00580825"/>
    <w:rsid w:val="005811EF"/>
    <w:rsid w:val="005848F5"/>
    <w:rsid w:val="005859F8"/>
    <w:rsid w:val="0058731F"/>
    <w:rsid w:val="005875B8"/>
    <w:rsid w:val="00590216"/>
    <w:rsid w:val="00590C8A"/>
    <w:rsid w:val="0059124A"/>
    <w:rsid w:val="00594053"/>
    <w:rsid w:val="00594238"/>
    <w:rsid w:val="00594FB4"/>
    <w:rsid w:val="005A3E0B"/>
    <w:rsid w:val="005A5D29"/>
    <w:rsid w:val="005A64D4"/>
    <w:rsid w:val="005A6FE1"/>
    <w:rsid w:val="005A7B1C"/>
    <w:rsid w:val="005B5068"/>
    <w:rsid w:val="005B6B50"/>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5EB1"/>
    <w:rsid w:val="005D788E"/>
    <w:rsid w:val="005E4475"/>
    <w:rsid w:val="005E64F6"/>
    <w:rsid w:val="005F09CE"/>
    <w:rsid w:val="005F1595"/>
    <w:rsid w:val="005F167B"/>
    <w:rsid w:val="005F230A"/>
    <w:rsid w:val="005F4179"/>
    <w:rsid w:val="005F4315"/>
    <w:rsid w:val="005F4BE7"/>
    <w:rsid w:val="005F4DD7"/>
    <w:rsid w:val="005F5313"/>
    <w:rsid w:val="005F6B8D"/>
    <w:rsid w:val="005F6DBE"/>
    <w:rsid w:val="005F6DEA"/>
    <w:rsid w:val="00600ADB"/>
    <w:rsid w:val="00602BC3"/>
    <w:rsid w:val="00603824"/>
    <w:rsid w:val="00604152"/>
    <w:rsid w:val="00607216"/>
    <w:rsid w:val="0061103D"/>
    <w:rsid w:val="006129FE"/>
    <w:rsid w:val="00614CDE"/>
    <w:rsid w:val="0061596F"/>
    <w:rsid w:val="00620F90"/>
    <w:rsid w:val="006215B9"/>
    <w:rsid w:val="00623402"/>
    <w:rsid w:val="00623AA8"/>
    <w:rsid w:val="00624AEB"/>
    <w:rsid w:val="00626CF2"/>
    <w:rsid w:val="006273EF"/>
    <w:rsid w:val="0063014D"/>
    <w:rsid w:val="00632CC8"/>
    <w:rsid w:val="00632D63"/>
    <w:rsid w:val="00632EB2"/>
    <w:rsid w:val="00634F43"/>
    <w:rsid w:val="006364DA"/>
    <w:rsid w:val="00637AA0"/>
    <w:rsid w:val="0064034E"/>
    <w:rsid w:val="006408A0"/>
    <w:rsid w:val="00643839"/>
    <w:rsid w:val="00643A68"/>
    <w:rsid w:val="0065133C"/>
    <w:rsid w:val="00653DAA"/>
    <w:rsid w:val="0065498B"/>
    <w:rsid w:val="00656561"/>
    <w:rsid w:val="00656948"/>
    <w:rsid w:val="0065757E"/>
    <w:rsid w:val="0066011A"/>
    <w:rsid w:val="00661222"/>
    <w:rsid w:val="00661C87"/>
    <w:rsid w:val="00661E6B"/>
    <w:rsid w:val="00662DC5"/>
    <w:rsid w:val="006630FB"/>
    <w:rsid w:val="00664CA4"/>
    <w:rsid w:val="00665B33"/>
    <w:rsid w:val="00665FD3"/>
    <w:rsid w:val="0066618F"/>
    <w:rsid w:val="00666587"/>
    <w:rsid w:val="0066781D"/>
    <w:rsid w:val="00670038"/>
    <w:rsid w:val="00671548"/>
    <w:rsid w:val="00672F13"/>
    <w:rsid w:val="00675989"/>
    <w:rsid w:val="00676627"/>
    <w:rsid w:val="006805BC"/>
    <w:rsid w:val="00682286"/>
    <w:rsid w:val="0068242C"/>
    <w:rsid w:val="00683C5E"/>
    <w:rsid w:val="00684044"/>
    <w:rsid w:val="00684965"/>
    <w:rsid w:val="0068721C"/>
    <w:rsid w:val="006931B0"/>
    <w:rsid w:val="00695B9D"/>
    <w:rsid w:val="00696DE8"/>
    <w:rsid w:val="006973C2"/>
    <w:rsid w:val="00697D5A"/>
    <w:rsid w:val="006A1521"/>
    <w:rsid w:val="006A37B8"/>
    <w:rsid w:val="006A3D55"/>
    <w:rsid w:val="006A493D"/>
    <w:rsid w:val="006A5000"/>
    <w:rsid w:val="006A6DFC"/>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D7F98"/>
    <w:rsid w:val="006E0384"/>
    <w:rsid w:val="006E165D"/>
    <w:rsid w:val="006E2FC4"/>
    <w:rsid w:val="006E2FC6"/>
    <w:rsid w:val="006E4488"/>
    <w:rsid w:val="006E50C2"/>
    <w:rsid w:val="006E534A"/>
    <w:rsid w:val="006E5928"/>
    <w:rsid w:val="006E7B1D"/>
    <w:rsid w:val="006E7DFA"/>
    <w:rsid w:val="006F0268"/>
    <w:rsid w:val="006F180A"/>
    <w:rsid w:val="006F4808"/>
    <w:rsid w:val="006F5661"/>
    <w:rsid w:val="006F6302"/>
    <w:rsid w:val="006F6AF3"/>
    <w:rsid w:val="0070074D"/>
    <w:rsid w:val="00702355"/>
    <w:rsid w:val="00702DDA"/>
    <w:rsid w:val="00703BE1"/>
    <w:rsid w:val="0070656B"/>
    <w:rsid w:val="00706656"/>
    <w:rsid w:val="00710491"/>
    <w:rsid w:val="00710BB3"/>
    <w:rsid w:val="00713335"/>
    <w:rsid w:val="00715103"/>
    <w:rsid w:val="0071518F"/>
    <w:rsid w:val="0071587D"/>
    <w:rsid w:val="007171C2"/>
    <w:rsid w:val="007205E1"/>
    <w:rsid w:val="00721DF8"/>
    <w:rsid w:val="00721E01"/>
    <w:rsid w:val="00722252"/>
    <w:rsid w:val="00722655"/>
    <w:rsid w:val="00723842"/>
    <w:rsid w:val="007238AD"/>
    <w:rsid w:val="00724B76"/>
    <w:rsid w:val="00725726"/>
    <w:rsid w:val="0072654E"/>
    <w:rsid w:val="0072668F"/>
    <w:rsid w:val="007267DC"/>
    <w:rsid w:val="00730128"/>
    <w:rsid w:val="00731C91"/>
    <w:rsid w:val="0073233A"/>
    <w:rsid w:val="00732E3F"/>
    <w:rsid w:val="00737434"/>
    <w:rsid w:val="00737C60"/>
    <w:rsid w:val="00740FFA"/>
    <w:rsid w:val="00742C94"/>
    <w:rsid w:val="00743133"/>
    <w:rsid w:val="00743458"/>
    <w:rsid w:val="007443D7"/>
    <w:rsid w:val="0074749B"/>
    <w:rsid w:val="00750116"/>
    <w:rsid w:val="0075060F"/>
    <w:rsid w:val="007529B6"/>
    <w:rsid w:val="00752C9C"/>
    <w:rsid w:val="00754E1F"/>
    <w:rsid w:val="00755B85"/>
    <w:rsid w:val="00762921"/>
    <w:rsid w:val="007634EB"/>
    <w:rsid w:val="00763909"/>
    <w:rsid w:val="00763A63"/>
    <w:rsid w:val="00765C9B"/>
    <w:rsid w:val="00765F0E"/>
    <w:rsid w:val="0076676D"/>
    <w:rsid w:val="00767E4A"/>
    <w:rsid w:val="00770517"/>
    <w:rsid w:val="00770E74"/>
    <w:rsid w:val="007723D3"/>
    <w:rsid w:val="0077248F"/>
    <w:rsid w:val="00773923"/>
    <w:rsid w:val="00780100"/>
    <w:rsid w:val="007801E8"/>
    <w:rsid w:val="00780905"/>
    <w:rsid w:val="00780B49"/>
    <w:rsid w:val="007818CF"/>
    <w:rsid w:val="00782B82"/>
    <w:rsid w:val="00784F04"/>
    <w:rsid w:val="00785060"/>
    <w:rsid w:val="0079132C"/>
    <w:rsid w:val="007915F2"/>
    <w:rsid w:val="00794D53"/>
    <w:rsid w:val="0079635F"/>
    <w:rsid w:val="00796B9F"/>
    <w:rsid w:val="007971BF"/>
    <w:rsid w:val="0079745B"/>
    <w:rsid w:val="007A0396"/>
    <w:rsid w:val="007A1D99"/>
    <w:rsid w:val="007A3250"/>
    <w:rsid w:val="007A4617"/>
    <w:rsid w:val="007A4E54"/>
    <w:rsid w:val="007A4FCB"/>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D7BDC"/>
    <w:rsid w:val="007E0545"/>
    <w:rsid w:val="007E3E6D"/>
    <w:rsid w:val="007E4E14"/>
    <w:rsid w:val="007E5DA9"/>
    <w:rsid w:val="007F0B32"/>
    <w:rsid w:val="007F116E"/>
    <w:rsid w:val="007F3525"/>
    <w:rsid w:val="007F3D2E"/>
    <w:rsid w:val="007F47AE"/>
    <w:rsid w:val="007F5B20"/>
    <w:rsid w:val="007F5DD4"/>
    <w:rsid w:val="007F6350"/>
    <w:rsid w:val="00802000"/>
    <w:rsid w:val="00804FC6"/>
    <w:rsid w:val="0080736C"/>
    <w:rsid w:val="008115D5"/>
    <w:rsid w:val="00811B54"/>
    <w:rsid w:val="00812A43"/>
    <w:rsid w:val="00814DC6"/>
    <w:rsid w:val="0081612D"/>
    <w:rsid w:val="008163E5"/>
    <w:rsid w:val="00816C31"/>
    <w:rsid w:val="00821EB8"/>
    <w:rsid w:val="008225B0"/>
    <w:rsid w:val="00822AA2"/>
    <w:rsid w:val="00822FB9"/>
    <w:rsid w:val="00823802"/>
    <w:rsid w:val="00823E8B"/>
    <w:rsid w:val="008244DD"/>
    <w:rsid w:val="0082562A"/>
    <w:rsid w:val="00825A11"/>
    <w:rsid w:val="00825B92"/>
    <w:rsid w:val="00825D3B"/>
    <w:rsid w:val="00827087"/>
    <w:rsid w:val="0083012E"/>
    <w:rsid w:val="00830A27"/>
    <w:rsid w:val="00830DF3"/>
    <w:rsid w:val="00834535"/>
    <w:rsid w:val="008345C2"/>
    <w:rsid w:val="0083559B"/>
    <w:rsid w:val="008356F7"/>
    <w:rsid w:val="0084263E"/>
    <w:rsid w:val="00842777"/>
    <w:rsid w:val="00842C59"/>
    <w:rsid w:val="00842D63"/>
    <w:rsid w:val="00842DA9"/>
    <w:rsid w:val="00844A44"/>
    <w:rsid w:val="00845D2F"/>
    <w:rsid w:val="0084752F"/>
    <w:rsid w:val="00847B6C"/>
    <w:rsid w:val="008520FA"/>
    <w:rsid w:val="008551B3"/>
    <w:rsid w:val="008558F3"/>
    <w:rsid w:val="00855C27"/>
    <w:rsid w:val="00855F93"/>
    <w:rsid w:val="00856C1D"/>
    <w:rsid w:val="00857946"/>
    <w:rsid w:val="008633EB"/>
    <w:rsid w:val="008668C2"/>
    <w:rsid w:val="0086769E"/>
    <w:rsid w:val="008705C7"/>
    <w:rsid w:val="00871D81"/>
    <w:rsid w:val="00872924"/>
    <w:rsid w:val="00873357"/>
    <w:rsid w:val="00875822"/>
    <w:rsid w:val="00876276"/>
    <w:rsid w:val="008765F4"/>
    <w:rsid w:val="00876823"/>
    <w:rsid w:val="00877973"/>
    <w:rsid w:val="0088062B"/>
    <w:rsid w:val="00881A9C"/>
    <w:rsid w:val="00883128"/>
    <w:rsid w:val="0088466C"/>
    <w:rsid w:val="00884D97"/>
    <w:rsid w:val="00887144"/>
    <w:rsid w:val="00887E36"/>
    <w:rsid w:val="00892813"/>
    <w:rsid w:val="008928FB"/>
    <w:rsid w:val="008932FD"/>
    <w:rsid w:val="00895C2E"/>
    <w:rsid w:val="008A07A1"/>
    <w:rsid w:val="008A2473"/>
    <w:rsid w:val="008A3005"/>
    <w:rsid w:val="008A3324"/>
    <w:rsid w:val="008A4057"/>
    <w:rsid w:val="008A6F01"/>
    <w:rsid w:val="008A7133"/>
    <w:rsid w:val="008B0633"/>
    <w:rsid w:val="008B462B"/>
    <w:rsid w:val="008B4B57"/>
    <w:rsid w:val="008B4FB7"/>
    <w:rsid w:val="008B6325"/>
    <w:rsid w:val="008B70D6"/>
    <w:rsid w:val="008C1750"/>
    <w:rsid w:val="008C1D9D"/>
    <w:rsid w:val="008C4998"/>
    <w:rsid w:val="008C5907"/>
    <w:rsid w:val="008C5C2E"/>
    <w:rsid w:val="008C6C2E"/>
    <w:rsid w:val="008C6D44"/>
    <w:rsid w:val="008C79D4"/>
    <w:rsid w:val="008C7BFF"/>
    <w:rsid w:val="008D05B4"/>
    <w:rsid w:val="008D5126"/>
    <w:rsid w:val="008D573B"/>
    <w:rsid w:val="008D580A"/>
    <w:rsid w:val="008D6324"/>
    <w:rsid w:val="008D7BD9"/>
    <w:rsid w:val="008E0AAC"/>
    <w:rsid w:val="008E1FA2"/>
    <w:rsid w:val="008E257A"/>
    <w:rsid w:val="008E420B"/>
    <w:rsid w:val="008F0962"/>
    <w:rsid w:val="008F1787"/>
    <w:rsid w:val="008F3803"/>
    <w:rsid w:val="008F3C92"/>
    <w:rsid w:val="008F5A96"/>
    <w:rsid w:val="00900444"/>
    <w:rsid w:val="00900A73"/>
    <w:rsid w:val="00901309"/>
    <w:rsid w:val="009017E1"/>
    <w:rsid w:val="0090261A"/>
    <w:rsid w:val="0090275D"/>
    <w:rsid w:val="00902BD8"/>
    <w:rsid w:val="00904804"/>
    <w:rsid w:val="00906435"/>
    <w:rsid w:val="009065C4"/>
    <w:rsid w:val="00906B33"/>
    <w:rsid w:val="0091149C"/>
    <w:rsid w:val="009115E3"/>
    <w:rsid w:val="009124CF"/>
    <w:rsid w:val="009142C7"/>
    <w:rsid w:val="00914626"/>
    <w:rsid w:val="009156EF"/>
    <w:rsid w:val="00915E7B"/>
    <w:rsid w:val="00916DA1"/>
    <w:rsid w:val="00916E03"/>
    <w:rsid w:val="0091731B"/>
    <w:rsid w:val="009173AF"/>
    <w:rsid w:val="00922423"/>
    <w:rsid w:val="0092304E"/>
    <w:rsid w:val="009244FE"/>
    <w:rsid w:val="009245D4"/>
    <w:rsid w:val="00924F2E"/>
    <w:rsid w:val="0092713B"/>
    <w:rsid w:val="009271DC"/>
    <w:rsid w:val="009306AF"/>
    <w:rsid w:val="009326A7"/>
    <w:rsid w:val="009340FF"/>
    <w:rsid w:val="0093419F"/>
    <w:rsid w:val="00936472"/>
    <w:rsid w:val="0093654D"/>
    <w:rsid w:val="0093723F"/>
    <w:rsid w:val="00941702"/>
    <w:rsid w:val="009438A3"/>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3BF6"/>
    <w:rsid w:val="009655DC"/>
    <w:rsid w:val="009656AF"/>
    <w:rsid w:val="009669C3"/>
    <w:rsid w:val="0097079B"/>
    <w:rsid w:val="00970871"/>
    <w:rsid w:val="00971587"/>
    <w:rsid w:val="00971912"/>
    <w:rsid w:val="00975AC5"/>
    <w:rsid w:val="00975EB8"/>
    <w:rsid w:val="009767C0"/>
    <w:rsid w:val="009773F1"/>
    <w:rsid w:val="009775FA"/>
    <w:rsid w:val="009822B2"/>
    <w:rsid w:val="009829DA"/>
    <w:rsid w:val="009830C8"/>
    <w:rsid w:val="00985071"/>
    <w:rsid w:val="00985EA5"/>
    <w:rsid w:val="00986005"/>
    <w:rsid w:val="009861E6"/>
    <w:rsid w:val="00987F65"/>
    <w:rsid w:val="0099060B"/>
    <w:rsid w:val="009909CD"/>
    <w:rsid w:val="00990A9C"/>
    <w:rsid w:val="009910E1"/>
    <w:rsid w:val="00992DFB"/>
    <w:rsid w:val="00996C4A"/>
    <w:rsid w:val="00997689"/>
    <w:rsid w:val="009A10A3"/>
    <w:rsid w:val="009A477F"/>
    <w:rsid w:val="009A4F7C"/>
    <w:rsid w:val="009A588B"/>
    <w:rsid w:val="009A770A"/>
    <w:rsid w:val="009A7B60"/>
    <w:rsid w:val="009B05BB"/>
    <w:rsid w:val="009B43C3"/>
    <w:rsid w:val="009B4B9E"/>
    <w:rsid w:val="009B5A9D"/>
    <w:rsid w:val="009B5E4C"/>
    <w:rsid w:val="009B7812"/>
    <w:rsid w:val="009C08F7"/>
    <w:rsid w:val="009C31CC"/>
    <w:rsid w:val="009C4CF7"/>
    <w:rsid w:val="009C725C"/>
    <w:rsid w:val="009C75DA"/>
    <w:rsid w:val="009D1BEC"/>
    <w:rsid w:val="009D4C76"/>
    <w:rsid w:val="009D56AB"/>
    <w:rsid w:val="009D5C69"/>
    <w:rsid w:val="009D6A5C"/>
    <w:rsid w:val="009D6EEB"/>
    <w:rsid w:val="009E0330"/>
    <w:rsid w:val="009E079D"/>
    <w:rsid w:val="009E09A2"/>
    <w:rsid w:val="009E39A6"/>
    <w:rsid w:val="009E3A0F"/>
    <w:rsid w:val="009E7485"/>
    <w:rsid w:val="009F094C"/>
    <w:rsid w:val="009F0B99"/>
    <w:rsid w:val="009F306F"/>
    <w:rsid w:val="009F3DCA"/>
    <w:rsid w:val="009F40EF"/>
    <w:rsid w:val="009F54DA"/>
    <w:rsid w:val="009F7D04"/>
    <w:rsid w:val="00A00C5F"/>
    <w:rsid w:val="00A016B7"/>
    <w:rsid w:val="00A01810"/>
    <w:rsid w:val="00A029D2"/>
    <w:rsid w:val="00A02D87"/>
    <w:rsid w:val="00A030C4"/>
    <w:rsid w:val="00A03663"/>
    <w:rsid w:val="00A03FB2"/>
    <w:rsid w:val="00A054C0"/>
    <w:rsid w:val="00A07FA8"/>
    <w:rsid w:val="00A11150"/>
    <w:rsid w:val="00A11740"/>
    <w:rsid w:val="00A1312A"/>
    <w:rsid w:val="00A1325F"/>
    <w:rsid w:val="00A15880"/>
    <w:rsid w:val="00A16721"/>
    <w:rsid w:val="00A173E1"/>
    <w:rsid w:val="00A17CFE"/>
    <w:rsid w:val="00A220C6"/>
    <w:rsid w:val="00A27276"/>
    <w:rsid w:val="00A328E4"/>
    <w:rsid w:val="00A35F05"/>
    <w:rsid w:val="00A36ED7"/>
    <w:rsid w:val="00A408F8"/>
    <w:rsid w:val="00A412F2"/>
    <w:rsid w:val="00A41B89"/>
    <w:rsid w:val="00A4265A"/>
    <w:rsid w:val="00A429E5"/>
    <w:rsid w:val="00A43B31"/>
    <w:rsid w:val="00A5075F"/>
    <w:rsid w:val="00A517EF"/>
    <w:rsid w:val="00A523B7"/>
    <w:rsid w:val="00A52FE9"/>
    <w:rsid w:val="00A53C20"/>
    <w:rsid w:val="00A5459D"/>
    <w:rsid w:val="00A54D26"/>
    <w:rsid w:val="00A552E2"/>
    <w:rsid w:val="00A55F0C"/>
    <w:rsid w:val="00A56C32"/>
    <w:rsid w:val="00A574DF"/>
    <w:rsid w:val="00A6206E"/>
    <w:rsid w:val="00A620BE"/>
    <w:rsid w:val="00A643C3"/>
    <w:rsid w:val="00A6463B"/>
    <w:rsid w:val="00A648EC"/>
    <w:rsid w:val="00A653AA"/>
    <w:rsid w:val="00A65FB7"/>
    <w:rsid w:val="00A70A48"/>
    <w:rsid w:val="00A7162B"/>
    <w:rsid w:val="00A71F41"/>
    <w:rsid w:val="00A72721"/>
    <w:rsid w:val="00A744C7"/>
    <w:rsid w:val="00A750B5"/>
    <w:rsid w:val="00A7538C"/>
    <w:rsid w:val="00A76E39"/>
    <w:rsid w:val="00A81D8E"/>
    <w:rsid w:val="00A847E4"/>
    <w:rsid w:val="00A87071"/>
    <w:rsid w:val="00A87868"/>
    <w:rsid w:val="00A87C0D"/>
    <w:rsid w:val="00A90CBC"/>
    <w:rsid w:val="00A92B07"/>
    <w:rsid w:val="00A93701"/>
    <w:rsid w:val="00A93DBE"/>
    <w:rsid w:val="00A94810"/>
    <w:rsid w:val="00A9628A"/>
    <w:rsid w:val="00A96550"/>
    <w:rsid w:val="00A96AF9"/>
    <w:rsid w:val="00A97DAE"/>
    <w:rsid w:val="00AA0D46"/>
    <w:rsid w:val="00AA5FDF"/>
    <w:rsid w:val="00AA75F1"/>
    <w:rsid w:val="00AB0634"/>
    <w:rsid w:val="00AB15B2"/>
    <w:rsid w:val="00AB17E6"/>
    <w:rsid w:val="00AB1974"/>
    <w:rsid w:val="00AB2773"/>
    <w:rsid w:val="00AB3F51"/>
    <w:rsid w:val="00AB6AF4"/>
    <w:rsid w:val="00AB6E7B"/>
    <w:rsid w:val="00AC0D14"/>
    <w:rsid w:val="00AC35C0"/>
    <w:rsid w:val="00AC4852"/>
    <w:rsid w:val="00AC50DD"/>
    <w:rsid w:val="00AC6C20"/>
    <w:rsid w:val="00AC756E"/>
    <w:rsid w:val="00AD13C2"/>
    <w:rsid w:val="00AD375E"/>
    <w:rsid w:val="00AD3955"/>
    <w:rsid w:val="00AD6DE7"/>
    <w:rsid w:val="00AE00D1"/>
    <w:rsid w:val="00AE0CB3"/>
    <w:rsid w:val="00AE1091"/>
    <w:rsid w:val="00AE17FF"/>
    <w:rsid w:val="00AE4156"/>
    <w:rsid w:val="00AE54F1"/>
    <w:rsid w:val="00AE67E2"/>
    <w:rsid w:val="00AE72D0"/>
    <w:rsid w:val="00AE7917"/>
    <w:rsid w:val="00AF0150"/>
    <w:rsid w:val="00AF0DCC"/>
    <w:rsid w:val="00AF179E"/>
    <w:rsid w:val="00AF1AF5"/>
    <w:rsid w:val="00AF1D35"/>
    <w:rsid w:val="00AF3840"/>
    <w:rsid w:val="00AF73F1"/>
    <w:rsid w:val="00AF7F9A"/>
    <w:rsid w:val="00B036D7"/>
    <w:rsid w:val="00B040A8"/>
    <w:rsid w:val="00B07735"/>
    <w:rsid w:val="00B10EB8"/>
    <w:rsid w:val="00B124C0"/>
    <w:rsid w:val="00B16F51"/>
    <w:rsid w:val="00B17D29"/>
    <w:rsid w:val="00B208A9"/>
    <w:rsid w:val="00B218E4"/>
    <w:rsid w:val="00B21CA5"/>
    <w:rsid w:val="00B24CB9"/>
    <w:rsid w:val="00B24D9F"/>
    <w:rsid w:val="00B250CB"/>
    <w:rsid w:val="00B25160"/>
    <w:rsid w:val="00B27882"/>
    <w:rsid w:val="00B32609"/>
    <w:rsid w:val="00B32D7E"/>
    <w:rsid w:val="00B34178"/>
    <w:rsid w:val="00B341BB"/>
    <w:rsid w:val="00B341BE"/>
    <w:rsid w:val="00B34270"/>
    <w:rsid w:val="00B35206"/>
    <w:rsid w:val="00B35D3F"/>
    <w:rsid w:val="00B3601F"/>
    <w:rsid w:val="00B36625"/>
    <w:rsid w:val="00B36994"/>
    <w:rsid w:val="00B3722B"/>
    <w:rsid w:val="00B4278C"/>
    <w:rsid w:val="00B42C33"/>
    <w:rsid w:val="00B43107"/>
    <w:rsid w:val="00B450C6"/>
    <w:rsid w:val="00B45D48"/>
    <w:rsid w:val="00B464A4"/>
    <w:rsid w:val="00B46B3D"/>
    <w:rsid w:val="00B46FE5"/>
    <w:rsid w:val="00B5085F"/>
    <w:rsid w:val="00B50AEE"/>
    <w:rsid w:val="00B531EA"/>
    <w:rsid w:val="00B553F5"/>
    <w:rsid w:val="00B55A63"/>
    <w:rsid w:val="00B55E6E"/>
    <w:rsid w:val="00B55FB4"/>
    <w:rsid w:val="00B566E5"/>
    <w:rsid w:val="00B57211"/>
    <w:rsid w:val="00B57FDD"/>
    <w:rsid w:val="00B60403"/>
    <w:rsid w:val="00B6049E"/>
    <w:rsid w:val="00B624E2"/>
    <w:rsid w:val="00B643DE"/>
    <w:rsid w:val="00B6475F"/>
    <w:rsid w:val="00B650B3"/>
    <w:rsid w:val="00B653B5"/>
    <w:rsid w:val="00B66F23"/>
    <w:rsid w:val="00B71636"/>
    <w:rsid w:val="00B71B9D"/>
    <w:rsid w:val="00B72D51"/>
    <w:rsid w:val="00B73EF1"/>
    <w:rsid w:val="00B75BC2"/>
    <w:rsid w:val="00B7667E"/>
    <w:rsid w:val="00B77289"/>
    <w:rsid w:val="00B77B08"/>
    <w:rsid w:val="00B801CD"/>
    <w:rsid w:val="00B8089B"/>
    <w:rsid w:val="00B81743"/>
    <w:rsid w:val="00B836E8"/>
    <w:rsid w:val="00B83867"/>
    <w:rsid w:val="00B84D6D"/>
    <w:rsid w:val="00B84EDB"/>
    <w:rsid w:val="00B859A4"/>
    <w:rsid w:val="00B902E8"/>
    <w:rsid w:val="00B925D5"/>
    <w:rsid w:val="00B93C24"/>
    <w:rsid w:val="00B96955"/>
    <w:rsid w:val="00BA1548"/>
    <w:rsid w:val="00BA1B8F"/>
    <w:rsid w:val="00BA33CA"/>
    <w:rsid w:val="00BA3C35"/>
    <w:rsid w:val="00BA3D7B"/>
    <w:rsid w:val="00BA61D0"/>
    <w:rsid w:val="00BB1427"/>
    <w:rsid w:val="00BB17A2"/>
    <w:rsid w:val="00BB5C38"/>
    <w:rsid w:val="00BB5FFE"/>
    <w:rsid w:val="00BB719F"/>
    <w:rsid w:val="00BC173D"/>
    <w:rsid w:val="00BC2F80"/>
    <w:rsid w:val="00BC3F69"/>
    <w:rsid w:val="00BC7EC0"/>
    <w:rsid w:val="00BD0A66"/>
    <w:rsid w:val="00BD36E2"/>
    <w:rsid w:val="00BD39AF"/>
    <w:rsid w:val="00BD5418"/>
    <w:rsid w:val="00BD556A"/>
    <w:rsid w:val="00BD6487"/>
    <w:rsid w:val="00BE1076"/>
    <w:rsid w:val="00BE2476"/>
    <w:rsid w:val="00BE5E0B"/>
    <w:rsid w:val="00BF067F"/>
    <w:rsid w:val="00BF10F2"/>
    <w:rsid w:val="00BF1BD3"/>
    <w:rsid w:val="00BF2927"/>
    <w:rsid w:val="00BF2FD5"/>
    <w:rsid w:val="00BF3635"/>
    <w:rsid w:val="00BF3953"/>
    <w:rsid w:val="00BF3EDF"/>
    <w:rsid w:val="00BF4BDC"/>
    <w:rsid w:val="00BF56CD"/>
    <w:rsid w:val="00BF5EB9"/>
    <w:rsid w:val="00C00081"/>
    <w:rsid w:val="00C0034A"/>
    <w:rsid w:val="00C004D3"/>
    <w:rsid w:val="00C00565"/>
    <w:rsid w:val="00C018F1"/>
    <w:rsid w:val="00C05C17"/>
    <w:rsid w:val="00C075A9"/>
    <w:rsid w:val="00C07E5C"/>
    <w:rsid w:val="00C1137B"/>
    <w:rsid w:val="00C114DB"/>
    <w:rsid w:val="00C12C98"/>
    <w:rsid w:val="00C12CB2"/>
    <w:rsid w:val="00C12E83"/>
    <w:rsid w:val="00C134C1"/>
    <w:rsid w:val="00C136A9"/>
    <w:rsid w:val="00C13911"/>
    <w:rsid w:val="00C13E41"/>
    <w:rsid w:val="00C14F7A"/>
    <w:rsid w:val="00C16536"/>
    <w:rsid w:val="00C16758"/>
    <w:rsid w:val="00C20702"/>
    <w:rsid w:val="00C20FB8"/>
    <w:rsid w:val="00C21FAF"/>
    <w:rsid w:val="00C22FED"/>
    <w:rsid w:val="00C23605"/>
    <w:rsid w:val="00C25470"/>
    <w:rsid w:val="00C25E5C"/>
    <w:rsid w:val="00C268F2"/>
    <w:rsid w:val="00C271AD"/>
    <w:rsid w:val="00C2799D"/>
    <w:rsid w:val="00C31253"/>
    <w:rsid w:val="00C312B4"/>
    <w:rsid w:val="00C32279"/>
    <w:rsid w:val="00C3258E"/>
    <w:rsid w:val="00C36879"/>
    <w:rsid w:val="00C36B19"/>
    <w:rsid w:val="00C37273"/>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19C"/>
    <w:rsid w:val="00C64250"/>
    <w:rsid w:val="00C64AFC"/>
    <w:rsid w:val="00C65AF7"/>
    <w:rsid w:val="00C72165"/>
    <w:rsid w:val="00C741E1"/>
    <w:rsid w:val="00C74F5C"/>
    <w:rsid w:val="00C75864"/>
    <w:rsid w:val="00C75E0D"/>
    <w:rsid w:val="00C801EA"/>
    <w:rsid w:val="00C8086F"/>
    <w:rsid w:val="00C82420"/>
    <w:rsid w:val="00C826C4"/>
    <w:rsid w:val="00C84A7D"/>
    <w:rsid w:val="00C84C3F"/>
    <w:rsid w:val="00C875AB"/>
    <w:rsid w:val="00C90D49"/>
    <w:rsid w:val="00C913B0"/>
    <w:rsid w:val="00C915B2"/>
    <w:rsid w:val="00C91AC8"/>
    <w:rsid w:val="00C93B31"/>
    <w:rsid w:val="00C95307"/>
    <w:rsid w:val="00C9758B"/>
    <w:rsid w:val="00CA13D8"/>
    <w:rsid w:val="00CA1635"/>
    <w:rsid w:val="00CA208B"/>
    <w:rsid w:val="00CA2EB6"/>
    <w:rsid w:val="00CA3051"/>
    <w:rsid w:val="00CA4881"/>
    <w:rsid w:val="00CB5707"/>
    <w:rsid w:val="00CB7F5C"/>
    <w:rsid w:val="00CC4659"/>
    <w:rsid w:val="00CC6580"/>
    <w:rsid w:val="00CD1548"/>
    <w:rsid w:val="00CD4BC0"/>
    <w:rsid w:val="00CD511F"/>
    <w:rsid w:val="00CD5292"/>
    <w:rsid w:val="00CD6B10"/>
    <w:rsid w:val="00CD6FC8"/>
    <w:rsid w:val="00CE1A54"/>
    <w:rsid w:val="00CE297D"/>
    <w:rsid w:val="00CE688D"/>
    <w:rsid w:val="00CE6EFC"/>
    <w:rsid w:val="00CF00B5"/>
    <w:rsid w:val="00CF21D9"/>
    <w:rsid w:val="00CF41ED"/>
    <w:rsid w:val="00CF428F"/>
    <w:rsid w:val="00CF6CB2"/>
    <w:rsid w:val="00CF729C"/>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1C04"/>
    <w:rsid w:val="00D23A2E"/>
    <w:rsid w:val="00D23E84"/>
    <w:rsid w:val="00D248F0"/>
    <w:rsid w:val="00D2695C"/>
    <w:rsid w:val="00D26AF1"/>
    <w:rsid w:val="00D26EE3"/>
    <w:rsid w:val="00D3121B"/>
    <w:rsid w:val="00D314A3"/>
    <w:rsid w:val="00D3460E"/>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66915"/>
    <w:rsid w:val="00D71715"/>
    <w:rsid w:val="00D73212"/>
    <w:rsid w:val="00D745CE"/>
    <w:rsid w:val="00D74871"/>
    <w:rsid w:val="00D75C33"/>
    <w:rsid w:val="00D76A47"/>
    <w:rsid w:val="00D80CC6"/>
    <w:rsid w:val="00D8137C"/>
    <w:rsid w:val="00D83655"/>
    <w:rsid w:val="00D84F96"/>
    <w:rsid w:val="00D901D2"/>
    <w:rsid w:val="00D90A91"/>
    <w:rsid w:val="00D91178"/>
    <w:rsid w:val="00D92716"/>
    <w:rsid w:val="00D92A32"/>
    <w:rsid w:val="00DA1E7B"/>
    <w:rsid w:val="00DA2015"/>
    <w:rsid w:val="00DA4AE9"/>
    <w:rsid w:val="00DA57EF"/>
    <w:rsid w:val="00DA62DE"/>
    <w:rsid w:val="00DA6401"/>
    <w:rsid w:val="00DA643A"/>
    <w:rsid w:val="00DA6B98"/>
    <w:rsid w:val="00DA6E79"/>
    <w:rsid w:val="00DA7BB6"/>
    <w:rsid w:val="00DB4411"/>
    <w:rsid w:val="00DB5409"/>
    <w:rsid w:val="00DB65C5"/>
    <w:rsid w:val="00DB7F8C"/>
    <w:rsid w:val="00DC0095"/>
    <w:rsid w:val="00DC4B20"/>
    <w:rsid w:val="00DC59D8"/>
    <w:rsid w:val="00DC6443"/>
    <w:rsid w:val="00DC6973"/>
    <w:rsid w:val="00DC78DE"/>
    <w:rsid w:val="00DD0659"/>
    <w:rsid w:val="00DD0D89"/>
    <w:rsid w:val="00DD15E6"/>
    <w:rsid w:val="00DD1805"/>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DF64E9"/>
    <w:rsid w:val="00DF65CD"/>
    <w:rsid w:val="00E0101E"/>
    <w:rsid w:val="00E0114A"/>
    <w:rsid w:val="00E01370"/>
    <w:rsid w:val="00E016B6"/>
    <w:rsid w:val="00E021C3"/>
    <w:rsid w:val="00E03F14"/>
    <w:rsid w:val="00E065AE"/>
    <w:rsid w:val="00E074F3"/>
    <w:rsid w:val="00E11B82"/>
    <w:rsid w:val="00E11D0C"/>
    <w:rsid w:val="00E12E92"/>
    <w:rsid w:val="00E13442"/>
    <w:rsid w:val="00E21129"/>
    <w:rsid w:val="00E2125B"/>
    <w:rsid w:val="00E21C77"/>
    <w:rsid w:val="00E23ADF"/>
    <w:rsid w:val="00E255ED"/>
    <w:rsid w:val="00E25B5F"/>
    <w:rsid w:val="00E27EF1"/>
    <w:rsid w:val="00E3375B"/>
    <w:rsid w:val="00E33E46"/>
    <w:rsid w:val="00E34455"/>
    <w:rsid w:val="00E34B38"/>
    <w:rsid w:val="00E3551F"/>
    <w:rsid w:val="00E37ADB"/>
    <w:rsid w:val="00E40066"/>
    <w:rsid w:val="00E42D4A"/>
    <w:rsid w:val="00E43F60"/>
    <w:rsid w:val="00E4586C"/>
    <w:rsid w:val="00E46B40"/>
    <w:rsid w:val="00E47C86"/>
    <w:rsid w:val="00E5076F"/>
    <w:rsid w:val="00E5241F"/>
    <w:rsid w:val="00E562C1"/>
    <w:rsid w:val="00E565DD"/>
    <w:rsid w:val="00E574A6"/>
    <w:rsid w:val="00E57EA0"/>
    <w:rsid w:val="00E57FD9"/>
    <w:rsid w:val="00E64097"/>
    <w:rsid w:val="00E64EB5"/>
    <w:rsid w:val="00E711A4"/>
    <w:rsid w:val="00E72018"/>
    <w:rsid w:val="00E726EB"/>
    <w:rsid w:val="00E73240"/>
    <w:rsid w:val="00E74101"/>
    <w:rsid w:val="00E75F7D"/>
    <w:rsid w:val="00E8136B"/>
    <w:rsid w:val="00E817A1"/>
    <w:rsid w:val="00E83E24"/>
    <w:rsid w:val="00E83F2A"/>
    <w:rsid w:val="00E84075"/>
    <w:rsid w:val="00E90459"/>
    <w:rsid w:val="00E95258"/>
    <w:rsid w:val="00E95F71"/>
    <w:rsid w:val="00E95FE3"/>
    <w:rsid w:val="00E96BEC"/>
    <w:rsid w:val="00EA0645"/>
    <w:rsid w:val="00EA070A"/>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614"/>
    <w:rsid w:val="00EC2EE0"/>
    <w:rsid w:val="00EC5634"/>
    <w:rsid w:val="00EC6713"/>
    <w:rsid w:val="00ED1179"/>
    <w:rsid w:val="00EE089A"/>
    <w:rsid w:val="00EE0CCE"/>
    <w:rsid w:val="00EE1626"/>
    <w:rsid w:val="00EE30AE"/>
    <w:rsid w:val="00EE4EB2"/>
    <w:rsid w:val="00EE515C"/>
    <w:rsid w:val="00EE5856"/>
    <w:rsid w:val="00EE7141"/>
    <w:rsid w:val="00EF0188"/>
    <w:rsid w:val="00EF0B56"/>
    <w:rsid w:val="00EF1BDF"/>
    <w:rsid w:val="00EF238C"/>
    <w:rsid w:val="00EF2F9C"/>
    <w:rsid w:val="00EF32A1"/>
    <w:rsid w:val="00EF3D4F"/>
    <w:rsid w:val="00EF48EA"/>
    <w:rsid w:val="00EF636C"/>
    <w:rsid w:val="00EF6D5B"/>
    <w:rsid w:val="00EF7994"/>
    <w:rsid w:val="00F00047"/>
    <w:rsid w:val="00F01045"/>
    <w:rsid w:val="00F015B3"/>
    <w:rsid w:val="00F01665"/>
    <w:rsid w:val="00F033C7"/>
    <w:rsid w:val="00F04C85"/>
    <w:rsid w:val="00F05B3E"/>
    <w:rsid w:val="00F0762A"/>
    <w:rsid w:val="00F07CBF"/>
    <w:rsid w:val="00F12634"/>
    <w:rsid w:val="00F129F7"/>
    <w:rsid w:val="00F12F30"/>
    <w:rsid w:val="00F134A2"/>
    <w:rsid w:val="00F14617"/>
    <w:rsid w:val="00F149F2"/>
    <w:rsid w:val="00F16007"/>
    <w:rsid w:val="00F16F18"/>
    <w:rsid w:val="00F2072D"/>
    <w:rsid w:val="00F21D5A"/>
    <w:rsid w:val="00F22CAA"/>
    <w:rsid w:val="00F25122"/>
    <w:rsid w:val="00F265C2"/>
    <w:rsid w:val="00F26952"/>
    <w:rsid w:val="00F26982"/>
    <w:rsid w:val="00F26A16"/>
    <w:rsid w:val="00F27485"/>
    <w:rsid w:val="00F27888"/>
    <w:rsid w:val="00F31BFE"/>
    <w:rsid w:val="00F31D35"/>
    <w:rsid w:val="00F32141"/>
    <w:rsid w:val="00F32E14"/>
    <w:rsid w:val="00F33D24"/>
    <w:rsid w:val="00F348A9"/>
    <w:rsid w:val="00F34FF3"/>
    <w:rsid w:val="00F417C8"/>
    <w:rsid w:val="00F41F55"/>
    <w:rsid w:val="00F47615"/>
    <w:rsid w:val="00F5187E"/>
    <w:rsid w:val="00F521D9"/>
    <w:rsid w:val="00F6002A"/>
    <w:rsid w:val="00F608CB"/>
    <w:rsid w:val="00F609F4"/>
    <w:rsid w:val="00F6335B"/>
    <w:rsid w:val="00F63F6F"/>
    <w:rsid w:val="00F65AD4"/>
    <w:rsid w:val="00F72AC3"/>
    <w:rsid w:val="00F72FD5"/>
    <w:rsid w:val="00F74CF1"/>
    <w:rsid w:val="00F8157A"/>
    <w:rsid w:val="00F8447A"/>
    <w:rsid w:val="00F85F6E"/>
    <w:rsid w:val="00F867C7"/>
    <w:rsid w:val="00F870DF"/>
    <w:rsid w:val="00F917A6"/>
    <w:rsid w:val="00F91D77"/>
    <w:rsid w:val="00F91E85"/>
    <w:rsid w:val="00F9455F"/>
    <w:rsid w:val="00F94C0E"/>
    <w:rsid w:val="00F96F7E"/>
    <w:rsid w:val="00F979AB"/>
    <w:rsid w:val="00F97BED"/>
    <w:rsid w:val="00FA0269"/>
    <w:rsid w:val="00FA032E"/>
    <w:rsid w:val="00FA0EEC"/>
    <w:rsid w:val="00FA0FC1"/>
    <w:rsid w:val="00FA2CE4"/>
    <w:rsid w:val="00FA3FD1"/>
    <w:rsid w:val="00FA4658"/>
    <w:rsid w:val="00FA4F0B"/>
    <w:rsid w:val="00FA6437"/>
    <w:rsid w:val="00FA6E5C"/>
    <w:rsid w:val="00FA7089"/>
    <w:rsid w:val="00FB086F"/>
    <w:rsid w:val="00FB0B82"/>
    <w:rsid w:val="00FB2328"/>
    <w:rsid w:val="00FB36EC"/>
    <w:rsid w:val="00FB38A2"/>
    <w:rsid w:val="00FB4ECF"/>
    <w:rsid w:val="00FB5842"/>
    <w:rsid w:val="00FC0D05"/>
    <w:rsid w:val="00FD60BC"/>
    <w:rsid w:val="00FD6911"/>
    <w:rsid w:val="00FD761E"/>
    <w:rsid w:val="00FE0046"/>
    <w:rsid w:val="00FE2D90"/>
    <w:rsid w:val="00FE32C6"/>
    <w:rsid w:val="00FE352A"/>
    <w:rsid w:val="00FE4140"/>
    <w:rsid w:val="00FE48D2"/>
    <w:rsid w:val="00FE5E4E"/>
    <w:rsid w:val="00FE6CC2"/>
    <w:rsid w:val="00FF0CB9"/>
    <w:rsid w:val="00FF2A33"/>
    <w:rsid w:val="00FF2AA1"/>
    <w:rsid w:val="00FF3029"/>
    <w:rsid w:val="00FF33CA"/>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DB3C1E0"/>
  <w15:docId w15:val="{E76AC66F-B6B6-43A4-BFE8-75A0A99F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4179"/>
    <w:pPr>
      <w:tabs>
        <w:tab w:val="right" w:leader="dot" w:pos="10206"/>
      </w:tabs>
      <w:spacing w:before="120" w:after="120"/>
    </w:pPr>
    <w:rPr>
      <w:b/>
      <w:bCs/>
      <w:sz w:val="24"/>
      <w:szCs w:val="24"/>
    </w:rPr>
  </w:style>
  <w:style w:type="paragraph" w:styleId="TOC2">
    <w:name w:val="toc 2"/>
    <w:basedOn w:val="Normal"/>
    <w:next w:val="Normal"/>
    <w:autoRedefine/>
    <w:uiPriority w:val="39"/>
    <w:rsid w:val="00664CA4"/>
    <w:pPr>
      <w:tabs>
        <w:tab w:val="left" w:pos="851"/>
        <w:tab w:val="right" w:leader="dot" w:pos="10194"/>
      </w:tabs>
      <w:ind w:left="200"/>
    </w:pPr>
    <w:rPr>
      <w:rFonts w:cs="Arial"/>
      <w:noProof/>
      <w:sz w:val="24"/>
      <w:szCs w:val="24"/>
      <w:lang w:eastAsia="en-GB"/>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rPr>
      <w:spacing w:val="0"/>
      <w:sz w:val="22"/>
    </w:rPr>
  </w:style>
  <w:style w:type="paragraph" w:styleId="Footer">
    <w:name w:val="footer"/>
    <w:basedOn w:val="Normal"/>
    <w:link w:val="FooterChar"/>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uiPriority w:val="10"/>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semiHidden/>
    <w:rsid w:val="004C4824"/>
    <w:rPr>
      <w:rFonts w:ascii="Tahoma" w:hAnsi="Tahoma" w:cs="Tahoma"/>
      <w:sz w:val="16"/>
      <w:szCs w:val="16"/>
    </w:rPr>
  </w:style>
  <w:style w:type="character" w:styleId="CommentReference">
    <w:name w:val="annotation reference"/>
    <w:semiHidden/>
    <w:rsid w:val="00D0329F"/>
    <w:rPr>
      <w:sz w:val="16"/>
      <w:szCs w:val="16"/>
    </w:rPr>
  </w:style>
  <w:style w:type="paragraph" w:styleId="CommentText">
    <w:name w:val="annotation text"/>
    <w:basedOn w:val="Normal"/>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uiPriority w:val="10"/>
    <w:qFormat/>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5"/>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19"/>
      </w:numPr>
      <w:overflowPunct w:val="0"/>
      <w:autoSpaceDE w:val="0"/>
      <w:autoSpaceDN w:val="0"/>
      <w:adjustRightInd w:val="0"/>
      <w:spacing w:before="120" w:after="120"/>
      <w:textAlignment w:val="baseline"/>
    </w:pPr>
    <w:rPr>
      <w:sz w:val="24"/>
      <w:szCs w:val="22"/>
    </w:rPr>
  </w:style>
  <w:style w:type="character" w:styleId="FootnoteReference">
    <w:name w:val="footnote reference"/>
    <w:rsid w:val="00404BCA"/>
    <w:rPr>
      <w:position w:val="0"/>
      <w:vertAlign w:val="superscript"/>
    </w:rPr>
  </w:style>
  <w:style w:type="paragraph" w:customStyle="1" w:styleId="xl65">
    <w:name w:val="xl65"/>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7">
    <w:name w:val="xl67"/>
    <w:basedOn w:val="Normal"/>
    <w:rsid w:val="00A93701"/>
    <w:pPr>
      <w:spacing w:before="100" w:beforeAutospacing="1" w:after="100" w:afterAutospacing="1"/>
    </w:pPr>
    <w:rPr>
      <w:rFonts w:ascii="Times New Roman" w:hAnsi="Times New Roman"/>
      <w:sz w:val="24"/>
      <w:szCs w:val="24"/>
      <w:lang w:eastAsia="en-GB"/>
    </w:rPr>
  </w:style>
  <w:style w:type="paragraph" w:customStyle="1" w:styleId="xl68">
    <w:name w:val="xl68"/>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69">
    <w:name w:val="xl69"/>
    <w:basedOn w:val="Normal"/>
    <w:rsid w:val="00A93701"/>
    <w:pPr>
      <w:spacing w:before="100" w:beforeAutospacing="1" w:after="100" w:afterAutospacing="1"/>
    </w:pPr>
    <w:rPr>
      <w:rFonts w:ascii="Times New Roman" w:hAnsi="Times New Roman"/>
      <w:sz w:val="24"/>
      <w:szCs w:val="24"/>
      <w:lang w:eastAsia="en-GB"/>
    </w:rPr>
  </w:style>
  <w:style w:type="paragraph" w:customStyle="1" w:styleId="xl70">
    <w:name w:val="xl70"/>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71">
    <w:name w:val="xl7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72">
    <w:name w:val="xl72"/>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3">
    <w:name w:val="xl7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4">
    <w:name w:val="xl74"/>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7">
    <w:name w:val="xl77"/>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8">
    <w:name w:val="xl78"/>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79">
    <w:name w:val="xl79"/>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lang w:eastAsia="en-GB"/>
    </w:rPr>
  </w:style>
  <w:style w:type="paragraph" w:customStyle="1" w:styleId="xl80">
    <w:name w:val="xl80"/>
    <w:basedOn w:val="Normal"/>
    <w:rsid w:val="00A93701"/>
    <w:pPr>
      <w:spacing w:before="100" w:beforeAutospacing="1" w:after="100" w:afterAutospacing="1"/>
      <w:textAlignment w:val="top"/>
    </w:pPr>
    <w:rPr>
      <w:rFonts w:ascii="Times New Roman" w:hAnsi="Times New Roman"/>
      <w:b/>
      <w:bCs/>
      <w:sz w:val="24"/>
      <w:szCs w:val="24"/>
      <w:lang w:eastAsia="en-GB"/>
    </w:rPr>
  </w:style>
  <w:style w:type="paragraph" w:customStyle="1" w:styleId="xl81">
    <w:name w:val="xl8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2">
    <w:name w:val="xl82"/>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3">
    <w:name w:val="xl8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4">
    <w:name w:val="xl84"/>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85">
    <w:name w:val="xl85"/>
    <w:basedOn w:val="Normal"/>
    <w:rsid w:val="00A9370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6">
    <w:name w:val="xl86"/>
    <w:basedOn w:val="Normal"/>
    <w:rsid w:val="00A93701"/>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7">
    <w:name w:val="xl87"/>
    <w:basedOn w:val="Normal"/>
    <w:rsid w:val="00A93701"/>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NBSReportList">
    <w:name w:val="NBS Report List"/>
    <w:basedOn w:val="ListParagraph"/>
    <w:uiPriority w:val="49"/>
    <w:qFormat/>
    <w:rsid w:val="009822B2"/>
    <w:pPr>
      <w:numPr>
        <w:numId w:val="38"/>
      </w:numPr>
      <w:ind w:left="227" w:hanging="227"/>
      <w:contextualSpacing/>
    </w:pPr>
    <w:rPr>
      <w:rFonts w:ascii="Calibri" w:hAnsi="Calibri"/>
      <w:sz w:val="22"/>
      <w:szCs w:val="22"/>
    </w:rPr>
  </w:style>
  <w:style w:type="paragraph" w:customStyle="1" w:styleId="NBSSubtitle">
    <w:name w:val="NBS Subtitle"/>
    <w:basedOn w:val="Subtitle"/>
    <w:uiPriority w:val="49"/>
    <w:qFormat/>
    <w:rsid w:val="000F043E"/>
    <w:pPr>
      <w:pageBreakBefore/>
      <w:spacing w:after="200" w:line="276" w:lineRule="auto"/>
    </w:pPr>
    <w:rPr>
      <w:rFonts w:asciiTheme="majorHAnsi" w:eastAsiaTheme="majorEastAsia" w:hAnsiTheme="majorHAnsi" w:cstheme="majorBidi"/>
      <w:b w:val="0"/>
      <w:i/>
      <w:snapToGrid/>
      <w:color w:val="4F81BD" w:themeColor="accent1"/>
      <w:spacing w:val="15"/>
      <w:sz w:val="40"/>
      <w:szCs w:val="40"/>
      <w:u w:val="none"/>
    </w:rPr>
  </w:style>
  <w:style w:type="paragraph" w:customStyle="1" w:styleId="Normal1">
    <w:name w:val="Normal1"/>
    <w:rsid w:val="008A3005"/>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644312790">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37188330">
      <w:bodyDiv w:val="1"/>
      <w:marLeft w:val="0"/>
      <w:marRight w:val="0"/>
      <w:marTop w:val="0"/>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238">
      <w:bodyDiv w:val="1"/>
      <w:marLeft w:val="0"/>
      <w:marRight w:val="0"/>
      <w:marTop w:val="0"/>
      <w:marBottom w:val="0"/>
      <w:divBdr>
        <w:top w:val="none" w:sz="0" w:space="0" w:color="auto"/>
        <w:left w:val="none" w:sz="0" w:space="0" w:color="auto"/>
        <w:bottom w:val="none" w:sz="0" w:space="0" w:color="auto"/>
        <w:right w:val="none" w:sz="0" w:space="0" w:color="auto"/>
      </w:divBdr>
    </w:div>
    <w:div w:id="1013611468">
      <w:bodyDiv w:val="1"/>
      <w:marLeft w:val="0"/>
      <w:marRight w:val="0"/>
      <w:marTop w:val="0"/>
      <w:marBottom w:val="0"/>
      <w:divBdr>
        <w:top w:val="none" w:sz="0" w:space="0" w:color="auto"/>
        <w:left w:val="none" w:sz="0" w:space="0" w:color="auto"/>
        <w:bottom w:val="none" w:sz="0" w:space="0" w:color="auto"/>
        <w:right w:val="none" w:sz="0" w:space="0" w:color="auto"/>
      </w:divBdr>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280182422">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A8C9-315C-4BD4-86EF-73100196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1218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7408</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5</cp:revision>
  <cp:lastPrinted>2017-05-16T12:20:00Z</cp:lastPrinted>
  <dcterms:created xsi:type="dcterms:W3CDTF">2020-12-02T10:46:00Z</dcterms:created>
  <dcterms:modified xsi:type="dcterms:W3CDTF">2020-12-04T10:08:00Z</dcterms:modified>
</cp:coreProperties>
</file>