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CD" w:rsidRPr="00650D4B" w:rsidRDefault="007259CD" w:rsidP="009D748D">
      <w:pPr>
        <w:rPr>
          <w:rFonts w:cs="Arial"/>
          <w:b/>
          <w:sz w:val="28"/>
          <w:szCs w:val="28"/>
        </w:rPr>
      </w:pPr>
      <w:r w:rsidRPr="00650D4B">
        <w:rPr>
          <w:rFonts w:cs="Arial"/>
          <w:b/>
          <w:sz w:val="28"/>
          <w:szCs w:val="28"/>
        </w:rPr>
        <w:t>Integrated sexual and reproductive health service specification</w:t>
      </w:r>
    </w:p>
    <w:p w:rsidR="007259CD" w:rsidRDefault="007259CD" w:rsidP="009D748D">
      <w:pPr>
        <w:rPr>
          <w:rFonts w:cs="Arial"/>
          <w:b/>
        </w:rPr>
      </w:pPr>
    </w:p>
    <w:p w:rsidR="007259CD" w:rsidRDefault="007259CD" w:rsidP="009D748D">
      <w:pPr>
        <w:rPr>
          <w:rFonts w:cs="Arial"/>
          <w:b/>
        </w:rPr>
      </w:pPr>
    </w:p>
    <w:p w:rsidR="009D748D" w:rsidRPr="007259CD" w:rsidRDefault="009D748D" w:rsidP="002A30E5">
      <w:pPr>
        <w:pStyle w:val="NoSpacing"/>
        <w:numPr>
          <w:ilvl w:val="0"/>
          <w:numId w:val="12"/>
        </w:numPr>
        <w:rPr>
          <w:rFonts w:cs="Arial"/>
          <w:b/>
        </w:rPr>
      </w:pPr>
      <w:r w:rsidRPr="007259CD">
        <w:rPr>
          <w:rFonts w:cs="Arial"/>
          <w:b/>
        </w:rPr>
        <w:t>National and local context</w:t>
      </w:r>
    </w:p>
    <w:p w:rsidR="009D748D" w:rsidRPr="007259CD" w:rsidRDefault="009D748D" w:rsidP="009D748D">
      <w:pPr>
        <w:pStyle w:val="NoSpacing"/>
        <w:rPr>
          <w:rFonts w:cs="Arial"/>
          <w:b/>
        </w:rPr>
      </w:pPr>
    </w:p>
    <w:p w:rsidR="0099299C" w:rsidRPr="007259CD" w:rsidRDefault="009D028E" w:rsidP="009D748D">
      <w:pPr>
        <w:pStyle w:val="NoSpacing"/>
        <w:rPr>
          <w:rFonts w:cs="Arial"/>
        </w:rPr>
      </w:pPr>
      <w:r w:rsidRPr="007259CD">
        <w:rPr>
          <w:rFonts w:cs="Arial"/>
        </w:rPr>
        <w:t xml:space="preserve">The national strategic approach to sexual health improvement </w:t>
      </w:r>
      <w:r w:rsidR="00A24A1F" w:rsidRPr="007259CD">
        <w:rPr>
          <w:rFonts w:cs="Arial"/>
        </w:rPr>
        <w:t xml:space="preserve">is set out in </w:t>
      </w:r>
      <w:r w:rsidRPr="007259CD">
        <w:rPr>
          <w:rFonts w:cs="Arial"/>
        </w:rPr>
        <w:t>the DH publication ‘</w:t>
      </w:r>
      <w:r w:rsidR="0099299C" w:rsidRPr="007259CD">
        <w:rPr>
          <w:rFonts w:cs="Arial"/>
          <w:i/>
          <w:iCs/>
        </w:rPr>
        <w:t>A Framework for Sexual Health Improvement in England</w:t>
      </w:r>
      <w:r w:rsidRPr="007259CD">
        <w:rPr>
          <w:rFonts w:cs="Arial"/>
          <w:i/>
          <w:iCs/>
        </w:rPr>
        <w:t>’</w:t>
      </w:r>
      <w:r w:rsidR="0099299C" w:rsidRPr="007259CD">
        <w:rPr>
          <w:rFonts w:cs="Arial"/>
          <w:i/>
          <w:iCs/>
        </w:rPr>
        <w:t>,</w:t>
      </w:r>
      <w:r w:rsidRPr="007259CD">
        <w:rPr>
          <w:rFonts w:cs="Arial"/>
          <w:i/>
          <w:iCs/>
        </w:rPr>
        <w:t xml:space="preserve"> </w:t>
      </w:r>
      <w:r w:rsidRPr="007259CD">
        <w:rPr>
          <w:rFonts w:cs="Arial"/>
          <w:iCs/>
        </w:rPr>
        <w:t>while the</w:t>
      </w:r>
      <w:r w:rsidR="0099299C" w:rsidRPr="007259CD">
        <w:rPr>
          <w:rFonts w:cs="Arial"/>
          <w:i/>
          <w:iCs/>
        </w:rPr>
        <w:t xml:space="preserve"> </w:t>
      </w:r>
      <w:r w:rsidRPr="007259CD">
        <w:rPr>
          <w:rFonts w:cs="Arial"/>
          <w:i/>
          <w:iCs/>
        </w:rPr>
        <w:t xml:space="preserve">Public Health Outcomes Framework </w:t>
      </w:r>
      <w:r w:rsidR="0099299C" w:rsidRPr="007259CD">
        <w:rPr>
          <w:rFonts w:cs="Arial"/>
        </w:rPr>
        <w:t>provides the key set of indicators against which progress is tracked.</w:t>
      </w:r>
    </w:p>
    <w:p w:rsidR="006B4592" w:rsidRPr="007259CD" w:rsidRDefault="006B4592" w:rsidP="009D748D">
      <w:pPr>
        <w:pStyle w:val="NoSpacing"/>
        <w:rPr>
          <w:rFonts w:cs="Arial"/>
        </w:rPr>
      </w:pPr>
    </w:p>
    <w:p w:rsidR="00897B11" w:rsidRPr="007259CD" w:rsidRDefault="007259CD" w:rsidP="00897B11">
      <w:pPr>
        <w:rPr>
          <w:rFonts w:cs="Arial"/>
          <w:i/>
        </w:rPr>
      </w:pPr>
      <w:r>
        <w:rPr>
          <w:rFonts w:cs="Arial"/>
          <w:b/>
          <w:bCs/>
        </w:rPr>
        <w:t xml:space="preserve">Figure 1: </w:t>
      </w:r>
      <w:r w:rsidR="00897B11" w:rsidRPr="007259CD">
        <w:rPr>
          <w:rFonts w:cs="Arial"/>
          <w:b/>
          <w:bCs/>
        </w:rPr>
        <w:t xml:space="preserve">Key objectives and ambitions to </w:t>
      </w:r>
      <w:r w:rsidR="00897B11" w:rsidRPr="007259CD">
        <w:rPr>
          <w:rFonts w:cs="Arial"/>
          <w:b/>
        </w:rPr>
        <w:t>improve sexual health in England</w:t>
      </w:r>
      <w:r w:rsidR="00897B11" w:rsidRPr="007259CD">
        <w:rPr>
          <w:rFonts w:cs="Arial"/>
          <w:b/>
          <w:bCs/>
        </w:rPr>
        <w:t xml:space="preserve"> </w:t>
      </w:r>
    </w:p>
    <w:p w:rsidR="00897B11" w:rsidRPr="007259CD" w:rsidRDefault="00897B11" w:rsidP="00897B11">
      <w:pPr>
        <w:rPr>
          <w:rFonts w:cs="Arial"/>
        </w:rPr>
      </w:pPr>
    </w:p>
    <w:p w:rsidR="00897B11" w:rsidRPr="007259CD" w:rsidRDefault="00897B11" w:rsidP="00897B11">
      <w:pPr>
        <w:rPr>
          <w:rFonts w:cs="Arial"/>
        </w:rPr>
      </w:pPr>
      <w:r w:rsidRPr="007259CD">
        <w:rPr>
          <w:rFonts w:cs="Arial"/>
          <w:noProof/>
          <w:lang w:eastAsia="en-GB"/>
        </w:rPr>
        <w:drawing>
          <wp:inline distT="0" distB="0" distL="0" distR="0" wp14:anchorId="1A492DC6" wp14:editId="046DB4E3">
            <wp:extent cx="5724525" cy="520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897B11" w:rsidRPr="007259CD" w:rsidRDefault="00897B11" w:rsidP="00897B11">
      <w:pPr>
        <w:rPr>
          <w:rFonts w:cs="Arial"/>
        </w:rPr>
      </w:pPr>
      <w:r w:rsidRPr="007259CD">
        <w:rPr>
          <w:rFonts w:cs="Arial"/>
        </w:rPr>
        <w:t xml:space="preserve">Source: </w:t>
      </w:r>
      <w:hyperlink r:id="rId10" w:history="1">
        <w:r w:rsidRPr="007259CD">
          <w:rPr>
            <w:rStyle w:val="Hyperlink"/>
            <w:rFonts w:cs="Arial"/>
            <w:i/>
          </w:rPr>
          <w:t>Public Health England</w:t>
        </w:r>
      </w:hyperlink>
      <w:r w:rsidRPr="007259CD">
        <w:rPr>
          <w:rFonts w:cs="Arial"/>
          <w:i/>
        </w:rPr>
        <w:t>, 2015</w:t>
      </w:r>
      <w:r w:rsidRPr="007259CD">
        <w:rPr>
          <w:rFonts w:cs="Arial"/>
        </w:rPr>
        <w:t xml:space="preserve"> </w:t>
      </w:r>
    </w:p>
    <w:p w:rsidR="009D028E" w:rsidRPr="007259CD" w:rsidRDefault="009D028E" w:rsidP="00C10708">
      <w:pPr>
        <w:pStyle w:val="NoSpacing"/>
        <w:rPr>
          <w:rFonts w:cs="Arial"/>
        </w:rPr>
      </w:pPr>
    </w:p>
    <w:p w:rsidR="009D028E" w:rsidRPr="007259CD" w:rsidRDefault="009D028E" w:rsidP="00C10708">
      <w:pPr>
        <w:pStyle w:val="NoSpacing"/>
        <w:rPr>
          <w:rFonts w:cs="Arial"/>
        </w:rPr>
      </w:pPr>
      <w:r w:rsidRPr="007259CD">
        <w:rPr>
          <w:rFonts w:cs="Arial"/>
        </w:rPr>
        <w:t xml:space="preserve">The PHE strategic action plan </w:t>
      </w:r>
      <w:r w:rsidRPr="007259CD">
        <w:rPr>
          <w:rFonts w:cs="Arial"/>
          <w:i/>
        </w:rPr>
        <w:t>Health Promotion for Sexual and Reproductive Health and HIV</w:t>
      </w:r>
      <w:r w:rsidRPr="007259CD">
        <w:rPr>
          <w:rFonts w:cs="Arial"/>
        </w:rPr>
        <w:t xml:space="preserve"> </w:t>
      </w:r>
      <w:r w:rsidRPr="007259CD">
        <w:rPr>
          <w:rFonts w:cs="Arial"/>
          <w:i/>
        </w:rPr>
        <w:t>2016-19</w:t>
      </w:r>
      <w:r w:rsidRPr="007259CD">
        <w:rPr>
          <w:rFonts w:cs="Arial"/>
        </w:rPr>
        <w:t>, sets out four key objectives</w:t>
      </w:r>
      <w:r w:rsidR="00BF567C">
        <w:rPr>
          <w:rFonts w:cs="Arial"/>
        </w:rPr>
        <w:t>:</w:t>
      </w:r>
    </w:p>
    <w:p w:rsidR="009D028E" w:rsidRPr="007259CD" w:rsidRDefault="009D028E" w:rsidP="00C10708">
      <w:pPr>
        <w:pStyle w:val="NoSpacing"/>
        <w:rPr>
          <w:rFonts w:cs="Arial"/>
        </w:rPr>
      </w:pPr>
    </w:p>
    <w:p w:rsidR="00A24A1F" w:rsidRPr="007259CD" w:rsidRDefault="00A24A1F" w:rsidP="00A24A1F">
      <w:pPr>
        <w:pStyle w:val="NoSpacing"/>
        <w:numPr>
          <w:ilvl w:val="0"/>
          <w:numId w:val="1"/>
        </w:numPr>
        <w:rPr>
          <w:rFonts w:cs="Arial"/>
        </w:rPr>
      </w:pPr>
      <w:r w:rsidRPr="007259CD">
        <w:rPr>
          <w:rFonts w:cs="Arial"/>
        </w:rPr>
        <w:t>Reverse the observed increase in sexually transmitted infections</w:t>
      </w:r>
    </w:p>
    <w:p w:rsidR="009D028E" w:rsidRPr="007259CD" w:rsidRDefault="009D028E" w:rsidP="00C10708">
      <w:pPr>
        <w:pStyle w:val="NoSpacing"/>
        <w:numPr>
          <w:ilvl w:val="0"/>
          <w:numId w:val="1"/>
        </w:numPr>
        <w:rPr>
          <w:rFonts w:cs="Arial"/>
        </w:rPr>
      </w:pPr>
      <w:r w:rsidRPr="007259CD">
        <w:rPr>
          <w:rFonts w:cs="Arial"/>
        </w:rPr>
        <w:t>Reduce the burden of HIV infection</w:t>
      </w:r>
    </w:p>
    <w:p w:rsidR="009D028E" w:rsidRPr="007259CD" w:rsidRDefault="009D028E" w:rsidP="00C10708">
      <w:pPr>
        <w:pStyle w:val="NoSpacing"/>
        <w:numPr>
          <w:ilvl w:val="0"/>
          <w:numId w:val="1"/>
        </w:numPr>
        <w:rPr>
          <w:rFonts w:cs="Arial"/>
        </w:rPr>
      </w:pPr>
      <w:r w:rsidRPr="007259CD">
        <w:rPr>
          <w:rFonts w:cs="Arial"/>
        </w:rPr>
        <w:t>Minimise the proportion of pregnancies that are unplanned</w:t>
      </w:r>
    </w:p>
    <w:p w:rsidR="009D028E" w:rsidRPr="007259CD" w:rsidRDefault="009D028E" w:rsidP="009D028E">
      <w:pPr>
        <w:pStyle w:val="NoSpacing"/>
        <w:numPr>
          <w:ilvl w:val="0"/>
          <w:numId w:val="1"/>
        </w:numPr>
        <w:rPr>
          <w:rFonts w:cs="Arial"/>
        </w:rPr>
      </w:pPr>
      <w:r w:rsidRPr="007259CD">
        <w:rPr>
          <w:rFonts w:cs="Arial"/>
        </w:rPr>
        <w:t>Reduce the rates of under 18 and under 16 conceptions</w:t>
      </w:r>
    </w:p>
    <w:p w:rsidR="009D028E" w:rsidRPr="007259CD" w:rsidRDefault="009D028E" w:rsidP="00C10708">
      <w:pPr>
        <w:pStyle w:val="NoSpacing"/>
        <w:rPr>
          <w:rFonts w:cs="Arial"/>
        </w:rPr>
      </w:pPr>
    </w:p>
    <w:p w:rsidR="00D22550" w:rsidRPr="007259CD" w:rsidRDefault="00D22550" w:rsidP="002A30E5">
      <w:pPr>
        <w:pStyle w:val="ListParagraph"/>
        <w:numPr>
          <w:ilvl w:val="1"/>
          <w:numId w:val="22"/>
        </w:numPr>
        <w:rPr>
          <w:rFonts w:ascii="Arial" w:hAnsi="Arial" w:cs="Arial"/>
          <w:b/>
        </w:rPr>
      </w:pPr>
      <w:r w:rsidRPr="007259CD">
        <w:rPr>
          <w:rFonts w:ascii="Arial" w:hAnsi="Arial" w:cs="Arial"/>
          <w:b/>
        </w:rPr>
        <w:lastRenderedPageBreak/>
        <w:t xml:space="preserve">Overview of sexual </w:t>
      </w:r>
      <w:r w:rsidR="00124F92" w:rsidRPr="007259CD">
        <w:rPr>
          <w:rFonts w:ascii="Arial" w:hAnsi="Arial" w:cs="Arial"/>
          <w:b/>
        </w:rPr>
        <w:t xml:space="preserve">and reproductive </w:t>
      </w:r>
      <w:r w:rsidRPr="007259CD">
        <w:rPr>
          <w:rFonts w:ascii="Arial" w:hAnsi="Arial" w:cs="Arial"/>
          <w:b/>
        </w:rPr>
        <w:t>health in Berkshire East</w:t>
      </w:r>
      <w:r w:rsidR="00E061B8">
        <w:rPr>
          <w:rStyle w:val="FootnoteReference"/>
          <w:rFonts w:ascii="Arial" w:hAnsi="Arial"/>
          <w:b/>
        </w:rPr>
        <w:footnoteReference w:id="2"/>
      </w:r>
    </w:p>
    <w:p w:rsidR="00530EED" w:rsidRPr="007259CD" w:rsidRDefault="00530EED" w:rsidP="00D22550">
      <w:pPr>
        <w:rPr>
          <w:rFonts w:cs="Arial"/>
          <w:b/>
        </w:rPr>
      </w:pPr>
    </w:p>
    <w:p w:rsidR="00530EED" w:rsidRPr="007259CD" w:rsidRDefault="00530EED" w:rsidP="002A30E5">
      <w:pPr>
        <w:pStyle w:val="ListParagraph"/>
        <w:numPr>
          <w:ilvl w:val="2"/>
          <w:numId w:val="22"/>
        </w:numPr>
        <w:rPr>
          <w:rFonts w:ascii="Arial" w:hAnsi="Arial" w:cs="Arial"/>
          <w:b/>
        </w:rPr>
      </w:pPr>
      <w:r w:rsidRPr="007259CD">
        <w:rPr>
          <w:rFonts w:ascii="Arial" w:hAnsi="Arial" w:cs="Arial"/>
          <w:b/>
        </w:rPr>
        <w:t>STIs</w:t>
      </w:r>
    </w:p>
    <w:p w:rsidR="00981561" w:rsidRPr="007259CD" w:rsidRDefault="00530EED" w:rsidP="00981561">
      <w:pPr>
        <w:rPr>
          <w:rFonts w:cs="Arial"/>
        </w:rPr>
      </w:pPr>
      <w:r w:rsidRPr="007259CD">
        <w:rPr>
          <w:rFonts w:cs="Arial"/>
        </w:rPr>
        <w:t>Rates of STIs tend to be highes</w:t>
      </w:r>
      <w:r w:rsidR="00897B11" w:rsidRPr="007259CD">
        <w:rPr>
          <w:rFonts w:cs="Arial"/>
        </w:rPr>
        <w:t xml:space="preserve">t in the more deprived areas.  </w:t>
      </w:r>
      <w:r w:rsidR="00981561" w:rsidRPr="007259CD">
        <w:rPr>
          <w:rFonts w:cs="Arial"/>
        </w:rPr>
        <w:t xml:space="preserve">Over recent years there has been no significant change in rate of all new STI diagnoses in Bracknell Forest or </w:t>
      </w:r>
      <w:r w:rsidR="00BF567C">
        <w:rPr>
          <w:rFonts w:cs="Arial"/>
        </w:rPr>
        <w:t>the Royal Borough of Windsor and Maidenhead (</w:t>
      </w:r>
      <w:r w:rsidR="00981561" w:rsidRPr="007259CD">
        <w:rPr>
          <w:rFonts w:cs="Arial"/>
        </w:rPr>
        <w:t>RBWM</w:t>
      </w:r>
      <w:r w:rsidR="00BF567C">
        <w:rPr>
          <w:rFonts w:cs="Arial"/>
        </w:rPr>
        <w:t>)</w:t>
      </w:r>
      <w:r w:rsidR="00981561" w:rsidRPr="007259CD">
        <w:rPr>
          <w:rFonts w:cs="Arial"/>
        </w:rPr>
        <w:t xml:space="preserve"> though this may be in part due to numbers been historically low. However in</w:t>
      </w:r>
      <w:r w:rsidR="00897B11" w:rsidRPr="007259CD">
        <w:rPr>
          <w:rFonts w:cs="Arial"/>
        </w:rPr>
        <w:t xml:space="preserve"> Slough</w:t>
      </w:r>
      <w:r w:rsidR="00981561" w:rsidRPr="007259CD">
        <w:rPr>
          <w:rFonts w:cs="Arial"/>
        </w:rPr>
        <w:t xml:space="preserve"> rates are</w:t>
      </w:r>
      <w:r w:rsidR="007F0D3D">
        <w:rPr>
          <w:rFonts w:cs="Arial"/>
        </w:rPr>
        <w:t xml:space="preserve"> decreasing.</w:t>
      </w:r>
      <w:r w:rsidR="00897B11" w:rsidRPr="007259CD">
        <w:rPr>
          <w:rFonts w:cs="Arial"/>
        </w:rPr>
        <w:t xml:space="preserve"> In 2016 rates in all three local authorities were lower than regional and national rates.</w:t>
      </w:r>
      <w:r w:rsidR="00981561" w:rsidRPr="007259CD">
        <w:rPr>
          <w:rFonts w:cs="Arial"/>
        </w:rPr>
        <w:t xml:space="preserve"> </w:t>
      </w:r>
    </w:p>
    <w:p w:rsidR="00981561" w:rsidRPr="007259CD" w:rsidRDefault="00981561" w:rsidP="00981561">
      <w:pPr>
        <w:rPr>
          <w:rFonts w:cs="Arial"/>
        </w:rPr>
      </w:pPr>
    </w:p>
    <w:p w:rsidR="00D34A7D" w:rsidRPr="007259CD" w:rsidRDefault="00D34A7D" w:rsidP="00D34A7D">
      <w:pPr>
        <w:rPr>
          <w:rFonts w:cs="Arial"/>
        </w:rPr>
      </w:pPr>
      <w:r w:rsidRPr="007259CD">
        <w:rPr>
          <w:rFonts w:cs="Arial"/>
        </w:rPr>
        <w:t>Chlamydia</w:t>
      </w:r>
      <w:r w:rsidR="00981561" w:rsidRPr="007259CD">
        <w:rPr>
          <w:rFonts w:cs="Arial"/>
        </w:rPr>
        <w:t xml:space="preserve"> is the most common STI </w:t>
      </w:r>
      <w:r w:rsidRPr="007259CD">
        <w:rPr>
          <w:rFonts w:cs="Arial"/>
        </w:rPr>
        <w:t xml:space="preserve">and rates are considerably higher in young adults, across Berkshire in 2016, 64.3% of chlamydia diagnoses were in this age group. </w:t>
      </w:r>
    </w:p>
    <w:p w:rsidR="00AF545A" w:rsidRPr="007259CD" w:rsidRDefault="00AF545A" w:rsidP="00D34A7D">
      <w:pPr>
        <w:rPr>
          <w:rFonts w:cs="Arial"/>
        </w:rPr>
      </w:pPr>
    </w:p>
    <w:p w:rsidR="00D34A7D" w:rsidRPr="007259CD" w:rsidRDefault="00D34A7D" w:rsidP="00D34A7D">
      <w:pPr>
        <w:rPr>
          <w:rFonts w:cs="Arial"/>
        </w:rPr>
      </w:pPr>
      <w:r w:rsidRPr="007259CD">
        <w:rPr>
          <w:rFonts w:cs="Arial"/>
        </w:rPr>
        <w:t xml:space="preserve">Although nationally rates have decreased over recent years, rates in the South East have remained flat. As chlamydia is often asymptomatic there is a drive to increase the chlamydia detection rate among young people and the diagnostic rate </w:t>
      </w:r>
      <w:r w:rsidR="00BF567C">
        <w:rPr>
          <w:rFonts w:cs="Arial"/>
        </w:rPr>
        <w:t>per 1,000</w:t>
      </w:r>
      <w:r w:rsidRPr="007259CD">
        <w:rPr>
          <w:rFonts w:cs="Arial"/>
        </w:rPr>
        <w:t xml:space="preserve"> 15-24 year olds is included in the Public Health Outcomes Framework (3.02) with an aspirational target of 2,300 chlamydia diagnoses per 100,000. Since 2012, detection rates are decreasing</w:t>
      </w:r>
      <w:r w:rsidR="00AF545A">
        <w:rPr>
          <w:rFonts w:cs="Arial"/>
        </w:rPr>
        <w:t xml:space="preserve"> with a</w:t>
      </w:r>
      <w:r w:rsidR="00BF567C">
        <w:rPr>
          <w:rFonts w:cs="Arial"/>
        </w:rPr>
        <w:t xml:space="preserve"> </w:t>
      </w:r>
      <w:r w:rsidRPr="000A6849">
        <w:t>significant decrease</w:t>
      </w:r>
      <w:r w:rsidR="00AF545A" w:rsidRPr="000A6849">
        <w:rPr>
          <w:rFonts w:cs="Arial"/>
        </w:rPr>
        <w:t xml:space="preserve"> observed</w:t>
      </w:r>
      <w:r w:rsidRPr="000A6849">
        <w:t xml:space="preserve"> in Slough</w:t>
      </w:r>
      <w:r w:rsidR="00BF567C">
        <w:t>.</w:t>
      </w:r>
      <w:r w:rsidR="00E061B8">
        <w:t xml:space="preserve"> </w:t>
      </w:r>
      <w:r w:rsidR="00BF567C">
        <w:t>D</w:t>
      </w:r>
      <w:r w:rsidRPr="000A6849">
        <w:t>etection rates in Berkshire East are significantly lower than national and regional averages</w:t>
      </w:r>
      <w:r w:rsidR="00AF545A" w:rsidRPr="000A6849">
        <w:rPr>
          <w:rFonts w:cs="Arial"/>
        </w:rPr>
        <w:t>.</w:t>
      </w:r>
      <w:r w:rsidRPr="007259CD">
        <w:rPr>
          <w:rFonts w:cs="Arial"/>
        </w:rPr>
        <w:t xml:space="preserve"> </w:t>
      </w:r>
    </w:p>
    <w:p w:rsidR="00981561" w:rsidRPr="007259CD" w:rsidRDefault="00981561" w:rsidP="00981561">
      <w:pPr>
        <w:rPr>
          <w:rFonts w:cs="Arial"/>
        </w:rPr>
      </w:pPr>
    </w:p>
    <w:p w:rsidR="00981561" w:rsidRPr="007259CD" w:rsidRDefault="00981561" w:rsidP="00981561">
      <w:pPr>
        <w:rPr>
          <w:rFonts w:cs="Arial"/>
        </w:rPr>
      </w:pPr>
      <w:r w:rsidRPr="007259CD">
        <w:rPr>
          <w:rFonts w:cs="Arial"/>
        </w:rPr>
        <w:t>Rates of diagnosis of syphilis and gonorrhoea are increasing in England and across the South East</w:t>
      </w:r>
      <w:r w:rsidR="00BF567C">
        <w:rPr>
          <w:rFonts w:cs="Arial"/>
        </w:rPr>
        <w:t>. A</w:t>
      </w:r>
      <w:r w:rsidRPr="007259CD">
        <w:rPr>
          <w:rFonts w:cs="Arial"/>
        </w:rPr>
        <w:t xml:space="preserve">lthough there has been no significant change in the rate of syphilis seen in Berkshire East, data suggests that there is an increasing trend across the three local authorities in the East of Berkshire. Rates of diagnosis in all Berkshire local authorities were either the same or lower than national and regional averages in 2016. </w:t>
      </w:r>
    </w:p>
    <w:p w:rsidR="00981561" w:rsidRPr="007259CD" w:rsidRDefault="00981561" w:rsidP="00981561">
      <w:pPr>
        <w:rPr>
          <w:rFonts w:cs="Arial"/>
        </w:rPr>
      </w:pPr>
    </w:p>
    <w:p w:rsidR="00981561" w:rsidRPr="007259CD" w:rsidRDefault="00981561" w:rsidP="00981561">
      <w:pPr>
        <w:rPr>
          <w:rFonts w:cs="Arial"/>
        </w:rPr>
      </w:pPr>
      <w:r w:rsidRPr="007259CD">
        <w:rPr>
          <w:rFonts w:cs="Arial"/>
        </w:rPr>
        <w:t>Gonorrhoea diagnosis rates in Bracknell Forest (30 per 100,000) and RBWM (41 per 100,000) during 2016 were comparable to regional averages and lower than national averages, with a decrease in Bracknell Forest and RBWM between 2015 and 2016 being observed.</w:t>
      </w:r>
    </w:p>
    <w:p w:rsidR="00897B11" w:rsidRPr="007259CD" w:rsidRDefault="00897B11" w:rsidP="00897B11">
      <w:pPr>
        <w:rPr>
          <w:rFonts w:cs="Arial"/>
        </w:rPr>
      </w:pPr>
    </w:p>
    <w:p w:rsidR="00DF09FE" w:rsidRPr="007259CD" w:rsidRDefault="00530EED" w:rsidP="00DF09FE">
      <w:pPr>
        <w:jc w:val="both"/>
        <w:rPr>
          <w:rFonts w:cs="Arial"/>
        </w:rPr>
      </w:pPr>
      <w:r w:rsidRPr="007259CD">
        <w:rPr>
          <w:rFonts w:cs="Arial"/>
        </w:rPr>
        <w:t>Men who have sex with men</w:t>
      </w:r>
      <w:r w:rsidR="00BF567C">
        <w:rPr>
          <w:rFonts w:cs="Arial"/>
        </w:rPr>
        <w:t xml:space="preserve"> (MSM)</w:t>
      </w:r>
      <w:r w:rsidRPr="007259CD">
        <w:rPr>
          <w:rFonts w:cs="Arial"/>
        </w:rPr>
        <w:t xml:space="preserve">, younger adults and some </w:t>
      </w:r>
      <w:r w:rsidR="00BF567C">
        <w:rPr>
          <w:rFonts w:cs="Arial"/>
        </w:rPr>
        <w:t>BAME</w:t>
      </w:r>
      <w:r w:rsidR="00BF567C" w:rsidRPr="007259CD">
        <w:rPr>
          <w:rFonts w:cs="Arial"/>
        </w:rPr>
        <w:t xml:space="preserve"> </w:t>
      </w:r>
      <w:r w:rsidRPr="007259CD">
        <w:rPr>
          <w:rFonts w:cs="Arial"/>
        </w:rPr>
        <w:t>communities are over-represented among new STIs compared with other groups.</w:t>
      </w:r>
      <w:r w:rsidR="00DF09FE" w:rsidRPr="007259CD">
        <w:rPr>
          <w:rFonts w:cs="Arial"/>
        </w:rPr>
        <w:t xml:space="preserve"> In Berkshire diagnosis of STIs is more </w:t>
      </w:r>
      <w:r w:rsidR="00DF09FE" w:rsidRPr="007259CD">
        <w:rPr>
          <w:rFonts w:cs="Arial"/>
          <w:color w:val="000000" w:themeColor="text1"/>
        </w:rPr>
        <w:t xml:space="preserve">common amongst males (despite a lower rate of attendance in sexual health services) and </w:t>
      </w:r>
      <w:r w:rsidR="00DF09FE" w:rsidRPr="007259CD">
        <w:rPr>
          <w:rFonts w:cs="Arial"/>
        </w:rPr>
        <w:t>there are observable gender differences in type of diagnosis, with more warts, syphilis and gonorrhoea diagnosed in males and more chlamydia and herpes in females. Diagnosis of STIs is highest in 20 to 34 year olds</w:t>
      </w:r>
      <w:r w:rsidR="007F0D3D">
        <w:rPr>
          <w:rFonts w:cs="Arial"/>
        </w:rPr>
        <w:t>.</w:t>
      </w:r>
    </w:p>
    <w:p w:rsidR="00DF09FE" w:rsidRPr="007259CD" w:rsidRDefault="00DF09FE" w:rsidP="00DF09FE">
      <w:pPr>
        <w:jc w:val="both"/>
        <w:rPr>
          <w:rFonts w:cs="Arial"/>
        </w:rPr>
      </w:pPr>
    </w:p>
    <w:p w:rsidR="00DF09FE" w:rsidRPr="007259CD" w:rsidRDefault="00DF09FE" w:rsidP="00DF09FE">
      <w:pPr>
        <w:jc w:val="both"/>
        <w:rPr>
          <w:rFonts w:cs="Arial"/>
        </w:rPr>
      </w:pPr>
      <w:r w:rsidRPr="007259CD">
        <w:rPr>
          <w:rFonts w:cs="Arial"/>
        </w:rPr>
        <w:t xml:space="preserve">Gay and </w:t>
      </w:r>
      <w:r w:rsidR="00BF567C">
        <w:rPr>
          <w:rFonts w:cs="Arial"/>
        </w:rPr>
        <w:t>bisexual</w:t>
      </w:r>
      <w:r w:rsidRPr="007259CD">
        <w:rPr>
          <w:rFonts w:cs="Arial"/>
        </w:rPr>
        <w:t xml:space="preserve"> men and people from ‘Black’ and ‘Other’ ethnic backgrounds are </w:t>
      </w:r>
      <w:r w:rsidR="00BF567C">
        <w:rPr>
          <w:rFonts w:cs="Arial"/>
        </w:rPr>
        <w:t>over-represented</w:t>
      </w:r>
      <w:r w:rsidRPr="007259CD">
        <w:rPr>
          <w:rFonts w:cs="Arial"/>
        </w:rPr>
        <w:t xml:space="preserve"> in STI diagnosis figures given their relative population sizes. Although these groups are also </w:t>
      </w:r>
      <w:r w:rsidR="00BF567C">
        <w:rPr>
          <w:rFonts w:cs="Arial"/>
        </w:rPr>
        <w:t>over-represented</w:t>
      </w:r>
      <w:r w:rsidRPr="007259CD">
        <w:rPr>
          <w:rFonts w:cs="Arial"/>
        </w:rPr>
        <w:t xml:space="preserve"> in the data showing first attendance for STI related care they are proportionally less likely to receive an STI test at this first attendance</w:t>
      </w:r>
      <w:r w:rsidR="00BF567C">
        <w:rPr>
          <w:rFonts w:cs="Arial"/>
        </w:rPr>
        <w:t>.</w:t>
      </w:r>
    </w:p>
    <w:p w:rsidR="00530EED" w:rsidRPr="007259CD" w:rsidRDefault="00530EED" w:rsidP="00530EED">
      <w:pPr>
        <w:rPr>
          <w:rFonts w:cs="Arial"/>
        </w:rPr>
      </w:pPr>
      <w:r w:rsidRPr="007259CD">
        <w:rPr>
          <w:rFonts w:cs="Arial"/>
        </w:rPr>
        <w:t xml:space="preserve">    </w:t>
      </w:r>
    </w:p>
    <w:p w:rsidR="00530EED" w:rsidRPr="007259CD" w:rsidRDefault="00530EED" w:rsidP="00D22550">
      <w:pPr>
        <w:rPr>
          <w:rFonts w:cs="Arial"/>
          <w:highlight w:val="green"/>
        </w:rPr>
      </w:pPr>
    </w:p>
    <w:p w:rsidR="00530EED" w:rsidRPr="007259CD" w:rsidRDefault="00530EED" w:rsidP="002A30E5">
      <w:pPr>
        <w:pStyle w:val="ListParagraph"/>
        <w:numPr>
          <w:ilvl w:val="2"/>
          <w:numId w:val="22"/>
        </w:numPr>
        <w:rPr>
          <w:rFonts w:ascii="Arial" w:hAnsi="Arial" w:cs="Arial"/>
          <w:b/>
        </w:rPr>
      </w:pPr>
      <w:r w:rsidRPr="007259CD">
        <w:rPr>
          <w:rFonts w:ascii="Arial" w:hAnsi="Arial" w:cs="Arial"/>
          <w:b/>
        </w:rPr>
        <w:t>HIV</w:t>
      </w:r>
    </w:p>
    <w:p w:rsidR="00D22550" w:rsidRPr="007259CD" w:rsidRDefault="00D22550" w:rsidP="00D22550">
      <w:pPr>
        <w:rPr>
          <w:rFonts w:cs="Arial"/>
        </w:rPr>
      </w:pPr>
      <w:r w:rsidRPr="007259CD">
        <w:rPr>
          <w:rFonts w:cs="Arial"/>
        </w:rPr>
        <w:t xml:space="preserve">The prevalence of HIV in Bracknell and RBWM is significantly </w:t>
      </w:r>
      <w:r w:rsidR="007F0D3D" w:rsidRPr="007259CD">
        <w:rPr>
          <w:rFonts w:cs="Arial"/>
        </w:rPr>
        <w:t>below the</w:t>
      </w:r>
      <w:r w:rsidR="008D10D7" w:rsidRPr="007259CD">
        <w:rPr>
          <w:rFonts w:cs="Arial"/>
        </w:rPr>
        <w:t xml:space="preserve"> </w:t>
      </w:r>
      <w:r w:rsidRPr="007259CD">
        <w:rPr>
          <w:rFonts w:cs="Arial"/>
        </w:rPr>
        <w:t xml:space="preserve">national </w:t>
      </w:r>
      <w:r w:rsidR="008D10D7" w:rsidRPr="007259CD">
        <w:rPr>
          <w:rFonts w:cs="Arial"/>
        </w:rPr>
        <w:t>rate of 2.31 per 100,000</w:t>
      </w:r>
      <w:r w:rsidRPr="007259CD">
        <w:rPr>
          <w:rFonts w:cs="Arial"/>
        </w:rPr>
        <w:t xml:space="preserve">. HIV prevalence in Slough is significantly </w:t>
      </w:r>
      <w:r w:rsidR="008D10D7" w:rsidRPr="007259CD">
        <w:rPr>
          <w:rFonts w:cs="Arial"/>
        </w:rPr>
        <w:t>higher at 3.34 per 100,000</w:t>
      </w:r>
      <w:r w:rsidRPr="007259CD">
        <w:rPr>
          <w:rFonts w:cs="Arial"/>
        </w:rPr>
        <w:t xml:space="preserve">.  The groups predominantly affected are gay, bisexual </w:t>
      </w:r>
      <w:r w:rsidR="00BF567C">
        <w:rPr>
          <w:rFonts w:cs="Arial"/>
        </w:rPr>
        <w:t xml:space="preserve">men, MSM </w:t>
      </w:r>
      <w:r w:rsidRPr="007259CD">
        <w:rPr>
          <w:rFonts w:cs="Arial"/>
        </w:rPr>
        <w:t xml:space="preserve">and heterosexual men and </w:t>
      </w:r>
      <w:r w:rsidRPr="007259CD">
        <w:rPr>
          <w:rFonts w:cs="Arial"/>
        </w:rPr>
        <w:lastRenderedPageBreak/>
        <w:t xml:space="preserve">women from African communities, with the former accounting for the greater part of diagnosed infections in Bracknell Forest and RBWM, and the latter group in Slough. </w:t>
      </w:r>
    </w:p>
    <w:p w:rsidR="008D10D7" w:rsidRPr="007259CD" w:rsidRDefault="008D10D7" w:rsidP="00D22550">
      <w:pPr>
        <w:rPr>
          <w:rFonts w:cs="Arial"/>
        </w:rPr>
      </w:pPr>
    </w:p>
    <w:p w:rsidR="00D22550" w:rsidRPr="007259CD" w:rsidRDefault="008D10D7" w:rsidP="00D22550">
      <w:pPr>
        <w:rPr>
          <w:rFonts w:cs="Arial"/>
        </w:rPr>
      </w:pPr>
      <w:r w:rsidRPr="007259CD">
        <w:rPr>
          <w:rFonts w:cs="Arial"/>
        </w:rPr>
        <w:t xml:space="preserve">Rates of new HIV diagnoses have shown no significant change in Berkshire East, noting that significant changes are harder to detect at a more localised level due to smaller numbers. Although not significant, rates of diagnosis have shown a downward trend in Slough and where rates have been historically high. </w:t>
      </w:r>
      <w:r w:rsidR="00D34A7D" w:rsidRPr="007259CD">
        <w:rPr>
          <w:rFonts w:cs="Arial"/>
        </w:rPr>
        <w:t xml:space="preserve">The rate of new HIV diagnoses in 2016 was </w:t>
      </w:r>
      <w:r w:rsidRPr="007259CD">
        <w:rPr>
          <w:rFonts w:cs="Arial"/>
        </w:rPr>
        <w:t>11.5 per 100,000</w:t>
      </w:r>
      <w:r w:rsidR="00D34A7D" w:rsidRPr="007259CD">
        <w:rPr>
          <w:rFonts w:cs="Arial"/>
        </w:rPr>
        <w:t xml:space="preserve"> in </w:t>
      </w:r>
      <w:r w:rsidR="00BF567C">
        <w:rPr>
          <w:rFonts w:cs="Arial"/>
        </w:rPr>
        <w:t>Bracknell Forest</w:t>
      </w:r>
      <w:r w:rsidR="00D34A7D" w:rsidRPr="007259CD">
        <w:rPr>
          <w:rFonts w:cs="Arial"/>
        </w:rPr>
        <w:t xml:space="preserve">, </w:t>
      </w:r>
      <w:r w:rsidRPr="007259CD">
        <w:rPr>
          <w:rFonts w:cs="Arial"/>
        </w:rPr>
        <w:t>7.5</w:t>
      </w:r>
      <w:r w:rsidR="00D34A7D" w:rsidRPr="007259CD">
        <w:rPr>
          <w:rFonts w:cs="Arial"/>
        </w:rPr>
        <w:t xml:space="preserve"> in RBWM and </w:t>
      </w:r>
      <w:r w:rsidRPr="007259CD">
        <w:rPr>
          <w:rFonts w:cs="Arial"/>
        </w:rPr>
        <w:t>10.0</w:t>
      </w:r>
      <w:r w:rsidR="00D34A7D" w:rsidRPr="007259CD">
        <w:rPr>
          <w:rFonts w:cs="Arial"/>
        </w:rPr>
        <w:t xml:space="preserve"> in Slough.</w:t>
      </w:r>
    </w:p>
    <w:p w:rsidR="00D34A7D" w:rsidRPr="007259CD" w:rsidRDefault="00D34A7D" w:rsidP="00D22550">
      <w:pPr>
        <w:rPr>
          <w:rFonts w:cs="Arial"/>
          <w:highlight w:val="green"/>
        </w:rPr>
      </w:pPr>
    </w:p>
    <w:p w:rsidR="00D22550" w:rsidRPr="007259CD" w:rsidRDefault="00D34A7D" w:rsidP="00D22550">
      <w:pPr>
        <w:rPr>
          <w:rFonts w:cs="Arial"/>
        </w:rPr>
      </w:pPr>
      <w:r w:rsidRPr="007259CD">
        <w:rPr>
          <w:rFonts w:cs="Arial"/>
        </w:rPr>
        <w:t xml:space="preserve">Late diagnosis of HIV is the most important predictor of morbidity and mortality among those with HIV infection. </w:t>
      </w:r>
      <w:r w:rsidR="008D10D7" w:rsidRPr="007259CD">
        <w:rPr>
          <w:rFonts w:cs="Arial"/>
        </w:rPr>
        <w:t>Rates in Berkshire East are not significantly different to national and regional averages with the exception of Bracknell Forest where rates are significantly higher, however this should be interpreted with caution due to the very low numbers of new HIV diagnoses. Rates of late diagnosis have decreased in RBWM but the increase is too small to be statistically significant.</w:t>
      </w:r>
    </w:p>
    <w:p w:rsidR="00D22550" w:rsidRPr="007259CD" w:rsidRDefault="00D22550" w:rsidP="00D22550">
      <w:pPr>
        <w:rPr>
          <w:rFonts w:cs="Arial"/>
        </w:rPr>
      </w:pPr>
    </w:p>
    <w:p w:rsidR="00530EED" w:rsidRPr="007259CD" w:rsidRDefault="00530EED" w:rsidP="002A30E5">
      <w:pPr>
        <w:pStyle w:val="ListParagraph"/>
        <w:numPr>
          <w:ilvl w:val="2"/>
          <w:numId w:val="22"/>
        </w:numPr>
        <w:rPr>
          <w:rFonts w:ascii="Arial" w:hAnsi="Arial" w:cs="Arial"/>
          <w:b/>
        </w:rPr>
      </w:pPr>
      <w:r w:rsidRPr="007259CD">
        <w:rPr>
          <w:rFonts w:ascii="Arial" w:hAnsi="Arial" w:cs="Arial"/>
          <w:b/>
        </w:rPr>
        <w:t>Abortion</w:t>
      </w:r>
    </w:p>
    <w:p w:rsidR="00D22550" w:rsidRPr="007259CD" w:rsidRDefault="00D22550" w:rsidP="00D22550">
      <w:pPr>
        <w:rPr>
          <w:rFonts w:cs="Arial"/>
        </w:rPr>
      </w:pPr>
      <w:r w:rsidRPr="007259CD">
        <w:rPr>
          <w:rFonts w:cs="Arial"/>
        </w:rPr>
        <w:t xml:space="preserve">Abortion rates </w:t>
      </w:r>
      <w:r w:rsidR="00680B2A" w:rsidRPr="007259CD">
        <w:rPr>
          <w:rFonts w:cs="Arial"/>
        </w:rPr>
        <w:t xml:space="preserve">in Berkshire East </w:t>
      </w:r>
      <w:r w:rsidR="00573845" w:rsidRPr="007259CD">
        <w:rPr>
          <w:rFonts w:cs="Arial"/>
        </w:rPr>
        <w:t xml:space="preserve">vary from 14 </w:t>
      </w:r>
      <w:r w:rsidR="00BF567C">
        <w:rPr>
          <w:rFonts w:cs="Arial"/>
        </w:rPr>
        <w:t>per 1,000</w:t>
      </w:r>
      <w:r w:rsidR="00E061B8">
        <w:rPr>
          <w:rFonts w:cs="Arial"/>
        </w:rPr>
        <w:t xml:space="preserve"> female population aged 15-44</w:t>
      </w:r>
      <w:r w:rsidR="00354188">
        <w:rPr>
          <w:rFonts w:cs="Arial"/>
        </w:rPr>
        <w:t xml:space="preserve"> </w:t>
      </w:r>
      <w:r w:rsidR="00573845" w:rsidRPr="007259CD">
        <w:rPr>
          <w:rFonts w:cs="Arial"/>
        </w:rPr>
        <w:t xml:space="preserve"> in Bracknell Forest to 21.5 in Slough. </w:t>
      </w:r>
      <w:r w:rsidR="00573845" w:rsidRPr="00D049C1">
        <w:t>The rate in Bracknell Forest and RBWM is significantly lower than England but</w:t>
      </w:r>
      <w:r w:rsidR="000773BF" w:rsidRPr="00D049C1">
        <w:t xml:space="preserve"> is</w:t>
      </w:r>
      <w:r w:rsidR="00573845" w:rsidRPr="00D049C1">
        <w:t xml:space="preserve"> significantly higher</w:t>
      </w:r>
      <w:r w:rsidR="000773BF" w:rsidRPr="00D049C1">
        <w:t xml:space="preserve"> than England in</w:t>
      </w:r>
      <w:r w:rsidR="00573845" w:rsidRPr="00D049C1">
        <w:t xml:space="preserve"> Slough</w:t>
      </w:r>
      <w:r w:rsidR="00573845" w:rsidRPr="007259CD">
        <w:rPr>
          <w:rFonts w:cs="Arial"/>
        </w:rPr>
        <w:t xml:space="preserve">. </w:t>
      </w:r>
      <w:r w:rsidRPr="007259CD">
        <w:rPr>
          <w:rFonts w:cs="Arial"/>
        </w:rPr>
        <w:t xml:space="preserve">The proportion of women having abortions who had had a previous abortion among women aged under 25 </w:t>
      </w:r>
      <w:r w:rsidR="00573845" w:rsidRPr="007259CD">
        <w:rPr>
          <w:rFonts w:cs="Arial"/>
        </w:rPr>
        <w:t>is in line with the England figure of 26.7% across all three localities.</w:t>
      </w:r>
    </w:p>
    <w:p w:rsidR="00530EED" w:rsidRPr="007259CD" w:rsidRDefault="00530EED" w:rsidP="00D22550">
      <w:pPr>
        <w:rPr>
          <w:rFonts w:cs="Arial"/>
        </w:rPr>
      </w:pPr>
    </w:p>
    <w:p w:rsidR="00D22550" w:rsidRPr="007259CD" w:rsidRDefault="00BF567C" w:rsidP="002A30E5">
      <w:pPr>
        <w:pStyle w:val="ListParagraph"/>
        <w:numPr>
          <w:ilvl w:val="2"/>
          <w:numId w:val="22"/>
        </w:numPr>
        <w:rPr>
          <w:rFonts w:ascii="Arial" w:hAnsi="Arial" w:cs="Arial"/>
          <w:b/>
        </w:rPr>
      </w:pPr>
      <w:r w:rsidRPr="00E061B8">
        <w:rPr>
          <w:rFonts w:ascii="Arial" w:hAnsi="Arial" w:cs="Arial"/>
          <w:b/>
        </w:rPr>
        <w:t>Long acting reversible contraceptives</w:t>
      </w:r>
      <w:r w:rsidRPr="007259CD">
        <w:rPr>
          <w:rFonts w:cs="Arial"/>
        </w:rPr>
        <w:t xml:space="preserve"> </w:t>
      </w:r>
      <w:r>
        <w:rPr>
          <w:rFonts w:cs="Arial"/>
        </w:rPr>
        <w:t>(</w:t>
      </w:r>
      <w:r w:rsidR="00562245" w:rsidRPr="007259CD">
        <w:rPr>
          <w:rFonts w:ascii="Arial" w:hAnsi="Arial" w:cs="Arial"/>
          <w:b/>
        </w:rPr>
        <w:t>LARC</w:t>
      </w:r>
      <w:r>
        <w:rPr>
          <w:rFonts w:ascii="Arial" w:hAnsi="Arial" w:cs="Arial"/>
          <w:b/>
        </w:rPr>
        <w:t>)</w:t>
      </w:r>
    </w:p>
    <w:p w:rsidR="00562245" w:rsidRPr="007259CD" w:rsidRDefault="00BF567C" w:rsidP="00D22550">
      <w:pPr>
        <w:rPr>
          <w:rFonts w:cs="Arial"/>
        </w:rPr>
      </w:pPr>
      <w:r>
        <w:rPr>
          <w:rFonts w:cs="Arial"/>
        </w:rPr>
        <w:t xml:space="preserve">LARC </w:t>
      </w:r>
      <w:r w:rsidR="00562245" w:rsidRPr="007259CD">
        <w:rPr>
          <w:rFonts w:cs="Arial"/>
        </w:rPr>
        <w:t xml:space="preserve">are the most effective methods of preventing pregnancy. In Berkshire East the total prescribed LARC rate </w:t>
      </w:r>
      <w:r>
        <w:rPr>
          <w:rFonts w:cs="Arial"/>
        </w:rPr>
        <w:t>per 1,000</w:t>
      </w:r>
      <w:r w:rsidR="00562245" w:rsidRPr="007259CD">
        <w:rPr>
          <w:rFonts w:cs="Arial"/>
        </w:rPr>
        <w:t xml:space="preserve"> women of reproductive age is lower than the England and South East rate in all areas with the exception of RBWM where it is similar. In Slough the rate for LARC prescribed in </w:t>
      </w:r>
      <w:r>
        <w:rPr>
          <w:rFonts w:cs="Arial"/>
        </w:rPr>
        <w:t>g</w:t>
      </w:r>
      <w:r w:rsidRPr="007259CD">
        <w:rPr>
          <w:rFonts w:cs="Arial"/>
        </w:rPr>
        <w:t xml:space="preserve">eneral </w:t>
      </w:r>
      <w:r>
        <w:rPr>
          <w:rFonts w:cs="Arial"/>
        </w:rPr>
        <w:t>p</w:t>
      </w:r>
      <w:r w:rsidRPr="007259CD">
        <w:rPr>
          <w:rFonts w:cs="Arial"/>
        </w:rPr>
        <w:t xml:space="preserve">ractice </w:t>
      </w:r>
      <w:r w:rsidR="00562245" w:rsidRPr="007259CD">
        <w:rPr>
          <w:rFonts w:cs="Arial"/>
        </w:rPr>
        <w:t xml:space="preserve">is 12.2 </w:t>
      </w:r>
      <w:r>
        <w:rPr>
          <w:rFonts w:cs="Arial"/>
        </w:rPr>
        <w:t>per 1,000</w:t>
      </w:r>
      <w:r w:rsidR="00562245" w:rsidRPr="007259CD">
        <w:rPr>
          <w:rFonts w:cs="Arial"/>
        </w:rPr>
        <w:t xml:space="preserve">, less than half the national rate, with </w:t>
      </w:r>
      <w:r>
        <w:rPr>
          <w:rFonts w:cs="Arial"/>
        </w:rPr>
        <w:t xml:space="preserve">a Sexual </w:t>
      </w:r>
      <w:r w:rsidR="00E061B8">
        <w:rPr>
          <w:rFonts w:cs="Arial"/>
        </w:rPr>
        <w:t>Reproductive</w:t>
      </w:r>
      <w:r>
        <w:rPr>
          <w:rFonts w:cs="Arial"/>
        </w:rPr>
        <w:t xml:space="preserve"> Health (</w:t>
      </w:r>
      <w:r w:rsidR="00562245" w:rsidRPr="007259CD">
        <w:rPr>
          <w:rFonts w:cs="Arial"/>
        </w:rPr>
        <w:t>SRH</w:t>
      </w:r>
      <w:r>
        <w:rPr>
          <w:rFonts w:cs="Arial"/>
        </w:rPr>
        <w:t>)</w:t>
      </w:r>
      <w:r w:rsidR="00562245" w:rsidRPr="007259CD">
        <w:rPr>
          <w:rFonts w:cs="Arial"/>
        </w:rPr>
        <w:t xml:space="preserve"> clinic prescribed rate of 20.7 which is significantly higher than the national figure. In Bracknell </w:t>
      </w:r>
      <w:r>
        <w:rPr>
          <w:rFonts w:cs="Arial"/>
        </w:rPr>
        <w:t xml:space="preserve">Forest </w:t>
      </w:r>
      <w:r w:rsidR="00562245" w:rsidRPr="007259CD">
        <w:rPr>
          <w:rFonts w:cs="Arial"/>
        </w:rPr>
        <w:t xml:space="preserve">and RBWM the opposite is observed with lower rates of SRH prescribed LARC and higher rates of GP prescribed LARC. </w:t>
      </w:r>
    </w:p>
    <w:p w:rsidR="00530EED" w:rsidRPr="007259CD" w:rsidRDefault="00530EED" w:rsidP="00D22550">
      <w:pPr>
        <w:rPr>
          <w:rFonts w:cs="Arial"/>
          <w:b/>
          <w:highlight w:val="green"/>
        </w:rPr>
      </w:pPr>
    </w:p>
    <w:p w:rsidR="00530EED" w:rsidRPr="007259CD" w:rsidRDefault="00530EED" w:rsidP="002A30E5">
      <w:pPr>
        <w:pStyle w:val="ListParagraph"/>
        <w:numPr>
          <w:ilvl w:val="2"/>
          <w:numId w:val="22"/>
        </w:numPr>
        <w:rPr>
          <w:rFonts w:ascii="Arial" w:hAnsi="Arial" w:cs="Arial"/>
          <w:b/>
        </w:rPr>
      </w:pPr>
      <w:r w:rsidRPr="007259CD">
        <w:rPr>
          <w:rFonts w:ascii="Arial" w:hAnsi="Arial" w:cs="Arial"/>
          <w:b/>
        </w:rPr>
        <w:t>Teenage conceptions</w:t>
      </w:r>
    </w:p>
    <w:p w:rsidR="00530EED" w:rsidRPr="007259CD" w:rsidRDefault="00562245" w:rsidP="00D22550">
      <w:pPr>
        <w:rPr>
          <w:rFonts w:cs="Arial"/>
        </w:rPr>
      </w:pPr>
      <w:r w:rsidRPr="007259CD">
        <w:rPr>
          <w:rFonts w:cs="Arial"/>
        </w:rPr>
        <w:t>Nationally under 18 conception rates have been falling over the last decade and this is observed in Berkshire East</w:t>
      </w:r>
      <w:r w:rsidRPr="007259CD">
        <w:rPr>
          <w:rFonts w:cs="Arial"/>
          <w:b/>
        </w:rPr>
        <w:t xml:space="preserve">. </w:t>
      </w:r>
      <w:r w:rsidRPr="007259CD">
        <w:rPr>
          <w:rFonts w:cs="Arial"/>
        </w:rPr>
        <w:t xml:space="preserve">Under 18 conception rates in 2015 as reported in the Public Health Outcomes Framework are </w:t>
      </w:r>
      <w:r w:rsidRPr="000773BF">
        <w:t xml:space="preserve">statistically lower than the national average in Bracknell Forest and </w:t>
      </w:r>
      <w:r w:rsidR="00BF567C">
        <w:t>RBWM</w:t>
      </w:r>
      <w:r w:rsidRPr="000773BF">
        <w:t>, and the similar to the national rate in Slough</w:t>
      </w:r>
      <w:r w:rsidRPr="007259CD">
        <w:rPr>
          <w:rFonts w:cs="Arial"/>
        </w:rPr>
        <w:t>.</w:t>
      </w:r>
    </w:p>
    <w:p w:rsidR="00562245" w:rsidRPr="007259CD" w:rsidRDefault="00562245" w:rsidP="00D22550">
      <w:pPr>
        <w:rPr>
          <w:rFonts w:cs="Arial"/>
          <w:b/>
        </w:rPr>
      </w:pPr>
    </w:p>
    <w:p w:rsidR="00573845" w:rsidRPr="007259CD" w:rsidRDefault="00530EED" w:rsidP="002A30E5">
      <w:pPr>
        <w:pStyle w:val="ListParagraph"/>
        <w:numPr>
          <w:ilvl w:val="2"/>
          <w:numId w:val="22"/>
        </w:numPr>
        <w:rPr>
          <w:rFonts w:ascii="Arial" w:hAnsi="Arial" w:cs="Arial"/>
          <w:b/>
        </w:rPr>
      </w:pPr>
      <w:r w:rsidRPr="007259CD">
        <w:rPr>
          <w:rFonts w:ascii="Arial" w:hAnsi="Arial" w:cs="Arial"/>
          <w:b/>
        </w:rPr>
        <w:t>Emergency Contraception Use</w:t>
      </w:r>
    </w:p>
    <w:p w:rsidR="0025794F" w:rsidRPr="007259CD" w:rsidRDefault="0025794F" w:rsidP="0025794F">
      <w:pPr>
        <w:rPr>
          <w:rFonts w:cs="Arial"/>
        </w:rPr>
      </w:pPr>
      <w:r w:rsidRPr="007259CD">
        <w:rPr>
          <w:rFonts w:cs="Arial"/>
        </w:rPr>
        <w:t xml:space="preserve">Emergency Hormonal Contraception (EHC) is provided free of charge via GP Practices and Sexual Health Clinics across England and free of charge via pharmacies for women aged 13 to </w:t>
      </w:r>
      <w:r w:rsidR="00E061B8">
        <w:rPr>
          <w:rFonts w:cs="Arial"/>
        </w:rPr>
        <w:t>25</w:t>
      </w:r>
      <w:r w:rsidR="00E061B8" w:rsidRPr="007259CD">
        <w:rPr>
          <w:rFonts w:cs="Arial"/>
        </w:rPr>
        <w:t xml:space="preserve"> </w:t>
      </w:r>
      <w:r w:rsidRPr="007259CD">
        <w:rPr>
          <w:rFonts w:cs="Arial"/>
        </w:rPr>
        <w:t xml:space="preserve">years in Berkshire </w:t>
      </w:r>
      <w:r w:rsidR="00BF567C">
        <w:rPr>
          <w:rFonts w:cs="Arial"/>
        </w:rPr>
        <w:t>L</w:t>
      </w:r>
      <w:r w:rsidR="00BF567C" w:rsidRPr="007259CD">
        <w:rPr>
          <w:rFonts w:cs="Arial"/>
        </w:rPr>
        <w:t xml:space="preserve">ocal </w:t>
      </w:r>
      <w:r w:rsidR="00BF567C">
        <w:rPr>
          <w:rFonts w:cs="Arial"/>
        </w:rPr>
        <w:t>A</w:t>
      </w:r>
      <w:r w:rsidR="00BF567C" w:rsidRPr="007259CD">
        <w:rPr>
          <w:rFonts w:cs="Arial"/>
        </w:rPr>
        <w:t>uthorities</w:t>
      </w:r>
      <w:r w:rsidRPr="007259CD">
        <w:rPr>
          <w:rFonts w:cs="Arial"/>
        </w:rPr>
        <w:t xml:space="preserve">. Older women can pay over the </w:t>
      </w:r>
      <w:r w:rsidR="00BF567C">
        <w:rPr>
          <w:rFonts w:cs="Arial"/>
        </w:rPr>
        <w:t>counter</w:t>
      </w:r>
      <w:r w:rsidR="00BF567C" w:rsidRPr="007259CD">
        <w:rPr>
          <w:rFonts w:cs="Arial"/>
        </w:rPr>
        <w:t xml:space="preserve"> </w:t>
      </w:r>
      <w:r w:rsidRPr="007259CD">
        <w:rPr>
          <w:rFonts w:cs="Arial"/>
        </w:rPr>
        <w:t xml:space="preserve">for EHC from pharmacies. </w:t>
      </w:r>
    </w:p>
    <w:p w:rsidR="0025794F" w:rsidRPr="007259CD" w:rsidRDefault="0025794F" w:rsidP="0025794F">
      <w:pPr>
        <w:rPr>
          <w:rFonts w:cs="Arial"/>
        </w:rPr>
      </w:pPr>
    </w:p>
    <w:p w:rsidR="0025794F" w:rsidRPr="007259CD" w:rsidRDefault="0025794F" w:rsidP="0025794F">
      <w:pPr>
        <w:rPr>
          <w:rFonts w:cs="Arial"/>
        </w:rPr>
      </w:pPr>
      <w:r w:rsidRPr="007259CD">
        <w:rPr>
          <w:rFonts w:cs="Arial"/>
        </w:rPr>
        <w:t>The average rate of provision of EHC provided by SRH services in Berkshire East is comparable to the aver</w:t>
      </w:r>
      <w:r w:rsidR="00D3453C">
        <w:rPr>
          <w:rFonts w:cs="Arial"/>
        </w:rPr>
        <w:t>age for the South East Region. W</w:t>
      </w:r>
      <w:r w:rsidRPr="007259CD">
        <w:rPr>
          <w:rFonts w:cs="Arial"/>
        </w:rPr>
        <w:t>ithin Berkshire East</w:t>
      </w:r>
      <w:r w:rsidR="000773BF">
        <w:rPr>
          <w:rFonts w:cs="Arial"/>
        </w:rPr>
        <w:t>,</w:t>
      </w:r>
      <w:r w:rsidRPr="007259CD">
        <w:rPr>
          <w:rFonts w:cs="Arial"/>
        </w:rPr>
        <w:t xml:space="preserve"> rates of EHC provision are highest in Slough.</w:t>
      </w:r>
    </w:p>
    <w:p w:rsidR="00573845" w:rsidRPr="007259CD" w:rsidRDefault="00573845" w:rsidP="00D22550">
      <w:pPr>
        <w:rPr>
          <w:rFonts w:cs="Arial"/>
          <w:b/>
        </w:rPr>
      </w:pPr>
    </w:p>
    <w:p w:rsidR="00573845" w:rsidRPr="007259CD" w:rsidRDefault="00573845" w:rsidP="00D22550">
      <w:pPr>
        <w:rPr>
          <w:rFonts w:cs="Arial"/>
          <w:b/>
        </w:rPr>
      </w:pPr>
    </w:p>
    <w:p w:rsidR="0025794F" w:rsidRPr="007259CD" w:rsidRDefault="0025794F" w:rsidP="00D22550">
      <w:pPr>
        <w:rPr>
          <w:rFonts w:cs="Arial"/>
          <w:b/>
        </w:rPr>
      </w:pPr>
    </w:p>
    <w:p w:rsidR="0025794F" w:rsidRPr="007259CD" w:rsidRDefault="0025794F" w:rsidP="00D22550">
      <w:pPr>
        <w:rPr>
          <w:rFonts w:cs="Arial"/>
          <w:b/>
        </w:rPr>
      </w:pPr>
    </w:p>
    <w:p w:rsidR="00D22550" w:rsidRPr="007259CD" w:rsidRDefault="0025794F" w:rsidP="00D22550">
      <w:pPr>
        <w:rPr>
          <w:rFonts w:cs="Arial"/>
          <w:b/>
        </w:rPr>
      </w:pPr>
      <w:r w:rsidRPr="007259CD">
        <w:rPr>
          <w:rFonts w:cs="Arial"/>
          <w:b/>
        </w:rPr>
        <w:t xml:space="preserve">Table 1: </w:t>
      </w:r>
      <w:r w:rsidR="00680B2A" w:rsidRPr="007259CD">
        <w:rPr>
          <w:rFonts w:cs="Arial"/>
          <w:b/>
        </w:rPr>
        <w:t>Selected sexual and reproductive health indicators</w:t>
      </w:r>
    </w:p>
    <w:p w:rsidR="00680B2A" w:rsidRPr="007259CD" w:rsidRDefault="00680B2A" w:rsidP="00D22550">
      <w:pPr>
        <w:rPr>
          <w:rFonts w:cs="Arial"/>
          <w:b/>
        </w:rPr>
      </w:pPr>
    </w:p>
    <w:tbl>
      <w:tblPr>
        <w:tblStyle w:val="TableGrid"/>
        <w:tblpPr w:leftFromText="180" w:rightFromText="180" w:vertAnchor="text" w:tblpY="1"/>
        <w:tblOverlap w:val="never"/>
        <w:tblW w:w="5000" w:type="pct"/>
        <w:tblLook w:val="04A0" w:firstRow="1" w:lastRow="0" w:firstColumn="1" w:lastColumn="0" w:noHBand="0" w:noVBand="1"/>
      </w:tblPr>
      <w:tblGrid>
        <w:gridCol w:w="2336"/>
        <w:gridCol w:w="1373"/>
        <w:gridCol w:w="1373"/>
        <w:gridCol w:w="1525"/>
        <w:gridCol w:w="1286"/>
        <w:gridCol w:w="1349"/>
      </w:tblGrid>
      <w:tr w:rsidR="006B4592" w:rsidRPr="007259CD" w:rsidTr="00650D4B">
        <w:tc>
          <w:tcPr>
            <w:tcW w:w="1263" w:type="pct"/>
            <w:shd w:val="clear" w:color="auto" w:fill="8DB3E2" w:themeFill="text2" w:themeFillTint="66"/>
          </w:tcPr>
          <w:p w:rsidR="006B4592" w:rsidRPr="007259CD" w:rsidRDefault="006B4592" w:rsidP="006B4592">
            <w:pPr>
              <w:rPr>
                <w:rFonts w:cs="Arial"/>
              </w:rPr>
            </w:pPr>
          </w:p>
        </w:tc>
        <w:tc>
          <w:tcPr>
            <w:tcW w:w="743" w:type="pct"/>
            <w:shd w:val="clear" w:color="auto" w:fill="8DB3E2" w:themeFill="text2" w:themeFillTint="66"/>
            <w:vAlign w:val="center"/>
          </w:tcPr>
          <w:p w:rsidR="006B4592" w:rsidRPr="007259CD" w:rsidRDefault="006B4592" w:rsidP="006B4592">
            <w:pPr>
              <w:jc w:val="center"/>
              <w:rPr>
                <w:rFonts w:cs="Arial"/>
                <w:b/>
              </w:rPr>
            </w:pPr>
            <w:r w:rsidRPr="007259CD">
              <w:rPr>
                <w:rFonts w:cs="Arial"/>
                <w:b/>
              </w:rPr>
              <w:t xml:space="preserve">England </w:t>
            </w:r>
          </w:p>
        </w:tc>
        <w:tc>
          <w:tcPr>
            <w:tcW w:w="743" w:type="pct"/>
            <w:shd w:val="clear" w:color="auto" w:fill="8DB3E2" w:themeFill="text2" w:themeFillTint="66"/>
            <w:vAlign w:val="center"/>
          </w:tcPr>
          <w:p w:rsidR="006B4592" w:rsidRPr="007259CD" w:rsidRDefault="006B4592" w:rsidP="006B4592">
            <w:pPr>
              <w:jc w:val="center"/>
              <w:rPr>
                <w:rFonts w:cs="Arial"/>
                <w:b/>
              </w:rPr>
            </w:pPr>
            <w:r w:rsidRPr="007259CD">
              <w:rPr>
                <w:rFonts w:cs="Arial"/>
                <w:b/>
              </w:rPr>
              <w:t>South East</w:t>
            </w:r>
          </w:p>
        </w:tc>
        <w:tc>
          <w:tcPr>
            <w:tcW w:w="825" w:type="pct"/>
            <w:shd w:val="clear" w:color="auto" w:fill="8DB3E2" w:themeFill="text2" w:themeFillTint="66"/>
            <w:vAlign w:val="center"/>
          </w:tcPr>
          <w:p w:rsidR="006B4592" w:rsidRPr="007259CD" w:rsidRDefault="006B4592" w:rsidP="006B4592">
            <w:pPr>
              <w:jc w:val="center"/>
              <w:rPr>
                <w:rFonts w:cs="Arial"/>
                <w:b/>
              </w:rPr>
            </w:pPr>
            <w:r w:rsidRPr="007259CD">
              <w:rPr>
                <w:rFonts w:cs="Arial"/>
                <w:b/>
              </w:rPr>
              <w:t>Bracknell Forest</w:t>
            </w:r>
          </w:p>
        </w:tc>
        <w:tc>
          <w:tcPr>
            <w:tcW w:w="696" w:type="pct"/>
            <w:shd w:val="clear" w:color="auto" w:fill="8DB3E2" w:themeFill="text2" w:themeFillTint="66"/>
            <w:vAlign w:val="center"/>
          </w:tcPr>
          <w:p w:rsidR="006B4592" w:rsidRPr="007259CD" w:rsidRDefault="006B4592" w:rsidP="006B4592">
            <w:pPr>
              <w:jc w:val="center"/>
              <w:rPr>
                <w:rFonts w:cs="Arial"/>
                <w:b/>
              </w:rPr>
            </w:pPr>
            <w:r w:rsidRPr="007259CD">
              <w:rPr>
                <w:rFonts w:cs="Arial"/>
                <w:b/>
              </w:rPr>
              <w:t>Slough</w:t>
            </w:r>
          </w:p>
        </w:tc>
        <w:tc>
          <w:tcPr>
            <w:tcW w:w="731" w:type="pct"/>
            <w:shd w:val="clear" w:color="auto" w:fill="8DB3E2" w:themeFill="text2" w:themeFillTint="66"/>
            <w:vAlign w:val="center"/>
          </w:tcPr>
          <w:p w:rsidR="006B4592" w:rsidRPr="007259CD" w:rsidRDefault="006B4592" w:rsidP="006B4592">
            <w:pPr>
              <w:jc w:val="center"/>
              <w:rPr>
                <w:rFonts w:cs="Arial"/>
                <w:b/>
              </w:rPr>
            </w:pPr>
            <w:r w:rsidRPr="007259CD">
              <w:rPr>
                <w:rFonts w:cs="Arial"/>
                <w:b/>
              </w:rPr>
              <w:t>RBWM</w:t>
            </w:r>
          </w:p>
        </w:tc>
      </w:tr>
      <w:tr w:rsidR="006B4592" w:rsidRPr="007259CD" w:rsidTr="00680B2A">
        <w:trPr>
          <w:trHeight w:val="680"/>
        </w:trPr>
        <w:tc>
          <w:tcPr>
            <w:tcW w:w="1263" w:type="pct"/>
          </w:tcPr>
          <w:p w:rsidR="006B4592" w:rsidRPr="007259CD" w:rsidRDefault="006B4592" w:rsidP="006B4592">
            <w:pPr>
              <w:rPr>
                <w:rFonts w:cs="Arial"/>
              </w:rPr>
            </w:pPr>
            <w:r w:rsidRPr="007259CD">
              <w:rPr>
                <w:rFonts w:cs="Arial"/>
              </w:rPr>
              <w:t>All new STI diagnoses (excluding chlamydia &lt;25) – rate/100,000 (2016)</w:t>
            </w:r>
          </w:p>
        </w:tc>
        <w:tc>
          <w:tcPr>
            <w:tcW w:w="743" w:type="pct"/>
            <w:vAlign w:val="center"/>
          </w:tcPr>
          <w:p w:rsidR="006B4592" w:rsidRPr="007259CD" w:rsidRDefault="006B4592" w:rsidP="00680B2A">
            <w:pPr>
              <w:jc w:val="center"/>
              <w:rPr>
                <w:rFonts w:cs="Arial"/>
              </w:rPr>
            </w:pPr>
            <w:r w:rsidRPr="007259CD">
              <w:rPr>
                <w:rFonts w:cs="Arial"/>
              </w:rPr>
              <w:t>795</w:t>
            </w:r>
          </w:p>
        </w:tc>
        <w:tc>
          <w:tcPr>
            <w:tcW w:w="743" w:type="pct"/>
            <w:vAlign w:val="center"/>
          </w:tcPr>
          <w:p w:rsidR="006B4592" w:rsidRPr="007259CD" w:rsidRDefault="006B4592" w:rsidP="00680B2A">
            <w:pPr>
              <w:jc w:val="center"/>
              <w:rPr>
                <w:rFonts w:cs="Arial"/>
              </w:rPr>
            </w:pPr>
            <w:r w:rsidRPr="007259CD">
              <w:rPr>
                <w:rFonts w:cs="Arial"/>
              </w:rPr>
              <w:t>648</w:t>
            </w:r>
          </w:p>
        </w:tc>
        <w:tc>
          <w:tcPr>
            <w:tcW w:w="825" w:type="pct"/>
            <w:vAlign w:val="center"/>
          </w:tcPr>
          <w:p w:rsidR="006B4592" w:rsidRPr="007259CD" w:rsidRDefault="006B4592" w:rsidP="00680B2A">
            <w:pPr>
              <w:jc w:val="center"/>
              <w:rPr>
                <w:rFonts w:cs="Arial"/>
              </w:rPr>
            </w:pPr>
            <w:r w:rsidRPr="007259CD">
              <w:rPr>
                <w:rFonts w:cs="Arial"/>
              </w:rPr>
              <w:t>527</w:t>
            </w:r>
          </w:p>
        </w:tc>
        <w:tc>
          <w:tcPr>
            <w:tcW w:w="696" w:type="pct"/>
            <w:vAlign w:val="center"/>
          </w:tcPr>
          <w:p w:rsidR="006B4592" w:rsidRPr="007259CD" w:rsidRDefault="006B4592" w:rsidP="00680B2A">
            <w:pPr>
              <w:jc w:val="center"/>
              <w:rPr>
                <w:rFonts w:cs="Arial"/>
              </w:rPr>
            </w:pPr>
            <w:r w:rsidRPr="007259CD">
              <w:rPr>
                <w:rFonts w:cs="Arial"/>
              </w:rPr>
              <w:t>723</w:t>
            </w:r>
          </w:p>
        </w:tc>
        <w:tc>
          <w:tcPr>
            <w:tcW w:w="731" w:type="pct"/>
            <w:vAlign w:val="center"/>
          </w:tcPr>
          <w:p w:rsidR="006B4592" w:rsidRPr="007259CD" w:rsidRDefault="006B4592" w:rsidP="00680B2A">
            <w:pPr>
              <w:jc w:val="center"/>
              <w:rPr>
                <w:rFonts w:cs="Arial"/>
              </w:rPr>
            </w:pPr>
            <w:r w:rsidRPr="007259CD">
              <w:rPr>
                <w:rFonts w:cs="Arial"/>
              </w:rPr>
              <w:t>593</w:t>
            </w:r>
          </w:p>
        </w:tc>
      </w:tr>
      <w:tr w:rsidR="006B4592" w:rsidRPr="007259CD" w:rsidTr="00680B2A">
        <w:trPr>
          <w:trHeight w:val="680"/>
        </w:trPr>
        <w:tc>
          <w:tcPr>
            <w:tcW w:w="1263" w:type="pct"/>
          </w:tcPr>
          <w:p w:rsidR="006B4592" w:rsidRPr="007259CD" w:rsidRDefault="006B4592" w:rsidP="006B4592">
            <w:pPr>
              <w:rPr>
                <w:rFonts w:cs="Arial"/>
              </w:rPr>
            </w:pPr>
            <w:r w:rsidRPr="007259CD">
              <w:rPr>
                <w:rFonts w:cs="Arial"/>
              </w:rPr>
              <w:t>Chlamydia detection - rate per 100,000 &lt;25 (2016)</w:t>
            </w:r>
          </w:p>
        </w:tc>
        <w:tc>
          <w:tcPr>
            <w:tcW w:w="743" w:type="pct"/>
            <w:vAlign w:val="center"/>
          </w:tcPr>
          <w:p w:rsidR="006B4592" w:rsidRPr="007259CD" w:rsidRDefault="006B4592" w:rsidP="00680B2A">
            <w:pPr>
              <w:jc w:val="center"/>
              <w:rPr>
                <w:rFonts w:cs="Arial"/>
              </w:rPr>
            </w:pPr>
            <w:r w:rsidRPr="007259CD">
              <w:rPr>
                <w:rFonts w:cs="Arial"/>
              </w:rPr>
              <w:t>1882</w:t>
            </w:r>
          </w:p>
        </w:tc>
        <w:tc>
          <w:tcPr>
            <w:tcW w:w="743" w:type="pct"/>
            <w:vAlign w:val="center"/>
          </w:tcPr>
          <w:p w:rsidR="006B4592" w:rsidRPr="007259CD" w:rsidRDefault="006B4592" w:rsidP="00680B2A">
            <w:pPr>
              <w:jc w:val="center"/>
              <w:rPr>
                <w:rFonts w:cs="Arial"/>
              </w:rPr>
            </w:pPr>
            <w:r w:rsidRPr="007259CD">
              <w:rPr>
                <w:rFonts w:cs="Arial"/>
              </w:rPr>
              <w:t>1500</w:t>
            </w:r>
          </w:p>
        </w:tc>
        <w:tc>
          <w:tcPr>
            <w:tcW w:w="825" w:type="pct"/>
            <w:vAlign w:val="center"/>
          </w:tcPr>
          <w:p w:rsidR="006B4592" w:rsidRPr="007259CD" w:rsidRDefault="006B4592" w:rsidP="00680B2A">
            <w:pPr>
              <w:jc w:val="center"/>
              <w:rPr>
                <w:rFonts w:cs="Arial"/>
              </w:rPr>
            </w:pPr>
            <w:r w:rsidRPr="007259CD">
              <w:rPr>
                <w:rFonts w:cs="Arial"/>
              </w:rPr>
              <w:t>1082</w:t>
            </w:r>
          </w:p>
        </w:tc>
        <w:tc>
          <w:tcPr>
            <w:tcW w:w="696" w:type="pct"/>
            <w:vAlign w:val="center"/>
          </w:tcPr>
          <w:p w:rsidR="006B4592" w:rsidRPr="007259CD" w:rsidRDefault="006B4592" w:rsidP="00680B2A">
            <w:pPr>
              <w:jc w:val="center"/>
              <w:rPr>
                <w:rFonts w:cs="Arial"/>
              </w:rPr>
            </w:pPr>
            <w:r w:rsidRPr="007259CD">
              <w:rPr>
                <w:rFonts w:cs="Arial"/>
              </w:rPr>
              <w:t>1042</w:t>
            </w:r>
          </w:p>
        </w:tc>
        <w:tc>
          <w:tcPr>
            <w:tcW w:w="731" w:type="pct"/>
            <w:vAlign w:val="center"/>
          </w:tcPr>
          <w:p w:rsidR="006B4592" w:rsidRPr="007259CD" w:rsidRDefault="006B4592" w:rsidP="00680B2A">
            <w:pPr>
              <w:jc w:val="center"/>
              <w:rPr>
                <w:rFonts w:cs="Arial"/>
              </w:rPr>
            </w:pPr>
            <w:r w:rsidRPr="007259CD">
              <w:rPr>
                <w:rFonts w:cs="Arial"/>
              </w:rPr>
              <w:t>1097</w:t>
            </w:r>
          </w:p>
        </w:tc>
      </w:tr>
      <w:tr w:rsidR="006B4592" w:rsidRPr="007259CD" w:rsidTr="00680B2A">
        <w:trPr>
          <w:cantSplit/>
          <w:trHeight w:val="680"/>
        </w:trPr>
        <w:tc>
          <w:tcPr>
            <w:tcW w:w="1263" w:type="pct"/>
          </w:tcPr>
          <w:p w:rsidR="006B4592" w:rsidRPr="007259CD" w:rsidRDefault="006B4592" w:rsidP="006B4592">
            <w:pPr>
              <w:rPr>
                <w:rFonts w:cs="Arial"/>
              </w:rPr>
            </w:pPr>
            <w:r w:rsidRPr="007259CD">
              <w:rPr>
                <w:rFonts w:cs="Arial"/>
              </w:rPr>
              <w:t>Chlamydia proportion aged 15-24 screened (%) (2016)</w:t>
            </w:r>
          </w:p>
        </w:tc>
        <w:tc>
          <w:tcPr>
            <w:tcW w:w="743" w:type="pct"/>
            <w:vAlign w:val="center"/>
          </w:tcPr>
          <w:p w:rsidR="006B4592" w:rsidRPr="007259CD" w:rsidRDefault="006B4592" w:rsidP="00680B2A">
            <w:pPr>
              <w:jc w:val="center"/>
              <w:rPr>
                <w:rFonts w:cs="Arial"/>
              </w:rPr>
            </w:pPr>
            <w:r w:rsidRPr="007259CD">
              <w:rPr>
                <w:rFonts w:cs="Arial"/>
              </w:rPr>
              <w:t>20.7</w:t>
            </w:r>
          </w:p>
        </w:tc>
        <w:tc>
          <w:tcPr>
            <w:tcW w:w="743" w:type="pct"/>
            <w:vAlign w:val="center"/>
          </w:tcPr>
          <w:p w:rsidR="006B4592" w:rsidRPr="007259CD" w:rsidRDefault="006B4592" w:rsidP="00680B2A">
            <w:pPr>
              <w:jc w:val="center"/>
              <w:rPr>
                <w:rFonts w:cs="Arial"/>
              </w:rPr>
            </w:pPr>
            <w:r w:rsidRPr="007259CD">
              <w:rPr>
                <w:rFonts w:cs="Arial"/>
              </w:rPr>
              <w:t>19.2</w:t>
            </w:r>
          </w:p>
        </w:tc>
        <w:tc>
          <w:tcPr>
            <w:tcW w:w="825" w:type="pct"/>
            <w:vAlign w:val="center"/>
          </w:tcPr>
          <w:p w:rsidR="006B4592" w:rsidRPr="007259CD" w:rsidRDefault="006B4592" w:rsidP="00680B2A">
            <w:pPr>
              <w:jc w:val="center"/>
              <w:rPr>
                <w:rFonts w:cs="Arial"/>
              </w:rPr>
            </w:pPr>
            <w:r w:rsidRPr="007259CD">
              <w:rPr>
                <w:rFonts w:cs="Arial"/>
              </w:rPr>
              <w:t>13.1</w:t>
            </w:r>
          </w:p>
        </w:tc>
        <w:tc>
          <w:tcPr>
            <w:tcW w:w="696" w:type="pct"/>
            <w:vAlign w:val="center"/>
          </w:tcPr>
          <w:p w:rsidR="006B4592" w:rsidRPr="007259CD" w:rsidRDefault="006B4592" w:rsidP="00680B2A">
            <w:pPr>
              <w:jc w:val="center"/>
              <w:rPr>
                <w:rFonts w:cs="Arial"/>
              </w:rPr>
            </w:pPr>
            <w:r w:rsidRPr="007259CD">
              <w:rPr>
                <w:rFonts w:cs="Arial"/>
              </w:rPr>
              <w:t>15.0</w:t>
            </w:r>
          </w:p>
        </w:tc>
        <w:tc>
          <w:tcPr>
            <w:tcW w:w="731" w:type="pct"/>
            <w:vAlign w:val="center"/>
          </w:tcPr>
          <w:p w:rsidR="006B4592" w:rsidRPr="007259CD" w:rsidRDefault="006B4592" w:rsidP="00680B2A">
            <w:pPr>
              <w:jc w:val="center"/>
              <w:rPr>
                <w:rFonts w:cs="Arial"/>
              </w:rPr>
            </w:pPr>
            <w:r w:rsidRPr="007259CD">
              <w:rPr>
                <w:rFonts w:cs="Arial"/>
              </w:rPr>
              <w:t>14.5</w:t>
            </w:r>
          </w:p>
        </w:tc>
      </w:tr>
      <w:tr w:rsidR="00607220" w:rsidRPr="007259CD" w:rsidTr="00680B2A">
        <w:trPr>
          <w:cantSplit/>
          <w:trHeight w:val="680"/>
        </w:trPr>
        <w:tc>
          <w:tcPr>
            <w:tcW w:w="1263" w:type="pct"/>
          </w:tcPr>
          <w:p w:rsidR="00607220" w:rsidRPr="007259CD" w:rsidRDefault="00607220" w:rsidP="006B4592">
            <w:pPr>
              <w:rPr>
                <w:rFonts w:cs="Arial"/>
              </w:rPr>
            </w:pPr>
            <w:r w:rsidRPr="007259CD">
              <w:rPr>
                <w:rFonts w:cs="Arial"/>
              </w:rPr>
              <w:t>HIV testing coverage, total (%) (2016)</w:t>
            </w:r>
          </w:p>
        </w:tc>
        <w:tc>
          <w:tcPr>
            <w:tcW w:w="743" w:type="pct"/>
            <w:vAlign w:val="center"/>
          </w:tcPr>
          <w:p w:rsidR="00607220" w:rsidRPr="007259CD" w:rsidRDefault="00607220" w:rsidP="00680B2A">
            <w:pPr>
              <w:jc w:val="center"/>
              <w:rPr>
                <w:rFonts w:cs="Arial"/>
              </w:rPr>
            </w:pPr>
            <w:r w:rsidRPr="007259CD">
              <w:rPr>
                <w:rFonts w:cs="Arial"/>
              </w:rPr>
              <w:t>67.7</w:t>
            </w:r>
          </w:p>
        </w:tc>
        <w:tc>
          <w:tcPr>
            <w:tcW w:w="743" w:type="pct"/>
            <w:vAlign w:val="center"/>
          </w:tcPr>
          <w:p w:rsidR="00607220" w:rsidRPr="007259CD" w:rsidRDefault="00607220" w:rsidP="00680B2A">
            <w:pPr>
              <w:jc w:val="center"/>
              <w:rPr>
                <w:rFonts w:cs="Arial"/>
              </w:rPr>
            </w:pPr>
            <w:r w:rsidRPr="007259CD">
              <w:rPr>
                <w:rFonts w:cs="Arial"/>
              </w:rPr>
              <w:t>71.5</w:t>
            </w:r>
          </w:p>
        </w:tc>
        <w:tc>
          <w:tcPr>
            <w:tcW w:w="825" w:type="pct"/>
            <w:vAlign w:val="center"/>
          </w:tcPr>
          <w:p w:rsidR="00607220" w:rsidRPr="007259CD" w:rsidRDefault="00607220" w:rsidP="00680B2A">
            <w:pPr>
              <w:jc w:val="center"/>
              <w:rPr>
                <w:rFonts w:cs="Arial"/>
              </w:rPr>
            </w:pPr>
            <w:r w:rsidRPr="007259CD">
              <w:rPr>
                <w:rFonts w:cs="Arial"/>
              </w:rPr>
              <w:t>76.0</w:t>
            </w:r>
          </w:p>
        </w:tc>
        <w:tc>
          <w:tcPr>
            <w:tcW w:w="696" w:type="pct"/>
            <w:vAlign w:val="center"/>
          </w:tcPr>
          <w:p w:rsidR="00607220" w:rsidRPr="007259CD" w:rsidRDefault="00607220" w:rsidP="00680B2A">
            <w:pPr>
              <w:jc w:val="center"/>
              <w:rPr>
                <w:rFonts w:cs="Arial"/>
              </w:rPr>
            </w:pPr>
            <w:r w:rsidRPr="007259CD">
              <w:rPr>
                <w:rFonts w:cs="Arial"/>
              </w:rPr>
              <w:t>83.1</w:t>
            </w:r>
          </w:p>
        </w:tc>
        <w:tc>
          <w:tcPr>
            <w:tcW w:w="731" w:type="pct"/>
            <w:vAlign w:val="center"/>
          </w:tcPr>
          <w:p w:rsidR="00607220" w:rsidRPr="007259CD" w:rsidRDefault="00607220" w:rsidP="00680B2A">
            <w:pPr>
              <w:jc w:val="center"/>
              <w:rPr>
                <w:rFonts w:cs="Arial"/>
              </w:rPr>
            </w:pPr>
            <w:r w:rsidRPr="007259CD">
              <w:rPr>
                <w:rFonts w:cs="Arial"/>
              </w:rPr>
              <w:t>82.2</w:t>
            </w:r>
          </w:p>
        </w:tc>
      </w:tr>
      <w:tr w:rsidR="00607220" w:rsidRPr="007259CD" w:rsidTr="00680B2A">
        <w:trPr>
          <w:cantSplit/>
          <w:trHeight w:val="680"/>
        </w:trPr>
        <w:tc>
          <w:tcPr>
            <w:tcW w:w="1263" w:type="pct"/>
          </w:tcPr>
          <w:p w:rsidR="00607220" w:rsidRPr="007259CD" w:rsidRDefault="00607220" w:rsidP="006B4592">
            <w:pPr>
              <w:rPr>
                <w:rFonts w:cs="Arial"/>
              </w:rPr>
            </w:pPr>
            <w:r w:rsidRPr="007259CD">
              <w:rPr>
                <w:rFonts w:cs="Arial"/>
              </w:rPr>
              <w:t>New HIV diagnosis rate / 100,000 aged 15+ (2016)</w:t>
            </w:r>
          </w:p>
        </w:tc>
        <w:tc>
          <w:tcPr>
            <w:tcW w:w="743" w:type="pct"/>
            <w:vAlign w:val="center"/>
          </w:tcPr>
          <w:p w:rsidR="00607220" w:rsidRPr="007259CD" w:rsidRDefault="00607220" w:rsidP="00680B2A">
            <w:pPr>
              <w:jc w:val="center"/>
              <w:rPr>
                <w:rFonts w:cs="Arial"/>
              </w:rPr>
            </w:pPr>
            <w:r w:rsidRPr="007259CD">
              <w:rPr>
                <w:rFonts w:cs="Arial"/>
              </w:rPr>
              <w:t>10.3</w:t>
            </w:r>
          </w:p>
        </w:tc>
        <w:tc>
          <w:tcPr>
            <w:tcW w:w="743" w:type="pct"/>
            <w:vAlign w:val="center"/>
          </w:tcPr>
          <w:p w:rsidR="00607220" w:rsidRPr="007259CD" w:rsidRDefault="00607220" w:rsidP="00680B2A">
            <w:pPr>
              <w:jc w:val="center"/>
              <w:rPr>
                <w:rFonts w:cs="Arial"/>
              </w:rPr>
            </w:pPr>
            <w:r w:rsidRPr="007259CD">
              <w:rPr>
                <w:rFonts w:cs="Arial"/>
              </w:rPr>
              <w:t>7.7</w:t>
            </w:r>
          </w:p>
        </w:tc>
        <w:tc>
          <w:tcPr>
            <w:tcW w:w="825" w:type="pct"/>
            <w:vAlign w:val="center"/>
          </w:tcPr>
          <w:p w:rsidR="00607220" w:rsidRPr="007259CD" w:rsidRDefault="00607220" w:rsidP="00680B2A">
            <w:pPr>
              <w:jc w:val="center"/>
              <w:rPr>
                <w:rFonts w:cs="Arial"/>
              </w:rPr>
            </w:pPr>
            <w:r w:rsidRPr="007259CD">
              <w:rPr>
                <w:rFonts w:cs="Arial"/>
              </w:rPr>
              <w:t>11.5</w:t>
            </w:r>
          </w:p>
        </w:tc>
        <w:tc>
          <w:tcPr>
            <w:tcW w:w="696" w:type="pct"/>
            <w:vAlign w:val="center"/>
          </w:tcPr>
          <w:p w:rsidR="00607220" w:rsidRPr="007259CD" w:rsidRDefault="00607220" w:rsidP="00680B2A">
            <w:pPr>
              <w:jc w:val="center"/>
              <w:rPr>
                <w:rFonts w:cs="Arial"/>
              </w:rPr>
            </w:pPr>
            <w:r w:rsidRPr="007259CD">
              <w:rPr>
                <w:rFonts w:cs="Arial"/>
              </w:rPr>
              <w:t>10.8</w:t>
            </w:r>
          </w:p>
        </w:tc>
        <w:tc>
          <w:tcPr>
            <w:tcW w:w="731" w:type="pct"/>
            <w:vAlign w:val="center"/>
          </w:tcPr>
          <w:p w:rsidR="00607220" w:rsidRPr="007259CD" w:rsidRDefault="00607220" w:rsidP="00680B2A">
            <w:pPr>
              <w:jc w:val="center"/>
              <w:rPr>
                <w:rFonts w:cs="Arial"/>
              </w:rPr>
            </w:pPr>
            <w:r w:rsidRPr="007259CD">
              <w:rPr>
                <w:rFonts w:cs="Arial"/>
              </w:rPr>
              <w:t>7.5</w:t>
            </w:r>
          </w:p>
        </w:tc>
      </w:tr>
      <w:tr w:rsidR="006B4592" w:rsidRPr="007259CD" w:rsidTr="00680B2A">
        <w:trPr>
          <w:cantSplit/>
          <w:trHeight w:val="680"/>
        </w:trPr>
        <w:tc>
          <w:tcPr>
            <w:tcW w:w="1263" w:type="pct"/>
          </w:tcPr>
          <w:p w:rsidR="006B4592" w:rsidRPr="007259CD" w:rsidRDefault="006B4592" w:rsidP="006B4592">
            <w:pPr>
              <w:rPr>
                <w:rFonts w:cs="Arial"/>
              </w:rPr>
            </w:pPr>
            <w:r w:rsidRPr="007259CD">
              <w:rPr>
                <w:rFonts w:cs="Arial"/>
              </w:rPr>
              <w:t>HIV late diagnosis (%)</w:t>
            </w:r>
          </w:p>
          <w:p w:rsidR="006B4592" w:rsidRPr="007259CD" w:rsidRDefault="006B4592" w:rsidP="006B4592">
            <w:pPr>
              <w:rPr>
                <w:rFonts w:cs="Arial"/>
              </w:rPr>
            </w:pPr>
            <w:r w:rsidRPr="007259CD">
              <w:rPr>
                <w:rFonts w:cs="Arial"/>
              </w:rPr>
              <w:t>(2014-2016)</w:t>
            </w:r>
          </w:p>
        </w:tc>
        <w:tc>
          <w:tcPr>
            <w:tcW w:w="743" w:type="pct"/>
            <w:vAlign w:val="center"/>
          </w:tcPr>
          <w:p w:rsidR="006B4592" w:rsidRPr="007259CD" w:rsidRDefault="006B4592" w:rsidP="00680B2A">
            <w:pPr>
              <w:jc w:val="center"/>
              <w:rPr>
                <w:rFonts w:cs="Arial"/>
              </w:rPr>
            </w:pPr>
            <w:r w:rsidRPr="007259CD">
              <w:rPr>
                <w:rFonts w:cs="Arial"/>
              </w:rPr>
              <w:t>40.1</w:t>
            </w:r>
          </w:p>
        </w:tc>
        <w:tc>
          <w:tcPr>
            <w:tcW w:w="743" w:type="pct"/>
            <w:vAlign w:val="center"/>
          </w:tcPr>
          <w:p w:rsidR="006B4592" w:rsidRPr="007259CD" w:rsidRDefault="006B4592" w:rsidP="00680B2A">
            <w:pPr>
              <w:jc w:val="center"/>
              <w:rPr>
                <w:rFonts w:cs="Arial"/>
              </w:rPr>
            </w:pPr>
            <w:r w:rsidRPr="007259CD">
              <w:rPr>
                <w:rFonts w:cs="Arial"/>
              </w:rPr>
              <w:t>43.4</w:t>
            </w:r>
          </w:p>
        </w:tc>
        <w:tc>
          <w:tcPr>
            <w:tcW w:w="825" w:type="pct"/>
            <w:vAlign w:val="center"/>
          </w:tcPr>
          <w:p w:rsidR="006B4592" w:rsidRPr="007259CD" w:rsidRDefault="006B4592" w:rsidP="00680B2A">
            <w:pPr>
              <w:jc w:val="center"/>
              <w:rPr>
                <w:rFonts w:cs="Arial"/>
              </w:rPr>
            </w:pPr>
            <w:r w:rsidRPr="007259CD">
              <w:rPr>
                <w:rFonts w:cs="Arial"/>
              </w:rPr>
              <w:t>60.0</w:t>
            </w:r>
          </w:p>
        </w:tc>
        <w:tc>
          <w:tcPr>
            <w:tcW w:w="696" w:type="pct"/>
            <w:vAlign w:val="center"/>
          </w:tcPr>
          <w:p w:rsidR="006B4592" w:rsidRPr="007259CD" w:rsidRDefault="00607220" w:rsidP="00680B2A">
            <w:pPr>
              <w:jc w:val="center"/>
              <w:rPr>
                <w:rFonts w:cs="Arial"/>
              </w:rPr>
            </w:pPr>
            <w:r w:rsidRPr="007259CD">
              <w:rPr>
                <w:rFonts w:cs="Arial"/>
              </w:rPr>
              <w:t>53.7</w:t>
            </w:r>
          </w:p>
        </w:tc>
        <w:tc>
          <w:tcPr>
            <w:tcW w:w="731" w:type="pct"/>
            <w:vAlign w:val="center"/>
          </w:tcPr>
          <w:p w:rsidR="006B4592" w:rsidRPr="007259CD" w:rsidRDefault="00607220" w:rsidP="00680B2A">
            <w:pPr>
              <w:jc w:val="center"/>
              <w:rPr>
                <w:rFonts w:cs="Arial"/>
              </w:rPr>
            </w:pPr>
            <w:r w:rsidRPr="007259CD">
              <w:rPr>
                <w:rFonts w:cs="Arial"/>
              </w:rPr>
              <w:t>41.4</w:t>
            </w:r>
          </w:p>
        </w:tc>
      </w:tr>
      <w:tr w:rsidR="006B4592" w:rsidRPr="007259CD" w:rsidTr="00680B2A">
        <w:trPr>
          <w:trHeight w:val="680"/>
        </w:trPr>
        <w:tc>
          <w:tcPr>
            <w:tcW w:w="1263" w:type="pct"/>
          </w:tcPr>
          <w:p w:rsidR="006B4592" w:rsidRPr="007259CD" w:rsidRDefault="006B4592" w:rsidP="00607220">
            <w:pPr>
              <w:rPr>
                <w:rFonts w:cs="Arial"/>
              </w:rPr>
            </w:pPr>
            <w:r w:rsidRPr="007259CD">
              <w:rPr>
                <w:rFonts w:cs="Arial"/>
              </w:rPr>
              <w:t>HIV diagnosed prevalence - rate per 100,000 aged 15-59 (201</w:t>
            </w:r>
            <w:r w:rsidR="00607220" w:rsidRPr="007259CD">
              <w:rPr>
                <w:rFonts w:cs="Arial"/>
              </w:rPr>
              <w:t>6</w:t>
            </w:r>
            <w:r w:rsidRPr="007259CD">
              <w:rPr>
                <w:rFonts w:cs="Arial"/>
              </w:rPr>
              <w:t>)</w:t>
            </w:r>
          </w:p>
        </w:tc>
        <w:tc>
          <w:tcPr>
            <w:tcW w:w="743" w:type="pct"/>
            <w:vAlign w:val="center"/>
          </w:tcPr>
          <w:p w:rsidR="006B4592" w:rsidRPr="007259CD" w:rsidRDefault="00F646FD" w:rsidP="00680B2A">
            <w:pPr>
              <w:jc w:val="center"/>
              <w:rPr>
                <w:rFonts w:cs="Arial"/>
              </w:rPr>
            </w:pPr>
            <w:r w:rsidRPr="007259CD">
              <w:rPr>
                <w:rFonts w:cs="Arial"/>
              </w:rPr>
              <w:t>2.31</w:t>
            </w:r>
          </w:p>
        </w:tc>
        <w:tc>
          <w:tcPr>
            <w:tcW w:w="743" w:type="pct"/>
            <w:vAlign w:val="center"/>
          </w:tcPr>
          <w:p w:rsidR="006B4592" w:rsidRPr="007259CD" w:rsidRDefault="00F646FD" w:rsidP="00680B2A">
            <w:pPr>
              <w:jc w:val="center"/>
              <w:rPr>
                <w:rFonts w:cs="Arial"/>
              </w:rPr>
            </w:pPr>
            <w:r w:rsidRPr="007259CD">
              <w:rPr>
                <w:rFonts w:cs="Arial"/>
              </w:rPr>
              <w:t>1.76</w:t>
            </w:r>
          </w:p>
        </w:tc>
        <w:tc>
          <w:tcPr>
            <w:tcW w:w="825" w:type="pct"/>
            <w:vAlign w:val="center"/>
          </w:tcPr>
          <w:p w:rsidR="006B4592" w:rsidRPr="007259CD" w:rsidRDefault="00F646FD" w:rsidP="00680B2A">
            <w:pPr>
              <w:jc w:val="center"/>
              <w:rPr>
                <w:rFonts w:cs="Arial"/>
              </w:rPr>
            </w:pPr>
            <w:r w:rsidRPr="007259CD">
              <w:rPr>
                <w:rFonts w:cs="Arial"/>
              </w:rPr>
              <w:t>1.54</w:t>
            </w:r>
          </w:p>
        </w:tc>
        <w:tc>
          <w:tcPr>
            <w:tcW w:w="696" w:type="pct"/>
            <w:vAlign w:val="center"/>
          </w:tcPr>
          <w:p w:rsidR="006B4592" w:rsidRPr="007259CD" w:rsidRDefault="00F646FD" w:rsidP="00680B2A">
            <w:pPr>
              <w:jc w:val="center"/>
              <w:rPr>
                <w:rFonts w:cs="Arial"/>
              </w:rPr>
            </w:pPr>
            <w:r w:rsidRPr="007259CD">
              <w:rPr>
                <w:rFonts w:cs="Arial"/>
              </w:rPr>
              <w:t>3.34</w:t>
            </w:r>
          </w:p>
        </w:tc>
        <w:tc>
          <w:tcPr>
            <w:tcW w:w="731" w:type="pct"/>
            <w:vAlign w:val="center"/>
          </w:tcPr>
          <w:p w:rsidR="006B4592" w:rsidRPr="007259CD" w:rsidRDefault="00F646FD" w:rsidP="00680B2A">
            <w:pPr>
              <w:jc w:val="center"/>
              <w:rPr>
                <w:rFonts w:cs="Arial"/>
              </w:rPr>
            </w:pPr>
            <w:r w:rsidRPr="007259CD">
              <w:rPr>
                <w:rFonts w:cs="Arial"/>
              </w:rPr>
              <w:t>1.57</w:t>
            </w:r>
          </w:p>
        </w:tc>
      </w:tr>
      <w:tr w:rsidR="00DF09FE" w:rsidRPr="007259CD" w:rsidTr="00680B2A">
        <w:trPr>
          <w:trHeight w:val="680"/>
        </w:trPr>
        <w:tc>
          <w:tcPr>
            <w:tcW w:w="1263" w:type="pct"/>
          </w:tcPr>
          <w:p w:rsidR="00DF09FE" w:rsidRPr="007259CD" w:rsidRDefault="00DF09FE" w:rsidP="006B4592">
            <w:pPr>
              <w:rPr>
                <w:rFonts w:cs="Arial"/>
              </w:rPr>
            </w:pPr>
            <w:r w:rsidRPr="007259CD">
              <w:rPr>
                <w:rFonts w:cs="Arial"/>
              </w:rPr>
              <w:t>Total prescribed LARC excluding injections rate/1000 (2016)</w:t>
            </w:r>
          </w:p>
        </w:tc>
        <w:tc>
          <w:tcPr>
            <w:tcW w:w="743" w:type="pct"/>
            <w:vAlign w:val="center"/>
          </w:tcPr>
          <w:p w:rsidR="00DF09FE" w:rsidRPr="007259CD" w:rsidRDefault="00DF09FE" w:rsidP="00680B2A">
            <w:pPr>
              <w:jc w:val="center"/>
              <w:rPr>
                <w:rFonts w:cs="Arial"/>
              </w:rPr>
            </w:pPr>
            <w:r w:rsidRPr="007259CD">
              <w:rPr>
                <w:rFonts w:cs="Arial"/>
              </w:rPr>
              <w:t>46.4</w:t>
            </w:r>
          </w:p>
        </w:tc>
        <w:tc>
          <w:tcPr>
            <w:tcW w:w="743" w:type="pct"/>
            <w:vAlign w:val="center"/>
          </w:tcPr>
          <w:p w:rsidR="00DF09FE" w:rsidRPr="007259CD" w:rsidRDefault="00DF09FE" w:rsidP="00680B2A">
            <w:pPr>
              <w:jc w:val="center"/>
              <w:rPr>
                <w:rFonts w:cs="Arial"/>
              </w:rPr>
            </w:pPr>
            <w:r w:rsidRPr="007259CD">
              <w:rPr>
                <w:rFonts w:cs="Arial"/>
              </w:rPr>
              <w:t>54.0</w:t>
            </w:r>
          </w:p>
        </w:tc>
        <w:tc>
          <w:tcPr>
            <w:tcW w:w="825" w:type="pct"/>
            <w:vAlign w:val="center"/>
          </w:tcPr>
          <w:p w:rsidR="00DF09FE" w:rsidRPr="007259CD" w:rsidRDefault="00DF09FE" w:rsidP="00680B2A">
            <w:pPr>
              <w:jc w:val="center"/>
              <w:rPr>
                <w:rFonts w:cs="Arial"/>
              </w:rPr>
            </w:pPr>
            <w:r w:rsidRPr="007259CD">
              <w:rPr>
                <w:rFonts w:cs="Arial"/>
              </w:rPr>
              <w:t>40.8</w:t>
            </w:r>
          </w:p>
        </w:tc>
        <w:tc>
          <w:tcPr>
            <w:tcW w:w="696" w:type="pct"/>
            <w:vAlign w:val="center"/>
          </w:tcPr>
          <w:p w:rsidR="00DF09FE" w:rsidRPr="007259CD" w:rsidRDefault="00DF09FE" w:rsidP="00680B2A">
            <w:pPr>
              <w:jc w:val="center"/>
              <w:rPr>
                <w:rFonts w:cs="Arial"/>
              </w:rPr>
            </w:pPr>
            <w:r w:rsidRPr="007259CD">
              <w:rPr>
                <w:rFonts w:cs="Arial"/>
              </w:rPr>
              <w:t>32.9</w:t>
            </w:r>
          </w:p>
        </w:tc>
        <w:tc>
          <w:tcPr>
            <w:tcW w:w="731" w:type="pct"/>
            <w:vAlign w:val="center"/>
          </w:tcPr>
          <w:p w:rsidR="00DF09FE" w:rsidRPr="007259CD" w:rsidRDefault="00DF09FE" w:rsidP="00680B2A">
            <w:pPr>
              <w:jc w:val="center"/>
              <w:rPr>
                <w:rFonts w:cs="Arial"/>
              </w:rPr>
            </w:pPr>
            <w:r w:rsidRPr="007259CD">
              <w:rPr>
                <w:rFonts w:cs="Arial"/>
              </w:rPr>
              <w:t>48.7</w:t>
            </w:r>
          </w:p>
        </w:tc>
      </w:tr>
      <w:tr w:rsidR="006B4592" w:rsidRPr="007259CD" w:rsidTr="00680B2A">
        <w:trPr>
          <w:trHeight w:val="680"/>
        </w:trPr>
        <w:tc>
          <w:tcPr>
            <w:tcW w:w="1263" w:type="pct"/>
          </w:tcPr>
          <w:p w:rsidR="006B4592" w:rsidRPr="007259CD" w:rsidRDefault="00F646FD" w:rsidP="006B4592">
            <w:pPr>
              <w:rPr>
                <w:rFonts w:cs="Arial"/>
              </w:rPr>
            </w:pPr>
            <w:r w:rsidRPr="007259CD">
              <w:rPr>
                <w:rFonts w:cs="Arial"/>
              </w:rPr>
              <w:t>GP prescribed LARC excluding injections rate/1000 (2016)</w:t>
            </w:r>
          </w:p>
        </w:tc>
        <w:tc>
          <w:tcPr>
            <w:tcW w:w="743" w:type="pct"/>
            <w:vAlign w:val="center"/>
          </w:tcPr>
          <w:p w:rsidR="006B4592" w:rsidRPr="007259CD" w:rsidRDefault="00F646FD" w:rsidP="00680B2A">
            <w:pPr>
              <w:jc w:val="center"/>
              <w:rPr>
                <w:rFonts w:cs="Arial"/>
              </w:rPr>
            </w:pPr>
            <w:r w:rsidRPr="007259CD">
              <w:rPr>
                <w:rFonts w:cs="Arial"/>
              </w:rPr>
              <w:t>28.8</w:t>
            </w:r>
          </w:p>
        </w:tc>
        <w:tc>
          <w:tcPr>
            <w:tcW w:w="743" w:type="pct"/>
            <w:vAlign w:val="center"/>
          </w:tcPr>
          <w:p w:rsidR="006B4592" w:rsidRPr="007259CD" w:rsidRDefault="00F646FD" w:rsidP="00680B2A">
            <w:pPr>
              <w:jc w:val="center"/>
              <w:rPr>
                <w:rFonts w:cs="Arial"/>
              </w:rPr>
            </w:pPr>
            <w:r w:rsidRPr="007259CD">
              <w:rPr>
                <w:rFonts w:cs="Arial"/>
              </w:rPr>
              <w:t>37.5</w:t>
            </w:r>
          </w:p>
        </w:tc>
        <w:tc>
          <w:tcPr>
            <w:tcW w:w="825" w:type="pct"/>
            <w:vAlign w:val="center"/>
          </w:tcPr>
          <w:p w:rsidR="006B4592" w:rsidRPr="007259CD" w:rsidRDefault="00F646FD" w:rsidP="00680B2A">
            <w:pPr>
              <w:jc w:val="center"/>
              <w:rPr>
                <w:rFonts w:cs="Arial"/>
              </w:rPr>
            </w:pPr>
            <w:r w:rsidRPr="007259CD">
              <w:rPr>
                <w:rFonts w:cs="Arial"/>
              </w:rPr>
              <w:t>32.4</w:t>
            </w:r>
          </w:p>
        </w:tc>
        <w:tc>
          <w:tcPr>
            <w:tcW w:w="696" w:type="pct"/>
            <w:vAlign w:val="center"/>
          </w:tcPr>
          <w:p w:rsidR="006B4592" w:rsidRPr="007259CD" w:rsidRDefault="00F646FD" w:rsidP="00680B2A">
            <w:pPr>
              <w:jc w:val="center"/>
              <w:rPr>
                <w:rFonts w:cs="Arial"/>
              </w:rPr>
            </w:pPr>
            <w:r w:rsidRPr="007259CD">
              <w:rPr>
                <w:rFonts w:cs="Arial"/>
              </w:rPr>
              <w:t>12.2</w:t>
            </w:r>
          </w:p>
        </w:tc>
        <w:tc>
          <w:tcPr>
            <w:tcW w:w="731" w:type="pct"/>
            <w:vAlign w:val="center"/>
          </w:tcPr>
          <w:p w:rsidR="006B4592" w:rsidRPr="007259CD" w:rsidRDefault="00F646FD" w:rsidP="00680B2A">
            <w:pPr>
              <w:jc w:val="center"/>
              <w:rPr>
                <w:rFonts w:cs="Arial"/>
              </w:rPr>
            </w:pPr>
            <w:r w:rsidRPr="007259CD">
              <w:rPr>
                <w:rFonts w:cs="Arial"/>
              </w:rPr>
              <w:t>37.0</w:t>
            </w:r>
          </w:p>
        </w:tc>
      </w:tr>
      <w:tr w:rsidR="00F646FD" w:rsidRPr="007259CD" w:rsidTr="00680B2A">
        <w:trPr>
          <w:trHeight w:val="680"/>
        </w:trPr>
        <w:tc>
          <w:tcPr>
            <w:tcW w:w="1263" w:type="pct"/>
          </w:tcPr>
          <w:p w:rsidR="00F646FD" w:rsidRPr="007259CD" w:rsidRDefault="00F646FD" w:rsidP="006B4592">
            <w:pPr>
              <w:rPr>
                <w:rFonts w:cs="Arial"/>
              </w:rPr>
            </w:pPr>
            <w:r w:rsidRPr="007259CD">
              <w:rPr>
                <w:rFonts w:cs="Arial"/>
              </w:rPr>
              <w:t>SRH services prescribed LARC excluding injections/1000 (2016)</w:t>
            </w:r>
          </w:p>
        </w:tc>
        <w:tc>
          <w:tcPr>
            <w:tcW w:w="743" w:type="pct"/>
            <w:vAlign w:val="center"/>
          </w:tcPr>
          <w:p w:rsidR="00F646FD" w:rsidRPr="007259CD" w:rsidRDefault="00F646FD" w:rsidP="00680B2A">
            <w:pPr>
              <w:jc w:val="center"/>
              <w:rPr>
                <w:rFonts w:cs="Arial"/>
              </w:rPr>
            </w:pPr>
            <w:r w:rsidRPr="007259CD">
              <w:rPr>
                <w:rFonts w:cs="Arial"/>
              </w:rPr>
              <w:t>17.6</w:t>
            </w:r>
          </w:p>
        </w:tc>
        <w:tc>
          <w:tcPr>
            <w:tcW w:w="743" w:type="pct"/>
            <w:vAlign w:val="center"/>
          </w:tcPr>
          <w:p w:rsidR="00F646FD" w:rsidRPr="007259CD" w:rsidRDefault="00F646FD" w:rsidP="00680B2A">
            <w:pPr>
              <w:jc w:val="center"/>
              <w:rPr>
                <w:rFonts w:cs="Arial"/>
              </w:rPr>
            </w:pPr>
            <w:r w:rsidRPr="007259CD">
              <w:rPr>
                <w:rFonts w:cs="Arial"/>
              </w:rPr>
              <w:t>16.4</w:t>
            </w:r>
          </w:p>
        </w:tc>
        <w:tc>
          <w:tcPr>
            <w:tcW w:w="825" w:type="pct"/>
            <w:vAlign w:val="center"/>
          </w:tcPr>
          <w:p w:rsidR="00F646FD" w:rsidRPr="007259CD" w:rsidRDefault="00F646FD" w:rsidP="00680B2A">
            <w:pPr>
              <w:jc w:val="center"/>
              <w:rPr>
                <w:rFonts w:cs="Arial"/>
              </w:rPr>
            </w:pPr>
            <w:r w:rsidRPr="007259CD">
              <w:rPr>
                <w:rFonts w:cs="Arial"/>
              </w:rPr>
              <w:t>8.4</w:t>
            </w:r>
          </w:p>
        </w:tc>
        <w:tc>
          <w:tcPr>
            <w:tcW w:w="696" w:type="pct"/>
            <w:vAlign w:val="center"/>
          </w:tcPr>
          <w:p w:rsidR="00F646FD" w:rsidRPr="007259CD" w:rsidRDefault="00F646FD" w:rsidP="00680B2A">
            <w:pPr>
              <w:jc w:val="center"/>
              <w:rPr>
                <w:rFonts w:cs="Arial"/>
              </w:rPr>
            </w:pPr>
            <w:r w:rsidRPr="007259CD">
              <w:rPr>
                <w:rFonts w:cs="Arial"/>
              </w:rPr>
              <w:t>20.7</w:t>
            </w:r>
          </w:p>
        </w:tc>
        <w:tc>
          <w:tcPr>
            <w:tcW w:w="731" w:type="pct"/>
            <w:vAlign w:val="center"/>
          </w:tcPr>
          <w:p w:rsidR="00F646FD" w:rsidRPr="007259CD" w:rsidRDefault="00F646FD" w:rsidP="00680B2A">
            <w:pPr>
              <w:jc w:val="center"/>
              <w:rPr>
                <w:rFonts w:cs="Arial"/>
              </w:rPr>
            </w:pPr>
            <w:r w:rsidRPr="007259CD">
              <w:rPr>
                <w:rFonts w:cs="Arial"/>
              </w:rPr>
              <w:t>11.7</w:t>
            </w:r>
          </w:p>
        </w:tc>
      </w:tr>
      <w:tr w:rsidR="00680B2A" w:rsidRPr="007259CD" w:rsidTr="00680B2A">
        <w:trPr>
          <w:trHeight w:val="680"/>
        </w:trPr>
        <w:tc>
          <w:tcPr>
            <w:tcW w:w="1263" w:type="pct"/>
          </w:tcPr>
          <w:p w:rsidR="00680B2A" w:rsidRPr="007259CD" w:rsidRDefault="00680B2A" w:rsidP="00680B2A">
            <w:pPr>
              <w:rPr>
                <w:rFonts w:cs="Arial"/>
              </w:rPr>
            </w:pPr>
            <w:r w:rsidRPr="007259CD">
              <w:rPr>
                <w:rFonts w:cs="Arial"/>
              </w:rPr>
              <w:t>Abortion rate – crude rate per 1,000 women aged 15-44 (2016)</w:t>
            </w:r>
          </w:p>
        </w:tc>
        <w:tc>
          <w:tcPr>
            <w:tcW w:w="743" w:type="pct"/>
            <w:vAlign w:val="center"/>
          </w:tcPr>
          <w:p w:rsidR="00680B2A" w:rsidRPr="007259CD" w:rsidRDefault="00680B2A" w:rsidP="00680B2A">
            <w:pPr>
              <w:jc w:val="center"/>
              <w:rPr>
                <w:rFonts w:cs="Arial"/>
              </w:rPr>
            </w:pPr>
            <w:r w:rsidRPr="007259CD">
              <w:rPr>
                <w:rFonts w:cs="Arial"/>
              </w:rPr>
              <w:t>16.7</w:t>
            </w:r>
          </w:p>
        </w:tc>
        <w:tc>
          <w:tcPr>
            <w:tcW w:w="743" w:type="pct"/>
            <w:vAlign w:val="center"/>
          </w:tcPr>
          <w:p w:rsidR="00680B2A" w:rsidRPr="007259CD" w:rsidRDefault="00680B2A" w:rsidP="00680B2A">
            <w:pPr>
              <w:jc w:val="center"/>
              <w:rPr>
                <w:rFonts w:cs="Arial"/>
              </w:rPr>
            </w:pPr>
            <w:r w:rsidRPr="007259CD">
              <w:rPr>
                <w:rFonts w:cs="Arial"/>
              </w:rPr>
              <w:t>15.0</w:t>
            </w:r>
          </w:p>
        </w:tc>
        <w:tc>
          <w:tcPr>
            <w:tcW w:w="825" w:type="pct"/>
            <w:vAlign w:val="center"/>
          </w:tcPr>
          <w:p w:rsidR="00680B2A" w:rsidRPr="007259CD" w:rsidRDefault="00680B2A" w:rsidP="00680B2A">
            <w:pPr>
              <w:jc w:val="center"/>
              <w:rPr>
                <w:rFonts w:cs="Arial"/>
              </w:rPr>
            </w:pPr>
            <w:r w:rsidRPr="007259CD">
              <w:rPr>
                <w:rFonts w:cs="Arial"/>
              </w:rPr>
              <w:t>14.0</w:t>
            </w:r>
          </w:p>
        </w:tc>
        <w:tc>
          <w:tcPr>
            <w:tcW w:w="696" w:type="pct"/>
            <w:vAlign w:val="center"/>
          </w:tcPr>
          <w:p w:rsidR="00680B2A" w:rsidRPr="007259CD" w:rsidRDefault="00680B2A" w:rsidP="00680B2A">
            <w:pPr>
              <w:jc w:val="center"/>
              <w:rPr>
                <w:rFonts w:cs="Arial"/>
              </w:rPr>
            </w:pPr>
            <w:r w:rsidRPr="007259CD">
              <w:rPr>
                <w:rFonts w:cs="Arial"/>
              </w:rPr>
              <w:t>21.5</w:t>
            </w:r>
          </w:p>
        </w:tc>
        <w:tc>
          <w:tcPr>
            <w:tcW w:w="731" w:type="pct"/>
            <w:vAlign w:val="center"/>
          </w:tcPr>
          <w:p w:rsidR="00680B2A" w:rsidRPr="007259CD" w:rsidRDefault="00680B2A" w:rsidP="00680B2A">
            <w:pPr>
              <w:jc w:val="center"/>
              <w:rPr>
                <w:rFonts w:cs="Arial"/>
              </w:rPr>
            </w:pPr>
            <w:r w:rsidRPr="007259CD">
              <w:rPr>
                <w:rFonts w:cs="Arial"/>
              </w:rPr>
              <w:t>14.1</w:t>
            </w:r>
          </w:p>
        </w:tc>
      </w:tr>
      <w:tr w:rsidR="00680B2A" w:rsidRPr="007259CD" w:rsidTr="00680B2A">
        <w:trPr>
          <w:trHeight w:val="680"/>
        </w:trPr>
        <w:tc>
          <w:tcPr>
            <w:tcW w:w="1263" w:type="pct"/>
          </w:tcPr>
          <w:p w:rsidR="00680B2A" w:rsidRPr="007259CD" w:rsidRDefault="00680B2A" w:rsidP="00680B2A">
            <w:pPr>
              <w:rPr>
                <w:rFonts w:cs="Arial"/>
              </w:rPr>
            </w:pPr>
            <w:r w:rsidRPr="007259CD">
              <w:rPr>
                <w:rFonts w:cs="Arial"/>
              </w:rPr>
              <w:t>Repeat abortions under 25s (%) (2016)</w:t>
            </w:r>
          </w:p>
        </w:tc>
        <w:tc>
          <w:tcPr>
            <w:tcW w:w="743" w:type="pct"/>
            <w:vAlign w:val="center"/>
          </w:tcPr>
          <w:p w:rsidR="00680B2A" w:rsidRPr="007259CD" w:rsidRDefault="00680B2A" w:rsidP="00680B2A">
            <w:pPr>
              <w:jc w:val="center"/>
              <w:rPr>
                <w:rFonts w:cs="Arial"/>
              </w:rPr>
            </w:pPr>
            <w:r w:rsidRPr="007259CD">
              <w:rPr>
                <w:rFonts w:cs="Arial"/>
              </w:rPr>
              <w:t>26.7</w:t>
            </w:r>
          </w:p>
        </w:tc>
        <w:tc>
          <w:tcPr>
            <w:tcW w:w="743" w:type="pct"/>
            <w:vAlign w:val="center"/>
          </w:tcPr>
          <w:p w:rsidR="00680B2A" w:rsidRPr="007259CD" w:rsidRDefault="00680B2A" w:rsidP="00680B2A">
            <w:pPr>
              <w:jc w:val="center"/>
              <w:rPr>
                <w:rFonts w:cs="Arial"/>
              </w:rPr>
            </w:pPr>
            <w:r w:rsidRPr="007259CD">
              <w:rPr>
                <w:rFonts w:cs="Arial"/>
              </w:rPr>
              <w:t>25.2</w:t>
            </w:r>
          </w:p>
        </w:tc>
        <w:tc>
          <w:tcPr>
            <w:tcW w:w="825" w:type="pct"/>
            <w:vAlign w:val="center"/>
          </w:tcPr>
          <w:p w:rsidR="00680B2A" w:rsidRPr="007259CD" w:rsidRDefault="00680B2A" w:rsidP="00680B2A">
            <w:pPr>
              <w:jc w:val="center"/>
              <w:rPr>
                <w:rFonts w:cs="Arial"/>
              </w:rPr>
            </w:pPr>
            <w:r w:rsidRPr="007259CD">
              <w:rPr>
                <w:rFonts w:cs="Arial"/>
              </w:rPr>
              <w:t>23.7</w:t>
            </w:r>
          </w:p>
        </w:tc>
        <w:tc>
          <w:tcPr>
            <w:tcW w:w="696" w:type="pct"/>
            <w:vAlign w:val="center"/>
          </w:tcPr>
          <w:p w:rsidR="00680B2A" w:rsidRPr="007259CD" w:rsidRDefault="00680B2A" w:rsidP="00680B2A">
            <w:pPr>
              <w:jc w:val="center"/>
              <w:rPr>
                <w:rFonts w:cs="Arial"/>
              </w:rPr>
            </w:pPr>
            <w:r w:rsidRPr="007259CD">
              <w:rPr>
                <w:rFonts w:cs="Arial"/>
              </w:rPr>
              <w:t>29.9</w:t>
            </w:r>
          </w:p>
        </w:tc>
        <w:tc>
          <w:tcPr>
            <w:tcW w:w="731" w:type="pct"/>
            <w:vAlign w:val="center"/>
          </w:tcPr>
          <w:p w:rsidR="00680B2A" w:rsidRPr="007259CD" w:rsidRDefault="00680B2A" w:rsidP="00680B2A">
            <w:pPr>
              <w:jc w:val="center"/>
              <w:rPr>
                <w:rFonts w:cs="Arial"/>
              </w:rPr>
            </w:pPr>
            <w:r w:rsidRPr="007259CD">
              <w:rPr>
                <w:rFonts w:cs="Arial"/>
              </w:rPr>
              <w:t>21.9</w:t>
            </w:r>
          </w:p>
        </w:tc>
      </w:tr>
      <w:tr w:rsidR="006B4592" w:rsidRPr="007259CD" w:rsidTr="00680B2A">
        <w:trPr>
          <w:trHeight w:val="680"/>
        </w:trPr>
        <w:tc>
          <w:tcPr>
            <w:tcW w:w="1263" w:type="pct"/>
          </w:tcPr>
          <w:p w:rsidR="006B4592" w:rsidRPr="007259CD" w:rsidRDefault="006B4592" w:rsidP="006B4592">
            <w:pPr>
              <w:rPr>
                <w:rFonts w:cs="Arial"/>
              </w:rPr>
            </w:pPr>
            <w:r w:rsidRPr="007259CD">
              <w:rPr>
                <w:rFonts w:cs="Arial"/>
              </w:rPr>
              <w:t>Under 18 con</w:t>
            </w:r>
            <w:r w:rsidR="00680B2A" w:rsidRPr="007259CD">
              <w:rPr>
                <w:rFonts w:cs="Arial"/>
              </w:rPr>
              <w:t>ception - rate per 100,000 (2015</w:t>
            </w:r>
            <w:r w:rsidRPr="007259CD">
              <w:rPr>
                <w:rFonts w:cs="Arial"/>
              </w:rPr>
              <w:t>)</w:t>
            </w:r>
          </w:p>
        </w:tc>
        <w:tc>
          <w:tcPr>
            <w:tcW w:w="743" w:type="pct"/>
            <w:vAlign w:val="center"/>
          </w:tcPr>
          <w:p w:rsidR="006B4592" w:rsidRPr="007259CD" w:rsidRDefault="00680B2A" w:rsidP="00680B2A">
            <w:pPr>
              <w:jc w:val="center"/>
              <w:rPr>
                <w:rFonts w:cs="Arial"/>
              </w:rPr>
            </w:pPr>
            <w:r w:rsidRPr="007259CD">
              <w:rPr>
                <w:rFonts w:cs="Arial"/>
              </w:rPr>
              <w:t>20.8</w:t>
            </w:r>
          </w:p>
        </w:tc>
        <w:tc>
          <w:tcPr>
            <w:tcW w:w="743" w:type="pct"/>
            <w:vAlign w:val="center"/>
          </w:tcPr>
          <w:p w:rsidR="006B4592" w:rsidRPr="007259CD" w:rsidRDefault="00680B2A" w:rsidP="00680B2A">
            <w:pPr>
              <w:jc w:val="center"/>
              <w:rPr>
                <w:rFonts w:cs="Arial"/>
              </w:rPr>
            </w:pPr>
            <w:r w:rsidRPr="007259CD">
              <w:rPr>
                <w:rFonts w:cs="Arial"/>
              </w:rPr>
              <w:t>17.1</w:t>
            </w:r>
          </w:p>
        </w:tc>
        <w:tc>
          <w:tcPr>
            <w:tcW w:w="825" w:type="pct"/>
            <w:vAlign w:val="center"/>
          </w:tcPr>
          <w:p w:rsidR="006B4592" w:rsidRPr="007259CD" w:rsidRDefault="00680B2A" w:rsidP="00680B2A">
            <w:pPr>
              <w:jc w:val="center"/>
              <w:rPr>
                <w:rFonts w:cs="Arial"/>
              </w:rPr>
            </w:pPr>
            <w:r w:rsidRPr="007259CD">
              <w:rPr>
                <w:rFonts w:cs="Arial"/>
              </w:rPr>
              <w:t>7.4</w:t>
            </w:r>
          </w:p>
        </w:tc>
        <w:tc>
          <w:tcPr>
            <w:tcW w:w="696" w:type="pct"/>
            <w:vAlign w:val="center"/>
          </w:tcPr>
          <w:p w:rsidR="006B4592" w:rsidRPr="007259CD" w:rsidRDefault="00680B2A" w:rsidP="00680B2A">
            <w:pPr>
              <w:jc w:val="center"/>
              <w:rPr>
                <w:rFonts w:cs="Arial"/>
              </w:rPr>
            </w:pPr>
            <w:r w:rsidRPr="007259CD">
              <w:rPr>
                <w:rFonts w:cs="Arial"/>
              </w:rPr>
              <w:t>22.2</w:t>
            </w:r>
          </w:p>
        </w:tc>
        <w:tc>
          <w:tcPr>
            <w:tcW w:w="731" w:type="pct"/>
            <w:vAlign w:val="center"/>
          </w:tcPr>
          <w:p w:rsidR="006B4592" w:rsidRPr="007259CD" w:rsidRDefault="00680B2A" w:rsidP="00680B2A">
            <w:pPr>
              <w:jc w:val="center"/>
              <w:rPr>
                <w:rFonts w:cs="Arial"/>
              </w:rPr>
            </w:pPr>
            <w:r w:rsidRPr="007259CD">
              <w:rPr>
                <w:rFonts w:cs="Arial"/>
              </w:rPr>
              <w:t>9.1</w:t>
            </w:r>
          </w:p>
        </w:tc>
      </w:tr>
      <w:tr w:rsidR="00680B2A" w:rsidRPr="007259CD" w:rsidTr="00680B2A">
        <w:trPr>
          <w:trHeight w:val="680"/>
        </w:trPr>
        <w:tc>
          <w:tcPr>
            <w:tcW w:w="1263" w:type="pct"/>
          </w:tcPr>
          <w:p w:rsidR="00680B2A" w:rsidRPr="007259CD" w:rsidRDefault="00680B2A" w:rsidP="006B4592">
            <w:pPr>
              <w:rPr>
                <w:rFonts w:cs="Arial"/>
              </w:rPr>
            </w:pPr>
            <w:r w:rsidRPr="007259CD">
              <w:rPr>
                <w:rFonts w:cs="Arial"/>
              </w:rPr>
              <w:t>Under 18 conceptions leading to abortion (%) (2015)</w:t>
            </w:r>
          </w:p>
        </w:tc>
        <w:tc>
          <w:tcPr>
            <w:tcW w:w="743" w:type="pct"/>
            <w:vAlign w:val="center"/>
          </w:tcPr>
          <w:p w:rsidR="00680B2A" w:rsidRPr="007259CD" w:rsidRDefault="00680B2A" w:rsidP="00680B2A">
            <w:pPr>
              <w:jc w:val="center"/>
              <w:rPr>
                <w:rFonts w:cs="Arial"/>
              </w:rPr>
            </w:pPr>
            <w:r w:rsidRPr="007259CD">
              <w:rPr>
                <w:rFonts w:cs="Arial"/>
              </w:rPr>
              <w:t>51.2</w:t>
            </w:r>
          </w:p>
        </w:tc>
        <w:tc>
          <w:tcPr>
            <w:tcW w:w="743" w:type="pct"/>
            <w:vAlign w:val="center"/>
          </w:tcPr>
          <w:p w:rsidR="00680B2A" w:rsidRPr="007259CD" w:rsidRDefault="00680B2A" w:rsidP="00680B2A">
            <w:pPr>
              <w:jc w:val="center"/>
              <w:rPr>
                <w:rFonts w:cs="Arial"/>
              </w:rPr>
            </w:pPr>
            <w:r w:rsidRPr="007259CD">
              <w:rPr>
                <w:rFonts w:cs="Arial"/>
              </w:rPr>
              <w:t>53.7</w:t>
            </w:r>
          </w:p>
        </w:tc>
        <w:tc>
          <w:tcPr>
            <w:tcW w:w="825" w:type="pct"/>
            <w:vAlign w:val="center"/>
          </w:tcPr>
          <w:p w:rsidR="00680B2A" w:rsidRPr="007259CD" w:rsidRDefault="00680B2A" w:rsidP="00680B2A">
            <w:pPr>
              <w:jc w:val="center"/>
              <w:rPr>
                <w:rFonts w:cs="Arial"/>
              </w:rPr>
            </w:pPr>
            <w:r w:rsidRPr="007259CD">
              <w:rPr>
                <w:rFonts w:cs="Arial"/>
              </w:rPr>
              <w:t>70.6</w:t>
            </w:r>
          </w:p>
        </w:tc>
        <w:tc>
          <w:tcPr>
            <w:tcW w:w="696" w:type="pct"/>
            <w:vAlign w:val="center"/>
          </w:tcPr>
          <w:p w:rsidR="00680B2A" w:rsidRPr="007259CD" w:rsidRDefault="00680B2A" w:rsidP="00680B2A">
            <w:pPr>
              <w:jc w:val="center"/>
              <w:rPr>
                <w:rFonts w:cs="Arial"/>
              </w:rPr>
            </w:pPr>
            <w:r w:rsidRPr="007259CD">
              <w:rPr>
                <w:rFonts w:cs="Arial"/>
              </w:rPr>
              <w:t>60.3</w:t>
            </w:r>
          </w:p>
        </w:tc>
        <w:tc>
          <w:tcPr>
            <w:tcW w:w="731" w:type="pct"/>
            <w:vAlign w:val="center"/>
          </w:tcPr>
          <w:p w:rsidR="00680B2A" w:rsidRPr="007259CD" w:rsidRDefault="00680B2A" w:rsidP="00680B2A">
            <w:pPr>
              <w:jc w:val="center"/>
              <w:rPr>
                <w:rFonts w:cs="Arial"/>
              </w:rPr>
            </w:pPr>
            <w:r w:rsidRPr="007259CD">
              <w:rPr>
                <w:rFonts w:cs="Arial"/>
              </w:rPr>
              <w:t>62.5</w:t>
            </w:r>
          </w:p>
        </w:tc>
      </w:tr>
    </w:tbl>
    <w:p w:rsidR="00D22550" w:rsidRPr="007259CD" w:rsidRDefault="00680B2A" w:rsidP="00D22550">
      <w:pPr>
        <w:rPr>
          <w:rFonts w:cs="Arial"/>
        </w:rPr>
      </w:pPr>
      <w:r w:rsidRPr="007259CD">
        <w:rPr>
          <w:rFonts w:cs="Arial"/>
        </w:rPr>
        <w:t xml:space="preserve">Source: </w:t>
      </w:r>
      <w:hyperlink r:id="rId11" w:anchor="page/0" w:history="1">
        <w:r w:rsidRPr="007259CD">
          <w:rPr>
            <w:rStyle w:val="Hyperlink"/>
            <w:rFonts w:cs="Arial"/>
          </w:rPr>
          <w:t>PHE Sexual and Reproductive Health Profiles</w:t>
        </w:r>
      </w:hyperlink>
      <w:r w:rsidRPr="007259CD">
        <w:rPr>
          <w:rFonts w:cs="Arial"/>
        </w:rPr>
        <w:t xml:space="preserve"> (accessed January 2018)</w:t>
      </w:r>
    </w:p>
    <w:p w:rsidR="009D028E" w:rsidRPr="007259CD" w:rsidRDefault="009D028E" w:rsidP="00C10708">
      <w:pPr>
        <w:pStyle w:val="NoSpacing"/>
        <w:rPr>
          <w:rFonts w:cs="Arial"/>
        </w:rPr>
      </w:pPr>
    </w:p>
    <w:p w:rsidR="009D748D" w:rsidRPr="007259CD" w:rsidRDefault="009D748D" w:rsidP="002A30E5">
      <w:pPr>
        <w:pStyle w:val="NoSpacing"/>
        <w:numPr>
          <w:ilvl w:val="0"/>
          <w:numId w:val="12"/>
        </w:numPr>
        <w:rPr>
          <w:rFonts w:cs="Arial"/>
          <w:b/>
        </w:rPr>
      </w:pPr>
      <w:r w:rsidRPr="007259CD">
        <w:rPr>
          <w:rFonts w:cs="Arial"/>
          <w:b/>
        </w:rPr>
        <w:t>Service Aims and Objectives</w:t>
      </w:r>
    </w:p>
    <w:p w:rsidR="009D748D" w:rsidRPr="007259CD" w:rsidRDefault="009D748D" w:rsidP="009D748D">
      <w:pPr>
        <w:pStyle w:val="NoSpacing"/>
        <w:rPr>
          <w:rFonts w:cs="Arial"/>
          <w:b/>
        </w:rPr>
      </w:pPr>
    </w:p>
    <w:p w:rsidR="00EF3EB7" w:rsidRPr="007259CD" w:rsidRDefault="0099299C" w:rsidP="00E061B8">
      <w:pPr>
        <w:pStyle w:val="NoSpacing"/>
        <w:numPr>
          <w:ilvl w:val="1"/>
          <w:numId w:val="35"/>
        </w:numPr>
        <w:rPr>
          <w:rFonts w:cs="Arial"/>
          <w:b/>
        </w:rPr>
      </w:pPr>
      <w:r w:rsidRPr="007259CD">
        <w:rPr>
          <w:rFonts w:cs="Arial"/>
          <w:b/>
        </w:rPr>
        <w:t xml:space="preserve">Overarching aims </w:t>
      </w:r>
    </w:p>
    <w:p w:rsidR="00A24A1F" w:rsidRPr="007259CD" w:rsidRDefault="00A24A1F" w:rsidP="00C10708">
      <w:pPr>
        <w:pStyle w:val="NoSpacing"/>
        <w:rPr>
          <w:rFonts w:cs="Arial"/>
        </w:rPr>
      </w:pPr>
    </w:p>
    <w:p w:rsidR="00E061B8" w:rsidRDefault="00A24A1F" w:rsidP="00C10708">
      <w:pPr>
        <w:pStyle w:val="NoSpacing"/>
        <w:rPr>
          <w:rFonts w:cs="Arial"/>
        </w:rPr>
      </w:pPr>
      <w:r w:rsidRPr="007259CD">
        <w:rPr>
          <w:rFonts w:cs="Arial"/>
        </w:rPr>
        <w:t xml:space="preserve">To </w:t>
      </w:r>
      <w:r w:rsidRPr="007259CD">
        <w:rPr>
          <w:rFonts w:eastAsia="Times New Roman" w:cs="Arial"/>
          <w:iCs/>
          <w:lang w:val="en-US" w:eastAsia="en-GB"/>
        </w:rPr>
        <w:t xml:space="preserve">improve sexual health outcomes, improve </w:t>
      </w:r>
      <w:r w:rsidR="00D83004">
        <w:rPr>
          <w:rFonts w:eastAsia="Times New Roman" w:cs="Arial"/>
          <w:iCs/>
          <w:lang w:val="en-US" w:eastAsia="en-GB"/>
        </w:rPr>
        <w:t>Service User</w:t>
      </w:r>
      <w:r w:rsidRPr="007259CD">
        <w:rPr>
          <w:rFonts w:eastAsia="Times New Roman" w:cs="Arial"/>
          <w:iCs/>
          <w:lang w:val="en-US" w:eastAsia="en-GB"/>
        </w:rPr>
        <w:t xml:space="preserve"> experience and provide cost effective delivery of high quality services</w:t>
      </w:r>
      <w:r w:rsidR="00BA64BA" w:rsidRPr="007259CD">
        <w:rPr>
          <w:rFonts w:eastAsia="Times New Roman" w:cs="Arial"/>
          <w:iCs/>
          <w:lang w:val="en-US" w:eastAsia="en-GB"/>
        </w:rPr>
        <w:t xml:space="preserve"> in Bracknell Forest, Slough and </w:t>
      </w:r>
      <w:r w:rsidR="00CF1C63">
        <w:rPr>
          <w:rFonts w:eastAsia="Times New Roman" w:cs="Arial"/>
          <w:iCs/>
          <w:lang w:val="en-US" w:eastAsia="en-GB"/>
        </w:rPr>
        <w:t>RBWM</w:t>
      </w:r>
      <w:r w:rsidRPr="007259CD">
        <w:rPr>
          <w:rFonts w:eastAsia="Times New Roman" w:cs="Arial"/>
          <w:iCs/>
          <w:lang w:val="en-US" w:eastAsia="en-GB"/>
        </w:rPr>
        <w:t xml:space="preserve"> </w:t>
      </w:r>
      <w:r w:rsidRPr="007259CD">
        <w:rPr>
          <w:rFonts w:cs="Arial"/>
        </w:rPr>
        <w:t xml:space="preserve">through </w:t>
      </w:r>
      <w:r w:rsidR="00CF1C63">
        <w:rPr>
          <w:rFonts w:cs="Arial"/>
        </w:rPr>
        <w:t xml:space="preserve">the </w:t>
      </w:r>
      <w:r w:rsidRPr="007259CD">
        <w:rPr>
          <w:rFonts w:cs="Arial"/>
        </w:rPr>
        <w:t xml:space="preserve">operation of </w:t>
      </w:r>
      <w:r w:rsidR="00BA64BA" w:rsidRPr="007259CD">
        <w:rPr>
          <w:rFonts w:cs="Arial"/>
        </w:rPr>
        <w:t>an accessible</w:t>
      </w:r>
      <w:r w:rsidRPr="007259CD">
        <w:rPr>
          <w:rFonts w:cs="Arial"/>
        </w:rPr>
        <w:t>, confidential, integrated sexual health service</w:t>
      </w:r>
      <w:r w:rsidR="00BA64BA" w:rsidRPr="007259CD">
        <w:rPr>
          <w:rFonts w:cs="Arial"/>
        </w:rPr>
        <w:t xml:space="preserve"> which is responsive to the needs of local populations</w:t>
      </w:r>
      <w:r w:rsidR="000A6849">
        <w:rPr>
          <w:rFonts w:cs="Arial"/>
        </w:rPr>
        <w:t>, promotes self-care, utilises digital technology appropriately</w:t>
      </w:r>
      <w:r w:rsidR="00BA64BA" w:rsidRPr="007259CD">
        <w:rPr>
          <w:rFonts w:cs="Arial"/>
        </w:rPr>
        <w:t xml:space="preserve"> and is well linked with other relevant services</w:t>
      </w:r>
    </w:p>
    <w:p w:rsidR="00E061B8" w:rsidRDefault="00E061B8" w:rsidP="00C10708">
      <w:pPr>
        <w:pStyle w:val="NoSpacing"/>
        <w:rPr>
          <w:rFonts w:cs="Arial"/>
          <w:b/>
        </w:rPr>
      </w:pPr>
    </w:p>
    <w:p w:rsidR="00A24A1F" w:rsidRPr="00E061B8" w:rsidRDefault="00BA64BA" w:rsidP="00E061B8">
      <w:pPr>
        <w:pStyle w:val="NoSpacing"/>
        <w:numPr>
          <w:ilvl w:val="1"/>
          <w:numId w:val="37"/>
        </w:numPr>
        <w:rPr>
          <w:rFonts w:cs="Arial"/>
        </w:rPr>
      </w:pPr>
      <w:r w:rsidRPr="00E061B8">
        <w:rPr>
          <w:rFonts w:cs="Arial"/>
          <w:b/>
        </w:rPr>
        <w:t>Objectives</w:t>
      </w:r>
    </w:p>
    <w:p w:rsidR="00A24A1F" w:rsidRPr="007259CD" w:rsidRDefault="00A24A1F" w:rsidP="00C10708">
      <w:pPr>
        <w:pStyle w:val="NoSpacing"/>
        <w:rPr>
          <w:rFonts w:cs="Arial"/>
        </w:rPr>
      </w:pPr>
    </w:p>
    <w:p w:rsidR="00BA64BA" w:rsidRPr="007259CD" w:rsidRDefault="00BA64BA" w:rsidP="002A30E5">
      <w:pPr>
        <w:pStyle w:val="ListParagraph"/>
        <w:numPr>
          <w:ilvl w:val="0"/>
          <w:numId w:val="2"/>
        </w:numPr>
        <w:spacing w:after="0" w:line="240" w:lineRule="auto"/>
        <w:jc w:val="both"/>
        <w:rPr>
          <w:rFonts w:ascii="Arial" w:hAnsi="Arial" w:cs="Arial"/>
        </w:rPr>
      </w:pPr>
      <w:r w:rsidRPr="007259CD">
        <w:rPr>
          <w:rFonts w:ascii="Arial" w:hAnsi="Arial" w:cs="Arial"/>
        </w:rPr>
        <w:t>To prevent and ensure timely treatment and follow up of new STIs</w:t>
      </w:r>
    </w:p>
    <w:p w:rsidR="00BA64BA" w:rsidRPr="007259CD" w:rsidRDefault="00BA64BA" w:rsidP="002A30E5">
      <w:pPr>
        <w:pStyle w:val="ListParagraph"/>
        <w:numPr>
          <w:ilvl w:val="0"/>
          <w:numId w:val="2"/>
        </w:numPr>
        <w:spacing w:after="0" w:line="240" w:lineRule="auto"/>
        <w:jc w:val="both"/>
        <w:rPr>
          <w:rFonts w:ascii="Arial" w:hAnsi="Arial" w:cs="Arial"/>
        </w:rPr>
      </w:pPr>
      <w:r w:rsidRPr="007259CD">
        <w:rPr>
          <w:rFonts w:ascii="Arial" w:hAnsi="Arial" w:cs="Arial"/>
        </w:rPr>
        <w:t>To prevent, and reduce late diagnosis of HIV</w:t>
      </w:r>
    </w:p>
    <w:p w:rsidR="00BA64BA" w:rsidRPr="007259CD" w:rsidRDefault="00BA64BA" w:rsidP="002A30E5">
      <w:pPr>
        <w:pStyle w:val="ListParagraph"/>
        <w:numPr>
          <w:ilvl w:val="0"/>
          <w:numId w:val="2"/>
        </w:numPr>
        <w:spacing w:after="0" w:line="240" w:lineRule="auto"/>
        <w:jc w:val="both"/>
        <w:rPr>
          <w:rFonts w:ascii="Arial" w:hAnsi="Arial" w:cs="Arial"/>
        </w:rPr>
      </w:pPr>
      <w:r w:rsidRPr="007259CD">
        <w:rPr>
          <w:rFonts w:ascii="Arial" w:hAnsi="Arial" w:cs="Arial"/>
        </w:rPr>
        <w:t xml:space="preserve">To improve access to choice of contraception and reduce unwanted pregnancies by promoting and increasing </w:t>
      </w:r>
      <w:r w:rsidR="00632766">
        <w:rPr>
          <w:rFonts w:ascii="Arial" w:hAnsi="Arial" w:cs="Arial"/>
        </w:rPr>
        <w:t>the proportion</w:t>
      </w:r>
      <w:r w:rsidR="00632766" w:rsidRPr="007259CD">
        <w:rPr>
          <w:rFonts w:ascii="Arial" w:hAnsi="Arial" w:cs="Arial"/>
        </w:rPr>
        <w:t xml:space="preserve"> </w:t>
      </w:r>
      <w:r w:rsidRPr="007259CD">
        <w:rPr>
          <w:rFonts w:ascii="Arial" w:hAnsi="Arial" w:cs="Arial"/>
        </w:rPr>
        <w:t>of the most effective and reliable forms of long term contraception (</w:t>
      </w:r>
      <w:r w:rsidR="00CF1C63">
        <w:rPr>
          <w:rFonts w:ascii="Arial" w:hAnsi="Arial" w:cs="Arial"/>
        </w:rPr>
        <w:t>LARC</w:t>
      </w:r>
      <w:r w:rsidRPr="007259CD">
        <w:rPr>
          <w:rFonts w:ascii="Arial" w:hAnsi="Arial" w:cs="Arial"/>
        </w:rPr>
        <w:t>)</w:t>
      </w:r>
      <w:r w:rsidR="00CF1C63">
        <w:rPr>
          <w:rFonts w:ascii="Arial" w:hAnsi="Arial" w:cs="Arial"/>
        </w:rPr>
        <w:t xml:space="preserve"> </w:t>
      </w:r>
      <w:r w:rsidR="00632766">
        <w:rPr>
          <w:rFonts w:ascii="Arial" w:hAnsi="Arial" w:cs="Arial"/>
        </w:rPr>
        <w:t>among women accessing contraception</w:t>
      </w:r>
    </w:p>
    <w:p w:rsidR="000A6849" w:rsidRDefault="00BA64BA" w:rsidP="002A30E5">
      <w:pPr>
        <w:pStyle w:val="ListParagraph"/>
        <w:numPr>
          <w:ilvl w:val="0"/>
          <w:numId w:val="2"/>
        </w:numPr>
        <w:spacing w:after="0" w:line="240" w:lineRule="auto"/>
        <w:jc w:val="both"/>
        <w:rPr>
          <w:rFonts w:ascii="Arial" w:hAnsi="Arial" w:cs="Arial"/>
        </w:rPr>
      </w:pPr>
      <w:r w:rsidRPr="007259CD">
        <w:rPr>
          <w:rFonts w:ascii="Arial" w:hAnsi="Arial" w:cs="Arial"/>
        </w:rPr>
        <w:t>To  help reduce inequalities in sexual and reproductive health</w:t>
      </w:r>
    </w:p>
    <w:p w:rsidR="00BA64BA" w:rsidRPr="007259CD" w:rsidRDefault="000A6849" w:rsidP="002A30E5">
      <w:pPr>
        <w:pStyle w:val="ListParagraph"/>
        <w:numPr>
          <w:ilvl w:val="0"/>
          <w:numId w:val="2"/>
        </w:numPr>
        <w:spacing w:after="0" w:line="240" w:lineRule="auto"/>
        <w:jc w:val="both"/>
        <w:rPr>
          <w:rFonts w:ascii="Arial" w:hAnsi="Arial" w:cs="Arial"/>
        </w:rPr>
      </w:pPr>
      <w:r>
        <w:rPr>
          <w:rFonts w:ascii="Arial" w:hAnsi="Arial" w:cs="Arial"/>
        </w:rPr>
        <w:t>To increase access to sexual health through use of digital technology</w:t>
      </w:r>
      <w:r w:rsidR="00BA64BA" w:rsidRPr="007259CD">
        <w:rPr>
          <w:rFonts w:ascii="Arial" w:hAnsi="Arial" w:cs="Arial"/>
        </w:rPr>
        <w:t xml:space="preserve"> </w:t>
      </w:r>
    </w:p>
    <w:p w:rsidR="00BA64BA" w:rsidRPr="007259CD" w:rsidRDefault="00BA64BA" w:rsidP="002A30E5">
      <w:pPr>
        <w:pStyle w:val="ListParagraph"/>
        <w:numPr>
          <w:ilvl w:val="0"/>
          <w:numId w:val="2"/>
        </w:numPr>
        <w:spacing w:after="0" w:line="240" w:lineRule="auto"/>
        <w:jc w:val="both"/>
        <w:rPr>
          <w:rFonts w:ascii="Arial" w:hAnsi="Arial" w:cs="Arial"/>
        </w:rPr>
      </w:pPr>
      <w:r w:rsidRPr="007259CD">
        <w:rPr>
          <w:rFonts w:ascii="Arial" w:hAnsi="Arial" w:cs="Arial"/>
        </w:rPr>
        <w:t>Help promote better health and wellbeing by linking with other services, such as drug and alcohol services and domestic violence services</w:t>
      </w:r>
    </w:p>
    <w:p w:rsidR="00A24A1F" w:rsidRPr="007259CD" w:rsidRDefault="00BA64BA" w:rsidP="002A30E5">
      <w:pPr>
        <w:pStyle w:val="NoSpacing"/>
        <w:numPr>
          <w:ilvl w:val="0"/>
          <w:numId w:val="2"/>
        </w:numPr>
        <w:rPr>
          <w:rFonts w:cs="Arial"/>
        </w:rPr>
      </w:pPr>
      <w:r w:rsidRPr="007259CD">
        <w:rPr>
          <w:rFonts w:cs="Arial"/>
        </w:rPr>
        <w:t>Help address the wider social determinants of sexual ill health</w:t>
      </w:r>
    </w:p>
    <w:p w:rsidR="00BA64BA" w:rsidRPr="007259CD" w:rsidRDefault="00BA64BA" w:rsidP="00BA64BA">
      <w:pPr>
        <w:pStyle w:val="NoSpacing"/>
        <w:rPr>
          <w:rFonts w:cs="Arial"/>
        </w:rPr>
      </w:pPr>
    </w:p>
    <w:p w:rsidR="00BA64BA" w:rsidRPr="007259CD" w:rsidRDefault="00BA64BA" w:rsidP="00BA64BA">
      <w:pPr>
        <w:pStyle w:val="NoSpacing"/>
        <w:rPr>
          <w:rFonts w:cs="Arial"/>
        </w:rPr>
      </w:pPr>
    </w:p>
    <w:p w:rsidR="00BA64BA" w:rsidRPr="007259CD" w:rsidRDefault="00BA64BA" w:rsidP="00E061B8">
      <w:pPr>
        <w:pStyle w:val="NoSpacing"/>
        <w:numPr>
          <w:ilvl w:val="1"/>
          <w:numId w:val="37"/>
        </w:numPr>
        <w:rPr>
          <w:rFonts w:cs="Arial"/>
          <w:b/>
        </w:rPr>
      </w:pPr>
      <w:r w:rsidRPr="007259CD">
        <w:rPr>
          <w:rFonts w:cs="Arial"/>
          <w:b/>
        </w:rPr>
        <w:t>Outcomes</w:t>
      </w:r>
    </w:p>
    <w:p w:rsidR="0090426A" w:rsidRPr="00D049C1" w:rsidRDefault="0090426A" w:rsidP="002A30E5">
      <w:pPr>
        <w:pStyle w:val="ListParagraph"/>
        <w:numPr>
          <w:ilvl w:val="0"/>
          <w:numId w:val="3"/>
        </w:numPr>
        <w:jc w:val="both"/>
        <w:rPr>
          <w:rFonts w:ascii="Arial" w:hAnsi="Arial" w:cs="Arial"/>
        </w:rPr>
      </w:pPr>
      <w:r w:rsidRPr="00D049C1">
        <w:rPr>
          <w:rFonts w:ascii="Arial" w:hAnsi="Arial" w:cs="Arial"/>
        </w:rPr>
        <w:t>Early diagnosis of asymptomatic STIs</w:t>
      </w:r>
    </w:p>
    <w:p w:rsidR="00BA64BA" w:rsidRPr="007259CD" w:rsidRDefault="0090426A" w:rsidP="002A30E5">
      <w:pPr>
        <w:pStyle w:val="ListParagraph"/>
        <w:numPr>
          <w:ilvl w:val="0"/>
          <w:numId w:val="3"/>
        </w:numPr>
        <w:jc w:val="both"/>
        <w:rPr>
          <w:rFonts w:ascii="Arial" w:hAnsi="Arial" w:cs="Arial"/>
        </w:rPr>
      </w:pPr>
      <w:r>
        <w:rPr>
          <w:rFonts w:ascii="Arial" w:hAnsi="Arial" w:cs="Arial"/>
        </w:rPr>
        <w:t>T</w:t>
      </w:r>
      <w:r w:rsidR="00BA64BA" w:rsidRPr="007259CD">
        <w:rPr>
          <w:rFonts w:ascii="Arial" w:hAnsi="Arial" w:cs="Arial"/>
        </w:rPr>
        <w:t>imely results and follow-up for all STIs and improve</w:t>
      </w:r>
      <w:r>
        <w:rPr>
          <w:rFonts w:ascii="Arial" w:hAnsi="Arial" w:cs="Arial"/>
        </w:rPr>
        <w:t>d</w:t>
      </w:r>
      <w:r w:rsidR="00BA64BA" w:rsidRPr="007259CD">
        <w:rPr>
          <w:rFonts w:ascii="Arial" w:hAnsi="Arial" w:cs="Arial"/>
        </w:rPr>
        <w:t xml:space="preserve"> immunisation to help to reduce the risk of onward infections</w:t>
      </w:r>
    </w:p>
    <w:p w:rsidR="00BA64BA" w:rsidRPr="007259CD" w:rsidRDefault="00BA64BA" w:rsidP="002A30E5">
      <w:pPr>
        <w:pStyle w:val="ListParagraph"/>
        <w:numPr>
          <w:ilvl w:val="0"/>
          <w:numId w:val="3"/>
        </w:numPr>
        <w:jc w:val="both"/>
        <w:rPr>
          <w:rFonts w:ascii="Arial" w:hAnsi="Arial" w:cs="Arial"/>
        </w:rPr>
      </w:pPr>
      <w:r w:rsidRPr="007259CD">
        <w:rPr>
          <w:rFonts w:ascii="Arial" w:hAnsi="Arial" w:cs="Arial"/>
        </w:rPr>
        <w:t xml:space="preserve">Increase the uptake of HIV testing, reducing late HIV diagnoses and preventing new infections </w:t>
      </w:r>
    </w:p>
    <w:p w:rsidR="00BA64BA" w:rsidRPr="007259CD" w:rsidRDefault="00BA64BA" w:rsidP="002A30E5">
      <w:pPr>
        <w:pStyle w:val="ListParagraph"/>
        <w:numPr>
          <w:ilvl w:val="0"/>
          <w:numId w:val="3"/>
        </w:numPr>
        <w:jc w:val="both"/>
        <w:rPr>
          <w:rFonts w:ascii="Arial" w:hAnsi="Arial" w:cs="Arial"/>
        </w:rPr>
      </w:pPr>
      <w:r w:rsidRPr="007259CD">
        <w:rPr>
          <w:rFonts w:ascii="Arial" w:hAnsi="Arial" w:cs="Arial"/>
        </w:rPr>
        <w:t xml:space="preserve">Increase uptake of </w:t>
      </w:r>
      <w:r w:rsidR="00CF1C63">
        <w:rPr>
          <w:rFonts w:ascii="Arial" w:hAnsi="Arial" w:cs="Arial"/>
        </w:rPr>
        <w:t>LARC</w:t>
      </w:r>
      <w:r w:rsidRPr="007259CD">
        <w:rPr>
          <w:rFonts w:ascii="Arial" w:hAnsi="Arial" w:cs="Arial"/>
        </w:rPr>
        <w:t>, including for disadvantaged or under-served communities</w:t>
      </w:r>
    </w:p>
    <w:p w:rsidR="00BA64BA" w:rsidRPr="007259CD" w:rsidRDefault="00BA64BA" w:rsidP="002A30E5">
      <w:pPr>
        <w:pStyle w:val="ListParagraph"/>
        <w:numPr>
          <w:ilvl w:val="0"/>
          <w:numId w:val="3"/>
        </w:numPr>
        <w:jc w:val="both"/>
        <w:rPr>
          <w:rFonts w:ascii="Arial" w:hAnsi="Arial" w:cs="Arial"/>
        </w:rPr>
      </w:pPr>
      <w:r w:rsidRPr="007259CD">
        <w:rPr>
          <w:rFonts w:ascii="Arial" w:hAnsi="Arial" w:cs="Arial"/>
        </w:rPr>
        <w:t>Offer and uptake of screening and brief interventions in line with Making Every Contact Count principles, with onward signposting or referral to other community services as needed</w:t>
      </w:r>
    </w:p>
    <w:p w:rsidR="00BA64BA" w:rsidRPr="00D83004" w:rsidRDefault="00BA64BA" w:rsidP="002A30E5">
      <w:pPr>
        <w:pStyle w:val="ListParagraph"/>
        <w:numPr>
          <w:ilvl w:val="0"/>
          <w:numId w:val="3"/>
        </w:numPr>
        <w:jc w:val="both"/>
        <w:rPr>
          <w:rFonts w:ascii="Arial" w:hAnsi="Arial" w:cs="Arial"/>
        </w:rPr>
      </w:pPr>
      <w:r w:rsidRPr="00354188">
        <w:rPr>
          <w:rFonts w:ascii="Arial" w:hAnsi="Arial" w:cs="Arial"/>
        </w:rPr>
        <w:t>Ensure screening/identification and interventions for health and social risks such as domestic violence, child sexual e</w:t>
      </w:r>
      <w:r w:rsidRPr="00D83004">
        <w:rPr>
          <w:rFonts w:ascii="Arial" w:hAnsi="Arial" w:cs="Arial"/>
        </w:rPr>
        <w:t>xploitation, Female Genital Mutilation (FGM), and child and adult safeguarding, as part of local arrangements for pathways of care and support</w:t>
      </w:r>
    </w:p>
    <w:p w:rsidR="00BA64BA" w:rsidRPr="00C63DF2" w:rsidRDefault="00BA64BA" w:rsidP="00C63DF2">
      <w:pPr>
        <w:pStyle w:val="ListParagraph"/>
        <w:numPr>
          <w:ilvl w:val="0"/>
          <w:numId w:val="3"/>
        </w:numPr>
        <w:jc w:val="both"/>
        <w:rPr>
          <w:rFonts w:ascii="Arial" w:hAnsi="Arial" w:cs="Arial"/>
          <w:b/>
          <w:bCs/>
        </w:rPr>
      </w:pPr>
      <w:r w:rsidRPr="00C63DF2">
        <w:rPr>
          <w:rFonts w:ascii="Arial" w:hAnsi="Arial" w:cs="Arial"/>
        </w:rPr>
        <w:t xml:space="preserve">Improve sexual health promotion, HIV prevention and uptake of sexual health interventions including </w:t>
      </w:r>
      <w:r w:rsidR="00CF1C63" w:rsidRPr="00C63DF2">
        <w:rPr>
          <w:rFonts w:ascii="Arial" w:hAnsi="Arial" w:cs="Arial"/>
        </w:rPr>
        <w:t>LARC</w:t>
      </w:r>
      <w:r w:rsidRPr="00C63DF2">
        <w:rPr>
          <w:rFonts w:ascii="Arial" w:hAnsi="Arial" w:cs="Arial"/>
        </w:rPr>
        <w:t xml:space="preserve"> in key and vulnerable</w:t>
      </w:r>
      <w:r w:rsidR="00C63DF2">
        <w:rPr>
          <w:rStyle w:val="FootnoteReference"/>
          <w:rFonts w:ascii="Arial" w:hAnsi="Arial"/>
        </w:rPr>
        <w:footnoteReference w:id="3"/>
      </w:r>
      <w:r w:rsidRPr="00C63DF2">
        <w:rPr>
          <w:rFonts w:ascii="Arial" w:hAnsi="Arial" w:cs="Arial"/>
        </w:rPr>
        <w:t xml:space="preserve"> groups</w:t>
      </w:r>
      <w:r w:rsidR="006C1348" w:rsidRPr="00C63DF2">
        <w:rPr>
          <w:rFonts w:ascii="Arial" w:hAnsi="Arial" w:cs="Arial"/>
        </w:rPr>
        <w:t xml:space="preserve"> </w:t>
      </w:r>
      <w:r w:rsidRPr="00C63DF2">
        <w:rPr>
          <w:rFonts w:ascii="Arial" w:hAnsi="Arial" w:cs="Arial"/>
        </w:rPr>
        <w:t>through targeted interventions</w:t>
      </w:r>
      <w:r w:rsidR="00C63DF2">
        <w:rPr>
          <w:rFonts w:ascii="Arial" w:hAnsi="Arial" w:cs="Arial"/>
        </w:rPr>
        <w:t xml:space="preserve">, </w:t>
      </w:r>
      <w:r w:rsidRPr="00C63DF2">
        <w:rPr>
          <w:rFonts w:ascii="Arial" w:hAnsi="Arial" w:cs="Arial"/>
        </w:rPr>
        <w:t>promotion</w:t>
      </w:r>
      <w:r w:rsidR="00354188" w:rsidRPr="00C63DF2">
        <w:rPr>
          <w:rFonts w:ascii="Arial" w:hAnsi="Arial" w:cs="Arial"/>
        </w:rPr>
        <w:t xml:space="preserve"> and </w:t>
      </w:r>
      <w:r w:rsidRPr="00C63DF2">
        <w:rPr>
          <w:rFonts w:ascii="Arial" w:hAnsi="Arial" w:cs="Arial"/>
        </w:rPr>
        <w:t>innovation</w:t>
      </w:r>
    </w:p>
    <w:p w:rsidR="00BA64BA" w:rsidRDefault="00BA64BA" w:rsidP="002A30E5">
      <w:pPr>
        <w:pStyle w:val="ListParagraph"/>
        <w:numPr>
          <w:ilvl w:val="0"/>
          <w:numId w:val="3"/>
        </w:numPr>
        <w:jc w:val="both"/>
        <w:rPr>
          <w:rFonts w:ascii="Arial" w:hAnsi="Arial" w:cs="Arial"/>
        </w:rPr>
      </w:pPr>
      <w:r w:rsidRPr="007259CD">
        <w:rPr>
          <w:rFonts w:ascii="Arial" w:hAnsi="Arial" w:cs="Arial"/>
        </w:rPr>
        <w:t xml:space="preserve">Monitor and improve the quality and experience of services for all users, including annual </w:t>
      </w:r>
      <w:r w:rsidR="00D83004">
        <w:rPr>
          <w:rFonts w:ascii="Arial" w:hAnsi="Arial" w:cs="Arial"/>
        </w:rPr>
        <w:t>Service User</w:t>
      </w:r>
      <w:r w:rsidRPr="007259CD">
        <w:rPr>
          <w:rFonts w:ascii="Arial" w:hAnsi="Arial" w:cs="Arial"/>
        </w:rPr>
        <w:t xml:space="preserve"> engagement plans.</w:t>
      </w:r>
    </w:p>
    <w:p w:rsidR="00573845" w:rsidRPr="007259CD" w:rsidRDefault="00573845">
      <w:pPr>
        <w:rPr>
          <w:rFonts w:cs="Arial"/>
          <w:b/>
        </w:rPr>
      </w:pPr>
      <w:r w:rsidRPr="007259CD">
        <w:rPr>
          <w:rFonts w:cs="Arial"/>
          <w:b/>
        </w:rPr>
        <w:br w:type="page"/>
      </w:r>
    </w:p>
    <w:p w:rsidR="00BA64BA" w:rsidRPr="007259CD" w:rsidRDefault="00C63DF2" w:rsidP="00C63DF2">
      <w:pPr>
        <w:pStyle w:val="NoSpacing"/>
        <w:tabs>
          <w:tab w:val="left" w:pos="1815"/>
        </w:tabs>
        <w:rPr>
          <w:rFonts w:cs="Arial"/>
          <w:b/>
        </w:rPr>
      </w:pPr>
      <w:r>
        <w:rPr>
          <w:rFonts w:cs="Arial"/>
          <w:b/>
        </w:rPr>
        <w:lastRenderedPageBreak/>
        <w:tab/>
      </w:r>
    </w:p>
    <w:p w:rsidR="009D028E" w:rsidRPr="007259CD" w:rsidRDefault="00A24A1F" w:rsidP="00354188">
      <w:pPr>
        <w:pStyle w:val="NoSpacing"/>
        <w:numPr>
          <w:ilvl w:val="0"/>
          <w:numId w:val="37"/>
        </w:numPr>
        <w:rPr>
          <w:rFonts w:cs="Arial"/>
          <w:b/>
        </w:rPr>
      </w:pPr>
      <w:r w:rsidRPr="007259CD">
        <w:rPr>
          <w:rFonts w:cs="Arial"/>
          <w:b/>
        </w:rPr>
        <w:t>Servic</w:t>
      </w:r>
      <w:r w:rsidR="009D028E" w:rsidRPr="007259CD">
        <w:rPr>
          <w:rFonts w:cs="Arial"/>
          <w:b/>
        </w:rPr>
        <w:t>e</w:t>
      </w:r>
      <w:r w:rsidRPr="007259CD">
        <w:rPr>
          <w:rFonts w:cs="Arial"/>
          <w:b/>
        </w:rPr>
        <w:t xml:space="preserve"> Mode</w:t>
      </w:r>
      <w:r w:rsidR="009D028E" w:rsidRPr="007259CD">
        <w:rPr>
          <w:rFonts w:cs="Arial"/>
          <w:b/>
        </w:rPr>
        <w:t>l</w:t>
      </w:r>
    </w:p>
    <w:p w:rsidR="00F4523D" w:rsidRPr="007259CD" w:rsidRDefault="00F4523D" w:rsidP="00C10708">
      <w:pPr>
        <w:pStyle w:val="NoSpacing"/>
        <w:rPr>
          <w:rFonts w:cs="Arial"/>
          <w:b/>
        </w:rPr>
      </w:pPr>
    </w:p>
    <w:p w:rsidR="009D748D" w:rsidRPr="007259CD" w:rsidRDefault="009D748D" w:rsidP="00354188">
      <w:pPr>
        <w:pStyle w:val="NoSpacing"/>
        <w:numPr>
          <w:ilvl w:val="1"/>
          <w:numId w:val="37"/>
        </w:numPr>
        <w:rPr>
          <w:rFonts w:cs="Arial"/>
          <w:b/>
          <w:bCs/>
        </w:rPr>
      </w:pPr>
      <w:r w:rsidRPr="007259CD">
        <w:rPr>
          <w:rFonts w:cs="Arial"/>
          <w:b/>
          <w:bCs/>
        </w:rPr>
        <w:t>Overview</w:t>
      </w:r>
    </w:p>
    <w:p w:rsidR="00F4523D" w:rsidRPr="007259CD" w:rsidRDefault="00F4523D" w:rsidP="00C10708">
      <w:pPr>
        <w:pStyle w:val="NoSpacing"/>
        <w:rPr>
          <w:rFonts w:cs="Arial"/>
          <w:bCs/>
        </w:rPr>
      </w:pPr>
      <w:r w:rsidRPr="007259CD">
        <w:rPr>
          <w:rFonts w:cs="Arial"/>
          <w:bCs/>
        </w:rPr>
        <w:t xml:space="preserve">The Service will include a </w:t>
      </w:r>
      <w:r w:rsidR="006812D2" w:rsidRPr="007259CD">
        <w:rPr>
          <w:rFonts w:cs="Arial"/>
          <w:bCs/>
        </w:rPr>
        <w:t>mix of</w:t>
      </w:r>
      <w:r w:rsidRPr="007259CD">
        <w:rPr>
          <w:rFonts w:cs="Arial"/>
          <w:bCs/>
        </w:rPr>
        <w:t xml:space="preserve"> specialist (level 3) clinics offering fully comprehensive sexual and complex reproductive health services and clinics providing less complex care</w:t>
      </w:r>
      <w:r w:rsidR="00D83004">
        <w:rPr>
          <w:rFonts w:cs="Arial"/>
          <w:bCs/>
        </w:rPr>
        <w:t xml:space="preserve"> (non-specialist, level 2 care)</w:t>
      </w:r>
      <w:r w:rsidRPr="007259CD">
        <w:rPr>
          <w:rFonts w:cs="Arial"/>
          <w:bCs/>
        </w:rPr>
        <w:t xml:space="preserve">, in accordance with local need.  </w:t>
      </w:r>
      <w:r w:rsidRPr="007259CD">
        <w:rPr>
          <w:rFonts w:cs="Arial"/>
        </w:rPr>
        <w:t xml:space="preserve">They will provide high </w:t>
      </w:r>
      <w:r w:rsidR="006812D2" w:rsidRPr="007259CD">
        <w:rPr>
          <w:rFonts w:cs="Arial"/>
        </w:rPr>
        <w:t>quality</w:t>
      </w:r>
      <w:r w:rsidR="006812D2">
        <w:rPr>
          <w:rFonts w:cs="Arial"/>
        </w:rPr>
        <w:t>,</w:t>
      </w:r>
      <w:r w:rsidRPr="007259CD">
        <w:rPr>
          <w:rFonts w:cs="Arial"/>
        </w:rPr>
        <w:t xml:space="preserve"> confidential, patient-focussed services delivered using the most effectiv</w:t>
      </w:r>
      <w:r w:rsidR="00573845" w:rsidRPr="007259CD">
        <w:rPr>
          <w:rFonts w:cs="Arial"/>
        </w:rPr>
        <w:t>e skill mix, triaging and</w:t>
      </w:r>
      <w:r w:rsidRPr="007259CD">
        <w:rPr>
          <w:rFonts w:cs="Arial"/>
        </w:rPr>
        <w:t xml:space="preserve"> ICT solutions to make best use of finite resources. </w:t>
      </w:r>
      <w:r w:rsidRPr="007259CD">
        <w:rPr>
          <w:rFonts w:cs="Arial"/>
          <w:bCs/>
        </w:rPr>
        <w:t xml:space="preserve"> All clinics within the network will share a common core of standards and requirements including:</w:t>
      </w:r>
    </w:p>
    <w:p w:rsidR="00F4523D" w:rsidRPr="007259CD" w:rsidRDefault="00F4523D" w:rsidP="00C10708">
      <w:pPr>
        <w:pStyle w:val="NoSpacing"/>
        <w:rPr>
          <w:rFonts w:cs="Arial"/>
          <w:bCs/>
        </w:rPr>
      </w:pPr>
    </w:p>
    <w:p w:rsidR="00F4523D" w:rsidRPr="007259CD" w:rsidRDefault="00F4523D" w:rsidP="002A30E5">
      <w:pPr>
        <w:pStyle w:val="ListParagraph"/>
        <w:numPr>
          <w:ilvl w:val="0"/>
          <w:numId w:val="4"/>
        </w:numPr>
        <w:spacing w:line="240" w:lineRule="auto"/>
        <w:jc w:val="both"/>
        <w:rPr>
          <w:rFonts w:ascii="Arial" w:hAnsi="Arial" w:cs="Arial"/>
          <w:color w:val="000000"/>
        </w:rPr>
      </w:pPr>
      <w:r w:rsidRPr="007259CD">
        <w:rPr>
          <w:rFonts w:ascii="Arial" w:hAnsi="Arial" w:cs="Arial"/>
          <w:color w:val="000000"/>
        </w:rPr>
        <w:t>ensuring people get the appropriate level of care to meet their needs: the right level of service, in the right place, at the right time, in order to make the most</w:t>
      </w:r>
      <w:bookmarkStart w:id="0" w:name="_GoBack"/>
      <w:bookmarkEnd w:id="0"/>
      <w:r w:rsidRPr="007259CD">
        <w:rPr>
          <w:rFonts w:ascii="Arial" w:hAnsi="Arial" w:cs="Arial"/>
          <w:color w:val="000000"/>
        </w:rPr>
        <w:t xml:space="preserve"> effective use of resources to meet </w:t>
      </w:r>
      <w:r w:rsidR="00D83004">
        <w:rPr>
          <w:rFonts w:ascii="Arial" w:hAnsi="Arial" w:cs="Arial"/>
          <w:color w:val="000000"/>
        </w:rPr>
        <w:t>Service User</w:t>
      </w:r>
      <w:r w:rsidRPr="007259CD">
        <w:rPr>
          <w:rFonts w:ascii="Arial" w:hAnsi="Arial" w:cs="Arial"/>
          <w:color w:val="000000"/>
        </w:rPr>
        <w:t>s’ needs – this includes offering</w:t>
      </w:r>
      <w:r w:rsidR="000773BF">
        <w:rPr>
          <w:rFonts w:ascii="Arial" w:hAnsi="Arial" w:cs="Arial"/>
          <w:color w:val="000000"/>
        </w:rPr>
        <w:t xml:space="preserve"> an </w:t>
      </w:r>
      <w:r w:rsidR="00D43648">
        <w:rPr>
          <w:rFonts w:ascii="Arial" w:hAnsi="Arial" w:cs="Arial"/>
          <w:color w:val="000000"/>
        </w:rPr>
        <w:t>online</w:t>
      </w:r>
      <w:r w:rsidR="000773BF">
        <w:rPr>
          <w:rFonts w:ascii="Arial" w:hAnsi="Arial" w:cs="Arial"/>
          <w:color w:val="000000"/>
        </w:rPr>
        <w:t xml:space="preserve"> service for full sexual health screening (including HIV)</w:t>
      </w:r>
      <w:r w:rsidR="006812D2">
        <w:rPr>
          <w:rFonts w:ascii="Arial" w:hAnsi="Arial" w:cs="Arial"/>
          <w:color w:val="000000"/>
        </w:rPr>
        <w:t>,</w:t>
      </w:r>
      <w:r w:rsidRPr="007259CD">
        <w:rPr>
          <w:rFonts w:ascii="Arial" w:hAnsi="Arial" w:cs="Arial"/>
          <w:color w:val="000000"/>
        </w:rPr>
        <w:t xml:space="preserve"> with robust treatment and follow up procedures and safeguarding</w:t>
      </w:r>
    </w:p>
    <w:p w:rsidR="00F4523D" w:rsidRPr="007259CD" w:rsidRDefault="00F4523D" w:rsidP="002A30E5">
      <w:pPr>
        <w:pStyle w:val="ListParagraph"/>
        <w:numPr>
          <w:ilvl w:val="0"/>
          <w:numId w:val="4"/>
        </w:numPr>
        <w:spacing w:line="240" w:lineRule="auto"/>
        <w:ind w:left="714" w:hanging="357"/>
        <w:jc w:val="both"/>
        <w:rPr>
          <w:rFonts w:ascii="Arial" w:hAnsi="Arial" w:cs="Arial"/>
          <w:bCs/>
        </w:rPr>
      </w:pPr>
      <w:r w:rsidRPr="007259CD">
        <w:rPr>
          <w:rFonts w:ascii="Arial" w:hAnsi="Arial" w:cs="Arial"/>
          <w:bCs/>
        </w:rPr>
        <w:t xml:space="preserve">localised or community-based clinics delivering </w:t>
      </w:r>
      <w:r w:rsidR="00087959">
        <w:rPr>
          <w:rFonts w:ascii="Arial" w:hAnsi="Arial" w:cs="Arial"/>
          <w:bCs/>
        </w:rPr>
        <w:t>core (level 1)</w:t>
      </w:r>
      <w:r w:rsidRPr="007259CD">
        <w:rPr>
          <w:rFonts w:ascii="Arial" w:hAnsi="Arial" w:cs="Arial"/>
          <w:bCs/>
        </w:rPr>
        <w:t xml:space="preserve"> or non-specialist</w:t>
      </w:r>
      <w:r w:rsidR="00087959">
        <w:rPr>
          <w:rFonts w:ascii="Arial" w:hAnsi="Arial" w:cs="Arial"/>
          <w:bCs/>
        </w:rPr>
        <w:t xml:space="preserve"> (level 2)</w:t>
      </w:r>
      <w:r w:rsidRPr="007259CD">
        <w:rPr>
          <w:rFonts w:ascii="Arial" w:hAnsi="Arial" w:cs="Arial"/>
          <w:bCs/>
        </w:rPr>
        <w:t xml:space="preserve"> elements of the service</w:t>
      </w:r>
    </w:p>
    <w:p w:rsidR="00F4523D" w:rsidRPr="007259CD" w:rsidRDefault="00F4523D" w:rsidP="002A30E5">
      <w:pPr>
        <w:pStyle w:val="ListParagraph"/>
        <w:numPr>
          <w:ilvl w:val="0"/>
          <w:numId w:val="4"/>
        </w:numPr>
        <w:spacing w:line="240" w:lineRule="auto"/>
        <w:ind w:left="714" w:hanging="357"/>
        <w:rPr>
          <w:rFonts w:ascii="Arial" w:hAnsi="Arial" w:cs="Arial"/>
        </w:rPr>
      </w:pPr>
      <w:r w:rsidRPr="007259CD">
        <w:rPr>
          <w:rFonts w:ascii="Arial" w:hAnsi="Arial" w:cs="Arial"/>
        </w:rPr>
        <w:t xml:space="preserve">specialist </w:t>
      </w:r>
      <w:r w:rsidR="00087959">
        <w:rPr>
          <w:rFonts w:ascii="Arial" w:hAnsi="Arial" w:cs="Arial"/>
        </w:rPr>
        <w:t xml:space="preserve">(level 3) </w:t>
      </w:r>
      <w:r w:rsidRPr="007259CD">
        <w:rPr>
          <w:rFonts w:ascii="Arial" w:hAnsi="Arial" w:cs="Arial"/>
        </w:rPr>
        <w:t xml:space="preserve">clinical services, which have good transport links and are able to serve population needs for specialist services </w:t>
      </w:r>
    </w:p>
    <w:p w:rsidR="00F4523D" w:rsidRPr="007259CD" w:rsidRDefault="00F4523D" w:rsidP="002A30E5">
      <w:pPr>
        <w:pStyle w:val="ListParagraph"/>
        <w:numPr>
          <w:ilvl w:val="0"/>
          <w:numId w:val="4"/>
        </w:numPr>
        <w:spacing w:line="240" w:lineRule="auto"/>
        <w:ind w:left="714" w:hanging="357"/>
        <w:jc w:val="both"/>
        <w:rPr>
          <w:rFonts w:ascii="Arial" w:hAnsi="Arial" w:cs="Arial"/>
          <w:bCs/>
        </w:rPr>
      </w:pPr>
      <w:r w:rsidRPr="007259CD">
        <w:rPr>
          <w:rFonts w:ascii="Arial" w:hAnsi="Arial" w:cs="Arial"/>
          <w:bCs/>
        </w:rPr>
        <w:t>working across a network of wider health and social care services, with links and referral pathways in place between services, so that wider sexual health and/or other identified needs can be addressed</w:t>
      </w:r>
    </w:p>
    <w:p w:rsidR="00F4523D" w:rsidRPr="007259CD" w:rsidRDefault="00F4523D" w:rsidP="002A30E5">
      <w:pPr>
        <w:pStyle w:val="ListParagraph"/>
        <w:numPr>
          <w:ilvl w:val="0"/>
          <w:numId w:val="4"/>
        </w:numPr>
        <w:spacing w:line="240" w:lineRule="auto"/>
        <w:ind w:left="714" w:hanging="357"/>
        <w:jc w:val="both"/>
        <w:rPr>
          <w:rFonts w:ascii="Arial" w:hAnsi="Arial" w:cs="Arial"/>
          <w:bCs/>
        </w:rPr>
      </w:pPr>
      <w:r w:rsidRPr="007259CD">
        <w:rPr>
          <w:rFonts w:ascii="Arial" w:hAnsi="Arial" w:cs="Arial"/>
          <w:bCs/>
        </w:rPr>
        <w:t xml:space="preserve">promoting sexual and reproductive health and providing </w:t>
      </w:r>
      <w:r w:rsidRPr="007259CD">
        <w:rPr>
          <w:rFonts w:ascii="Arial" w:hAnsi="Arial" w:cs="Arial"/>
        </w:rPr>
        <w:t>information, advice and support</w:t>
      </w:r>
      <w:r w:rsidRPr="007259CD">
        <w:rPr>
          <w:rFonts w:ascii="Arial" w:hAnsi="Arial" w:cs="Arial"/>
          <w:bCs/>
        </w:rPr>
        <w:t xml:space="preserve"> through means </w:t>
      </w:r>
      <w:r w:rsidRPr="007259CD">
        <w:rPr>
          <w:rFonts w:ascii="Arial" w:hAnsi="Arial" w:cs="Arial"/>
        </w:rPr>
        <w:t>such as</w:t>
      </w:r>
      <w:r w:rsidR="00573845" w:rsidRPr="007259CD">
        <w:rPr>
          <w:rFonts w:ascii="Arial" w:hAnsi="Arial" w:cs="Arial"/>
        </w:rPr>
        <w:t xml:space="preserve"> online booking,</w:t>
      </w:r>
      <w:r w:rsidRPr="007259CD">
        <w:rPr>
          <w:rFonts w:ascii="Arial" w:hAnsi="Arial" w:cs="Arial"/>
        </w:rPr>
        <w:t xml:space="preserve"> a telephone line accessible by the public, and contributing proactively to the </w:t>
      </w:r>
      <w:r w:rsidRPr="007259CD">
        <w:rPr>
          <w:rFonts w:ascii="Arial" w:hAnsi="Arial" w:cs="Arial"/>
          <w:bCs/>
        </w:rPr>
        <w:t xml:space="preserve">Safe Sex Berkshire website.  </w:t>
      </w:r>
    </w:p>
    <w:p w:rsidR="00F4523D" w:rsidRPr="007259CD" w:rsidRDefault="00F4523D" w:rsidP="00F4523D">
      <w:pPr>
        <w:jc w:val="both"/>
        <w:rPr>
          <w:rFonts w:eastAsia="Times New Roman" w:cs="Arial"/>
        </w:rPr>
      </w:pPr>
      <w:r w:rsidRPr="007259CD">
        <w:rPr>
          <w:rFonts w:cs="Arial"/>
          <w:bCs/>
        </w:rPr>
        <w:t xml:space="preserve">The Service will aim to optimise </w:t>
      </w:r>
      <w:r w:rsidRPr="007259CD">
        <w:rPr>
          <w:rFonts w:eastAsia="Times New Roman" w:cs="Arial"/>
        </w:rPr>
        <w:t>the sexual health of individuals and their sexual partners, through the provision of appropriate services and through key sexual health messages, within a clinic environment, promoting self-management and care and targeting high risk client groups who are least able to access care.</w:t>
      </w:r>
    </w:p>
    <w:p w:rsidR="0009660C" w:rsidRPr="007259CD" w:rsidRDefault="0009660C" w:rsidP="00F4523D">
      <w:pPr>
        <w:jc w:val="both"/>
        <w:rPr>
          <w:rFonts w:eastAsia="Times New Roman" w:cs="Arial"/>
        </w:rPr>
      </w:pPr>
    </w:p>
    <w:p w:rsidR="0009660C" w:rsidRPr="007259CD" w:rsidRDefault="0009660C" w:rsidP="00F4523D">
      <w:pPr>
        <w:jc w:val="both"/>
        <w:rPr>
          <w:rFonts w:eastAsia="Times New Roman" w:cs="Arial"/>
        </w:rPr>
      </w:pPr>
      <w:r w:rsidRPr="007259CD">
        <w:rPr>
          <w:rFonts w:eastAsia="Times New Roman" w:cs="Arial"/>
        </w:rPr>
        <w:t>The Service will contribute to reducing rates of STIs and HIV through the provisio</w:t>
      </w:r>
      <w:r w:rsidR="004A63D0" w:rsidRPr="007259CD">
        <w:rPr>
          <w:rFonts w:eastAsia="Times New Roman" w:cs="Arial"/>
        </w:rPr>
        <w:t>n of rapid user-focused services (including online STI testing)</w:t>
      </w:r>
      <w:r w:rsidRPr="007259CD">
        <w:rPr>
          <w:rFonts w:eastAsia="Times New Roman" w:cs="Arial"/>
        </w:rPr>
        <w:t xml:space="preserve"> for bacterial and viral STI screening, diagnosis and treatment, and the provision of targeted sexual health promotion and partner notification</w:t>
      </w:r>
      <w:r w:rsidR="007479A2">
        <w:rPr>
          <w:rFonts w:eastAsia="Times New Roman" w:cs="Arial"/>
        </w:rPr>
        <w:t>.</w:t>
      </w:r>
    </w:p>
    <w:p w:rsidR="0009660C" w:rsidRPr="007259CD" w:rsidRDefault="0009660C" w:rsidP="00F4523D">
      <w:pPr>
        <w:jc w:val="both"/>
        <w:rPr>
          <w:rFonts w:eastAsia="Times New Roman" w:cs="Arial"/>
        </w:rPr>
      </w:pPr>
    </w:p>
    <w:p w:rsidR="00D049C1" w:rsidRDefault="0009660C" w:rsidP="00F4523D">
      <w:pPr>
        <w:jc w:val="both"/>
        <w:rPr>
          <w:rFonts w:eastAsia="Times New Roman" w:cs="Arial"/>
        </w:rPr>
      </w:pPr>
      <w:r w:rsidRPr="007259CD">
        <w:rPr>
          <w:rFonts w:eastAsia="Times New Roman" w:cs="Arial"/>
        </w:rPr>
        <w:t xml:space="preserve">The Service will promote choice of contraceptive methods, ensuring that </w:t>
      </w:r>
      <w:r w:rsidR="00D83004">
        <w:rPr>
          <w:rFonts w:eastAsia="Times New Roman" w:cs="Arial"/>
        </w:rPr>
        <w:t>Service User</w:t>
      </w:r>
      <w:r w:rsidRPr="007259CD">
        <w:rPr>
          <w:rFonts w:eastAsia="Times New Roman" w:cs="Arial"/>
        </w:rPr>
        <w:t>s have access to comprehensive information and access to a range of contraceptive methods so that they are able to access the type of contraception that will most effectively address their needs from the most appropriate place at a time that is convenient.</w:t>
      </w:r>
      <w:r w:rsidR="00C434C8">
        <w:rPr>
          <w:rFonts w:eastAsia="Times New Roman" w:cs="Arial"/>
        </w:rPr>
        <w:t xml:space="preserve"> The </w:t>
      </w:r>
      <w:r w:rsidR="00D83004">
        <w:rPr>
          <w:rFonts w:eastAsia="Times New Roman" w:cs="Arial"/>
        </w:rPr>
        <w:t>Service User</w:t>
      </w:r>
      <w:r w:rsidR="009A3DFD">
        <w:rPr>
          <w:rFonts w:eastAsia="Times New Roman" w:cs="Arial"/>
        </w:rPr>
        <w:t>s</w:t>
      </w:r>
      <w:r w:rsidR="00C434C8">
        <w:rPr>
          <w:rFonts w:eastAsia="Times New Roman" w:cs="Arial"/>
        </w:rPr>
        <w:t xml:space="preserve"> will </w:t>
      </w:r>
      <w:r w:rsidR="009A3DFD">
        <w:rPr>
          <w:rFonts w:eastAsia="Times New Roman" w:cs="Arial"/>
        </w:rPr>
        <w:t>be advised t</w:t>
      </w:r>
      <w:r w:rsidR="00C434C8">
        <w:rPr>
          <w:rFonts w:eastAsia="Times New Roman" w:cs="Arial"/>
        </w:rPr>
        <w:t>o obtain repeat contraception from their GP wherever possible.</w:t>
      </w:r>
    </w:p>
    <w:p w:rsidR="0009660C" w:rsidRPr="007259CD" w:rsidRDefault="0009660C" w:rsidP="00F4523D">
      <w:pPr>
        <w:jc w:val="both"/>
        <w:rPr>
          <w:rFonts w:eastAsia="Times New Roman" w:cs="Arial"/>
        </w:rPr>
      </w:pPr>
    </w:p>
    <w:p w:rsidR="0009660C" w:rsidRPr="007259CD" w:rsidRDefault="0009660C" w:rsidP="00F4523D">
      <w:pPr>
        <w:jc w:val="both"/>
        <w:rPr>
          <w:rFonts w:eastAsia="Times New Roman" w:cs="Arial"/>
        </w:rPr>
      </w:pPr>
    </w:p>
    <w:p w:rsidR="0009660C" w:rsidRDefault="0009660C" w:rsidP="00F4523D">
      <w:pPr>
        <w:jc w:val="both"/>
        <w:rPr>
          <w:rFonts w:eastAsia="MS ??" w:cs="Arial"/>
        </w:rPr>
      </w:pPr>
      <w:r w:rsidRPr="007259CD">
        <w:rPr>
          <w:rFonts w:eastAsia="MS ??" w:cs="Arial"/>
        </w:rPr>
        <w:t xml:space="preserve">The Service will be customer-focussed and well-signposted, with availability of appointments and ease of access and hours to suit local need. </w:t>
      </w:r>
      <w:r w:rsidRPr="007259CD">
        <w:rPr>
          <w:rFonts w:cs="Arial"/>
        </w:rPr>
        <w:t xml:space="preserve">Services will be conveniently located with good transport connections, and networked with other local services.  </w:t>
      </w:r>
      <w:r w:rsidRPr="007259CD">
        <w:rPr>
          <w:rFonts w:eastAsia="MS ??" w:cs="Arial"/>
        </w:rPr>
        <w:t xml:space="preserve">Hours of service availability will include early morning, lunchtime and evening clinics, as well as weekend clinics.  </w:t>
      </w:r>
    </w:p>
    <w:p w:rsidR="00C434C8" w:rsidRPr="007259CD" w:rsidRDefault="00C434C8" w:rsidP="00F4523D">
      <w:pPr>
        <w:jc w:val="both"/>
        <w:rPr>
          <w:rFonts w:eastAsia="MS ??" w:cs="Arial"/>
        </w:rPr>
      </w:pPr>
    </w:p>
    <w:p w:rsidR="0009660C" w:rsidRPr="007259CD" w:rsidRDefault="0009660C" w:rsidP="00F4523D">
      <w:pPr>
        <w:jc w:val="both"/>
        <w:rPr>
          <w:rFonts w:eastAsia="MS ??" w:cs="Arial"/>
        </w:rPr>
      </w:pPr>
      <w:r w:rsidRPr="007259CD">
        <w:rPr>
          <w:rFonts w:eastAsia="MS ??" w:cs="Arial"/>
        </w:rPr>
        <w:t xml:space="preserve">The Provider shall have in place mechanisms to engage with and collect </w:t>
      </w:r>
      <w:r w:rsidR="00D83004">
        <w:rPr>
          <w:rFonts w:eastAsia="MS ??" w:cs="Arial"/>
        </w:rPr>
        <w:t>Service User</w:t>
      </w:r>
      <w:r w:rsidRPr="007259CD">
        <w:rPr>
          <w:rFonts w:eastAsia="MS ??" w:cs="Arial"/>
        </w:rPr>
        <w:t xml:space="preserve"> feedback, including an annual </w:t>
      </w:r>
      <w:r w:rsidR="00D83004">
        <w:rPr>
          <w:rFonts w:eastAsia="MS ??" w:cs="Arial"/>
        </w:rPr>
        <w:t>Service User</w:t>
      </w:r>
      <w:r w:rsidRPr="007259CD">
        <w:rPr>
          <w:rFonts w:eastAsia="MS ??" w:cs="Arial"/>
        </w:rPr>
        <w:t xml:space="preserve"> engagement plan, to contribute to service improvement and planning, delivery and evaluation in discussion with the </w:t>
      </w:r>
      <w:r w:rsidR="007479A2">
        <w:rPr>
          <w:rFonts w:eastAsia="MS ??" w:cs="Arial"/>
        </w:rPr>
        <w:t>Commissioner</w:t>
      </w:r>
      <w:r w:rsidRPr="007259CD">
        <w:rPr>
          <w:rFonts w:eastAsia="MS ??" w:cs="Arial"/>
        </w:rPr>
        <w:t>s.</w:t>
      </w:r>
    </w:p>
    <w:p w:rsidR="0009660C" w:rsidRPr="007259CD" w:rsidRDefault="0009660C" w:rsidP="00F4523D">
      <w:pPr>
        <w:jc w:val="both"/>
        <w:rPr>
          <w:rFonts w:eastAsia="MS ??" w:cs="Arial"/>
        </w:rPr>
      </w:pPr>
    </w:p>
    <w:p w:rsidR="0009660C" w:rsidRPr="007259CD" w:rsidRDefault="0009660C" w:rsidP="00F4523D">
      <w:pPr>
        <w:jc w:val="both"/>
        <w:rPr>
          <w:rFonts w:eastAsia="Times New Roman" w:cs="Arial"/>
        </w:rPr>
      </w:pPr>
      <w:r w:rsidRPr="007259CD">
        <w:rPr>
          <w:rFonts w:eastAsia="Times New Roman" w:cs="Arial"/>
        </w:rPr>
        <w:lastRenderedPageBreak/>
        <w:t xml:space="preserve">The Service will maximise effectiveness and best use of finite resources by ensuring that clients receive the appropriate level of service for their need, including people with lower levels of need seeing </w:t>
      </w:r>
      <w:r w:rsidR="00354188">
        <w:rPr>
          <w:rFonts w:eastAsia="Times New Roman" w:cs="Arial"/>
        </w:rPr>
        <w:t>appropriately graded and qualified staff</w:t>
      </w:r>
      <w:r w:rsidRPr="007259CD">
        <w:rPr>
          <w:rFonts w:eastAsia="Times New Roman" w:cs="Arial"/>
        </w:rPr>
        <w:t>.</w:t>
      </w:r>
    </w:p>
    <w:p w:rsidR="0009660C" w:rsidRPr="007259CD" w:rsidRDefault="0009660C" w:rsidP="00F4523D">
      <w:pPr>
        <w:jc w:val="both"/>
        <w:rPr>
          <w:rFonts w:eastAsia="Times New Roman" w:cs="Arial"/>
        </w:rPr>
      </w:pPr>
    </w:p>
    <w:p w:rsidR="0009660C" w:rsidRPr="007259CD" w:rsidRDefault="0009660C" w:rsidP="00F4523D">
      <w:pPr>
        <w:jc w:val="both"/>
        <w:rPr>
          <w:rFonts w:eastAsia="Times New Roman" w:cs="Arial"/>
        </w:rPr>
      </w:pPr>
      <w:r w:rsidRPr="007259CD">
        <w:rPr>
          <w:rFonts w:eastAsia="Times New Roman" w:cs="Arial"/>
        </w:rPr>
        <w:t xml:space="preserve">The Service will work to ensure an effective skill mix of staff and take part in the sharing of good practice. This will include continuously reviewing workforce skills mix ensuring a range of relevant competencies; and developing services, in agreement with </w:t>
      </w:r>
      <w:r w:rsidR="007479A2">
        <w:rPr>
          <w:rFonts w:eastAsia="Times New Roman" w:cs="Arial"/>
        </w:rPr>
        <w:t>Commissioner</w:t>
      </w:r>
      <w:r w:rsidRPr="007259CD">
        <w:rPr>
          <w:rFonts w:eastAsia="Times New Roman" w:cs="Arial"/>
        </w:rPr>
        <w:t>s, in line with local needs assessments with the input/support of referral and partner agencies.</w:t>
      </w:r>
    </w:p>
    <w:p w:rsidR="0009660C" w:rsidRPr="007259CD" w:rsidRDefault="0009660C" w:rsidP="00F4523D">
      <w:pPr>
        <w:jc w:val="both"/>
        <w:rPr>
          <w:rFonts w:eastAsia="Times New Roman" w:cs="Arial"/>
        </w:rPr>
      </w:pPr>
    </w:p>
    <w:p w:rsidR="0009660C" w:rsidRPr="007259CD" w:rsidRDefault="0009660C" w:rsidP="0009660C">
      <w:pPr>
        <w:pStyle w:val="ListParagraph"/>
        <w:spacing w:after="0" w:line="240" w:lineRule="auto"/>
        <w:ind w:left="0"/>
        <w:jc w:val="both"/>
        <w:rPr>
          <w:rFonts w:ascii="Arial" w:hAnsi="Arial" w:cs="Arial"/>
        </w:rPr>
      </w:pPr>
      <w:r w:rsidRPr="007259CD">
        <w:rPr>
          <w:rFonts w:ascii="Arial" w:eastAsia="Times New Roman" w:hAnsi="Arial" w:cs="Arial"/>
        </w:rPr>
        <w:t xml:space="preserve">The </w:t>
      </w:r>
      <w:r w:rsidR="004A63D0" w:rsidRPr="007259CD">
        <w:rPr>
          <w:rFonts w:ascii="Arial" w:eastAsia="Times New Roman" w:hAnsi="Arial" w:cs="Arial"/>
        </w:rPr>
        <w:t>S</w:t>
      </w:r>
      <w:r w:rsidRPr="007259CD">
        <w:rPr>
          <w:rFonts w:ascii="Arial" w:eastAsia="Times New Roman" w:hAnsi="Arial" w:cs="Arial"/>
        </w:rPr>
        <w:t>ervice will use data collection and analysis proactively to drive improvement</w:t>
      </w:r>
      <w:r w:rsidRPr="007259CD">
        <w:rPr>
          <w:rFonts w:ascii="Arial" w:hAnsi="Arial" w:cs="Arial"/>
        </w:rPr>
        <w:t>, insight and innovation. There should be routine collection and monitoring of demographic data, including of protected characteristics, in terms of service access and patterns of service use, risk and outcomes, identifying any gaps or trends in needs between different groups in order to support better targeting of interventions and meeting need.  This should include an annual review of the effectiveness of the geographic distribution and operation of clinic locations and services in reaching key local groups and promoting uptake of key interventions.</w:t>
      </w:r>
    </w:p>
    <w:p w:rsidR="0044670A" w:rsidRPr="007259CD" w:rsidRDefault="0044670A" w:rsidP="0009660C">
      <w:pPr>
        <w:pStyle w:val="ListParagraph"/>
        <w:spacing w:after="0" w:line="240" w:lineRule="auto"/>
        <w:ind w:left="0"/>
        <w:jc w:val="both"/>
        <w:rPr>
          <w:rFonts w:ascii="Arial" w:hAnsi="Arial" w:cs="Arial"/>
        </w:rPr>
      </w:pPr>
    </w:p>
    <w:p w:rsidR="0044670A" w:rsidRPr="007259CD" w:rsidRDefault="0044670A" w:rsidP="0009660C">
      <w:pPr>
        <w:pStyle w:val="ListParagraph"/>
        <w:spacing w:after="0" w:line="240" w:lineRule="auto"/>
        <w:ind w:left="0"/>
        <w:jc w:val="both"/>
        <w:rPr>
          <w:rFonts w:ascii="Arial" w:hAnsi="Arial" w:cs="Arial"/>
        </w:rPr>
      </w:pPr>
      <w:r w:rsidRPr="007259CD">
        <w:rPr>
          <w:rFonts w:ascii="Arial" w:hAnsi="Arial" w:cs="Arial"/>
        </w:rPr>
        <w:t xml:space="preserve">The </w:t>
      </w:r>
      <w:r w:rsidR="004A63D0" w:rsidRPr="007259CD">
        <w:rPr>
          <w:rFonts w:ascii="Arial" w:hAnsi="Arial" w:cs="Arial"/>
        </w:rPr>
        <w:t>S</w:t>
      </w:r>
      <w:r w:rsidRPr="007259CD">
        <w:rPr>
          <w:rFonts w:ascii="Arial" w:hAnsi="Arial" w:cs="Arial"/>
        </w:rPr>
        <w:t>ervice will link effectively with HIV treatment and care services commissioned by NHSE Specialised Commissioning to enable seamless patient experience through the HIV pathway and contributing to achieving the 90 90 90 objectives</w:t>
      </w:r>
      <w:r w:rsidR="007479A2">
        <w:rPr>
          <w:rFonts w:ascii="Arial" w:hAnsi="Arial" w:cs="Arial"/>
        </w:rPr>
        <w:t>.</w:t>
      </w:r>
    </w:p>
    <w:p w:rsidR="0044670A" w:rsidRPr="007259CD" w:rsidRDefault="0044670A" w:rsidP="0009660C">
      <w:pPr>
        <w:pStyle w:val="ListParagraph"/>
        <w:spacing w:after="0" w:line="240" w:lineRule="auto"/>
        <w:ind w:left="0"/>
        <w:jc w:val="both"/>
        <w:rPr>
          <w:rFonts w:ascii="Arial" w:hAnsi="Arial" w:cs="Arial"/>
        </w:rPr>
      </w:pPr>
    </w:p>
    <w:p w:rsidR="0044670A" w:rsidRPr="007259CD" w:rsidRDefault="0044670A" w:rsidP="0009660C">
      <w:pPr>
        <w:pStyle w:val="ListParagraph"/>
        <w:spacing w:after="0" w:line="240" w:lineRule="auto"/>
        <w:ind w:left="0"/>
        <w:jc w:val="both"/>
        <w:rPr>
          <w:rFonts w:ascii="Arial" w:eastAsia="Times New Roman" w:hAnsi="Arial" w:cs="Arial"/>
        </w:rPr>
      </w:pPr>
      <w:r w:rsidRPr="007259CD">
        <w:rPr>
          <w:rFonts w:ascii="Arial" w:hAnsi="Arial" w:cs="Arial"/>
        </w:rPr>
        <w:t xml:space="preserve">The </w:t>
      </w:r>
      <w:r w:rsidR="004A63D0" w:rsidRPr="007259CD">
        <w:rPr>
          <w:rFonts w:ascii="Arial" w:hAnsi="Arial" w:cs="Arial"/>
        </w:rPr>
        <w:t>S</w:t>
      </w:r>
      <w:r w:rsidRPr="007259CD">
        <w:rPr>
          <w:rFonts w:ascii="Arial" w:hAnsi="Arial" w:cs="Arial"/>
        </w:rPr>
        <w:t xml:space="preserve">ervice will link effectively with other key services including local Hepatology and Infectious Disease services, </w:t>
      </w:r>
      <w:r w:rsidR="000773BF">
        <w:rPr>
          <w:rFonts w:ascii="Arial" w:hAnsi="Arial" w:cs="Arial"/>
        </w:rPr>
        <w:t xml:space="preserve">the </w:t>
      </w:r>
      <w:r w:rsidRPr="007259CD">
        <w:rPr>
          <w:rFonts w:ascii="Arial" w:hAnsi="Arial" w:cs="Arial"/>
        </w:rPr>
        <w:t xml:space="preserve">New </w:t>
      </w:r>
      <w:r w:rsidR="00354188">
        <w:rPr>
          <w:rFonts w:ascii="Arial" w:hAnsi="Arial" w:cs="Arial"/>
        </w:rPr>
        <w:t>E</w:t>
      </w:r>
      <w:r w:rsidR="00354188" w:rsidRPr="007259CD">
        <w:rPr>
          <w:rFonts w:ascii="Arial" w:hAnsi="Arial" w:cs="Arial"/>
        </w:rPr>
        <w:t xml:space="preserve">ntrant </w:t>
      </w:r>
      <w:r w:rsidR="00354188">
        <w:rPr>
          <w:rFonts w:ascii="Arial" w:hAnsi="Arial" w:cs="Arial"/>
        </w:rPr>
        <w:t>S</w:t>
      </w:r>
      <w:r w:rsidR="00354188" w:rsidRPr="007259CD">
        <w:rPr>
          <w:rFonts w:ascii="Arial" w:hAnsi="Arial" w:cs="Arial"/>
        </w:rPr>
        <w:t xml:space="preserve">creening </w:t>
      </w:r>
      <w:r w:rsidRPr="007259CD">
        <w:rPr>
          <w:rFonts w:ascii="Arial" w:hAnsi="Arial" w:cs="Arial"/>
        </w:rPr>
        <w:t xml:space="preserve">service, </w:t>
      </w:r>
      <w:r w:rsidR="000773BF">
        <w:rPr>
          <w:rFonts w:ascii="Arial" w:hAnsi="Arial" w:cs="Arial"/>
        </w:rPr>
        <w:t xml:space="preserve">and </w:t>
      </w:r>
      <w:r w:rsidR="00354188">
        <w:rPr>
          <w:rFonts w:ascii="Arial" w:hAnsi="Arial" w:cs="Arial"/>
        </w:rPr>
        <w:t>D</w:t>
      </w:r>
      <w:r w:rsidR="00354188" w:rsidRPr="007259CD">
        <w:rPr>
          <w:rFonts w:ascii="Arial" w:hAnsi="Arial" w:cs="Arial"/>
        </w:rPr>
        <w:t xml:space="preserve">rug </w:t>
      </w:r>
      <w:r w:rsidRPr="007259CD">
        <w:rPr>
          <w:rFonts w:ascii="Arial" w:hAnsi="Arial" w:cs="Arial"/>
        </w:rPr>
        <w:t xml:space="preserve">and </w:t>
      </w:r>
      <w:r w:rsidR="00354188">
        <w:rPr>
          <w:rFonts w:ascii="Arial" w:hAnsi="Arial" w:cs="Arial"/>
        </w:rPr>
        <w:t>A</w:t>
      </w:r>
      <w:r w:rsidRPr="007259CD">
        <w:rPr>
          <w:rFonts w:ascii="Arial" w:hAnsi="Arial" w:cs="Arial"/>
        </w:rPr>
        <w:t>lcohol service</w:t>
      </w:r>
      <w:r w:rsidR="000773BF">
        <w:rPr>
          <w:rFonts w:ascii="Arial" w:hAnsi="Arial" w:cs="Arial"/>
        </w:rPr>
        <w:t>s in Slough, RBWM and Bracknell Forest.</w:t>
      </w:r>
    </w:p>
    <w:p w:rsidR="0009660C" w:rsidRPr="007259CD" w:rsidRDefault="0009660C" w:rsidP="00F4523D">
      <w:pPr>
        <w:jc w:val="both"/>
        <w:rPr>
          <w:rFonts w:cs="Arial"/>
          <w:bCs/>
        </w:rPr>
      </w:pPr>
    </w:p>
    <w:p w:rsidR="0009660C" w:rsidRPr="007259CD" w:rsidRDefault="0009660C" w:rsidP="00F4523D">
      <w:pPr>
        <w:jc w:val="both"/>
        <w:rPr>
          <w:rFonts w:cs="Arial"/>
          <w:bCs/>
        </w:rPr>
      </w:pPr>
      <w:r w:rsidRPr="007259CD">
        <w:rPr>
          <w:rFonts w:cs="Arial"/>
          <w:bCs/>
        </w:rPr>
        <w:t xml:space="preserve">Although this document sets out the general requirements of what will be provided, </w:t>
      </w:r>
      <w:r w:rsidR="007479A2">
        <w:rPr>
          <w:rFonts w:cs="Arial"/>
          <w:bCs/>
        </w:rPr>
        <w:t>Commissioner</w:t>
      </w:r>
      <w:r w:rsidRPr="007259CD">
        <w:rPr>
          <w:rFonts w:cs="Arial"/>
          <w:bCs/>
        </w:rPr>
        <w:t xml:space="preserve">s are open to negotiation for innovative service models that give added value within this framework to optimise outcomes, address needs, improve </w:t>
      </w:r>
      <w:r w:rsidR="00D83004">
        <w:rPr>
          <w:rFonts w:cs="Arial"/>
          <w:bCs/>
        </w:rPr>
        <w:t>Service User</w:t>
      </w:r>
      <w:r w:rsidRPr="007259CD">
        <w:rPr>
          <w:rFonts w:cs="Arial"/>
          <w:bCs/>
        </w:rPr>
        <w:t xml:space="preserve"> experience and make the most effective use of financial and clinical resources.  Innovation (added value) areas include, among others:</w:t>
      </w:r>
    </w:p>
    <w:p w:rsidR="0009660C" w:rsidRPr="007259CD" w:rsidRDefault="0009660C" w:rsidP="00F4523D">
      <w:pPr>
        <w:jc w:val="both"/>
        <w:rPr>
          <w:rFonts w:cs="Arial"/>
          <w:bCs/>
        </w:rPr>
      </w:pPr>
    </w:p>
    <w:p w:rsidR="0009660C" w:rsidRPr="007259CD" w:rsidRDefault="0009660C" w:rsidP="002A30E5">
      <w:pPr>
        <w:pStyle w:val="ListParagraph"/>
        <w:numPr>
          <w:ilvl w:val="0"/>
          <w:numId w:val="5"/>
        </w:numPr>
        <w:spacing w:line="240" w:lineRule="auto"/>
        <w:rPr>
          <w:rFonts w:ascii="Arial" w:hAnsi="Arial" w:cs="Arial"/>
          <w:bCs/>
        </w:rPr>
      </w:pPr>
      <w:r w:rsidRPr="007259CD">
        <w:rPr>
          <w:rFonts w:ascii="Arial" w:hAnsi="Arial" w:cs="Arial"/>
          <w:bCs/>
        </w:rPr>
        <w:t>Organisation and delivery of specialist</w:t>
      </w:r>
      <w:r w:rsidR="00087959">
        <w:rPr>
          <w:rFonts w:ascii="Arial" w:hAnsi="Arial" w:cs="Arial"/>
          <w:bCs/>
        </w:rPr>
        <w:t xml:space="preserve"> (level 3)</w:t>
      </w:r>
      <w:r w:rsidRPr="007259CD">
        <w:rPr>
          <w:rFonts w:ascii="Arial" w:hAnsi="Arial" w:cs="Arial"/>
          <w:bCs/>
        </w:rPr>
        <w:t xml:space="preserve"> and non-specialist</w:t>
      </w:r>
      <w:r w:rsidR="00087959">
        <w:rPr>
          <w:rFonts w:ascii="Arial" w:hAnsi="Arial" w:cs="Arial"/>
          <w:bCs/>
        </w:rPr>
        <w:t xml:space="preserve"> (level 2)</w:t>
      </w:r>
      <w:r w:rsidRPr="007259CD">
        <w:rPr>
          <w:rFonts w:ascii="Arial" w:hAnsi="Arial" w:cs="Arial"/>
          <w:bCs/>
        </w:rPr>
        <w:t xml:space="preserve"> services, to achieve objectives and improve outcomes for under-served,  disadvantaged or higher-risk groups</w:t>
      </w:r>
    </w:p>
    <w:p w:rsidR="0009660C" w:rsidRPr="007259CD" w:rsidRDefault="0009660C" w:rsidP="002A30E5">
      <w:pPr>
        <w:pStyle w:val="ListParagraph"/>
        <w:numPr>
          <w:ilvl w:val="0"/>
          <w:numId w:val="5"/>
        </w:numPr>
        <w:spacing w:line="240" w:lineRule="auto"/>
        <w:rPr>
          <w:rFonts w:ascii="Arial" w:hAnsi="Arial" w:cs="Arial"/>
          <w:bCs/>
        </w:rPr>
      </w:pPr>
      <w:r w:rsidRPr="007259CD">
        <w:rPr>
          <w:rFonts w:ascii="Arial" w:hAnsi="Arial" w:cs="Arial"/>
          <w:bCs/>
        </w:rPr>
        <w:t>Use of clinic data, or other techniques, to better target and address needs and risks</w:t>
      </w:r>
    </w:p>
    <w:p w:rsidR="0009660C" w:rsidRPr="007259CD" w:rsidRDefault="000773BF" w:rsidP="002A30E5">
      <w:pPr>
        <w:pStyle w:val="ListParagraph"/>
        <w:numPr>
          <w:ilvl w:val="0"/>
          <w:numId w:val="5"/>
        </w:numPr>
        <w:spacing w:line="240" w:lineRule="auto"/>
        <w:rPr>
          <w:rFonts w:ascii="Arial" w:hAnsi="Arial" w:cs="Arial"/>
          <w:bCs/>
        </w:rPr>
      </w:pPr>
      <w:r>
        <w:rPr>
          <w:rFonts w:ascii="Arial" w:hAnsi="Arial" w:cs="Arial"/>
          <w:bCs/>
        </w:rPr>
        <w:t>In addition to online STI testing, i</w:t>
      </w:r>
      <w:r w:rsidR="0009660C" w:rsidRPr="007259CD">
        <w:rPr>
          <w:rFonts w:ascii="Arial" w:hAnsi="Arial" w:cs="Arial"/>
          <w:bCs/>
        </w:rPr>
        <w:t>nnovative use of technology</w:t>
      </w:r>
      <w:r w:rsidR="007479A2">
        <w:rPr>
          <w:rFonts w:ascii="Arial" w:hAnsi="Arial" w:cs="Arial"/>
          <w:bCs/>
        </w:rPr>
        <w:t>,</w:t>
      </w:r>
      <w:r w:rsidR="0009660C" w:rsidRPr="007259CD">
        <w:rPr>
          <w:rFonts w:ascii="Arial" w:hAnsi="Arial" w:cs="Arial"/>
          <w:bCs/>
        </w:rPr>
        <w:t xml:space="preserve"> e.g. online booking, </w:t>
      </w:r>
      <w:r w:rsidR="00D43648">
        <w:rPr>
          <w:rFonts w:ascii="Arial" w:hAnsi="Arial" w:cs="Arial"/>
          <w:bCs/>
        </w:rPr>
        <w:t>online</w:t>
      </w:r>
      <w:r w:rsidR="0009660C" w:rsidRPr="007259CD">
        <w:rPr>
          <w:rFonts w:ascii="Arial" w:hAnsi="Arial" w:cs="Arial"/>
          <w:bCs/>
        </w:rPr>
        <w:t xml:space="preserve"> chat messaging service or electronic partner notification initiatives</w:t>
      </w:r>
      <w:r w:rsidR="007C05B7">
        <w:rPr>
          <w:rFonts w:ascii="Arial" w:hAnsi="Arial" w:cs="Arial"/>
          <w:bCs/>
        </w:rPr>
        <w:t xml:space="preserve"> is strongly encouraged</w:t>
      </w:r>
    </w:p>
    <w:p w:rsidR="00353DCC" w:rsidRPr="007259CD" w:rsidRDefault="00353DCC" w:rsidP="00353DCC">
      <w:pPr>
        <w:rPr>
          <w:rFonts w:cs="Arial"/>
          <w:bCs/>
        </w:rPr>
      </w:pPr>
    </w:p>
    <w:p w:rsidR="00353DCC" w:rsidRPr="007259CD" w:rsidRDefault="00353DCC" w:rsidP="00354188">
      <w:pPr>
        <w:pStyle w:val="ListParagraph"/>
        <w:numPr>
          <w:ilvl w:val="1"/>
          <w:numId w:val="37"/>
        </w:numPr>
        <w:rPr>
          <w:rFonts w:ascii="Arial" w:hAnsi="Arial" w:cs="Arial"/>
          <w:b/>
          <w:bCs/>
        </w:rPr>
      </w:pPr>
      <w:r w:rsidRPr="007259CD">
        <w:rPr>
          <w:rFonts w:ascii="Arial" w:hAnsi="Arial" w:cs="Arial"/>
          <w:b/>
          <w:bCs/>
        </w:rPr>
        <w:t>Local priorities</w:t>
      </w:r>
    </w:p>
    <w:p w:rsidR="00353DCC" w:rsidRPr="007259CD" w:rsidRDefault="00353DCC" w:rsidP="00353DCC">
      <w:pPr>
        <w:rPr>
          <w:rFonts w:cs="Arial"/>
          <w:b/>
          <w:bCs/>
        </w:rPr>
      </w:pPr>
    </w:p>
    <w:p w:rsidR="00353DCC" w:rsidRPr="007259CD" w:rsidRDefault="00353DCC" w:rsidP="00353DCC">
      <w:pPr>
        <w:rPr>
          <w:rFonts w:cs="Arial"/>
          <w:bCs/>
        </w:rPr>
      </w:pPr>
      <w:r w:rsidRPr="007259CD">
        <w:rPr>
          <w:rFonts w:cs="Arial"/>
          <w:bCs/>
        </w:rPr>
        <w:t>The above sections describe the way the service will be expected to operate in all three areas, the following section sets out key local priorities and how the Service will be expected to respond to these.</w:t>
      </w:r>
    </w:p>
    <w:p w:rsidR="00353DCC" w:rsidRPr="007259CD" w:rsidRDefault="00353DCC" w:rsidP="00353DCC">
      <w:pPr>
        <w:rPr>
          <w:rFonts w:cs="Arial"/>
          <w:bCs/>
        </w:rPr>
      </w:pPr>
    </w:p>
    <w:p w:rsidR="00353DCC" w:rsidRPr="007259CD" w:rsidRDefault="00353DCC" w:rsidP="00354188">
      <w:pPr>
        <w:pStyle w:val="ListParagraph"/>
        <w:numPr>
          <w:ilvl w:val="2"/>
          <w:numId w:val="37"/>
        </w:numPr>
        <w:rPr>
          <w:rFonts w:ascii="Arial" w:hAnsi="Arial" w:cs="Arial"/>
          <w:b/>
          <w:bCs/>
        </w:rPr>
      </w:pPr>
      <w:r w:rsidRPr="007259CD">
        <w:rPr>
          <w:rFonts w:ascii="Arial" w:hAnsi="Arial" w:cs="Arial"/>
          <w:b/>
          <w:bCs/>
        </w:rPr>
        <w:t>Bracknell Forest</w:t>
      </w:r>
    </w:p>
    <w:p w:rsidR="00353DCC" w:rsidRPr="007259CD" w:rsidRDefault="00353DCC" w:rsidP="00353DCC">
      <w:pPr>
        <w:rPr>
          <w:rFonts w:cs="Arial"/>
          <w:bCs/>
        </w:rPr>
      </w:pPr>
    </w:p>
    <w:p w:rsidR="00353DCC" w:rsidRDefault="00270DF3" w:rsidP="00353DCC">
      <w:pPr>
        <w:rPr>
          <w:rFonts w:cs="Arial"/>
        </w:rPr>
      </w:pPr>
      <w:r w:rsidRPr="007259CD">
        <w:rPr>
          <w:rFonts w:cs="Arial"/>
        </w:rPr>
        <w:t xml:space="preserve">Community-based services in Bracknell Forest will provide core </w:t>
      </w:r>
      <w:r w:rsidR="00087959">
        <w:rPr>
          <w:rFonts w:cs="Arial"/>
        </w:rPr>
        <w:t>(level 1)</w:t>
      </w:r>
      <w:r w:rsidR="00087959" w:rsidRPr="007259CD">
        <w:rPr>
          <w:rFonts w:cs="Arial"/>
        </w:rPr>
        <w:t xml:space="preserve"> </w:t>
      </w:r>
      <w:r w:rsidRPr="007259CD">
        <w:rPr>
          <w:rFonts w:cs="Arial"/>
        </w:rPr>
        <w:t>and non-specialist</w:t>
      </w:r>
      <w:r w:rsidR="00087959">
        <w:rPr>
          <w:rFonts w:cs="Arial"/>
        </w:rPr>
        <w:t xml:space="preserve"> (level 2)</w:t>
      </w:r>
      <w:r w:rsidRPr="007259CD">
        <w:rPr>
          <w:rFonts w:cs="Arial"/>
        </w:rPr>
        <w:t xml:space="preserve"> services in </w:t>
      </w:r>
      <w:r w:rsidR="00B65A04">
        <w:rPr>
          <w:rFonts w:cs="Arial"/>
        </w:rPr>
        <w:t>a location within Bracknell town centre</w:t>
      </w:r>
      <w:r w:rsidR="000A6849">
        <w:rPr>
          <w:rFonts w:cs="Arial"/>
        </w:rPr>
        <w:t xml:space="preserve"> with good public transport links providing </w:t>
      </w:r>
      <w:r w:rsidRPr="007259CD">
        <w:rPr>
          <w:rFonts w:cs="Arial"/>
        </w:rPr>
        <w:t>good access to the general community and focus also on reaching under-served, disadvantaged or high risk groups</w:t>
      </w:r>
      <w:r w:rsidR="00B65A04">
        <w:rPr>
          <w:rFonts w:cs="Arial"/>
        </w:rPr>
        <w:t xml:space="preserve">. </w:t>
      </w:r>
      <w:r w:rsidR="000A6849">
        <w:rPr>
          <w:rFonts w:cs="Arial"/>
        </w:rPr>
        <w:t xml:space="preserve">Any location would require agreement from the Bracknell Forest </w:t>
      </w:r>
      <w:r w:rsidR="007479A2">
        <w:rPr>
          <w:rFonts w:cs="Arial"/>
        </w:rPr>
        <w:t>Commissioner</w:t>
      </w:r>
      <w:r w:rsidR="000A6849">
        <w:rPr>
          <w:rFonts w:cs="Arial"/>
        </w:rPr>
        <w:t xml:space="preserve">. </w:t>
      </w:r>
      <w:r w:rsidR="000A6849" w:rsidRPr="007259CD">
        <w:rPr>
          <w:rFonts w:cs="Arial"/>
        </w:rPr>
        <w:t xml:space="preserve"> </w:t>
      </w:r>
    </w:p>
    <w:p w:rsidR="00B65A04" w:rsidRDefault="00B65A04" w:rsidP="00353DCC">
      <w:pPr>
        <w:rPr>
          <w:rFonts w:cs="Arial"/>
        </w:rPr>
      </w:pPr>
    </w:p>
    <w:p w:rsidR="00B65A04" w:rsidRDefault="00B65A04" w:rsidP="00353DCC">
      <w:pPr>
        <w:rPr>
          <w:rFonts w:cs="Arial"/>
        </w:rPr>
      </w:pPr>
      <w:r>
        <w:rPr>
          <w:rFonts w:cs="Arial"/>
        </w:rPr>
        <w:t xml:space="preserve">The </w:t>
      </w:r>
      <w:r w:rsidR="007479A2">
        <w:rPr>
          <w:rFonts w:cs="Arial"/>
        </w:rPr>
        <w:t xml:space="preserve">Service </w:t>
      </w:r>
      <w:r w:rsidR="00304835">
        <w:rPr>
          <w:rFonts w:cs="Arial"/>
        </w:rPr>
        <w:t>in Bracknell Forest</w:t>
      </w:r>
      <w:r>
        <w:rPr>
          <w:rFonts w:cs="Arial"/>
        </w:rPr>
        <w:t xml:space="preserve"> </w:t>
      </w:r>
      <w:r w:rsidR="00304835">
        <w:rPr>
          <w:rFonts w:cs="Arial"/>
        </w:rPr>
        <w:t xml:space="preserve">will </w:t>
      </w:r>
      <w:r w:rsidR="006B397B">
        <w:rPr>
          <w:rFonts w:cs="Arial"/>
        </w:rPr>
        <w:t>operate for</w:t>
      </w:r>
      <w:r w:rsidR="00EA52F0">
        <w:rPr>
          <w:rFonts w:cs="Arial"/>
        </w:rPr>
        <w:t xml:space="preserve"> at least 14 hours a week over at least two days with at least 2 hours of that time being used to run a young</w:t>
      </w:r>
      <w:r w:rsidR="007479A2">
        <w:rPr>
          <w:rFonts w:cs="Arial"/>
        </w:rPr>
        <w:t xml:space="preserve"> </w:t>
      </w:r>
      <w:r w:rsidR="00EA52F0">
        <w:rPr>
          <w:rFonts w:cs="Arial"/>
        </w:rPr>
        <w:t>people</w:t>
      </w:r>
      <w:r w:rsidR="007479A2">
        <w:rPr>
          <w:rFonts w:cs="Arial"/>
        </w:rPr>
        <w:t>’</w:t>
      </w:r>
      <w:r w:rsidR="00EA52F0">
        <w:rPr>
          <w:rFonts w:cs="Arial"/>
        </w:rPr>
        <w:t xml:space="preserve">s </w:t>
      </w:r>
      <w:r w:rsidR="007479A2">
        <w:rPr>
          <w:rFonts w:cs="Arial"/>
        </w:rPr>
        <w:t>drop-</w:t>
      </w:r>
      <w:r w:rsidR="00EA52F0">
        <w:rPr>
          <w:rFonts w:cs="Arial"/>
        </w:rPr>
        <w:t>in clinic.</w:t>
      </w:r>
      <w:r w:rsidR="000A6849">
        <w:rPr>
          <w:rFonts w:cs="Arial"/>
        </w:rPr>
        <w:t xml:space="preserve"> The </w:t>
      </w:r>
      <w:r w:rsidR="007479A2">
        <w:rPr>
          <w:rFonts w:cs="Arial"/>
        </w:rPr>
        <w:t xml:space="preserve">Service </w:t>
      </w:r>
      <w:r w:rsidR="000A6849">
        <w:rPr>
          <w:rFonts w:cs="Arial"/>
        </w:rPr>
        <w:t>must provide evening opening hours on at least one evening a week as part of the total clinic time.</w:t>
      </w:r>
    </w:p>
    <w:p w:rsidR="00304835" w:rsidRDefault="00304835" w:rsidP="00353DCC">
      <w:pPr>
        <w:rPr>
          <w:rFonts w:cs="Arial"/>
        </w:rPr>
      </w:pPr>
    </w:p>
    <w:p w:rsidR="00304835" w:rsidRDefault="00304835" w:rsidP="00353DCC">
      <w:pPr>
        <w:rPr>
          <w:rFonts w:cs="Arial"/>
        </w:rPr>
      </w:pPr>
      <w:r>
        <w:rPr>
          <w:rFonts w:cs="Arial"/>
        </w:rPr>
        <w:t xml:space="preserve">Bracknell Forest residents will have access to </w:t>
      </w:r>
      <w:r w:rsidR="007479A2">
        <w:rPr>
          <w:rFonts w:cs="Arial"/>
        </w:rPr>
        <w:t xml:space="preserve">specialist </w:t>
      </w:r>
      <w:r>
        <w:rPr>
          <w:rFonts w:cs="Arial"/>
        </w:rPr>
        <w:t xml:space="preserve">services at the Level 3 Centre in Slough </w:t>
      </w:r>
      <w:r w:rsidR="00E26C61">
        <w:rPr>
          <w:rFonts w:cs="Arial"/>
        </w:rPr>
        <w:t>(to be provided at least 29.5 hours per week)</w:t>
      </w:r>
      <w:r>
        <w:rPr>
          <w:rFonts w:cs="Arial"/>
        </w:rPr>
        <w:t xml:space="preserve"> and may also </w:t>
      </w:r>
      <w:r w:rsidR="00E26C61">
        <w:rPr>
          <w:rFonts w:cs="Arial"/>
        </w:rPr>
        <w:t>access the open access</w:t>
      </w:r>
      <w:r w:rsidR="003402A8">
        <w:rPr>
          <w:rFonts w:cs="Arial"/>
        </w:rPr>
        <w:t xml:space="preserve"> services in RBWM and Slough</w:t>
      </w:r>
      <w:r>
        <w:rPr>
          <w:rFonts w:cs="Arial"/>
        </w:rPr>
        <w:t>.</w:t>
      </w:r>
      <w:r w:rsidR="00711631">
        <w:rPr>
          <w:rFonts w:cs="Arial"/>
        </w:rPr>
        <w:t xml:space="preserve"> </w:t>
      </w:r>
    </w:p>
    <w:p w:rsidR="007D5A34" w:rsidRDefault="007D5A34" w:rsidP="00353DCC">
      <w:pPr>
        <w:rPr>
          <w:rFonts w:cs="Arial"/>
        </w:rPr>
      </w:pPr>
    </w:p>
    <w:p w:rsidR="007D5A34" w:rsidRPr="007259CD" w:rsidRDefault="007D5A34" w:rsidP="00353DCC">
      <w:pPr>
        <w:rPr>
          <w:rFonts w:cs="Arial"/>
        </w:rPr>
      </w:pPr>
      <w:r>
        <w:rPr>
          <w:rFonts w:cs="Arial"/>
        </w:rPr>
        <w:t>Key objectives</w:t>
      </w:r>
      <w:r w:rsidR="007479A2">
        <w:rPr>
          <w:rFonts w:cs="Arial"/>
        </w:rPr>
        <w:t>:</w:t>
      </w:r>
    </w:p>
    <w:p w:rsidR="00270DF3" w:rsidRPr="007259CD" w:rsidRDefault="00270DF3" w:rsidP="00353DCC">
      <w:pPr>
        <w:rPr>
          <w:rFonts w:cs="Arial"/>
        </w:rPr>
      </w:pPr>
    </w:p>
    <w:p w:rsidR="00270DF3" w:rsidRPr="000773BF" w:rsidRDefault="00270DF3" w:rsidP="00632766">
      <w:pPr>
        <w:pStyle w:val="ListParagraph"/>
        <w:numPr>
          <w:ilvl w:val="0"/>
          <w:numId w:val="27"/>
        </w:numPr>
        <w:rPr>
          <w:rFonts w:cs="Arial"/>
          <w:bCs/>
        </w:rPr>
      </w:pPr>
      <w:r w:rsidRPr="000773BF">
        <w:rPr>
          <w:rFonts w:ascii="Arial" w:hAnsi="Arial" w:cs="Arial"/>
          <w:bCs/>
        </w:rPr>
        <w:t xml:space="preserve">Access to online </w:t>
      </w:r>
      <w:r w:rsidR="00E63DEA">
        <w:rPr>
          <w:rFonts w:ascii="Arial" w:hAnsi="Arial" w:cs="Arial"/>
          <w:bCs/>
        </w:rPr>
        <w:t xml:space="preserve">HIV and </w:t>
      </w:r>
      <w:r w:rsidRPr="000773BF">
        <w:rPr>
          <w:rFonts w:ascii="Arial" w:hAnsi="Arial" w:cs="Arial"/>
          <w:bCs/>
        </w:rPr>
        <w:t xml:space="preserve">STI testing for </w:t>
      </w:r>
      <w:r w:rsidR="000A6849">
        <w:rPr>
          <w:rFonts w:ascii="Arial" w:hAnsi="Arial" w:cs="Arial"/>
          <w:bCs/>
        </w:rPr>
        <w:t xml:space="preserve">all </w:t>
      </w:r>
      <w:r w:rsidR="00D91B63">
        <w:rPr>
          <w:rFonts w:ascii="Arial" w:hAnsi="Arial" w:cs="Arial"/>
          <w:bCs/>
        </w:rPr>
        <w:t>adult residents of Berkshire East</w:t>
      </w:r>
    </w:p>
    <w:p w:rsidR="00270DF3" w:rsidRPr="00821B08" w:rsidRDefault="00270DF3" w:rsidP="00632766">
      <w:pPr>
        <w:pStyle w:val="ListParagraph"/>
        <w:numPr>
          <w:ilvl w:val="0"/>
          <w:numId w:val="27"/>
        </w:numPr>
        <w:rPr>
          <w:rFonts w:cs="Arial"/>
          <w:bCs/>
        </w:rPr>
      </w:pPr>
      <w:r w:rsidRPr="00632766">
        <w:rPr>
          <w:rFonts w:ascii="Arial" w:hAnsi="Arial" w:cs="Arial"/>
          <w:bCs/>
        </w:rPr>
        <w:t>Improving self-care for low-level sexual and reproductive health needs</w:t>
      </w:r>
    </w:p>
    <w:p w:rsidR="00270DF3" w:rsidRDefault="00270DF3" w:rsidP="00632766">
      <w:pPr>
        <w:pStyle w:val="ListParagraph"/>
        <w:numPr>
          <w:ilvl w:val="0"/>
          <w:numId w:val="27"/>
        </w:numPr>
        <w:rPr>
          <w:rFonts w:cs="Arial"/>
          <w:bCs/>
        </w:rPr>
      </w:pPr>
      <w:r w:rsidRPr="00E63DEA">
        <w:rPr>
          <w:rFonts w:ascii="Arial" w:hAnsi="Arial" w:cs="Arial"/>
          <w:bCs/>
        </w:rPr>
        <w:t xml:space="preserve">Increasing uptake of HIV testing in high risk groups and working to reduce the proportion of </w:t>
      </w:r>
      <w:r w:rsidR="000773BF" w:rsidRPr="00E63DEA">
        <w:rPr>
          <w:rFonts w:ascii="Arial" w:hAnsi="Arial" w:cs="Arial"/>
          <w:bCs/>
        </w:rPr>
        <w:t xml:space="preserve">HIV </w:t>
      </w:r>
      <w:r w:rsidRPr="00E63DEA">
        <w:rPr>
          <w:rFonts w:ascii="Arial" w:hAnsi="Arial" w:cs="Arial"/>
          <w:bCs/>
        </w:rPr>
        <w:t>infections that are diagnosed late</w:t>
      </w:r>
      <w:r w:rsidR="00984B3D">
        <w:rPr>
          <w:rFonts w:ascii="Arial" w:hAnsi="Arial" w:cs="Arial"/>
          <w:bCs/>
        </w:rPr>
        <w:t>.</w:t>
      </w:r>
    </w:p>
    <w:p w:rsidR="00984B3D" w:rsidRPr="00984B3D" w:rsidRDefault="00984B3D" w:rsidP="00984B3D">
      <w:pPr>
        <w:ind w:left="360"/>
        <w:rPr>
          <w:rFonts w:cs="Arial"/>
          <w:bCs/>
        </w:rPr>
      </w:pPr>
    </w:p>
    <w:p w:rsidR="000773BF" w:rsidRPr="00984B3D" w:rsidRDefault="000773BF" w:rsidP="00D83004">
      <w:pPr>
        <w:pStyle w:val="ListParagraph"/>
        <w:numPr>
          <w:ilvl w:val="3"/>
          <w:numId w:val="37"/>
        </w:numPr>
        <w:rPr>
          <w:rFonts w:ascii="Arial" w:hAnsi="Arial" w:cs="Arial"/>
          <w:b/>
          <w:bCs/>
        </w:rPr>
      </w:pPr>
      <w:r w:rsidRPr="00984B3D">
        <w:rPr>
          <w:rFonts w:ascii="Arial" w:hAnsi="Arial" w:cs="Arial"/>
          <w:b/>
          <w:bCs/>
        </w:rPr>
        <w:t>Targeted Outreach Nurse Service</w:t>
      </w:r>
    </w:p>
    <w:p w:rsidR="003402A8" w:rsidRDefault="000773BF" w:rsidP="003402A8">
      <w:pPr>
        <w:rPr>
          <w:rFonts w:cs="Arial"/>
          <w:bCs/>
        </w:rPr>
      </w:pPr>
      <w:r>
        <w:rPr>
          <w:rFonts w:cs="Arial"/>
          <w:bCs/>
        </w:rPr>
        <w:t xml:space="preserve">An </w:t>
      </w:r>
      <w:r w:rsidR="007479A2">
        <w:rPr>
          <w:rFonts w:cs="Arial"/>
          <w:bCs/>
        </w:rPr>
        <w:t xml:space="preserve">Outreach Nurse </w:t>
      </w:r>
      <w:r>
        <w:rPr>
          <w:rFonts w:cs="Arial"/>
          <w:bCs/>
        </w:rPr>
        <w:t xml:space="preserve">service delivering an intensive, </w:t>
      </w:r>
      <w:r w:rsidRPr="00E470E6">
        <w:rPr>
          <w:rFonts w:cs="Arial"/>
          <w:bCs/>
          <w:color w:val="000000"/>
        </w:rPr>
        <w:t xml:space="preserve">responsive contraceptive and sexual health service </w:t>
      </w:r>
      <w:r>
        <w:rPr>
          <w:rFonts w:cs="Arial"/>
          <w:bCs/>
          <w:color w:val="000000"/>
        </w:rPr>
        <w:t>will operate in Bracknell Forest.</w:t>
      </w:r>
      <w:r w:rsidRPr="00E470E6">
        <w:rPr>
          <w:rFonts w:cs="Arial"/>
          <w:bCs/>
          <w:color w:val="000000"/>
        </w:rPr>
        <w:t xml:space="preserve"> </w:t>
      </w:r>
      <w:r>
        <w:rPr>
          <w:rFonts w:cs="Arial"/>
          <w:bCs/>
        </w:rPr>
        <w:t xml:space="preserve"> </w:t>
      </w:r>
      <w:r w:rsidR="003402A8">
        <w:rPr>
          <w:rFonts w:cs="Arial"/>
          <w:bCs/>
        </w:rPr>
        <w:t>The nurse service will operate for 3 days per week or equivalent.</w:t>
      </w:r>
    </w:p>
    <w:p w:rsidR="000773BF" w:rsidRDefault="000773BF" w:rsidP="000773BF">
      <w:pPr>
        <w:rPr>
          <w:rFonts w:cs="Arial"/>
          <w:bCs/>
        </w:rPr>
      </w:pPr>
    </w:p>
    <w:p w:rsidR="000773BF" w:rsidRDefault="000773BF" w:rsidP="00984B3D">
      <w:pPr>
        <w:ind w:left="360"/>
        <w:rPr>
          <w:rFonts w:cs="Arial"/>
          <w:bCs/>
        </w:rPr>
      </w:pPr>
    </w:p>
    <w:p w:rsidR="000773BF" w:rsidRPr="00984B3D" w:rsidRDefault="000773BF" w:rsidP="00984B3D">
      <w:pPr>
        <w:rPr>
          <w:rFonts w:cs="Arial"/>
          <w:bCs/>
          <w:color w:val="000000"/>
        </w:rPr>
      </w:pPr>
      <w:r w:rsidRPr="000773BF">
        <w:rPr>
          <w:rFonts w:cs="Arial"/>
          <w:bCs/>
        </w:rPr>
        <w:t xml:space="preserve">This service will </w:t>
      </w:r>
      <w:r w:rsidRPr="00984B3D">
        <w:rPr>
          <w:rFonts w:cs="Arial"/>
          <w:bCs/>
          <w:color w:val="000000"/>
        </w:rPr>
        <w:t xml:space="preserve">target women who have already had a child or children removed from their care, those who have been identified by </w:t>
      </w:r>
      <w:r w:rsidR="00984B3D" w:rsidRPr="00984B3D">
        <w:rPr>
          <w:rFonts w:cs="Arial"/>
          <w:bCs/>
          <w:color w:val="000000"/>
        </w:rPr>
        <w:t>Children’s</w:t>
      </w:r>
      <w:r w:rsidRPr="00984B3D">
        <w:rPr>
          <w:rFonts w:cs="Arial"/>
          <w:bCs/>
          <w:color w:val="000000"/>
        </w:rPr>
        <w:t xml:space="preserve"> Social </w:t>
      </w:r>
      <w:r w:rsidR="007479A2">
        <w:rPr>
          <w:rFonts w:cs="Arial"/>
          <w:bCs/>
          <w:color w:val="000000"/>
        </w:rPr>
        <w:t>Care</w:t>
      </w:r>
      <w:r w:rsidR="007479A2" w:rsidRPr="00984B3D">
        <w:rPr>
          <w:rFonts w:cs="Arial"/>
          <w:bCs/>
          <w:color w:val="000000"/>
        </w:rPr>
        <w:t xml:space="preserve"> </w:t>
      </w:r>
      <w:r w:rsidR="007479A2">
        <w:rPr>
          <w:rFonts w:cs="Arial"/>
          <w:bCs/>
          <w:color w:val="000000"/>
        </w:rPr>
        <w:t xml:space="preserve">(CSC) </w:t>
      </w:r>
      <w:r w:rsidRPr="00984B3D">
        <w:rPr>
          <w:rFonts w:cs="Arial"/>
          <w:bCs/>
          <w:color w:val="000000"/>
        </w:rPr>
        <w:t xml:space="preserve">as being at high risk of losing a child from their care or those in “at risk” groups who are pregnant or at risk of an unwanted pregnancy. </w:t>
      </w:r>
    </w:p>
    <w:p w:rsidR="00984B3D" w:rsidRPr="0056686F" w:rsidRDefault="00984B3D" w:rsidP="00984B3D">
      <w:pPr>
        <w:rPr>
          <w:rFonts w:cs="Arial"/>
          <w:bCs/>
          <w:color w:val="000000"/>
        </w:rPr>
      </w:pPr>
    </w:p>
    <w:p w:rsidR="00984B3D" w:rsidRPr="00984B3D" w:rsidRDefault="00984B3D" w:rsidP="00984B3D">
      <w:pPr>
        <w:pStyle w:val="ListParagraph"/>
        <w:numPr>
          <w:ilvl w:val="0"/>
          <w:numId w:val="9"/>
        </w:numPr>
        <w:rPr>
          <w:rFonts w:ascii="Arial" w:hAnsi="Arial" w:cs="Arial"/>
          <w:bCs/>
        </w:rPr>
      </w:pPr>
      <w:r w:rsidRPr="00984B3D">
        <w:rPr>
          <w:rFonts w:ascii="Arial" w:hAnsi="Arial" w:cs="Arial"/>
          <w:bCs/>
          <w:color w:val="000000"/>
        </w:rPr>
        <w:t xml:space="preserve">The Outreach Nurse will work across the Bracknell Forest area in a range of community settings as an expert practitioner in contraceptive sexual health to deliver services to women in identified priority groups. </w:t>
      </w:r>
      <w:r w:rsidR="007479A2" w:rsidRPr="00984B3D">
        <w:rPr>
          <w:rFonts w:ascii="Arial" w:hAnsi="Arial" w:cs="Arial"/>
          <w:bCs/>
        </w:rPr>
        <w:t xml:space="preserve">Women must meet the above definition to receive a service. </w:t>
      </w:r>
      <w:r w:rsidRPr="00984B3D">
        <w:rPr>
          <w:rFonts w:ascii="Arial" w:hAnsi="Arial" w:cs="Arial"/>
          <w:bCs/>
        </w:rPr>
        <w:t>Acceptance criteria is per the priority group table below</w:t>
      </w:r>
      <w:r w:rsidR="007479A2">
        <w:rPr>
          <w:rFonts w:ascii="Arial" w:hAnsi="Arial" w:cs="Arial"/>
          <w:bCs/>
        </w:rPr>
        <w:t>:</w:t>
      </w:r>
      <w:r w:rsidRPr="00984B3D">
        <w:rPr>
          <w:rFonts w:ascii="Arial" w:hAnsi="Arial" w:cs="Arial"/>
          <w:bCs/>
        </w:rPr>
        <w:t xml:space="preserve">  </w:t>
      </w:r>
    </w:p>
    <w:tbl>
      <w:tblPr>
        <w:tblStyle w:val="TableGrid"/>
        <w:tblW w:w="0" w:type="auto"/>
        <w:tblInd w:w="720" w:type="dxa"/>
        <w:tblLook w:val="01E0" w:firstRow="1" w:lastRow="1" w:firstColumn="1" w:lastColumn="1" w:noHBand="0" w:noVBand="0"/>
      </w:tblPr>
      <w:tblGrid>
        <w:gridCol w:w="1419"/>
        <w:gridCol w:w="3888"/>
      </w:tblGrid>
      <w:tr w:rsidR="00984B3D" w:rsidRPr="00984B3D" w:rsidTr="00821B08">
        <w:tc>
          <w:tcPr>
            <w:tcW w:w="1419" w:type="dxa"/>
          </w:tcPr>
          <w:p w:rsidR="00984B3D" w:rsidRPr="00984B3D" w:rsidRDefault="00984B3D" w:rsidP="00821B08">
            <w:pPr>
              <w:widowControl w:val="0"/>
              <w:rPr>
                <w:rFonts w:cs="Arial"/>
                <w:b/>
                <w:color w:val="000000"/>
              </w:rPr>
            </w:pPr>
            <w:r w:rsidRPr="00984B3D">
              <w:rPr>
                <w:rFonts w:cs="Arial"/>
                <w:b/>
                <w:color w:val="000000"/>
              </w:rPr>
              <w:t>Priority Group</w:t>
            </w:r>
          </w:p>
        </w:tc>
        <w:tc>
          <w:tcPr>
            <w:tcW w:w="3888" w:type="dxa"/>
          </w:tcPr>
          <w:p w:rsidR="00984B3D" w:rsidRPr="00984B3D" w:rsidRDefault="00984B3D" w:rsidP="00821B08">
            <w:pPr>
              <w:widowControl w:val="0"/>
              <w:rPr>
                <w:rFonts w:cs="Arial"/>
                <w:b/>
                <w:color w:val="000000"/>
              </w:rPr>
            </w:pPr>
            <w:r w:rsidRPr="00984B3D">
              <w:rPr>
                <w:rFonts w:cs="Arial"/>
                <w:b/>
                <w:color w:val="000000"/>
              </w:rPr>
              <w:t>Definition</w:t>
            </w:r>
          </w:p>
        </w:tc>
      </w:tr>
      <w:tr w:rsidR="00984B3D" w:rsidRPr="00984B3D" w:rsidTr="00821B08">
        <w:tc>
          <w:tcPr>
            <w:tcW w:w="1419" w:type="dxa"/>
          </w:tcPr>
          <w:p w:rsidR="00984B3D" w:rsidRPr="00984B3D" w:rsidRDefault="00984B3D" w:rsidP="00821B08">
            <w:pPr>
              <w:widowControl w:val="0"/>
              <w:rPr>
                <w:rFonts w:cs="Arial"/>
                <w:color w:val="000000"/>
              </w:rPr>
            </w:pPr>
            <w:r w:rsidRPr="00984B3D">
              <w:rPr>
                <w:rFonts w:cs="Arial"/>
              </w:rPr>
              <w:t>Priority 1</w:t>
            </w:r>
          </w:p>
        </w:tc>
        <w:tc>
          <w:tcPr>
            <w:tcW w:w="3888" w:type="dxa"/>
          </w:tcPr>
          <w:p w:rsidR="00984B3D" w:rsidRPr="00984B3D" w:rsidRDefault="00984B3D" w:rsidP="00821B08">
            <w:pPr>
              <w:widowControl w:val="0"/>
              <w:rPr>
                <w:rFonts w:cs="Arial"/>
                <w:color w:val="000000"/>
              </w:rPr>
            </w:pPr>
            <w:r w:rsidRPr="00984B3D">
              <w:rPr>
                <w:rFonts w:cs="Arial"/>
              </w:rPr>
              <w:t>Women who have already had a child or children removed from their care</w:t>
            </w:r>
          </w:p>
        </w:tc>
      </w:tr>
      <w:tr w:rsidR="00984B3D" w:rsidRPr="00984B3D" w:rsidTr="00821B08">
        <w:tc>
          <w:tcPr>
            <w:tcW w:w="1419" w:type="dxa"/>
          </w:tcPr>
          <w:p w:rsidR="00984B3D" w:rsidRPr="00984B3D" w:rsidRDefault="00984B3D" w:rsidP="00821B08">
            <w:pPr>
              <w:widowControl w:val="0"/>
              <w:rPr>
                <w:rFonts w:cs="Arial"/>
                <w:color w:val="000000"/>
              </w:rPr>
            </w:pPr>
            <w:r w:rsidRPr="00984B3D">
              <w:rPr>
                <w:rFonts w:cs="Arial"/>
              </w:rPr>
              <w:t>Priority 2</w:t>
            </w:r>
          </w:p>
        </w:tc>
        <w:tc>
          <w:tcPr>
            <w:tcW w:w="3888" w:type="dxa"/>
          </w:tcPr>
          <w:p w:rsidR="00984B3D" w:rsidRPr="00984B3D" w:rsidRDefault="00984B3D" w:rsidP="00821B08">
            <w:pPr>
              <w:widowControl w:val="0"/>
              <w:rPr>
                <w:rFonts w:cs="Arial"/>
                <w:color w:val="000000"/>
              </w:rPr>
            </w:pPr>
            <w:r w:rsidRPr="00984B3D">
              <w:rPr>
                <w:rFonts w:cs="Arial"/>
              </w:rPr>
              <w:t>Women identified by CSC as being at high risk of losing a child from their care</w:t>
            </w:r>
          </w:p>
        </w:tc>
      </w:tr>
      <w:tr w:rsidR="00984B3D" w:rsidRPr="00984B3D" w:rsidTr="00821B08">
        <w:tc>
          <w:tcPr>
            <w:tcW w:w="1419" w:type="dxa"/>
          </w:tcPr>
          <w:p w:rsidR="00984B3D" w:rsidRPr="00984B3D" w:rsidRDefault="00984B3D" w:rsidP="00821B08">
            <w:pPr>
              <w:widowControl w:val="0"/>
              <w:rPr>
                <w:rFonts w:cs="Arial"/>
                <w:color w:val="000000"/>
              </w:rPr>
            </w:pPr>
            <w:r w:rsidRPr="00984B3D">
              <w:rPr>
                <w:rFonts w:cs="Arial"/>
              </w:rPr>
              <w:t>Priority 3</w:t>
            </w:r>
          </w:p>
        </w:tc>
        <w:tc>
          <w:tcPr>
            <w:tcW w:w="3888" w:type="dxa"/>
          </w:tcPr>
          <w:p w:rsidR="00984B3D" w:rsidRPr="00984B3D" w:rsidRDefault="00984B3D" w:rsidP="00821B08">
            <w:pPr>
              <w:widowControl w:val="0"/>
              <w:rPr>
                <w:rFonts w:cs="Arial"/>
                <w:color w:val="000000"/>
              </w:rPr>
            </w:pPr>
            <w:r w:rsidRPr="00984B3D">
              <w:rPr>
                <w:rFonts w:cs="Arial"/>
              </w:rPr>
              <w:t>Women referred from ‘at risk’ group who are pregnant or at risk of an unwanted pregnancy (e.g. those with substance misuse issues/ mental health issues/ learning disabilities/living with domestic violence/ on probation/ complex social needs, etc.</w:t>
            </w:r>
          </w:p>
        </w:tc>
      </w:tr>
      <w:tr w:rsidR="00984B3D" w:rsidRPr="00984B3D" w:rsidTr="00821B08">
        <w:tc>
          <w:tcPr>
            <w:tcW w:w="1419" w:type="dxa"/>
          </w:tcPr>
          <w:p w:rsidR="00984B3D" w:rsidRPr="00984B3D" w:rsidRDefault="00984B3D" w:rsidP="00821B08">
            <w:pPr>
              <w:widowControl w:val="0"/>
              <w:rPr>
                <w:rFonts w:cs="Arial"/>
              </w:rPr>
            </w:pPr>
            <w:r w:rsidRPr="00984B3D">
              <w:rPr>
                <w:rFonts w:cs="Arial"/>
              </w:rPr>
              <w:t>Priority 4</w:t>
            </w:r>
          </w:p>
        </w:tc>
        <w:tc>
          <w:tcPr>
            <w:tcW w:w="3888" w:type="dxa"/>
          </w:tcPr>
          <w:p w:rsidR="00984B3D" w:rsidRPr="00984B3D" w:rsidRDefault="00984B3D" w:rsidP="00821B08">
            <w:pPr>
              <w:widowControl w:val="0"/>
              <w:rPr>
                <w:rFonts w:cs="Arial"/>
              </w:rPr>
            </w:pPr>
            <w:r w:rsidRPr="00984B3D">
              <w:rPr>
                <w:rFonts w:cs="Arial"/>
              </w:rPr>
              <w:t>Preventative referrals where there is lower risk</w:t>
            </w:r>
          </w:p>
        </w:tc>
      </w:tr>
    </w:tbl>
    <w:p w:rsidR="00984B3D" w:rsidRPr="00821B08" w:rsidRDefault="00984B3D" w:rsidP="00984B3D">
      <w:pPr>
        <w:rPr>
          <w:rFonts w:cs="Arial"/>
          <w:b/>
          <w:bCs/>
          <w:color w:val="339966"/>
        </w:rPr>
      </w:pPr>
    </w:p>
    <w:p w:rsidR="00984B3D" w:rsidRPr="00984B3D" w:rsidRDefault="00984B3D" w:rsidP="00984B3D">
      <w:pPr>
        <w:pStyle w:val="ListParagraph"/>
        <w:widowControl w:val="0"/>
        <w:numPr>
          <w:ilvl w:val="0"/>
          <w:numId w:val="9"/>
        </w:numPr>
        <w:rPr>
          <w:rFonts w:ascii="Arial" w:hAnsi="Arial" w:cs="Arial"/>
        </w:rPr>
      </w:pPr>
      <w:r w:rsidRPr="00984B3D">
        <w:rPr>
          <w:rFonts w:ascii="Arial" w:hAnsi="Arial" w:cs="Arial"/>
        </w:rPr>
        <w:t>Through discussion and support, the outreach nurse will work to increase uptake of LARC methods above other methods of contraception.</w:t>
      </w:r>
    </w:p>
    <w:p w:rsidR="00984B3D" w:rsidRPr="00984B3D" w:rsidRDefault="00984B3D" w:rsidP="00984B3D">
      <w:pPr>
        <w:pStyle w:val="ListParagraph"/>
        <w:widowControl w:val="0"/>
        <w:numPr>
          <w:ilvl w:val="0"/>
          <w:numId w:val="9"/>
        </w:numPr>
        <w:rPr>
          <w:rFonts w:ascii="Arial" w:hAnsi="Arial" w:cs="Arial"/>
        </w:rPr>
      </w:pPr>
      <w:r w:rsidRPr="00984B3D">
        <w:rPr>
          <w:rFonts w:ascii="Arial" w:hAnsi="Arial" w:cs="Arial"/>
          <w:color w:val="000000"/>
        </w:rPr>
        <w:t>The Outreach Nurse will engage with women through a flexible and responsive service that seeks to empower women to make healthy lifestyle choices. The service is person focused and where possible, delivers care in settings of their choice where they feel comfortable, at a time that suits them.</w:t>
      </w:r>
    </w:p>
    <w:p w:rsidR="00984B3D" w:rsidRPr="00984B3D" w:rsidRDefault="00984B3D" w:rsidP="00984B3D">
      <w:pPr>
        <w:pStyle w:val="ListParagraph"/>
        <w:numPr>
          <w:ilvl w:val="0"/>
          <w:numId w:val="9"/>
        </w:numPr>
        <w:rPr>
          <w:rFonts w:ascii="Arial" w:hAnsi="Arial" w:cs="Arial"/>
          <w:bCs/>
          <w:color w:val="000000"/>
        </w:rPr>
      </w:pPr>
      <w:r w:rsidRPr="00984B3D">
        <w:rPr>
          <w:rFonts w:ascii="Arial" w:hAnsi="Arial" w:cs="Arial"/>
          <w:bCs/>
          <w:color w:val="000000"/>
        </w:rPr>
        <w:t xml:space="preserve">The health needs of the woman, in particular their contraceptive and sexual health needs, are the priority for this service.  However, if specific health needs of a child in the family are identified, the service will take appropriate action, </w:t>
      </w:r>
      <w:r w:rsidR="007E669C">
        <w:rPr>
          <w:rFonts w:ascii="Arial" w:hAnsi="Arial" w:cs="Arial"/>
          <w:bCs/>
          <w:color w:val="000000"/>
        </w:rPr>
        <w:t>e.g.</w:t>
      </w:r>
      <w:r w:rsidRPr="00984B3D">
        <w:rPr>
          <w:rFonts w:ascii="Arial" w:hAnsi="Arial" w:cs="Arial"/>
          <w:bCs/>
          <w:color w:val="000000"/>
        </w:rPr>
        <w:t>, by alerting relevant professionals or signposting to relevant specialist services.</w:t>
      </w:r>
    </w:p>
    <w:p w:rsidR="00984B3D" w:rsidRPr="00984B3D" w:rsidRDefault="00984B3D" w:rsidP="00984B3D">
      <w:pPr>
        <w:pStyle w:val="ListParagraph"/>
        <w:numPr>
          <w:ilvl w:val="0"/>
          <w:numId w:val="9"/>
        </w:numPr>
        <w:rPr>
          <w:rFonts w:ascii="Arial" w:hAnsi="Arial" w:cs="Arial"/>
          <w:bCs/>
          <w:color w:val="000000"/>
        </w:rPr>
      </w:pPr>
      <w:r w:rsidRPr="00984B3D">
        <w:rPr>
          <w:rFonts w:ascii="Arial" w:hAnsi="Arial" w:cs="Arial"/>
          <w:bCs/>
          <w:color w:val="000000"/>
        </w:rPr>
        <w:t>The service will also aim to provide holistic healthy lifestyle advice and support to women, making referrals to specialist services as required, with their informed consent.</w:t>
      </w:r>
    </w:p>
    <w:p w:rsidR="00984B3D" w:rsidRPr="00984B3D" w:rsidRDefault="00984B3D" w:rsidP="00984B3D">
      <w:pPr>
        <w:pStyle w:val="ListParagraph"/>
        <w:numPr>
          <w:ilvl w:val="0"/>
          <w:numId w:val="9"/>
        </w:numPr>
        <w:rPr>
          <w:rFonts w:ascii="Arial" w:hAnsi="Arial" w:cs="Arial"/>
          <w:bCs/>
          <w:color w:val="000000"/>
        </w:rPr>
      </w:pPr>
      <w:r w:rsidRPr="00984B3D">
        <w:rPr>
          <w:rFonts w:ascii="Arial" w:hAnsi="Arial" w:cs="Arial"/>
          <w:bCs/>
          <w:color w:val="000000"/>
        </w:rPr>
        <w:t>The Outreach Nurse will develop and maintain relationships with all relevant partner agencies to ensure appropriate referral to the service.</w:t>
      </w:r>
    </w:p>
    <w:p w:rsidR="00984B3D" w:rsidRPr="00984B3D" w:rsidRDefault="00984B3D" w:rsidP="00984B3D">
      <w:pPr>
        <w:pStyle w:val="ListParagraph"/>
        <w:numPr>
          <w:ilvl w:val="0"/>
          <w:numId w:val="9"/>
        </w:numPr>
        <w:rPr>
          <w:rFonts w:ascii="Arial" w:hAnsi="Arial" w:cs="Arial"/>
          <w:bCs/>
        </w:rPr>
      </w:pPr>
      <w:r w:rsidRPr="00984B3D">
        <w:rPr>
          <w:rFonts w:ascii="Arial" w:hAnsi="Arial" w:cs="Arial"/>
          <w:bCs/>
        </w:rPr>
        <w:t xml:space="preserve">The Outreach Nurse will keep records on health records (Rio </w:t>
      </w:r>
      <w:r w:rsidRPr="00984B3D">
        <w:rPr>
          <w:rFonts w:ascii="Arial" w:hAnsi="Arial" w:cs="Arial"/>
        </w:rPr>
        <w:t>or equivalent NHS-approved electronic patient record system</w:t>
      </w:r>
      <w:r w:rsidRPr="00984B3D">
        <w:rPr>
          <w:rFonts w:ascii="Arial" w:hAnsi="Arial" w:cs="Arial"/>
          <w:bCs/>
        </w:rPr>
        <w:t>) and Local Authority data base (cloud). The Head of Service, Safeguarding will record on children’s social care records (Fwi) that a referral has been made if applicable (on child’s file).</w:t>
      </w:r>
    </w:p>
    <w:p w:rsidR="00984B3D" w:rsidRPr="00B65A04" w:rsidRDefault="00984B3D" w:rsidP="00984B3D">
      <w:pPr>
        <w:pStyle w:val="ListParagraph"/>
        <w:numPr>
          <w:ilvl w:val="0"/>
          <w:numId w:val="9"/>
        </w:numPr>
        <w:rPr>
          <w:rFonts w:ascii="Arial" w:hAnsi="Arial" w:cs="Arial"/>
          <w:bCs/>
        </w:rPr>
      </w:pPr>
      <w:r w:rsidRPr="00984B3D">
        <w:rPr>
          <w:rFonts w:ascii="Arial" w:hAnsi="Arial" w:cs="Arial"/>
          <w:bCs/>
        </w:rPr>
        <w:t xml:space="preserve">Women will not be excluded but if other health problems (such as mental health) are </w:t>
      </w:r>
      <w:r w:rsidRPr="00B65A04">
        <w:rPr>
          <w:rFonts w:ascii="Arial" w:hAnsi="Arial" w:cs="Arial"/>
          <w:bCs/>
        </w:rPr>
        <w:t>preventing her engaging effectively with the service she must be referred to an appropriate agency before further Outreach Nurse appointments are offered.</w:t>
      </w:r>
    </w:p>
    <w:p w:rsidR="00984B3D" w:rsidRPr="00B65A04" w:rsidRDefault="00984B3D" w:rsidP="00984B3D">
      <w:pPr>
        <w:rPr>
          <w:rFonts w:cs="Arial Bold"/>
          <w:bCs/>
        </w:rPr>
      </w:pPr>
      <w:r w:rsidRPr="00B65A04">
        <w:rPr>
          <w:rFonts w:cs="Arial Bold"/>
          <w:bCs/>
        </w:rPr>
        <w:t xml:space="preserve">The </w:t>
      </w:r>
      <w:r w:rsidR="00B0328C">
        <w:rPr>
          <w:rFonts w:cs="Arial Bold"/>
          <w:bCs/>
        </w:rPr>
        <w:t>Provider</w:t>
      </w:r>
      <w:r w:rsidRPr="00B65A04">
        <w:rPr>
          <w:rFonts w:cs="Arial Bold"/>
          <w:bCs/>
        </w:rPr>
        <w:t xml:space="preserve"> will develop and maintain close links with both Public Health and Children Young People and Learning in Bracknell Forest, the responsibilities of each partner are set out below:</w:t>
      </w:r>
    </w:p>
    <w:p w:rsidR="00984B3D" w:rsidRPr="00984B3D" w:rsidRDefault="00984B3D" w:rsidP="00984B3D">
      <w:pPr>
        <w:rPr>
          <w:rFonts w:cs="Arial"/>
          <w:bCs/>
          <w:color w:val="339966"/>
        </w:rPr>
      </w:pPr>
    </w:p>
    <w:p w:rsidR="00984B3D" w:rsidRPr="00984B3D" w:rsidRDefault="00984B3D" w:rsidP="00984B3D">
      <w:pPr>
        <w:spacing w:after="200" w:line="276" w:lineRule="auto"/>
        <w:ind w:left="720"/>
        <w:contextualSpacing/>
        <w:rPr>
          <w:rFonts w:cs="Arial"/>
          <w:b/>
        </w:rPr>
      </w:pPr>
      <w:r w:rsidRPr="00984B3D">
        <w:rPr>
          <w:rFonts w:cs="Arial"/>
          <w:b/>
        </w:rPr>
        <w:t xml:space="preserve">Children, Young People &amp; Learning </w:t>
      </w:r>
      <w:r w:rsidR="007479A2">
        <w:rPr>
          <w:rFonts w:cs="Arial"/>
          <w:b/>
        </w:rPr>
        <w:t xml:space="preserve">Directorate </w:t>
      </w:r>
      <w:r w:rsidRPr="00984B3D">
        <w:rPr>
          <w:rFonts w:cs="Arial"/>
          <w:b/>
        </w:rPr>
        <w:t>(CYPL)</w:t>
      </w:r>
    </w:p>
    <w:p w:rsidR="00984B3D" w:rsidRPr="00984B3D" w:rsidRDefault="00984B3D" w:rsidP="00984B3D">
      <w:pPr>
        <w:pStyle w:val="ListParagraph"/>
        <w:numPr>
          <w:ilvl w:val="0"/>
          <w:numId w:val="9"/>
        </w:numPr>
        <w:rPr>
          <w:rFonts w:ascii="Arial" w:hAnsi="Arial" w:cs="Arial"/>
        </w:rPr>
      </w:pPr>
      <w:r w:rsidRPr="00984B3D">
        <w:rPr>
          <w:rFonts w:ascii="Arial" w:hAnsi="Arial" w:cs="Arial"/>
        </w:rPr>
        <w:t xml:space="preserve">CYPL will nominate a lead person to act as first point of contact for the service </w:t>
      </w:r>
      <w:r w:rsidR="00B0328C">
        <w:rPr>
          <w:rFonts w:ascii="Arial" w:hAnsi="Arial" w:cs="Arial"/>
        </w:rPr>
        <w:t>Provider</w:t>
      </w:r>
      <w:r w:rsidRPr="00984B3D">
        <w:rPr>
          <w:rFonts w:ascii="Arial" w:hAnsi="Arial" w:cs="Arial"/>
        </w:rPr>
        <w:t xml:space="preserve"> for discussion of any operational issues.</w:t>
      </w:r>
    </w:p>
    <w:p w:rsidR="00984B3D" w:rsidRPr="00984B3D" w:rsidRDefault="00B65A04" w:rsidP="00984B3D">
      <w:pPr>
        <w:pStyle w:val="Heading3"/>
        <w:widowControl w:val="0"/>
        <w:numPr>
          <w:ilvl w:val="0"/>
          <w:numId w:val="9"/>
        </w:numPr>
        <w:rPr>
          <w:rFonts w:cs="Arial"/>
          <w:sz w:val="22"/>
          <w:szCs w:val="22"/>
        </w:rPr>
      </w:pPr>
      <w:r w:rsidRPr="00984B3D">
        <w:rPr>
          <w:rFonts w:cs="Arial"/>
        </w:rPr>
        <w:t>CYPL</w:t>
      </w:r>
      <w:r w:rsidRPr="00984B3D" w:rsidDel="00B65A04">
        <w:rPr>
          <w:rFonts w:cs="Arial"/>
          <w:sz w:val="22"/>
          <w:szCs w:val="22"/>
        </w:rPr>
        <w:t xml:space="preserve"> </w:t>
      </w:r>
      <w:r w:rsidR="00984B3D" w:rsidRPr="00984B3D">
        <w:rPr>
          <w:rFonts w:cs="Arial"/>
          <w:sz w:val="22"/>
          <w:szCs w:val="22"/>
        </w:rPr>
        <w:t>will need to have systems and processes put in place to ensure there are robust referral pathways into the new service from Childrens Social Care and the Family Focus Programme.</w:t>
      </w:r>
    </w:p>
    <w:p w:rsidR="00984B3D" w:rsidRPr="00984B3D" w:rsidRDefault="00B65A04" w:rsidP="00984B3D">
      <w:pPr>
        <w:pStyle w:val="ListParagraph"/>
        <w:numPr>
          <w:ilvl w:val="0"/>
          <w:numId w:val="9"/>
        </w:numPr>
        <w:rPr>
          <w:rFonts w:ascii="Arial" w:hAnsi="Arial" w:cs="Arial"/>
        </w:rPr>
      </w:pPr>
      <w:r w:rsidRPr="00984B3D">
        <w:rPr>
          <w:rFonts w:ascii="Arial" w:hAnsi="Arial" w:cs="Arial"/>
        </w:rPr>
        <w:t>CYPL</w:t>
      </w:r>
      <w:r w:rsidRPr="00984B3D" w:rsidDel="00B65A04">
        <w:rPr>
          <w:rFonts w:ascii="Arial" w:hAnsi="Arial" w:cs="Arial"/>
        </w:rPr>
        <w:t xml:space="preserve"> </w:t>
      </w:r>
      <w:r w:rsidR="00984B3D" w:rsidRPr="00984B3D">
        <w:rPr>
          <w:rFonts w:ascii="Arial" w:hAnsi="Arial" w:cs="Arial"/>
        </w:rPr>
        <w:t xml:space="preserve">and the </w:t>
      </w:r>
      <w:r w:rsidR="00B0328C">
        <w:rPr>
          <w:rFonts w:ascii="Arial" w:hAnsi="Arial" w:cs="Arial"/>
        </w:rPr>
        <w:t>Provider</w:t>
      </w:r>
      <w:r w:rsidR="00984B3D" w:rsidRPr="00984B3D">
        <w:rPr>
          <w:rFonts w:ascii="Arial" w:hAnsi="Arial" w:cs="Arial"/>
        </w:rPr>
        <w:t xml:space="preserve"> will need to work closely together to provide day-to-day co-ordination of workload, based on local needs and unexpected demands, in order to provide a flexible and responsive service. </w:t>
      </w:r>
    </w:p>
    <w:p w:rsidR="00984B3D" w:rsidRPr="00984B3D" w:rsidRDefault="00B65A04" w:rsidP="00984B3D">
      <w:pPr>
        <w:pStyle w:val="ListParagraph"/>
        <w:numPr>
          <w:ilvl w:val="0"/>
          <w:numId w:val="9"/>
        </w:numPr>
        <w:rPr>
          <w:rFonts w:ascii="Arial" w:hAnsi="Arial" w:cs="Arial"/>
        </w:rPr>
      </w:pPr>
      <w:r w:rsidRPr="00984B3D">
        <w:rPr>
          <w:rFonts w:ascii="Arial" w:hAnsi="Arial" w:cs="Arial"/>
        </w:rPr>
        <w:t>CYPL</w:t>
      </w:r>
      <w:r w:rsidRPr="00984B3D" w:rsidDel="00B65A04">
        <w:rPr>
          <w:rFonts w:ascii="Arial" w:hAnsi="Arial" w:cs="Arial"/>
        </w:rPr>
        <w:t xml:space="preserve"> </w:t>
      </w:r>
      <w:r w:rsidR="00984B3D" w:rsidRPr="00984B3D">
        <w:rPr>
          <w:rFonts w:ascii="Arial" w:hAnsi="Arial" w:cs="Arial"/>
        </w:rPr>
        <w:t>will provide a desk with access to the Bracknell Forest IT network as a local base if required.</w:t>
      </w:r>
    </w:p>
    <w:p w:rsidR="00984B3D" w:rsidRPr="00984B3D" w:rsidRDefault="00984B3D" w:rsidP="00984B3D">
      <w:pPr>
        <w:ind w:left="720"/>
        <w:rPr>
          <w:rFonts w:cs="Arial"/>
          <w:b/>
        </w:rPr>
      </w:pPr>
      <w:r w:rsidRPr="00984B3D">
        <w:rPr>
          <w:rFonts w:cs="Arial"/>
          <w:b/>
        </w:rPr>
        <w:t>Public Health (PH) Directorate</w:t>
      </w:r>
    </w:p>
    <w:p w:rsidR="00984B3D" w:rsidRPr="00984B3D" w:rsidRDefault="00984B3D" w:rsidP="00984B3D">
      <w:pPr>
        <w:pStyle w:val="ListParagraph"/>
        <w:numPr>
          <w:ilvl w:val="0"/>
          <w:numId w:val="9"/>
        </w:numPr>
        <w:rPr>
          <w:rFonts w:ascii="Arial" w:hAnsi="Arial" w:cs="Arial"/>
        </w:rPr>
      </w:pPr>
      <w:r w:rsidRPr="00984B3D">
        <w:rPr>
          <w:rFonts w:ascii="Arial" w:hAnsi="Arial" w:cs="Arial"/>
        </w:rPr>
        <w:t xml:space="preserve">The PH Sexual Health Lead will act as point of contact for the service </w:t>
      </w:r>
      <w:r w:rsidR="00B0328C">
        <w:rPr>
          <w:rFonts w:ascii="Arial" w:hAnsi="Arial" w:cs="Arial"/>
        </w:rPr>
        <w:t>Provider</w:t>
      </w:r>
      <w:r w:rsidRPr="00984B3D">
        <w:rPr>
          <w:rFonts w:ascii="Arial" w:hAnsi="Arial" w:cs="Arial"/>
        </w:rPr>
        <w:t xml:space="preserve"> for issues directly related to the contract itself.</w:t>
      </w:r>
    </w:p>
    <w:p w:rsidR="00984B3D" w:rsidRPr="00984B3D" w:rsidRDefault="00984B3D" w:rsidP="00984B3D">
      <w:pPr>
        <w:pStyle w:val="ListParagraph"/>
        <w:numPr>
          <w:ilvl w:val="0"/>
          <w:numId w:val="9"/>
        </w:numPr>
        <w:rPr>
          <w:rFonts w:ascii="Arial" w:hAnsi="Arial" w:cs="Arial"/>
        </w:rPr>
      </w:pPr>
      <w:r w:rsidRPr="00984B3D">
        <w:rPr>
          <w:rFonts w:ascii="Arial" w:hAnsi="Arial" w:cs="Arial"/>
        </w:rPr>
        <w:t xml:space="preserve">The PH Sexual Health Lead will carry out regular contract monitoring and review, alongside the named lead in </w:t>
      </w:r>
      <w:r w:rsidR="007479A2">
        <w:rPr>
          <w:rFonts w:ascii="Arial" w:hAnsi="Arial" w:cs="Arial"/>
        </w:rPr>
        <w:t>CYPL</w:t>
      </w:r>
      <w:r w:rsidRPr="00984B3D">
        <w:rPr>
          <w:rFonts w:ascii="Arial" w:hAnsi="Arial" w:cs="Arial"/>
        </w:rPr>
        <w:t>.</w:t>
      </w:r>
    </w:p>
    <w:p w:rsidR="00984B3D" w:rsidRPr="00984B3D" w:rsidRDefault="00984B3D" w:rsidP="00984B3D">
      <w:pPr>
        <w:pStyle w:val="ListParagraph"/>
        <w:numPr>
          <w:ilvl w:val="0"/>
          <w:numId w:val="9"/>
        </w:numPr>
        <w:rPr>
          <w:rFonts w:ascii="Arial" w:hAnsi="Arial" w:cs="Arial"/>
        </w:rPr>
      </w:pPr>
      <w:r w:rsidRPr="00984B3D">
        <w:rPr>
          <w:rFonts w:ascii="Arial" w:hAnsi="Arial" w:cs="Arial"/>
        </w:rPr>
        <w:lastRenderedPageBreak/>
        <w:t>The PH Sexual Health Lead will provide professional public health and health improvement advice and guidance (</w:t>
      </w:r>
      <w:r w:rsidR="007E669C">
        <w:rPr>
          <w:rFonts w:ascii="Arial" w:hAnsi="Arial" w:cs="Arial"/>
        </w:rPr>
        <w:t>e.g.</w:t>
      </w:r>
      <w:r w:rsidRPr="00984B3D">
        <w:rPr>
          <w:rFonts w:ascii="Arial" w:hAnsi="Arial" w:cs="Arial"/>
        </w:rPr>
        <w:t xml:space="preserve"> around evidence-informed weight management, smoking, physical activity)</w:t>
      </w:r>
    </w:p>
    <w:p w:rsidR="00984B3D" w:rsidRPr="00984B3D" w:rsidRDefault="00984B3D" w:rsidP="00984B3D">
      <w:pPr>
        <w:ind w:left="720"/>
        <w:rPr>
          <w:rFonts w:cs="Arial"/>
          <w:b/>
        </w:rPr>
      </w:pPr>
      <w:r w:rsidRPr="00984B3D">
        <w:rPr>
          <w:rFonts w:cs="Arial"/>
          <w:b/>
        </w:rPr>
        <w:t>The Provider</w:t>
      </w:r>
    </w:p>
    <w:p w:rsidR="00984B3D" w:rsidRPr="00984B3D" w:rsidRDefault="00984B3D" w:rsidP="00984B3D">
      <w:pPr>
        <w:pStyle w:val="ListParagraph"/>
        <w:numPr>
          <w:ilvl w:val="0"/>
          <w:numId w:val="9"/>
        </w:numPr>
        <w:rPr>
          <w:rFonts w:ascii="Arial" w:hAnsi="Arial" w:cs="Arial"/>
        </w:rPr>
      </w:pPr>
      <w:r w:rsidRPr="00984B3D">
        <w:rPr>
          <w:rFonts w:ascii="Arial" w:hAnsi="Arial" w:cs="Arial"/>
        </w:rPr>
        <w:t xml:space="preserve">The </w:t>
      </w:r>
      <w:r w:rsidR="00B0328C">
        <w:rPr>
          <w:rFonts w:ascii="Arial" w:hAnsi="Arial" w:cs="Arial"/>
        </w:rPr>
        <w:t>Provider</w:t>
      </w:r>
      <w:r w:rsidRPr="00984B3D">
        <w:rPr>
          <w:rFonts w:ascii="Arial" w:hAnsi="Arial" w:cs="Arial"/>
        </w:rPr>
        <w:t xml:space="preserve"> will be responsible for delivery of the service, line management of staff, including all back office support functions and provision of equipment.</w:t>
      </w:r>
    </w:p>
    <w:p w:rsidR="00984B3D" w:rsidRPr="00984B3D" w:rsidRDefault="00984B3D" w:rsidP="00984B3D">
      <w:pPr>
        <w:pStyle w:val="ListParagraph"/>
        <w:numPr>
          <w:ilvl w:val="0"/>
          <w:numId w:val="9"/>
        </w:numPr>
        <w:rPr>
          <w:rFonts w:ascii="Arial" w:hAnsi="Arial" w:cs="Arial"/>
        </w:rPr>
      </w:pPr>
      <w:r w:rsidRPr="00984B3D">
        <w:rPr>
          <w:rFonts w:ascii="Arial" w:hAnsi="Arial" w:cs="Arial"/>
        </w:rPr>
        <w:t xml:space="preserve">The </w:t>
      </w:r>
      <w:r w:rsidR="00B0328C">
        <w:rPr>
          <w:rFonts w:ascii="Arial" w:hAnsi="Arial" w:cs="Arial"/>
        </w:rPr>
        <w:t>Provider</w:t>
      </w:r>
      <w:r w:rsidRPr="00984B3D">
        <w:rPr>
          <w:rFonts w:ascii="Arial" w:hAnsi="Arial" w:cs="Arial"/>
        </w:rPr>
        <w:t xml:space="preserve"> will be responsible for ensuring all relevant policies and procedures for clinical governance, information governance and safeguarding are followed at all times.</w:t>
      </w:r>
    </w:p>
    <w:p w:rsidR="00984B3D" w:rsidRPr="00B65A04" w:rsidRDefault="00984B3D" w:rsidP="00984B3D">
      <w:pPr>
        <w:rPr>
          <w:rFonts w:cs="Arial Bold"/>
          <w:bCs/>
        </w:rPr>
      </w:pPr>
      <w:r w:rsidRPr="00B65A04">
        <w:rPr>
          <w:rFonts w:cs="Arial Bold"/>
          <w:bCs/>
        </w:rPr>
        <w:t xml:space="preserve">Data requirements for the Targeted Outreach Service are laid out in Appendix 1 </w:t>
      </w:r>
    </w:p>
    <w:p w:rsidR="000773BF" w:rsidRPr="000773BF" w:rsidRDefault="000773BF" w:rsidP="00984B3D">
      <w:pPr>
        <w:ind w:left="360"/>
        <w:rPr>
          <w:rFonts w:cs="Arial"/>
          <w:bCs/>
        </w:rPr>
      </w:pPr>
      <w:r>
        <w:rPr>
          <w:rFonts w:cs="Arial"/>
          <w:bCs/>
          <w:color w:val="000000"/>
        </w:rPr>
        <w:t xml:space="preserve"> </w:t>
      </w:r>
    </w:p>
    <w:p w:rsidR="00353DCC" w:rsidRPr="007259CD" w:rsidRDefault="00353DCC" w:rsidP="00353DCC">
      <w:pPr>
        <w:rPr>
          <w:rFonts w:cs="Arial"/>
          <w:b/>
          <w:bCs/>
        </w:rPr>
      </w:pPr>
    </w:p>
    <w:p w:rsidR="00353DCC" w:rsidRPr="007259CD" w:rsidRDefault="00353DCC" w:rsidP="00D83004">
      <w:pPr>
        <w:pStyle w:val="ListParagraph"/>
        <w:numPr>
          <w:ilvl w:val="2"/>
          <w:numId w:val="37"/>
        </w:numPr>
        <w:rPr>
          <w:rFonts w:ascii="Arial" w:hAnsi="Arial" w:cs="Arial"/>
          <w:b/>
          <w:bCs/>
        </w:rPr>
      </w:pPr>
      <w:r w:rsidRPr="007259CD">
        <w:rPr>
          <w:rFonts w:ascii="Arial" w:hAnsi="Arial" w:cs="Arial"/>
          <w:b/>
          <w:bCs/>
        </w:rPr>
        <w:t>Slough</w:t>
      </w:r>
    </w:p>
    <w:p w:rsidR="003E7C26" w:rsidRDefault="00270DF3" w:rsidP="003E7C26">
      <w:pPr>
        <w:rPr>
          <w:rFonts w:cs="Arial"/>
        </w:rPr>
      </w:pPr>
      <w:r w:rsidRPr="007259CD">
        <w:rPr>
          <w:rFonts w:cs="Arial"/>
        </w:rPr>
        <w:t>The</w:t>
      </w:r>
      <w:r w:rsidR="00D91B63">
        <w:rPr>
          <w:rFonts w:cs="Arial"/>
        </w:rPr>
        <w:t xml:space="preserve"> </w:t>
      </w:r>
      <w:r w:rsidR="00B0328C">
        <w:rPr>
          <w:rFonts w:cs="Arial"/>
        </w:rPr>
        <w:t>Provider</w:t>
      </w:r>
      <w:r w:rsidRPr="007259CD">
        <w:rPr>
          <w:rFonts w:cs="Arial"/>
        </w:rPr>
        <w:t xml:space="preserve"> will provide an open access integrated sexual health service covering the core</w:t>
      </w:r>
      <w:r w:rsidR="006C1348">
        <w:rPr>
          <w:rFonts w:cs="Arial"/>
        </w:rPr>
        <w:t xml:space="preserve"> (level 1)</w:t>
      </w:r>
      <w:r w:rsidRPr="007259CD">
        <w:rPr>
          <w:rFonts w:cs="Arial"/>
        </w:rPr>
        <w:t>, non-specialist</w:t>
      </w:r>
      <w:r w:rsidR="006C1348">
        <w:rPr>
          <w:rFonts w:cs="Arial"/>
        </w:rPr>
        <w:t xml:space="preserve"> (level 2)</w:t>
      </w:r>
      <w:r w:rsidRPr="007259CD">
        <w:rPr>
          <w:rFonts w:cs="Arial"/>
        </w:rPr>
        <w:t xml:space="preserve"> and specialist</w:t>
      </w:r>
      <w:r w:rsidR="006C1348">
        <w:rPr>
          <w:rFonts w:cs="Arial"/>
        </w:rPr>
        <w:t xml:space="preserve"> (level 3)</w:t>
      </w:r>
      <w:r w:rsidRPr="007259CD">
        <w:rPr>
          <w:rFonts w:cs="Arial"/>
        </w:rPr>
        <w:t xml:space="preserve"> services</w:t>
      </w:r>
      <w:r w:rsidR="00304835">
        <w:rPr>
          <w:rFonts w:cs="Arial"/>
        </w:rPr>
        <w:t xml:space="preserve"> in a location within </w:t>
      </w:r>
      <w:r w:rsidR="00D91B63">
        <w:rPr>
          <w:rFonts w:cs="Arial"/>
        </w:rPr>
        <w:t xml:space="preserve">Slough </w:t>
      </w:r>
      <w:r w:rsidR="00304835">
        <w:rPr>
          <w:rFonts w:cs="Arial"/>
        </w:rPr>
        <w:t>town centre</w:t>
      </w:r>
      <w:r w:rsidRPr="007259CD">
        <w:rPr>
          <w:rFonts w:cs="Arial"/>
        </w:rPr>
        <w:t>.  The service will have good</w:t>
      </w:r>
      <w:r w:rsidR="00304835">
        <w:rPr>
          <w:rFonts w:cs="Arial"/>
        </w:rPr>
        <w:t xml:space="preserve"> public</w:t>
      </w:r>
      <w:r w:rsidRPr="007259CD">
        <w:rPr>
          <w:rFonts w:cs="Arial"/>
        </w:rPr>
        <w:t xml:space="preserve"> transport links and be easily accessible for local residents, residents of the other Berkshire East boroughs and others who may be present in the area.</w:t>
      </w:r>
      <w:r w:rsidR="003E7C26">
        <w:rPr>
          <w:rFonts w:cs="Arial"/>
        </w:rPr>
        <w:t xml:space="preserve"> Any location would require agreement from the Slough </w:t>
      </w:r>
      <w:r w:rsidR="007479A2">
        <w:rPr>
          <w:rFonts w:cs="Arial"/>
        </w:rPr>
        <w:t>Commissioner</w:t>
      </w:r>
      <w:r w:rsidR="003E7C26">
        <w:rPr>
          <w:rFonts w:cs="Arial"/>
        </w:rPr>
        <w:t xml:space="preserve">. </w:t>
      </w:r>
      <w:r w:rsidR="003E7C26" w:rsidRPr="007259CD">
        <w:rPr>
          <w:rFonts w:cs="Arial"/>
        </w:rPr>
        <w:t xml:space="preserve"> </w:t>
      </w:r>
    </w:p>
    <w:p w:rsidR="003E7C26" w:rsidRPr="003E7C26" w:rsidRDefault="003E7C26" w:rsidP="00353DCC">
      <w:pPr>
        <w:rPr>
          <w:rFonts w:cs="Arial"/>
        </w:rPr>
      </w:pPr>
    </w:p>
    <w:p w:rsidR="007D5A34" w:rsidRDefault="007D5A34" w:rsidP="007D5A34">
      <w:pPr>
        <w:rPr>
          <w:rFonts w:cs="Arial"/>
          <w:bCs/>
        </w:rPr>
      </w:pPr>
      <w:r>
        <w:rPr>
          <w:rFonts w:cs="Arial"/>
          <w:bCs/>
        </w:rPr>
        <w:t>Key objectives</w:t>
      </w:r>
      <w:r w:rsidR="007E669C">
        <w:rPr>
          <w:rFonts w:cs="Arial"/>
          <w:bCs/>
        </w:rPr>
        <w:t>:</w:t>
      </w:r>
    </w:p>
    <w:p w:rsidR="00353DCC" w:rsidRPr="007259CD" w:rsidRDefault="00353DCC" w:rsidP="00353DCC">
      <w:pPr>
        <w:rPr>
          <w:rFonts w:cs="Arial"/>
          <w:bCs/>
        </w:rPr>
      </w:pPr>
    </w:p>
    <w:p w:rsidR="00270DF3" w:rsidRPr="00E63DEA" w:rsidRDefault="00270DF3" w:rsidP="00E63DEA">
      <w:pPr>
        <w:pStyle w:val="ListParagraph"/>
        <w:numPr>
          <w:ilvl w:val="0"/>
          <w:numId w:val="30"/>
        </w:numPr>
        <w:rPr>
          <w:rFonts w:ascii="Arial" w:hAnsi="Arial" w:cs="Arial"/>
          <w:bCs/>
        </w:rPr>
      </w:pPr>
      <w:r w:rsidRPr="00E63DEA">
        <w:rPr>
          <w:rFonts w:ascii="Arial" w:hAnsi="Arial" w:cs="Arial"/>
          <w:bCs/>
        </w:rPr>
        <w:t xml:space="preserve">Access to online HIV and STI testing </w:t>
      </w:r>
      <w:r w:rsidR="00D91B63">
        <w:rPr>
          <w:rFonts w:ascii="Arial" w:hAnsi="Arial" w:cs="Arial"/>
          <w:bCs/>
        </w:rPr>
        <w:t xml:space="preserve">for </w:t>
      </w:r>
      <w:r w:rsidR="000A6849">
        <w:rPr>
          <w:rFonts w:ascii="Arial" w:hAnsi="Arial" w:cs="Arial"/>
          <w:bCs/>
        </w:rPr>
        <w:t xml:space="preserve">all </w:t>
      </w:r>
      <w:r w:rsidR="00D91B63">
        <w:rPr>
          <w:rFonts w:ascii="Arial" w:hAnsi="Arial" w:cs="Arial"/>
          <w:bCs/>
        </w:rPr>
        <w:t>adult residents of Berkshire East</w:t>
      </w:r>
    </w:p>
    <w:p w:rsidR="00270DF3" w:rsidRPr="00E63DEA" w:rsidRDefault="00353DCC" w:rsidP="00E63DEA">
      <w:pPr>
        <w:pStyle w:val="ListParagraph"/>
        <w:numPr>
          <w:ilvl w:val="0"/>
          <w:numId w:val="30"/>
        </w:numPr>
        <w:rPr>
          <w:rFonts w:ascii="Arial" w:hAnsi="Arial" w:cs="Arial"/>
          <w:bCs/>
        </w:rPr>
      </w:pPr>
      <w:r w:rsidRPr="00E63DEA">
        <w:rPr>
          <w:rFonts w:ascii="Arial" w:hAnsi="Arial" w:cs="Arial"/>
          <w:bCs/>
        </w:rPr>
        <w:t>Improving self-care for low-level sexual and reproductive health needs</w:t>
      </w:r>
    </w:p>
    <w:p w:rsidR="00353DCC" w:rsidRPr="00E63DEA" w:rsidRDefault="00353DCC" w:rsidP="00E63DEA">
      <w:pPr>
        <w:pStyle w:val="ListParagraph"/>
        <w:numPr>
          <w:ilvl w:val="0"/>
          <w:numId w:val="30"/>
        </w:numPr>
        <w:rPr>
          <w:rFonts w:ascii="Arial" w:hAnsi="Arial" w:cs="Arial"/>
          <w:bCs/>
        </w:rPr>
      </w:pPr>
      <w:r w:rsidRPr="00E63DEA">
        <w:rPr>
          <w:rFonts w:ascii="Arial" w:hAnsi="Arial" w:cs="Arial"/>
          <w:bCs/>
        </w:rPr>
        <w:t>Increasing uptake of HIV testing in high risk groups</w:t>
      </w:r>
    </w:p>
    <w:p w:rsidR="00270DF3" w:rsidRDefault="00EA52F0" w:rsidP="00353DCC">
      <w:pPr>
        <w:rPr>
          <w:rFonts w:cs="Arial"/>
          <w:bCs/>
        </w:rPr>
      </w:pPr>
      <w:r>
        <w:rPr>
          <w:rFonts w:cs="Arial"/>
          <w:bCs/>
        </w:rPr>
        <w:t>The specialist service in Slough will operate for at least 29.5 hours per week, for at least six days per week</w:t>
      </w:r>
      <w:r w:rsidR="003E7C26">
        <w:rPr>
          <w:rFonts w:cs="Arial"/>
          <w:bCs/>
        </w:rPr>
        <w:t xml:space="preserve"> including weekend and evening opening times</w:t>
      </w:r>
      <w:r>
        <w:rPr>
          <w:rFonts w:cs="Arial"/>
          <w:bCs/>
        </w:rPr>
        <w:t xml:space="preserve">. The service will offer a mix of walk-in and booked appointments and will offer specific clinics for young-people and for men. </w:t>
      </w:r>
      <w:r w:rsidR="000A6849">
        <w:rPr>
          <w:rFonts w:cs="Arial"/>
          <w:bCs/>
        </w:rPr>
        <w:t>Using an appropriate proportion of clinic time to provide o</w:t>
      </w:r>
      <w:r>
        <w:rPr>
          <w:rFonts w:cs="Arial"/>
          <w:bCs/>
        </w:rPr>
        <w:t xml:space="preserve">ther targeted clinics for </w:t>
      </w:r>
      <w:r w:rsidR="006C1348">
        <w:rPr>
          <w:rFonts w:cs="Arial"/>
          <w:bCs/>
        </w:rPr>
        <w:t xml:space="preserve">people at increased risk of sexual ill health </w:t>
      </w:r>
      <w:r>
        <w:rPr>
          <w:rFonts w:cs="Arial"/>
          <w:bCs/>
        </w:rPr>
        <w:t>such as for sex-workers, L</w:t>
      </w:r>
      <w:r w:rsidR="00D83004">
        <w:rPr>
          <w:rFonts w:cs="Arial"/>
          <w:bCs/>
        </w:rPr>
        <w:t xml:space="preserve">esbian, </w:t>
      </w:r>
      <w:r>
        <w:rPr>
          <w:rFonts w:cs="Arial"/>
          <w:bCs/>
        </w:rPr>
        <w:t>G</w:t>
      </w:r>
      <w:r w:rsidR="00D83004">
        <w:rPr>
          <w:rFonts w:cs="Arial"/>
          <w:bCs/>
        </w:rPr>
        <w:t xml:space="preserve">ay, </w:t>
      </w:r>
      <w:r>
        <w:rPr>
          <w:rFonts w:cs="Arial"/>
          <w:bCs/>
        </w:rPr>
        <w:t>B</w:t>
      </w:r>
      <w:r w:rsidR="00D83004">
        <w:rPr>
          <w:rFonts w:cs="Arial"/>
          <w:bCs/>
        </w:rPr>
        <w:t xml:space="preserve">isexual, </w:t>
      </w:r>
      <w:r>
        <w:rPr>
          <w:rFonts w:cs="Arial"/>
          <w:bCs/>
        </w:rPr>
        <w:t>T</w:t>
      </w:r>
      <w:r w:rsidR="00D83004">
        <w:rPr>
          <w:rFonts w:cs="Arial"/>
          <w:bCs/>
        </w:rPr>
        <w:t xml:space="preserve">rans, </w:t>
      </w:r>
      <w:r>
        <w:rPr>
          <w:rFonts w:cs="Arial"/>
          <w:bCs/>
        </w:rPr>
        <w:t>Q</w:t>
      </w:r>
      <w:r w:rsidR="00D83004">
        <w:rPr>
          <w:rFonts w:cs="Arial"/>
          <w:bCs/>
        </w:rPr>
        <w:t>uestioning/Queer</w:t>
      </w:r>
      <w:r>
        <w:rPr>
          <w:rFonts w:cs="Arial"/>
          <w:bCs/>
        </w:rPr>
        <w:t xml:space="preserve"> or people learning disabilities </w:t>
      </w:r>
      <w:r w:rsidR="000A6849">
        <w:rPr>
          <w:rFonts w:cs="Arial"/>
          <w:bCs/>
        </w:rPr>
        <w:t>is encouraged</w:t>
      </w:r>
      <w:r w:rsidR="007E669C">
        <w:rPr>
          <w:rFonts w:cs="Arial"/>
          <w:bCs/>
        </w:rPr>
        <w:t>.</w:t>
      </w:r>
    </w:p>
    <w:p w:rsidR="00E26C61" w:rsidRDefault="00E26C61" w:rsidP="00353DCC">
      <w:pPr>
        <w:rPr>
          <w:rFonts w:cs="Arial"/>
          <w:bCs/>
        </w:rPr>
      </w:pPr>
    </w:p>
    <w:p w:rsidR="00E26C61" w:rsidRDefault="00E26C61" w:rsidP="00E26C61">
      <w:pPr>
        <w:rPr>
          <w:rFonts w:cs="Arial"/>
        </w:rPr>
      </w:pPr>
      <w:r>
        <w:rPr>
          <w:rFonts w:cs="Arial"/>
        </w:rPr>
        <w:t>Slough residents will also have access to the open access</w:t>
      </w:r>
      <w:r w:rsidR="006C1348">
        <w:rPr>
          <w:rFonts w:cs="Arial"/>
        </w:rPr>
        <w:t xml:space="preserve"> non-specialist (level 2)</w:t>
      </w:r>
      <w:r>
        <w:rPr>
          <w:rFonts w:cs="Arial"/>
        </w:rPr>
        <w:t xml:space="preserve"> services in Bracknell Forest and RBWM.</w:t>
      </w:r>
    </w:p>
    <w:p w:rsidR="00E26C61" w:rsidRPr="007259CD" w:rsidRDefault="00E26C61" w:rsidP="00353DCC">
      <w:pPr>
        <w:rPr>
          <w:rFonts w:cs="Arial"/>
          <w:bCs/>
        </w:rPr>
      </w:pPr>
    </w:p>
    <w:p w:rsidR="00353DCC" w:rsidRPr="007259CD" w:rsidRDefault="00353DCC" w:rsidP="00353DCC">
      <w:pPr>
        <w:rPr>
          <w:rFonts w:cs="Arial"/>
          <w:bCs/>
        </w:rPr>
      </w:pPr>
    </w:p>
    <w:p w:rsidR="00353DCC" w:rsidRPr="007259CD" w:rsidRDefault="007E669C" w:rsidP="00D83004">
      <w:pPr>
        <w:pStyle w:val="ListParagraph"/>
        <w:numPr>
          <w:ilvl w:val="2"/>
          <w:numId w:val="37"/>
        </w:numPr>
        <w:rPr>
          <w:rFonts w:ascii="Arial" w:hAnsi="Arial" w:cs="Arial"/>
          <w:b/>
          <w:bCs/>
        </w:rPr>
      </w:pPr>
      <w:r>
        <w:rPr>
          <w:rFonts w:ascii="Arial" w:hAnsi="Arial" w:cs="Arial"/>
          <w:b/>
          <w:bCs/>
        </w:rPr>
        <w:t>RBWM</w:t>
      </w:r>
    </w:p>
    <w:p w:rsidR="00C318DF" w:rsidRDefault="00C318DF" w:rsidP="00C318DF">
      <w:pPr>
        <w:rPr>
          <w:rFonts w:cs="Arial"/>
        </w:rPr>
      </w:pPr>
      <w:r>
        <w:rPr>
          <w:rFonts w:cs="Arial"/>
        </w:rPr>
        <w:t>Open access core</w:t>
      </w:r>
      <w:r w:rsidR="006C1348">
        <w:rPr>
          <w:rFonts w:cs="Arial"/>
        </w:rPr>
        <w:t xml:space="preserve"> (level1)</w:t>
      </w:r>
      <w:r>
        <w:rPr>
          <w:rFonts w:cs="Arial"/>
        </w:rPr>
        <w:t xml:space="preserve"> and non-specialist</w:t>
      </w:r>
      <w:r w:rsidR="006C1348">
        <w:rPr>
          <w:rFonts w:cs="Arial"/>
        </w:rPr>
        <w:t xml:space="preserve"> (level 2)</w:t>
      </w:r>
      <w:r>
        <w:rPr>
          <w:rFonts w:cs="Arial"/>
        </w:rPr>
        <w:t xml:space="preserve"> reproductive and sexual health services will be provided through a c</w:t>
      </w:r>
      <w:r w:rsidRPr="00821B08">
        <w:rPr>
          <w:rFonts w:cs="Arial"/>
        </w:rPr>
        <w:t xml:space="preserve">ommunity-based </w:t>
      </w:r>
      <w:r>
        <w:rPr>
          <w:rFonts w:cs="Arial"/>
        </w:rPr>
        <w:t xml:space="preserve">nurse-led service in RBWM. The service will operate on a community outreach basis, using clinically appropriate premises at locations across the borough, including but not restricted to premises in Maidenhead, Windsor and Ascot. </w:t>
      </w:r>
      <w:r w:rsidRPr="007D5A34">
        <w:rPr>
          <w:rFonts w:cs="Arial"/>
        </w:rPr>
        <w:t>The service will have access to clinically appropriate RBWM buildings and some GP practices</w:t>
      </w:r>
      <w:r>
        <w:rPr>
          <w:rFonts w:cs="Arial"/>
        </w:rPr>
        <w:t>.</w:t>
      </w:r>
      <w:r w:rsidRPr="00C318DF">
        <w:rPr>
          <w:rFonts w:cs="Arial"/>
        </w:rPr>
        <w:t xml:space="preserve"> </w:t>
      </w:r>
      <w:r>
        <w:rPr>
          <w:rFonts w:cs="Arial"/>
        </w:rPr>
        <w:t xml:space="preserve">Any location would require agreement from the RBWM </w:t>
      </w:r>
      <w:r w:rsidR="007479A2">
        <w:rPr>
          <w:rFonts w:cs="Arial"/>
        </w:rPr>
        <w:t>Commissioner</w:t>
      </w:r>
      <w:r>
        <w:rPr>
          <w:rFonts w:cs="Arial"/>
        </w:rPr>
        <w:t xml:space="preserve">. </w:t>
      </w:r>
      <w:r w:rsidRPr="007259CD">
        <w:rPr>
          <w:rFonts w:cs="Arial"/>
        </w:rPr>
        <w:t xml:space="preserve"> </w:t>
      </w:r>
    </w:p>
    <w:p w:rsidR="00C318DF" w:rsidRDefault="00C318DF" w:rsidP="00C318DF">
      <w:pPr>
        <w:rPr>
          <w:rFonts w:cs="Arial"/>
        </w:rPr>
      </w:pPr>
    </w:p>
    <w:p w:rsidR="00C318DF" w:rsidRDefault="00C318DF" w:rsidP="00C318DF">
      <w:pPr>
        <w:rPr>
          <w:rFonts w:cs="Arial"/>
        </w:rPr>
      </w:pPr>
      <w:r>
        <w:rPr>
          <w:rFonts w:cs="Arial"/>
        </w:rPr>
        <w:t>This service will offer an intensive, responsive contraceptive and sexual health service and will have good access to the general community and focus also on reaching vulnerable groups who may have complex needs that impact on their risk of sexual ill health, under-</w:t>
      </w:r>
      <w:r>
        <w:rPr>
          <w:rFonts w:cs="Arial"/>
        </w:rPr>
        <w:lastRenderedPageBreak/>
        <w:t>served, disadvantaged or hard to reach groups and others at risk of sexual ill health including young people, BAME groups and MSM.</w:t>
      </w:r>
    </w:p>
    <w:p w:rsidR="00C318DF" w:rsidRDefault="00C318DF" w:rsidP="00C318DF">
      <w:pPr>
        <w:rPr>
          <w:rFonts w:asciiTheme="minorHAnsi" w:hAnsiTheme="minorHAnsi"/>
          <w:color w:val="1F497D" w:themeColor="dark2"/>
        </w:rPr>
      </w:pPr>
    </w:p>
    <w:p w:rsidR="00C318DF" w:rsidRDefault="00C318DF" w:rsidP="00C318DF">
      <w:pPr>
        <w:rPr>
          <w:rFonts w:cs="Arial"/>
          <w:bCs/>
        </w:rPr>
      </w:pPr>
      <w:r>
        <w:rPr>
          <w:rFonts w:cs="Arial"/>
        </w:rPr>
        <w:t xml:space="preserve">The service will </w:t>
      </w:r>
      <w:r w:rsidRPr="007D5A34">
        <w:rPr>
          <w:rFonts w:cs="Arial"/>
        </w:rPr>
        <w:t xml:space="preserve">operate for at least 37 hours a week on a flexible basis including some evening and Saturdays. </w:t>
      </w:r>
    </w:p>
    <w:p w:rsidR="00C318DF" w:rsidRDefault="00C318DF" w:rsidP="003402A8">
      <w:pPr>
        <w:rPr>
          <w:rFonts w:cs="Arial"/>
        </w:rPr>
      </w:pPr>
    </w:p>
    <w:p w:rsidR="00C318DF" w:rsidRDefault="00C318DF" w:rsidP="003402A8">
      <w:pPr>
        <w:rPr>
          <w:rFonts w:cs="Arial"/>
        </w:rPr>
      </w:pPr>
    </w:p>
    <w:p w:rsidR="003402A8" w:rsidRDefault="003402A8" w:rsidP="003402A8">
      <w:pPr>
        <w:rPr>
          <w:rFonts w:cs="Arial"/>
        </w:rPr>
      </w:pPr>
      <w:r>
        <w:rPr>
          <w:rFonts w:cs="Arial"/>
        </w:rPr>
        <w:t>RBWM residents will have access to services at the</w:t>
      </w:r>
      <w:r w:rsidR="006C1348">
        <w:rPr>
          <w:rFonts w:cs="Arial"/>
        </w:rPr>
        <w:t xml:space="preserve"> Specialist (l</w:t>
      </w:r>
      <w:r>
        <w:rPr>
          <w:rFonts w:cs="Arial"/>
        </w:rPr>
        <w:t>evel 3</w:t>
      </w:r>
      <w:r w:rsidR="006C1348">
        <w:rPr>
          <w:rFonts w:cs="Arial"/>
        </w:rPr>
        <w:t>)</w:t>
      </w:r>
      <w:r>
        <w:rPr>
          <w:rFonts w:cs="Arial"/>
        </w:rPr>
        <w:t xml:space="preserve"> Centre in Slough (to be provided at least 29.5 hours per week) and may also access the open access</w:t>
      </w:r>
      <w:r w:rsidR="006C1348">
        <w:rPr>
          <w:rFonts w:cs="Arial"/>
        </w:rPr>
        <w:t xml:space="preserve"> non-specialist</w:t>
      </w:r>
      <w:r>
        <w:rPr>
          <w:rFonts w:cs="Arial"/>
        </w:rPr>
        <w:t xml:space="preserve"> </w:t>
      </w:r>
      <w:r w:rsidR="006C1348">
        <w:rPr>
          <w:rFonts w:cs="Arial"/>
        </w:rPr>
        <w:t xml:space="preserve">(level 2) </w:t>
      </w:r>
      <w:r>
        <w:rPr>
          <w:rFonts w:cs="Arial"/>
        </w:rPr>
        <w:t>services in Bracknell Forest</w:t>
      </w:r>
      <w:r w:rsidR="007E669C">
        <w:rPr>
          <w:rFonts w:cs="Arial"/>
        </w:rPr>
        <w:t>.</w:t>
      </w:r>
    </w:p>
    <w:p w:rsidR="003402A8" w:rsidRDefault="003402A8" w:rsidP="003402A8">
      <w:pPr>
        <w:rPr>
          <w:rFonts w:cs="Arial"/>
        </w:rPr>
      </w:pPr>
    </w:p>
    <w:p w:rsidR="003402A8" w:rsidRPr="007259CD" w:rsidRDefault="003402A8" w:rsidP="003402A8">
      <w:pPr>
        <w:rPr>
          <w:rFonts w:cs="Arial"/>
        </w:rPr>
      </w:pPr>
      <w:r>
        <w:rPr>
          <w:rFonts w:cs="Arial"/>
        </w:rPr>
        <w:t>Key objectives</w:t>
      </w:r>
      <w:r w:rsidR="007E669C">
        <w:rPr>
          <w:rFonts w:cs="Arial"/>
        </w:rPr>
        <w:t>:</w:t>
      </w:r>
    </w:p>
    <w:p w:rsidR="003402A8" w:rsidRPr="007259CD" w:rsidRDefault="003402A8" w:rsidP="003402A8">
      <w:pPr>
        <w:rPr>
          <w:rFonts w:cs="Arial"/>
        </w:rPr>
      </w:pPr>
    </w:p>
    <w:p w:rsidR="003402A8" w:rsidRPr="000773BF" w:rsidRDefault="003402A8" w:rsidP="003402A8">
      <w:pPr>
        <w:pStyle w:val="ListParagraph"/>
        <w:numPr>
          <w:ilvl w:val="0"/>
          <w:numId w:val="27"/>
        </w:numPr>
        <w:rPr>
          <w:rFonts w:cs="Arial"/>
          <w:bCs/>
        </w:rPr>
      </w:pPr>
      <w:r w:rsidRPr="000773BF">
        <w:rPr>
          <w:rFonts w:ascii="Arial" w:hAnsi="Arial" w:cs="Arial"/>
          <w:bCs/>
        </w:rPr>
        <w:t xml:space="preserve">Access to online </w:t>
      </w:r>
      <w:r>
        <w:rPr>
          <w:rFonts w:ascii="Arial" w:hAnsi="Arial" w:cs="Arial"/>
          <w:bCs/>
        </w:rPr>
        <w:t xml:space="preserve">HIV and </w:t>
      </w:r>
      <w:r w:rsidRPr="000773BF">
        <w:rPr>
          <w:rFonts w:ascii="Arial" w:hAnsi="Arial" w:cs="Arial"/>
          <w:bCs/>
        </w:rPr>
        <w:t xml:space="preserve">STI testing for </w:t>
      </w:r>
      <w:r>
        <w:rPr>
          <w:rFonts w:ascii="Arial" w:hAnsi="Arial" w:cs="Arial"/>
          <w:bCs/>
        </w:rPr>
        <w:t>all adult residents of Berkshire East</w:t>
      </w:r>
    </w:p>
    <w:p w:rsidR="003402A8" w:rsidRPr="003402A8" w:rsidRDefault="003402A8" w:rsidP="003402A8">
      <w:pPr>
        <w:pStyle w:val="ListParagraph"/>
        <w:numPr>
          <w:ilvl w:val="0"/>
          <w:numId w:val="27"/>
        </w:numPr>
        <w:rPr>
          <w:rFonts w:cs="Arial"/>
          <w:bCs/>
        </w:rPr>
      </w:pPr>
      <w:r w:rsidRPr="00632766">
        <w:rPr>
          <w:rFonts w:ascii="Arial" w:hAnsi="Arial" w:cs="Arial"/>
          <w:bCs/>
        </w:rPr>
        <w:t>Improving self-care for low-level sexual and reproductive health needs</w:t>
      </w:r>
    </w:p>
    <w:p w:rsidR="00A379D8" w:rsidRPr="003402A8" w:rsidRDefault="003402A8" w:rsidP="003402A8">
      <w:pPr>
        <w:pStyle w:val="ListParagraph"/>
        <w:numPr>
          <w:ilvl w:val="0"/>
          <w:numId w:val="27"/>
        </w:numPr>
        <w:rPr>
          <w:rFonts w:cs="Arial"/>
          <w:bCs/>
        </w:rPr>
      </w:pPr>
      <w:r w:rsidRPr="003402A8">
        <w:rPr>
          <w:rFonts w:ascii="Arial" w:hAnsi="Arial" w:cs="Arial"/>
          <w:bCs/>
        </w:rPr>
        <w:t>Increasing uptake of HIV testing in high risk groups and working to reduce the proportion of HIV infections that are diagnosed late.</w:t>
      </w:r>
      <w:r w:rsidR="003E7C26" w:rsidRPr="003402A8">
        <w:rPr>
          <w:rFonts w:cs="Arial"/>
        </w:rPr>
        <w:t xml:space="preserve"> </w:t>
      </w:r>
    </w:p>
    <w:p w:rsidR="00A379D8" w:rsidRDefault="00A379D8" w:rsidP="00552970">
      <w:pPr>
        <w:rPr>
          <w:rFonts w:cs="Arial"/>
        </w:rPr>
      </w:pPr>
    </w:p>
    <w:p w:rsidR="00B45056" w:rsidRDefault="00B45056">
      <w:pPr>
        <w:rPr>
          <w:rFonts w:cs="Arial"/>
          <w:b/>
          <w:bCs/>
        </w:rPr>
      </w:pPr>
    </w:p>
    <w:p w:rsidR="00573845" w:rsidRPr="007259CD" w:rsidRDefault="00573845" w:rsidP="0044670A">
      <w:pPr>
        <w:rPr>
          <w:rFonts w:cs="Arial"/>
          <w:b/>
          <w:bCs/>
        </w:rPr>
      </w:pPr>
    </w:p>
    <w:p w:rsidR="00573845" w:rsidRPr="007259CD" w:rsidRDefault="00573845" w:rsidP="0044670A">
      <w:pPr>
        <w:rPr>
          <w:rFonts w:cs="Arial"/>
          <w:b/>
          <w:bCs/>
        </w:rPr>
      </w:pPr>
    </w:p>
    <w:p w:rsidR="0044670A" w:rsidRPr="007259CD" w:rsidRDefault="0044670A" w:rsidP="00D83004">
      <w:pPr>
        <w:pStyle w:val="ListParagraph"/>
        <w:numPr>
          <w:ilvl w:val="0"/>
          <w:numId w:val="37"/>
        </w:numPr>
        <w:rPr>
          <w:rFonts w:ascii="Arial" w:hAnsi="Arial" w:cs="Arial"/>
          <w:b/>
          <w:bCs/>
        </w:rPr>
      </w:pPr>
      <w:r w:rsidRPr="007259CD">
        <w:rPr>
          <w:rFonts w:ascii="Arial" w:hAnsi="Arial" w:cs="Arial"/>
          <w:b/>
          <w:bCs/>
        </w:rPr>
        <w:t>Organisation of service model</w:t>
      </w:r>
    </w:p>
    <w:p w:rsidR="0009660C" w:rsidRPr="007259CD" w:rsidRDefault="0009660C" w:rsidP="00F4523D">
      <w:pPr>
        <w:jc w:val="both"/>
        <w:rPr>
          <w:rFonts w:cs="Arial"/>
          <w:bCs/>
        </w:rPr>
      </w:pPr>
    </w:p>
    <w:p w:rsidR="00530EED" w:rsidRPr="007259CD" w:rsidRDefault="0044670A" w:rsidP="00D83004">
      <w:pPr>
        <w:pStyle w:val="ListParagraph"/>
        <w:numPr>
          <w:ilvl w:val="1"/>
          <w:numId w:val="37"/>
        </w:numPr>
        <w:jc w:val="both"/>
        <w:rPr>
          <w:rFonts w:ascii="Arial" w:hAnsi="Arial" w:cs="Arial"/>
          <w:b/>
          <w:bCs/>
        </w:rPr>
      </w:pPr>
      <w:r w:rsidRPr="007259CD">
        <w:rPr>
          <w:rFonts w:ascii="Arial" w:hAnsi="Arial" w:cs="Arial"/>
          <w:b/>
          <w:bCs/>
        </w:rPr>
        <w:t xml:space="preserve">Core </w:t>
      </w:r>
      <w:r w:rsidR="00530EED" w:rsidRPr="007259CD">
        <w:rPr>
          <w:rFonts w:ascii="Arial" w:hAnsi="Arial" w:cs="Arial"/>
          <w:b/>
          <w:bCs/>
        </w:rPr>
        <w:t>Service</w:t>
      </w:r>
      <w:r w:rsidR="00087959">
        <w:rPr>
          <w:rFonts w:ascii="Arial" w:hAnsi="Arial" w:cs="Arial"/>
          <w:b/>
          <w:bCs/>
        </w:rPr>
        <w:t xml:space="preserve"> (level 1)</w:t>
      </w:r>
    </w:p>
    <w:p w:rsidR="0044670A" w:rsidRPr="007259CD" w:rsidRDefault="004A63D0" w:rsidP="00D83004">
      <w:pPr>
        <w:pStyle w:val="ListParagraph"/>
        <w:numPr>
          <w:ilvl w:val="2"/>
          <w:numId w:val="37"/>
        </w:numPr>
        <w:jc w:val="both"/>
        <w:rPr>
          <w:rFonts w:ascii="Arial" w:hAnsi="Arial" w:cs="Arial"/>
          <w:bCs/>
        </w:rPr>
      </w:pPr>
      <w:r w:rsidRPr="007259CD">
        <w:rPr>
          <w:rFonts w:ascii="Arial" w:hAnsi="Arial" w:cs="Arial"/>
          <w:b/>
        </w:rPr>
        <w:t>Sexual and reproductive health information and advice</w:t>
      </w:r>
    </w:p>
    <w:p w:rsidR="0044670A" w:rsidRPr="007259CD" w:rsidRDefault="0044670A" w:rsidP="0044670A">
      <w:pPr>
        <w:contextualSpacing/>
        <w:rPr>
          <w:rFonts w:cs="Arial"/>
        </w:rPr>
      </w:pPr>
      <w:r w:rsidRPr="007259CD">
        <w:rPr>
          <w:rFonts w:cs="Arial"/>
        </w:rPr>
        <w:t xml:space="preserve">The following should be available </w:t>
      </w:r>
      <w:r w:rsidR="007E669C">
        <w:rPr>
          <w:rFonts w:cs="Arial"/>
        </w:rPr>
        <w:t>on-site</w:t>
      </w:r>
      <w:r w:rsidRPr="007259CD">
        <w:rPr>
          <w:rFonts w:cs="Arial"/>
        </w:rPr>
        <w:t xml:space="preserve"> as a part of both health practitioner-led and self-care pathways: </w:t>
      </w:r>
    </w:p>
    <w:p w:rsidR="004A63D0" w:rsidRPr="007259CD" w:rsidRDefault="004A63D0" w:rsidP="0044670A">
      <w:pPr>
        <w:contextualSpacing/>
        <w:rPr>
          <w:rFonts w:cs="Arial"/>
        </w:rPr>
      </w:pPr>
    </w:p>
    <w:p w:rsidR="004A63D0" w:rsidRPr="007259CD" w:rsidRDefault="0044670A" w:rsidP="002A30E5">
      <w:pPr>
        <w:pStyle w:val="ListParagraph"/>
        <w:numPr>
          <w:ilvl w:val="0"/>
          <w:numId w:val="6"/>
        </w:numPr>
        <w:rPr>
          <w:rFonts w:ascii="Arial" w:hAnsi="Arial" w:cs="Arial"/>
        </w:rPr>
      </w:pPr>
      <w:r w:rsidRPr="007259CD">
        <w:rPr>
          <w:rFonts w:ascii="Arial" w:hAnsi="Arial" w:cs="Arial"/>
        </w:rPr>
        <w:t>All pathways and episodes of care will include health education/promotion and offer and supply of condoms and lubricant</w:t>
      </w:r>
    </w:p>
    <w:p w:rsidR="004A63D0" w:rsidRPr="007259CD" w:rsidRDefault="0044670A" w:rsidP="002A30E5">
      <w:pPr>
        <w:pStyle w:val="ListParagraph"/>
        <w:numPr>
          <w:ilvl w:val="0"/>
          <w:numId w:val="6"/>
        </w:numPr>
        <w:rPr>
          <w:rFonts w:ascii="Arial" w:hAnsi="Arial" w:cs="Arial"/>
        </w:rPr>
      </w:pPr>
      <w:r w:rsidRPr="007259CD">
        <w:rPr>
          <w:rFonts w:ascii="Arial" w:hAnsi="Arial" w:cs="Arial"/>
        </w:rPr>
        <w:t xml:space="preserve">Information and advice on sexual and reproductive health will include health promotion, fertility awareness, pre-conceptual care, safer sex, contraception and abortion, immunisation and screening </w:t>
      </w:r>
    </w:p>
    <w:p w:rsidR="004A63D0" w:rsidRPr="007259CD" w:rsidRDefault="0044670A" w:rsidP="002A30E5">
      <w:pPr>
        <w:pStyle w:val="ListParagraph"/>
        <w:numPr>
          <w:ilvl w:val="0"/>
          <w:numId w:val="6"/>
        </w:numPr>
        <w:rPr>
          <w:rFonts w:ascii="Arial" w:hAnsi="Arial" w:cs="Arial"/>
        </w:rPr>
      </w:pPr>
      <w:r w:rsidRPr="007259CD">
        <w:rPr>
          <w:rFonts w:ascii="Arial" w:hAnsi="Arial" w:cs="Arial"/>
        </w:rPr>
        <w:t>Information on other services provided by locally commissioned sexual and reproductive health providers including the voluntary sector</w:t>
      </w:r>
    </w:p>
    <w:p w:rsidR="0044670A" w:rsidRPr="007259CD" w:rsidRDefault="0044670A" w:rsidP="002A30E5">
      <w:pPr>
        <w:pStyle w:val="ListParagraph"/>
        <w:numPr>
          <w:ilvl w:val="0"/>
          <w:numId w:val="6"/>
        </w:numPr>
        <w:rPr>
          <w:rFonts w:ascii="Arial" w:hAnsi="Arial" w:cs="Arial"/>
        </w:rPr>
      </w:pPr>
      <w:r w:rsidRPr="007259CD">
        <w:rPr>
          <w:rFonts w:ascii="Arial" w:hAnsi="Arial" w:cs="Arial"/>
        </w:rPr>
        <w:t>Information about and access to SafeSex Berkshire including how to order STI self-sampling kits</w:t>
      </w:r>
      <w:r w:rsidR="00B45056" w:rsidRPr="00B45056">
        <w:rPr>
          <w:rFonts w:ascii="Arial" w:hAnsi="Arial" w:cs="Arial"/>
        </w:rPr>
        <w:t xml:space="preserve"> </w:t>
      </w:r>
      <w:r w:rsidR="00B45056">
        <w:rPr>
          <w:rFonts w:ascii="Arial" w:hAnsi="Arial" w:cs="Arial"/>
        </w:rPr>
        <w:t>online</w:t>
      </w:r>
      <w:r w:rsidR="007E669C">
        <w:rPr>
          <w:rFonts w:ascii="Arial" w:hAnsi="Arial" w:cs="Arial"/>
        </w:rPr>
        <w:t>.</w:t>
      </w:r>
    </w:p>
    <w:p w:rsidR="004A63D0" w:rsidRPr="007259CD" w:rsidRDefault="004A63D0" w:rsidP="004A63D0">
      <w:pPr>
        <w:rPr>
          <w:rFonts w:cs="Arial"/>
        </w:rPr>
      </w:pPr>
    </w:p>
    <w:p w:rsidR="004A63D0" w:rsidRPr="007259CD" w:rsidRDefault="004A63D0" w:rsidP="00D83004">
      <w:pPr>
        <w:pStyle w:val="ListParagraph"/>
        <w:numPr>
          <w:ilvl w:val="2"/>
          <w:numId w:val="37"/>
        </w:numPr>
        <w:rPr>
          <w:rFonts w:ascii="Arial" w:hAnsi="Arial" w:cs="Arial"/>
          <w:b/>
        </w:rPr>
      </w:pPr>
      <w:r w:rsidRPr="007259CD">
        <w:rPr>
          <w:rFonts w:ascii="Arial" w:hAnsi="Arial" w:cs="Arial"/>
          <w:b/>
        </w:rPr>
        <w:t>Referrals and risk assessment</w:t>
      </w:r>
    </w:p>
    <w:p w:rsidR="004A63D0" w:rsidRPr="007259CD" w:rsidRDefault="004A63D0" w:rsidP="002A30E5">
      <w:pPr>
        <w:pStyle w:val="ListParagraph"/>
        <w:numPr>
          <w:ilvl w:val="0"/>
          <w:numId w:val="7"/>
        </w:numPr>
        <w:rPr>
          <w:rFonts w:ascii="Arial" w:hAnsi="Arial" w:cs="Arial"/>
        </w:rPr>
      </w:pPr>
      <w:r w:rsidRPr="007259CD">
        <w:rPr>
          <w:rFonts w:ascii="Arial" w:hAnsi="Arial" w:cs="Arial"/>
        </w:rPr>
        <w:t>Full sexual history taking and risk assessment (all practitioners), with appropriate onward referral to other services where indicated (</w:t>
      </w:r>
      <w:r w:rsidR="007E669C">
        <w:rPr>
          <w:rFonts w:ascii="Arial" w:hAnsi="Arial" w:cs="Arial"/>
        </w:rPr>
        <w:t>e.g.</w:t>
      </w:r>
      <w:r w:rsidRPr="007259CD">
        <w:rPr>
          <w:rFonts w:ascii="Arial" w:hAnsi="Arial" w:cs="Arial"/>
        </w:rPr>
        <w:t xml:space="preserve"> as regards safeguarding, domestic violence, healthy lifestyle services, and other sexual health services). Where indicated through the risk assessment, </w:t>
      </w:r>
      <w:r w:rsidR="00D83004">
        <w:rPr>
          <w:rFonts w:ascii="Arial" w:hAnsi="Arial" w:cs="Arial"/>
        </w:rPr>
        <w:t>Service User</w:t>
      </w:r>
      <w:r w:rsidRPr="007259CD">
        <w:rPr>
          <w:rFonts w:ascii="Arial" w:hAnsi="Arial" w:cs="Arial"/>
        </w:rPr>
        <w:t>s should be offered access to and/or on-site use of self-sampling kits</w:t>
      </w:r>
      <w:r w:rsidR="00FC51C9">
        <w:rPr>
          <w:rFonts w:ascii="Arial" w:hAnsi="Arial" w:cs="Arial"/>
        </w:rPr>
        <w:t>.</w:t>
      </w:r>
      <w:r w:rsidRPr="007259CD">
        <w:rPr>
          <w:rFonts w:ascii="Arial" w:hAnsi="Arial" w:cs="Arial"/>
        </w:rPr>
        <w:t xml:space="preserve"> </w:t>
      </w:r>
    </w:p>
    <w:p w:rsidR="004A63D0" w:rsidRPr="007259CD" w:rsidRDefault="004A63D0" w:rsidP="002A30E5">
      <w:pPr>
        <w:pStyle w:val="ListParagraph"/>
        <w:numPr>
          <w:ilvl w:val="0"/>
          <w:numId w:val="7"/>
        </w:numPr>
        <w:rPr>
          <w:rFonts w:ascii="Arial" w:hAnsi="Arial" w:cs="Arial"/>
        </w:rPr>
      </w:pPr>
      <w:r w:rsidRPr="007259CD">
        <w:rPr>
          <w:rFonts w:ascii="Arial" w:hAnsi="Arial" w:cs="Arial"/>
        </w:rPr>
        <w:t xml:space="preserve">Motivational Interviewing and other behaviour change approaches/interventions should be provided as part of routine care for those at elevated risk of STIs, HIV and unplanned pregnancy </w:t>
      </w:r>
    </w:p>
    <w:p w:rsidR="0090759B" w:rsidRDefault="004A63D0" w:rsidP="002A30E5">
      <w:pPr>
        <w:pStyle w:val="ListParagraph"/>
        <w:numPr>
          <w:ilvl w:val="0"/>
          <w:numId w:val="7"/>
        </w:numPr>
        <w:rPr>
          <w:rFonts w:ascii="Arial" w:hAnsi="Arial" w:cs="Arial"/>
        </w:rPr>
      </w:pPr>
      <w:r w:rsidRPr="007259CD">
        <w:rPr>
          <w:rFonts w:ascii="Arial" w:hAnsi="Arial" w:cs="Arial"/>
        </w:rPr>
        <w:lastRenderedPageBreak/>
        <w:t xml:space="preserve">Assessment for </w:t>
      </w:r>
      <w:r w:rsidR="00CF1C63">
        <w:rPr>
          <w:rFonts w:ascii="Arial" w:hAnsi="Arial" w:cs="Arial"/>
        </w:rPr>
        <w:t>FGM</w:t>
      </w:r>
      <w:r w:rsidRPr="007259CD">
        <w:rPr>
          <w:rFonts w:ascii="Arial" w:hAnsi="Arial" w:cs="Arial"/>
        </w:rPr>
        <w:t xml:space="preserve"> </w:t>
      </w:r>
      <w:r w:rsidR="00D172F0" w:rsidRPr="007259CD">
        <w:rPr>
          <w:rFonts w:ascii="Arial" w:hAnsi="Arial" w:cs="Arial"/>
        </w:rPr>
        <w:t>and reporting</w:t>
      </w:r>
      <w:r w:rsidRPr="007259CD">
        <w:rPr>
          <w:rFonts w:ascii="Arial" w:hAnsi="Arial" w:cs="Arial"/>
        </w:rPr>
        <w:t xml:space="preserve"> in accordance with statutory requirements</w:t>
      </w:r>
      <w:r w:rsidR="00D172F0" w:rsidRPr="007259CD">
        <w:rPr>
          <w:rFonts w:ascii="Arial" w:hAnsi="Arial" w:cs="Arial"/>
        </w:rPr>
        <w:t>; referral</w:t>
      </w:r>
      <w:r w:rsidRPr="007259CD">
        <w:rPr>
          <w:rFonts w:ascii="Arial" w:hAnsi="Arial" w:cs="Arial"/>
        </w:rPr>
        <w:t xml:space="preserve"> to specialist advice, care and local safeguarding pathways</w:t>
      </w:r>
      <w:r w:rsidR="0090759B">
        <w:rPr>
          <w:rFonts w:ascii="Arial" w:hAnsi="Arial" w:cs="Arial"/>
        </w:rPr>
        <w:t>.</w:t>
      </w:r>
    </w:p>
    <w:p w:rsidR="004A63D0" w:rsidRPr="007259CD" w:rsidRDefault="004A63D0" w:rsidP="002A30E5">
      <w:pPr>
        <w:pStyle w:val="ListParagraph"/>
        <w:numPr>
          <w:ilvl w:val="0"/>
          <w:numId w:val="7"/>
        </w:numPr>
        <w:rPr>
          <w:rFonts w:ascii="Arial" w:hAnsi="Arial" w:cs="Arial"/>
        </w:rPr>
      </w:pPr>
      <w:r w:rsidRPr="007259CD">
        <w:rPr>
          <w:rFonts w:ascii="Arial" w:hAnsi="Arial" w:cs="Arial"/>
        </w:rPr>
        <w:t xml:space="preserve"> Assessment for vulnerable adults and child protection issues including sexual exploitation and reporting in accordance with statutory requirements;  referral to specialist advice, care and local safeguarding pathways </w:t>
      </w:r>
    </w:p>
    <w:p w:rsidR="00D172F0" w:rsidRPr="00D172F0" w:rsidRDefault="004A63D0" w:rsidP="002A30E5">
      <w:pPr>
        <w:pStyle w:val="ListParagraph"/>
        <w:numPr>
          <w:ilvl w:val="0"/>
          <w:numId w:val="7"/>
        </w:numPr>
        <w:rPr>
          <w:rFonts w:ascii="Arial" w:hAnsi="Arial" w:cs="Arial"/>
        </w:rPr>
      </w:pPr>
      <w:r w:rsidRPr="007259CD">
        <w:rPr>
          <w:rFonts w:ascii="Arial" w:hAnsi="Arial" w:cs="Arial"/>
        </w:rPr>
        <w:t xml:space="preserve">Holistic assessment of young people’s sexual and reproductive health needs and competence with appropriate referral to other services where indicated.  All healthcare staff must be trained and able to assess the competence of young people </w:t>
      </w:r>
      <w:r w:rsidRPr="007259CD">
        <w:rPr>
          <w:rFonts w:ascii="Arial" w:hAnsi="Arial" w:cs="Arial"/>
          <w:bCs/>
        </w:rPr>
        <w:t xml:space="preserve">under the age of 16 to receive sexual health and reproductive advice and interventions where a parent or guardian is absent.  </w:t>
      </w:r>
    </w:p>
    <w:p w:rsidR="00573845" w:rsidRPr="007259CD" w:rsidRDefault="004A63D0" w:rsidP="002A30E5">
      <w:pPr>
        <w:pStyle w:val="ListParagraph"/>
        <w:numPr>
          <w:ilvl w:val="0"/>
          <w:numId w:val="7"/>
        </w:numPr>
        <w:rPr>
          <w:rFonts w:ascii="Arial" w:hAnsi="Arial" w:cs="Arial"/>
        </w:rPr>
      </w:pPr>
      <w:r w:rsidRPr="007259CD">
        <w:rPr>
          <w:rFonts w:ascii="Arial" w:hAnsi="Arial" w:cs="Arial"/>
          <w:bCs/>
        </w:rPr>
        <w:t>Safeguarding issues should always be assessed, with appropriate support and onward referral for identified safeguarding issues or concerns</w:t>
      </w:r>
    </w:p>
    <w:p w:rsidR="00573845" w:rsidRDefault="004A63D0" w:rsidP="002A30E5">
      <w:pPr>
        <w:pStyle w:val="ListParagraph"/>
        <w:numPr>
          <w:ilvl w:val="0"/>
          <w:numId w:val="7"/>
        </w:numPr>
        <w:rPr>
          <w:rFonts w:ascii="Arial" w:hAnsi="Arial" w:cs="Arial"/>
        </w:rPr>
      </w:pPr>
      <w:r w:rsidRPr="007259CD">
        <w:rPr>
          <w:rFonts w:ascii="Arial" w:hAnsi="Arial" w:cs="Arial"/>
        </w:rPr>
        <w:t xml:space="preserve">Use the principles of Making Every Contact Count </w:t>
      </w:r>
      <w:r w:rsidR="00D27D7F">
        <w:rPr>
          <w:rFonts w:ascii="Arial" w:hAnsi="Arial" w:cs="Arial"/>
        </w:rPr>
        <w:t xml:space="preserve"> when carrying out full assessments that would ensure a holistic health approach (</w:t>
      </w:r>
      <w:r w:rsidR="007E669C">
        <w:rPr>
          <w:rFonts w:ascii="Arial" w:hAnsi="Arial" w:cs="Arial"/>
        </w:rPr>
        <w:t>e.g.</w:t>
      </w:r>
      <w:r w:rsidR="00D27D7F">
        <w:rPr>
          <w:rFonts w:ascii="Arial" w:hAnsi="Arial" w:cs="Arial"/>
        </w:rPr>
        <w:t xml:space="preserve"> opportunistic advice and signposting to smoking cessation, weight management, mental health and other life style services)</w:t>
      </w:r>
    </w:p>
    <w:p w:rsidR="00D27D7F" w:rsidRPr="007259CD" w:rsidRDefault="00D27D7F" w:rsidP="002A30E5">
      <w:pPr>
        <w:pStyle w:val="ListParagraph"/>
        <w:numPr>
          <w:ilvl w:val="0"/>
          <w:numId w:val="7"/>
        </w:numPr>
        <w:rPr>
          <w:rFonts w:ascii="Arial" w:hAnsi="Arial" w:cs="Arial"/>
        </w:rPr>
      </w:pPr>
      <w:r>
        <w:rPr>
          <w:rFonts w:ascii="Arial" w:hAnsi="Arial" w:cs="Arial"/>
        </w:rPr>
        <w:t>Identify</w:t>
      </w:r>
      <w:r w:rsidR="00750BDD">
        <w:rPr>
          <w:rFonts w:ascii="Arial" w:hAnsi="Arial" w:cs="Arial"/>
        </w:rPr>
        <w:t xml:space="preserve"> and support clients involved in</w:t>
      </w:r>
      <w:r>
        <w:rPr>
          <w:rFonts w:ascii="Arial" w:hAnsi="Arial" w:cs="Arial"/>
        </w:rPr>
        <w:t xml:space="preserve"> </w:t>
      </w:r>
      <w:r w:rsidR="007E669C">
        <w:rPr>
          <w:rFonts w:ascii="Arial" w:hAnsi="Arial" w:cs="Arial"/>
        </w:rPr>
        <w:t>c</w:t>
      </w:r>
      <w:r>
        <w:rPr>
          <w:rFonts w:ascii="Arial" w:hAnsi="Arial" w:cs="Arial"/>
        </w:rPr>
        <w:t>hem</w:t>
      </w:r>
      <w:r w:rsidR="007E669C">
        <w:rPr>
          <w:rFonts w:ascii="Arial" w:hAnsi="Arial" w:cs="Arial"/>
        </w:rPr>
        <w:t>s</w:t>
      </w:r>
      <w:r>
        <w:rPr>
          <w:rFonts w:ascii="Arial" w:hAnsi="Arial" w:cs="Arial"/>
        </w:rPr>
        <w:t>ex</w:t>
      </w:r>
      <w:r w:rsidR="00750BDD">
        <w:rPr>
          <w:rFonts w:ascii="Arial" w:hAnsi="Arial" w:cs="Arial"/>
        </w:rPr>
        <w:t xml:space="preserve"> to access relevant  local services (e.g. AfterParty)</w:t>
      </w:r>
    </w:p>
    <w:p w:rsidR="004A63D0" w:rsidRPr="007259CD" w:rsidRDefault="004A63D0" w:rsidP="002A30E5">
      <w:pPr>
        <w:pStyle w:val="ListParagraph"/>
        <w:numPr>
          <w:ilvl w:val="0"/>
          <w:numId w:val="7"/>
        </w:numPr>
        <w:rPr>
          <w:rFonts w:ascii="Arial" w:hAnsi="Arial" w:cs="Arial"/>
        </w:rPr>
      </w:pPr>
      <w:r w:rsidRPr="007259CD">
        <w:rPr>
          <w:rFonts w:ascii="Arial" w:hAnsi="Arial" w:cs="Arial"/>
        </w:rPr>
        <w:t xml:space="preserve">Agree and establish referral pathways (both to and from the Service) with other local services (providing information for </w:t>
      </w:r>
      <w:r w:rsidR="00D83004">
        <w:rPr>
          <w:rFonts w:ascii="Arial" w:hAnsi="Arial" w:cs="Arial"/>
        </w:rPr>
        <w:t>Service User</w:t>
      </w:r>
      <w:r w:rsidRPr="007259CD">
        <w:rPr>
          <w:rFonts w:ascii="Arial" w:hAnsi="Arial" w:cs="Arial"/>
        </w:rPr>
        <w:t xml:space="preserve">s; facilitating self-referral; and making direct or urgent referrals for </w:t>
      </w:r>
      <w:r w:rsidR="00D83004">
        <w:rPr>
          <w:rFonts w:ascii="Arial" w:hAnsi="Arial" w:cs="Arial"/>
        </w:rPr>
        <w:t>Service User</w:t>
      </w:r>
      <w:r w:rsidRPr="007259CD">
        <w:rPr>
          <w:rFonts w:ascii="Arial" w:hAnsi="Arial" w:cs="Arial"/>
        </w:rPr>
        <w:t xml:space="preserve">s as indicated or where there are vulnerabilities).  </w:t>
      </w:r>
      <w:r w:rsidRPr="007259CD">
        <w:rPr>
          <w:rFonts w:ascii="Arial" w:hAnsi="Arial" w:cs="Arial"/>
          <w:bCs/>
        </w:rPr>
        <w:t xml:space="preserve">As part of this Agreement, the Service will ensure and demonstrate that pathways of care (e.g. referral pathways) into the wider health economy are formally agreed and in place prior to the date this Agreement commences, and are kept up-to-date. </w:t>
      </w:r>
      <w:r w:rsidRPr="007259CD">
        <w:rPr>
          <w:rFonts w:ascii="Arial" w:hAnsi="Arial" w:cs="Arial"/>
        </w:rPr>
        <w:t xml:space="preserve">These include: </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General Practice</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Pharmacies</w:t>
      </w:r>
    </w:p>
    <w:p w:rsidR="004A63D0" w:rsidRPr="007259CD" w:rsidRDefault="00D43648" w:rsidP="002A30E5">
      <w:pPr>
        <w:pStyle w:val="ListParagraph"/>
        <w:numPr>
          <w:ilvl w:val="0"/>
          <w:numId w:val="8"/>
        </w:numPr>
        <w:spacing w:line="240" w:lineRule="auto"/>
        <w:rPr>
          <w:rFonts w:ascii="Arial" w:hAnsi="Arial" w:cs="Arial"/>
        </w:rPr>
      </w:pPr>
      <w:r>
        <w:rPr>
          <w:rFonts w:ascii="Arial" w:hAnsi="Arial" w:cs="Arial"/>
        </w:rPr>
        <w:t>Online</w:t>
      </w:r>
      <w:r w:rsidR="004A63D0" w:rsidRPr="007259CD">
        <w:rPr>
          <w:rFonts w:ascii="Arial" w:hAnsi="Arial" w:cs="Arial"/>
        </w:rPr>
        <w:t xml:space="preserve"> sexual health services</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eastAsia="Arial" w:hAnsi="Arial" w:cs="Arial"/>
          <w:bCs/>
        </w:rPr>
        <w:t>Establishing and managing robust user-focused referral pathways into HIV treatment and care services and psycho-social services following confirmed diagnosis for timely initiation of treatment and support</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eastAsia="Arial" w:hAnsi="Arial" w:cs="Arial"/>
          <w:bCs/>
        </w:rPr>
        <w:t>The service should have in place arrangements with local HIV treatment and care services to support pathways of care for people with HIV for sexual health screening and contraception</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 xml:space="preserve">Appropriate referral into Sexual Assault Referral Centres (SARCs) where indicated, recognising that </w:t>
      </w:r>
      <w:r w:rsidR="00D83004">
        <w:rPr>
          <w:rFonts w:ascii="Arial" w:hAnsi="Arial" w:cs="Arial"/>
        </w:rPr>
        <w:t>Service User</w:t>
      </w:r>
      <w:r w:rsidRPr="007259CD">
        <w:rPr>
          <w:rFonts w:ascii="Arial" w:hAnsi="Arial" w:cs="Arial"/>
        </w:rPr>
        <w:t>s may prefer not to be referred and instead receive care and support locally, and that follow up care may also need to be provided locally</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Gynaecology</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A</w:t>
      </w:r>
      <w:r w:rsidR="007E669C">
        <w:rPr>
          <w:rFonts w:ascii="Arial" w:hAnsi="Arial" w:cs="Arial"/>
        </w:rPr>
        <w:t xml:space="preserve">ccident and Emergency </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 xml:space="preserve">Urology </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Cervical screening service</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Abortion services</w:t>
      </w:r>
    </w:p>
    <w:p w:rsidR="004A63D0" w:rsidRPr="00D27D7F" w:rsidRDefault="004A63D0" w:rsidP="002A30E5">
      <w:pPr>
        <w:pStyle w:val="ListParagraph"/>
        <w:numPr>
          <w:ilvl w:val="0"/>
          <w:numId w:val="8"/>
        </w:numPr>
        <w:spacing w:line="240" w:lineRule="auto"/>
        <w:rPr>
          <w:rFonts w:ascii="Arial" w:hAnsi="Arial" w:cs="Arial"/>
        </w:rPr>
      </w:pPr>
      <w:r w:rsidRPr="00D27D7F">
        <w:rPr>
          <w:rFonts w:ascii="Arial" w:hAnsi="Arial" w:cs="Arial"/>
        </w:rPr>
        <w:t xml:space="preserve">Sterilisation services </w:t>
      </w:r>
    </w:p>
    <w:p w:rsidR="004A63D0" w:rsidRPr="00D27D7F" w:rsidRDefault="004A63D0" w:rsidP="002A30E5">
      <w:pPr>
        <w:pStyle w:val="ListParagraph"/>
        <w:numPr>
          <w:ilvl w:val="0"/>
          <w:numId w:val="8"/>
        </w:numPr>
        <w:spacing w:line="240" w:lineRule="auto"/>
        <w:rPr>
          <w:rFonts w:ascii="Arial" w:hAnsi="Arial" w:cs="Arial"/>
        </w:rPr>
      </w:pPr>
      <w:r w:rsidRPr="00D27D7F">
        <w:rPr>
          <w:rFonts w:ascii="Arial" w:hAnsi="Arial" w:cs="Arial"/>
        </w:rPr>
        <w:t>Maternity Care</w:t>
      </w:r>
    </w:p>
    <w:p w:rsidR="004A63D0" w:rsidRPr="00D27D7F" w:rsidRDefault="004A63D0" w:rsidP="002A30E5">
      <w:pPr>
        <w:pStyle w:val="ListParagraph"/>
        <w:numPr>
          <w:ilvl w:val="0"/>
          <w:numId w:val="8"/>
        </w:numPr>
        <w:spacing w:line="240" w:lineRule="auto"/>
        <w:rPr>
          <w:rFonts w:ascii="Arial" w:hAnsi="Arial" w:cs="Arial"/>
        </w:rPr>
      </w:pPr>
      <w:r w:rsidRPr="00D27D7F">
        <w:rPr>
          <w:rFonts w:ascii="Arial" w:hAnsi="Arial" w:cs="Arial"/>
        </w:rPr>
        <w:t xml:space="preserve">Pre-conceptual </w:t>
      </w:r>
      <w:r w:rsidR="007E669C">
        <w:rPr>
          <w:rFonts w:ascii="Arial" w:hAnsi="Arial" w:cs="Arial"/>
        </w:rPr>
        <w:t>c</w:t>
      </w:r>
      <w:r w:rsidR="007E669C" w:rsidRPr="00D27D7F">
        <w:rPr>
          <w:rFonts w:ascii="Arial" w:hAnsi="Arial" w:cs="Arial"/>
        </w:rPr>
        <w:t>are</w:t>
      </w:r>
    </w:p>
    <w:p w:rsidR="004A63D0" w:rsidRPr="00D27D7F" w:rsidRDefault="004A63D0" w:rsidP="002A30E5">
      <w:pPr>
        <w:pStyle w:val="ListParagraph"/>
        <w:numPr>
          <w:ilvl w:val="0"/>
          <w:numId w:val="8"/>
        </w:numPr>
        <w:spacing w:line="240" w:lineRule="auto"/>
        <w:rPr>
          <w:rFonts w:ascii="Arial" w:hAnsi="Arial" w:cs="Arial"/>
        </w:rPr>
      </w:pPr>
      <w:r w:rsidRPr="00D27D7F">
        <w:rPr>
          <w:rFonts w:ascii="Arial" w:hAnsi="Arial" w:cs="Arial"/>
        </w:rPr>
        <w:t xml:space="preserve">Counselling, </w:t>
      </w:r>
      <w:r w:rsidR="007E669C">
        <w:rPr>
          <w:rFonts w:ascii="Arial" w:hAnsi="Arial" w:cs="Arial"/>
        </w:rPr>
        <w:t>p</w:t>
      </w:r>
      <w:r w:rsidR="007E669C" w:rsidRPr="00D27D7F">
        <w:rPr>
          <w:rFonts w:ascii="Arial" w:hAnsi="Arial" w:cs="Arial"/>
        </w:rPr>
        <w:t xml:space="preserve">sychology </w:t>
      </w:r>
      <w:r w:rsidRPr="00D27D7F">
        <w:rPr>
          <w:rFonts w:ascii="Arial" w:hAnsi="Arial" w:cs="Arial"/>
        </w:rPr>
        <w:t xml:space="preserve">and </w:t>
      </w:r>
      <w:r w:rsidR="007E669C">
        <w:rPr>
          <w:rFonts w:ascii="Arial" w:hAnsi="Arial" w:cs="Arial"/>
        </w:rPr>
        <w:t>p</w:t>
      </w:r>
      <w:r w:rsidR="007E669C" w:rsidRPr="00D27D7F">
        <w:rPr>
          <w:rFonts w:ascii="Arial" w:hAnsi="Arial" w:cs="Arial"/>
        </w:rPr>
        <w:t xml:space="preserve">sychiatry </w:t>
      </w:r>
      <w:r w:rsidRPr="00D27D7F">
        <w:rPr>
          <w:rFonts w:ascii="Arial" w:hAnsi="Arial" w:cs="Arial"/>
        </w:rPr>
        <w:t xml:space="preserve">services </w:t>
      </w:r>
    </w:p>
    <w:p w:rsidR="004A63D0" w:rsidRPr="00D27D7F" w:rsidRDefault="004A63D0" w:rsidP="002A30E5">
      <w:pPr>
        <w:pStyle w:val="ListParagraph"/>
        <w:numPr>
          <w:ilvl w:val="0"/>
          <w:numId w:val="8"/>
        </w:numPr>
        <w:spacing w:line="240" w:lineRule="auto"/>
        <w:rPr>
          <w:rFonts w:ascii="Arial" w:hAnsi="Arial" w:cs="Arial"/>
        </w:rPr>
      </w:pPr>
      <w:r w:rsidRPr="00D27D7F">
        <w:rPr>
          <w:rFonts w:ascii="Arial" w:hAnsi="Arial" w:cs="Arial"/>
        </w:rPr>
        <w:t xml:space="preserve">HIV </w:t>
      </w:r>
      <w:r w:rsidR="00573845" w:rsidRPr="00D27D7F">
        <w:rPr>
          <w:rFonts w:ascii="Arial" w:hAnsi="Arial" w:cs="Arial"/>
        </w:rPr>
        <w:t>support via relevant providers</w:t>
      </w:r>
      <w:r w:rsidR="00D27D7F" w:rsidRPr="00D27D7F">
        <w:rPr>
          <w:rFonts w:ascii="Arial" w:hAnsi="Arial" w:cs="Arial"/>
        </w:rPr>
        <w:t xml:space="preserve"> (e.g. Thames Valley Positive Support)</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Young people’s sexual health services</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Young people’s health and wellbeing services</w:t>
      </w:r>
    </w:p>
    <w:p w:rsidR="004A63D0" w:rsidRPr="00D27D7F" w:rsidRDefault="00D27D7F" w:rsidP="002A30E5">
      <w:pPr>
        <w:pStyle w:val="ListParagraph"/>
        <w:numPr>
          <w:ilvl w:val="0"/>
          <w:numId w:val="8"/>
        </w:numPr>
        <w:spacing w:line="240" w:lineRule="auto"/>
        <w:rPr>
          <w:rFonts w:ascii="Arial" w:hAnsi="Arial" w:cs="Arial"/>
        </w:rPr>
      </w:pPr>
      <w:r w:rsidRPr="00D27D7F">
        <w:rPr>
          <w:rFonts w:ascii="Arial" w:hAnsi="Arial" w:cs="Arial"/>
        </w:rPr>
        <w:t xml:space="preserve">Drug and </w:t>
      </w:r>
      <w:r w:rsidR="004A63D0" w:rsidRPr="00D27D7F">
        <w:rPr>
          <w:rFonts w:ascii="Arial" w:hAnsi="Arial" w:cs="Arial"/>
        </w:rPr>
        <w:t xml:space="preserve">Alcohol services </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lastRenderedPageBreak/>
        <w:t xml:space="preserve">Substance misuse services, including for needs related to </w:t>
      </w:r>
      <w:r w:rsidR="007E669C">
        <w:rPr>
          <w:rFonts w:ascii="Arial" w:hAnsi="Arial" w:cs="Arial"/>
        </w:rPr>
        <w:t>c</w:t>
      </w:r>
      <w:r w:rsidR="007E669C" w:rsidRPr="007259CD">
        <w:rPr>
          <w:rFonts w:ascii="Arial" w:hAnsi="Arial" w:cs="Arial"/>
        </w:rPr>
        <w:t>hemsex</w:t>
      </w:r>
    </w:p>
    <w:p w:rsidR="004A63D0" w:rsidRPr="007259CD" w:rsidRDefault="004A63D0" w:rsidP="002A30E5">
      <w:pPr>
        <w:pStyle w:val="ListParagraph"/>
        <w:numPr>
          <w:ilvl w:val="0"/>
          <w:numId w:val="8"/>
        </w:numPr>
        <w:spacing w:line="240" w:lineRule="auto"/>
        <w:rPr>
          <w:rFonts w:ascii="Arial" w:hAnsi="Arial" w:cs="Arial"/>
        </w:rPr>
      </w:pPr>
      <w:r w:rsidRPr="007259CD">
        <w:rPr>
          <w:rFonts w:ascii="Arial" w:hAnsi="Arial" w:cs="Arial"/>
        </w:rPr>
        <w:t xml:space="preserve">Other appropriate health and social care services </w:t>
      </w:r>
    </w:p>
    <w:p w:rsidR="004A63D0" w:rsidRPr="007259CD" w:rsidRDefault="004A63D0" w:rsidP="00573845">
      <w:pPr>
        <w:pStyle w:val="ListParagraph"/>
        <w:rPr>
          <w:rFonts w:ascii="Arial" w:hAnsi="Arial" w:cs="Arial"/>
        </w:rPr>
      </w:pPr>
    </w:p>
    <w:p w:rsidR="003F1105" w:rsidRPr="007259CD" w:rsidRDefault="003F1105" w:rsidP="00A40D01">
      <w:pPr>
        <w:pStyle w:val="ListParagraph"/>
        <w:numPr>
          <w:ilvl w:val="2"/>
          <w:numId w:val="37"/>
        </w:numPr>
        <w:rPr>
          <w:rFonts w:ascii="Arial" w:hAnsi="Arial" w:cs="Arial"/>
          <w:b/>
          <w:bCs/>
        </w:rPr>
      </w:pPr>
      <w:r w:rsidRPr="007259CD">
        <w:rPr>
          <w:rFonts w:ascii="Arial" w:hAnsi="Arial" w:cs="Arial"/>
          <w:b/>
          <w:bCs/>
        </w:rPr>
        <w:t>Self-care</w:t>
      </w:r>
    </w:p>
    <w:p w:rsidR="003F1105" w:rsidRPr="00750BDD" w:rsidRDefault="003F1105" w:rsidP="003F1105">
      <w:pPr>
        <w:rPr>
          <w:rFonts w:cs="Arial"/>
          <w:bCs/>
        </w:rPr>
      </w:pPr>
      <w:r w:rsidRPr="00750BDD">
        <w:rPr>
          <w:rFonts w:cs="Arial"/>
          <w:bCs/>
        </w:rPr>
        <w:t xml:space="preserve">As a primary prevention initiative to improve the overall sexual health of the community, access to generic information on pregnancy, the range of contraceptive methods available, STIs including HIV, and safer sex advice should be made available to </w:t>
      </w:r>
      <w:r w:rsidR="00D83004">
        <w:rPr>
          <w:rFonts w:cs="Arial"/>
          <w:bCs/>
        </w:rPr>
        <w:t>Service User</w:t>
      </w:r>
      <w:r w:rsidRPr="00750BDD">
        <w:rPr>
          <w:rFonts w:cs="Arial"/>
          <w:bCs/>
        </w:rPr>
        <w:t>s and the public beyond consulta</w:t>
      </w:r>
      <w:r w:rsidR="00FC51C9" w:rsidRPr="00750BDD">
        <w:rPr>
          <w:rFonts w:cs="Arial"/>
          <w:bCs/>
        </w:rPr>
        <w:t xml:space="preserve">tions with a health practitioner, through the </w:t>
      </w:r>
      <w:r w:rsidR="007E669C">
        <w:rPr>
          <w:rFonts w:cs="Arial"/>
          <w:bCs/>
        </w:rPr>
        <w:t>Safe Sex Berkshire</w:t>
      </w:r>
      <w:r w:rsidR="00FC51C9" w:rsidRPr="00750BDD">
        <w:rPr>
          <w:rFonts w:cs="Arial"/>
          <w:bCs/>
        </w:rPr>
        <w:t xml:space="preserve"> website and other communications channels</w:t>
      </w:r>
      <w:r w:rsidRPr="00750BDD">
        <w:rPr>
          <w:rFonts w:cs="Arial"/>
          <w:bCs/>
        </w:rPr>
        <w:t>.</w:t>
      </w:r>
    </w:p>
    <w:p w:rsidR="003F1105" w:rsidRPr="007259CD" w:rsidRDefault="003F1105" w:rsidP="003F1105">
      <w:pPr>
        <w:rPr>
          <w:rFonts w:cs="Arial"/>
          <w:bCs/>
        </w:rPr>
      </w:pPr>
    </w:p>
    <w:p w:rsidR="00B45056" w:rsidRDefault="003F1105" w:rsidP="003F1105">
      <w:pPr>
        <w:rPr>
          <w:rFonts w:cs="Arial"/>
          <w:bCs/>
        </w:rPr>
      </w:pPr>
      <w:r w:rsidRPr="007259CD">
        <w:rPr>
          <w:rFonts w:cs="Arial"/>
          <w:bCs/>
        </w:rPr>
        <w:t>In clinic-based services, users of all ages should be encouraged to self-manage, without the need for a healthcare practitioner wherever appropriate -although clinical support must be on hand if needed.</w:t>
      </w:r>
    </w:p>
    <w:p w:rsidR="00B45056" w:rsidRPr="00A40D01" w:rsidRDefault="00B45056" w:rsidP="003F1105">
      <w:pPr>
        <w:rPr>
          <w:rFonts w:cs="Arial"/>
          <w:bCs/>
        </w:rPr>
      </w:pPr>
    </w:p>
    <w:p w:rsidR="003F1105" w:rsidRPr="00A40D01" w:rsidRDefault="00B45056" w:rsidP="003F1105">
      <w:pPr>
        <w:rPr>
          <w:rFonts w:cs="Arial"/>
          <w:bCs/>
        </w:rPr>
      </w:pPr>
      <w:r w:rsidRPr="00A40D01">
        <w:rPr>
          <w:rFonts w:cs="Arial"/>
          <w:bCs/>
        </w:rPr>
        <w:t xml:space="preserve">The service will offer online STI testing / self-sampling services as part of the self-care pathway. Other services which enable </w:t>
      </w:r>
      <w:r w:rsidR="00D83004" w:rsidRPr="00A40D01">
        <w:rPr>
          <w:rFonts w:cs="Arial"/>
          <w:bCs/>
        </w:rPr>
        <w:t>Service User</w:t>
      </w:r>
      <w:r w:rsidRPr="00A40D01">
        <w:rPr>
          <w:rFonts w:cs="Arial"/>
          <w:bCs/>
        </w:rPr>
        <w:t>s to access services through use of digital technology are strongly encouraged, this include</w:t>
      </w:r>
      <w:r w:rsidR="007D5A34" w:rsidRPr="00A40D01">
        <w:rPr>
          <w:rFonts w:cs="Arial"/>
          <w:bCs/>
        </w:rPr>
        <w:t>s</w:t>
      </w:r>
      <w:r w:rsidRPr="00A40D01">
        <w:rPr>
          <w:rFonts w:cs="Arial"/>
          <w:bCs/>
        </w:rPr>
        <w:t xml:space="preserve"> online appointment booking, online or text chat function for sexual and reproductive health queries, ordering of repeat contraception and simple antibiotic treatment online.</w:t>
      </w:r>
    </w:p>
    <w:p w:rsidR="003F1105" w:rsidRPr="007259CD" w:rsidRDefault="003F1105" w:rsidP="003F1105">
      <w:pPr>
        <w:rPr>
          <w:rFonts w:cs="Arial"/>
          <w:bCs/>
        </w:rPr>
      </w:pPr>
    </w:p>
    <w:p w:rsidR="003F1105" w:rsidRPr="007259CD" w:rsidRDefault="003F1105" w:rsidP="003F1105">
      <w:pPr>
        <w:rPr>
          <w:rFonts w:cs="Arial"/>
          <w:bCs/>
        </w:rPr>
      </w:pPr>
      <w:r w:rsidRPr="00750BDD">
        <w:rPr>
          <w:rFonts w:cs="Arial"/>
          <w:bCs/>
        </w:rPr>
        <w:t>Examples of</w:t>
      </w:r>
      <w:r w:rsidR="00B45056">
        <w:rPr>
          <w:rFonts w:cs="Arial"/>
          <w:bCs/>
        </w:rPr>
        <w:t xml:space="preserve"> other</w:t>
      </w:r>
      <w:r w:rsidRPr="00750BDD">
        <w:rPr>
          <w:rFonts w:cs="Arial"/>
          <w:bCs/>
        </w:rPr>
        <w:t xml:space="preserve"> self-managed healthcare services are </w:t>
      </w:r>
      <w:r w:rsidR="00750BDD" w:rsidRPr="00750BDD">
        <w:rPr>
          <w:rFonts w:cs="Arial"/>
          <w:bCs/>
        </w:rPr>
        <w:t>use of condom distribution schemes</w:t>
      </w:r>
      <w:r w:rsidRPr="00750BDD">
        <w:rPr>
          <w:rFonts w:cs="Arial"/>
          <w:bCs/>
        </w:rPr>
        <w:t xml:space="preserve"> (where </w:t>
      </w:r>
      <w:r w:rsidR="00750BDD" w:rsidRPr="00750BDD">
        <w:rPr>
          <w:rFonts w:cs="Arial"/>
          <w:bCs/>
        </w:rPr>
        <w:t>available</w:t>
      </w:r>
      <w:r w:rsidRPr="00750BDD">
        <w:rPr>
          <w:rFonts w:cs="Arial"/>
          <w:bCs/>
        </w:rPr>
        <w:t xml:space="preserve">); collection point for condoms, dams and lubricants; use of pregnancy testing kits as part of pathways of care; collection point and / or on-site self-sampling for STIs and HIV, linked to the </w:t>
      </w:r>
      <w:r w:rsidR="00D43648">
        <w:rPr>
          <w:rFonts w:cs="Arial"/>
          <w:bCs/>
        </w:rPr>
        <w:t>online</w:t>
      </w:r>
      <w:r w:rsidRPr="00750BDD">
        <w:rPr>
          <w:rFonts w:cs="Arial"/>
          <w:bCs/>
        </w:rPr>
        <w:t xml:space="preserve"> STI testing and HIV self-sampling service(s).</w:t>
      </w:r>
      <w:r w:rsidRPr="007259CD">
        <w:rPr>
          <w:rFonts w:cs="Arial"/>
          <w:bCs/>
        </w:rPr>
        <w:t xml:space="preserve">  </w:t>
      </w:r>
    </w:p>
    <w:p w:rsidR="003F1105" w:rsidRPr="007259CD" w:rsidRDefault="003F1105" w:rsidP="003F1105">
      <w:pPr>
        <w:rPr>
          <w:rFonts w:cs="Arial"/>
          <w:bCs/>
        </w:rPr>
      </w:pPr>
    </w:p>
    <w:p w:rsidR="003F1105" w:rsidRDefault="003F1105" w:rsidP="003F1105">
      <w:pPr>
        <w:rPr>
          <w:rFonts w:cs="Arial"/>
          <w:bCs/>
        </w:rPr>
      </w:pPr>
      <w:r w:rsidRPr="007259CD">
        <w:rPr>
          <w:rFonts w:cs="Arial"/>
          <w:bCs/>
        </w:rPr>
        <w:t xml:space="preserve">Innovations such as postal treatment for uncomplicated genital infections may also be considered where clinically indicated. </w:t>
      </w:r>
    </w:p>
    <w:p w:rsidR="00FC51C9" w:rsidRPr="00750BDD" w:rsidRDefault="00FC51C9" w:rsidP="003F1105">
      <w:pPr>
        <w:rPr>
          <w:rFonts w:cs="Arial"/>
          <w:bCs/>
        </w:rPr>
      </w:pPr>
    </w:p>
    <w:p w:rsidR="00FC51C9" w:rsidRPr="00750BDD" w:rsidRDefault="00FC51C9" w:rsidP="003F1105">
      <w:pPr>
        <w:rPr>
          <w:rFonts w:cs="Arial"/>
          <w:bCs/>
        </w:rPr>
      </w:pPr>
      <w:r w:rsidRPr="00750BDD">
        <w:rPr>
          <w:rFonts w:cs="Arial"/>
          <w:bCs/>
        </w:rPr>
        <w:t xml:space="preserve">Innovation to support </w:t>
      </w:r>
      <w:r w:rsidR="00D83004">
        <w:rPr>
          <w:rFonts w:cs="Arial"/>
          <w:bCs/>
        </w:rPr>
        <w:t>Service User</w:t>
      </w:r>
      <w:r w:rsidRPr="00750BDD">
        <w:rPr>
          <w:rFonts w:cs="Arial"/>
          <w:bCs/>
        </w:rPr>
        <w:t>s to access repeat contraception without the need to attend clinic in person is also strongly encouraged.</w:t>
      </w:r>
    </w:p>
    <w:p w:rsidR="003F1105" w:rsidRPr="007259CD" w:rsidRDefault="003F1105" w:rsidP="00F4523D">
      <w:pPr>
        <w:jc w:val="both"/>
        <w:rPr>
          <w:rFonts w:cs="Arial"/>
          <w:b/>
          <w:bCs/>
        </w:rPr>
      </w:pPr>
    </w:p>
    <w:p w:rsidR="003F1105" w:rsidRPr="007259CD" w:rsidRDefault="003F1105" w:rsidP="00F4523D">
      <w:pPr>
        <w:jc w:val="both"/>
        <w:rPr>
          <w:rFonts w:cs="Arial"/>
          <w:b/>
          <w:bCs/>
        </w:rPr>
      </w:pPr>
    </w:p>
    <w:p w:rsidR="0044670A" w:rsidRPr="007259CD" w:rsidRDefault="00D22550" w:rsidP="00A40D01">
      <w:pPr>
        <w:pStyle w:val="ListParagraph"/>
        <w:numPr>
          <w:ilvl w:val="1"/>
          <w:numId w:val="37"/>
        </w:numPr>
        <w:jc w:val="both"/>
        <w:rPr>
          <w:rFonts w:ascii="Arial" w:hAnsi="Arial" w:cs="Arial"/>
          <w:b/>
          <w:bCs/>
        </w:rPr>
      </w:pPr>
      <w:r w:rsidRPr="007259CD">
        <w:rPr>
          <w:rFonts w:ascii="Arial" w:hAnsi="Arial" w:cs="Arial"/>
          <w:b/>
          <w:bCs/>
        </w:rPr>
        <w:t>Non-Specialist Services</w:t>
      </w:r>
      <w:r w:rsidR="00573845" w:rsidRPr="007259CD">
        <w:rPr>
          <w:rFonts w:ascii="Arial" w:hAnsi="Arial" w:cs="Arial"/>
          <w:b/>
          <w:bCs/>
        </w:rPr>
        <w:t xml:space="preserve"> (level 2)</w:t>
      </w:r>
    </w:p>
    <w:p w:rsidR="00D22550" w:rsidRPr="007259CD" w:rsidRDefault="00D22550" w:rsidP="00F4523D">
      <w:pPr>
        <w:jc w:val="both"/>
        <w:rPr>
          <w:rFonts w:cs="Arial"/>
          <w:bCs/>
        </w:rPr>
      </w:pPr>
    </w:p>
    <w:p w:rsidR="00D22550" w:rsidRPr="00750BDD" w:rsidRDefault="00530EED" w:rsidP="00A40D01">
      <w:pPr>
        <w:pStyle w:val="ListParagraph"/>
        <w:numPr>
          <w:ilvl w:val="2"/>
          <w:numId w:val="37"/>
        </w:numPr>
        <w:jc w:val="both"/>
        <w:rPr>
          <w:rFonts w:ascii="Arial" w:hAnsi="Arial" w:cs="Arial"/>
          <w:bCs/>
        </w:rPr>
      </w:pPr>
      <w:r w:rsidRPr="007259CD">
        <w:rPr>
          <w:rFonts w:ascii="Arial" w:hAnsi="Arial" w:cs="Arial"/>
          <w:b/>
        </w:rPr>
        <w:t>Routine contraception and reproductive health services</w:t>
      </w:r>
    </w:p>
    <w:p w:rsidR="00750BDD" w:rsidRPr="007259CD" w:rsidRDefault="00750BDD" w:rsidP="00750BDD">
      <w:pPr>
        <w:pStyle w:val="ListParagraph"/>
        <w:ind w:left="1224"/>
        <w:jc w:val="both"/>
        <w:rPr>
          <w:rFonts w:ascii="Arial" w:hAnsi="Arial" w:cs="Arial"/>
          <w:bCs/>
        </w:rPr>
      </w:pPr>
    </w:p>
    <w:p w:rsidR="003F1105" w:rsidRPr="007259CD" w:rsidRDefault="003F1105" w:rsidP="003F1105">
      <w:pPr>
        <w:pStyle w:val="ListParagraph"/>
        <w:spacing w:line="240" w:lineRule="auto"/>
        <w:ind w:left="0"/>
        <w:rPr>
          <w:rFonts w:ascii="Arial" w:hAnsi="Arial" w:cs="Arial"/>
        </w:rPr>
      </w:pPr>
      <w:r w:rsidRPr="007259CD">
        <w:rPr>
          <w:rFonts w:ascii="Arial" w:hAnsi="Arial" w:cs="Arial"/>
        </w:rPr>
        <w:t>The following services shall be provided for contraception:</w:t>
      </w:r>
    </w:p>
    <w:p w:rsidR="003F1105" w:rsidRPr="007259CD" w:rsidRDefault="003F1105" w:rsidP="003F1105">
      <w:pPr>
        <w:pStyle w:val="ListParagraph"/>
        <w:spacing w:line="240" w:lineRule="auto"/>
        <w:ind w:left="0"/>
        <w:rPr>
          <w:rFonts w:ascii="Arial" w:hAnsi="Arial" w:cs="Arial"/>
        </w:rPr>
      </w:pPr>
    </w:p>
    <w:p w:rsidR="003F1105" w:rsidRPr="007259CD" w:rsidRDefault="003F1105" w:rsidP="002A30E5">
      <w:pPr>
        <w:pStyle w:val="ListParagraph"/>
        <w:numPr>
          <w:ilvl w:val="0"/>
          <w:numId w:val="13"/>
        </w:numPr>
        <w:spacing w:before="240" w:line="240" w:lineRule="auto"/>
        <w:ind w:left="284" w:hanging="284"/>
        <w:rPr>
          <w:rFonts w:ascii="Arial" w:hAnsi="Arial" w:cs="Arial"/>
        </w:rPr>
      </w:pPr>
      <w:r w:rsidRPr="007259CD">
        <w:rPr>
          <w:rFonts w:ascii="Arial" w:hAnsi="Arial" w:cs="Arial"/>
        </w:rPr>
        <w:t xml:space="preserve">Timely provision of a range of emergency (IUD and oral) and routine contraceptive methods for the prevention of unplanned pregnancy.  Assessment of reproductive health needs should promote the most effective form(s) of contraception to meet needs and circumstances of </w:t>
      </w:r>
      <w:r w:rsidR="00D83004">
        <w:rPr>
          <w:rFonts w:ascii="Arial" w:hAnsi="Arial" w:cs="Arial"/>
        </w:rPr>
        <w:t>Service User</w:t>
      </w:r>
      <w:r w:rsidRPr="007259CD">
        <w:rPr>
          <w:rFonts w:ascii="Arial" w:hAnsi="Arial" w:cs="Arial"/>
        </w:rPr>
        <w:t>s.  There should be an emphasis on more reliable and effective methods including the most effective LARC, where appropriate, delivered alongside safe sex messages.</w:t>
      </w:r>
    </w:p>
    <w:p w:rsidR="003F1105" w:rsidRPr="007259CD" w:rsidRDefault="003F1105" w:rsidP="003F1105">
      <w:pPr>
        <w:pStyle w:val="ListParagraph"/>
        <w:spacing w:before="240" w:line="240" w:lineRule="auto"/>
        <w:ind w:left="284" w:hanging="284"/>
        <w:rPr>
          <w:rFonts w:ascii="Arial" w:hAnsi="Arial" w:cs="Arial"/>
        </w:rPr>
      </w:pPr>
    </w:p>
    <w:p w:rsidR="003F1105" w:rsidRPr="007259CD" w:rsidRDefault="003F1105" w:rsidP="002A30E5">
      <w:pPr>
        <w:pStyle w:val="ListParagraph"/>
        <w:numPr>
          <w:ilvl w:val="0"/>
          <w:numId w:val="13"/>
        </w:numPr>
        <w:spacing w:before="240" w:line="240" w:lineRule="auto"/>
        <w:ind w:left="284" w:hanging="284"/>
        <w:rPr>
          <w:rFonts w:ascii="Arial" w:hAnsi="Arial" w:cs="Arial"/>
        </w:rPr>
      </w:pPr>
      <w:r w:rsidRPr="007259CD">
        <w:rPr>
          <w:rFonts w:ascii="Arial" w:hAnsi="Arial" w:cs="Arial"/>
        </w:rPr>
        <w:t xml:space="preserve">For women seeking emergency contraception, the service should ensure the opportunity to review contraceptive use and choice and, where indicated, promote uptake of more reliable and effective forms of contraception, including LARC.  </w:t>
      </w:r>
    </w:p>
    <w:p w:rsidR="003F1105" w:rsidRPr="007259CD" w:rsidRDefault="003F1105" w:rsidP="003F1105">
      <w:pPr>
        <w:pStyle w:val="ListParagraph"/>
        <w:spacing w:before="240"/>
        <w:rPr>
          <w:rFonts w:ascii="Arial" w:hAnsi="Arial" w:cs="Arial"/>
        </w:rPr>
      </w:pPr>
    </w:p>
    <w:p w:rsidR="00A40D01" w:rsidRPr="007259CD" w:rsidRDefault="003F1105" w:rsidP="002A30E5">
      <w:pPr>
        <w:pStyle w:val="ListParagraph"/>
        <w:numPr>
          <w:ilvl w:val="0"/>
          <w:numId w:val="13"/>
        </w:numPr>
        <w:spacing w:before="240" w:line="240" w:lineRule="auto"/>
        <w:ind w:left="284" w:hanging="284"/>
        <w:rPr>
          <w:rFonts w:ascii="Arial" w:hAnsi="Arial" w:cs="Arial"/>
        </w:rPr>
      </w:pPr>
      <w:r w:rsidRPr="007259CD">
        <w:rPr>
          <w:rFonts w:ascii="Arial" w:hAnsi="Arial" w:cs="Arial"/>
        </w:rPr>
        <w:t>Pathways for rapid referral (as well as for follow</w:t>
      </w:r>
      <w:r w:rsidR="007E669C">
        <w:rPr>
          <w:rFonts w:ascii="Arial" w:hAnsi="Arial" w:cs="Arial"/>
        </w:rPr>
        <w:t xml:space="preserve"> </w:t>
      </w:r>
      <w:r w:rsidRPr="007259CD">
        <w:rPr>
          <w:rFonts w:ascii="Arial" w:hAnsi="Arial" w:cs="Arial"/>
        </w:rPr>
        <w:t xml:space="preserve">up) should be in place with services providing oral emergency contraception only so that </w:t>
      </w:r>
      <w:r w:rsidR="00D83004">
        <w:rPr>
          <w:rFonts w:ascii="Arial" w:hAnsi="Arial" w:cs="Arial"/>
        </w:rPr>
        <w:t>Service User</w:t>
      </w:r>
      <w:r w:rsidRPr="007259CD">
        <w:rPr>
          <w:rFonts w:ascii="Arial" w:hAnsi="Arial" w:cs="Arial"/>
        </w:rPr>
        <w:t>s can access emergency IUD as an option where ever possible</w:t>
      </w:r>
    </w:p>
    <w:p w:rsidR="00A40D01" w:rsidRDefault="003F1105" w:rsidP="00A40D01">
      <w:pPr>
        <w:pStyle w:val="ListParagraph"/>
        <w:numPr>
          <w:ilvl w:val="0"/>
          <w:numId w:val="13"/>
        </w:numPr>
        <w:spacing w:before="240" w:line="240" w:lineRule="auto"/>
        <w:ind w:left="284" w:hanging="284"/>
        <w:rPr>
          <w:rFonts w:ascii="Arial" w:hAnsi="Arial"/>
        </w:rPr>
      </w:pPr>
      <w:r w:rsidRPr="00A40D01">
        <w:rPr>
          <w:rFonts w:ascii="Arial" w:hAnsi="Arial"/>
        </w:rPr>
        <w:lastRenderedPageBreak/>
        <w:t xml:space="preserve">First prescription and supply of user-dependent contraceptive methods. The quantity of an initial supply of chosen method should be determined as part of an initial assessment of contraceptive needs. </w:t>
      </w:r>
    </w:p>
    <w:p w:rsidR="00A40D01" w:rsidRDefault="003F1105" w:rsidP="00A40D01">
      <w:pPr>
        <w:pStyle w:val="ListParagraph"/>
        <w:spacing w:before="240" w:line="240" w:lineRule="auto"/>
        <w:ind w:left="284"/>
        <w:rPr>
          <w:rFonts w:ascii="Arial" w:hAnsi="Arial"/>
        </w:rPr>
      </w:pPr>
      <w:r w:rsidRPr="00A40D01">
        <w:rPr>
          <w:rFonts w:ascii="Arial" w:hAnsi="Arial"/>
        </w:rPr>
        <w:t xml:space="preserve">Service </w:t>
      </w:r>
      <w:r w:rsidR="007E669C" w:rsidRPr="00A40D01">
        <w:rPr>
          <w:rFonts w:ascii="Arial" w:hAnsi="Arial"/>
        </w:rPr>
        <w:t xml:space="preserve">Users </w:t>
      </w:r>
      <w:r w:rsidRPr="00A40D01">
        <w:rPr>
          <w:rFonts w:ascii="Arial" w:hAnsi="Arial"/>
        </w:rPr>
        <w:t xml:space="preserve">with uncomplicated contraceptive needs who could be seen in general practice should be encouraged to obtain continuing supplies from GP practices. </w:t>
      </w:r>
    </w:p>
    <w:p w:rsidR="00A40D01" w:rsidRPr="00A40D01" w:rsidRDefault="00A40D01" w:rsidP="00A40D01">
      <w:pPr>
        <w:pStyle w:val="ListParagraph"/>
        <w:spacing w:before="240" w:line="240" w:lineRule="auto"/>
        <w:ind w:left="284"/>
        <w:rPr>
          <w:rFonts w:ascii="Arial" w:hAnsi="Arial"/>
        </w:rPr>
      </w:pPr>
    </w:p>
    <w:p w:rsidR="00A40D01" w:rsidRDefault="003F1105" w:rsidP="00A40D01">
      <w:pPr>
        <w:pStyle w:val="ListParagraph"/>
        <w:numPr>
          <w:ilvl w:val="0"/>
          <w:numId w:val="13"/>
        </w:numPr>
        <w:spacing w:before="240" w:line="240" w:lineRule="auto"/>
        <w:ind w:left="284" w:hanging="284"/>
        <w:rPr>
          <w:rFonts w:ascii="Arial" w:hAnsi="Arial"/>
        </w:rPr>
      </w:pPr>
      <w:r w:rsidRPr="00A40D01">
        <w:rPr>
          <w:rFonts w:ascii="Arial" w:hAnsi="Arial"/>
        </w:rPr>
        <w:t xml:space="preserve">The Service will carry out a regular audit of use of sexual health services for user-dependent methods, including during the first 12 months, and over the lifetime of the contract, the </w:t>
      </w:r>
      <w:r w:rsidR="007E669C" w:rsidRPr="00A40D01">
        <w:rPr>
          <w:rFonts w:ascii="Arial" w:hAnsi="Arial"/>
        </w:rPr>
        <w:t xml:space="preserve">Service </w:t>
      </w:r>
      <w:r w:rsidRPr="00A40D01">
        <w:rPr>
          <w:rFonts w:ascii="Arial" w:hAnsi="Arial"/>
        </w:rPr>
        <w:t>will work towards becoming more focused on complex needs</w:t>
      </w:r>
    </w:p>
    <w:p w:rsidR="00A40D01" w:rsidRPr="00A40D01" w:rsidRDefault="00A40D01" w:rsidP="00A40D01">
      <w:pPr>
        <w:pStyle w:val="ListParagraph"/>
        <w:spacing w:before="240" w:line="240" w:lineRule="auto"/>
        <w:ind w:left="284"/>
        <w:rPr>
          <w:rFonts w:ascii="Arial" w:hAnsi="Arial"/>
        </w:rPr>
      </w:pPr>
    </w:p>
    <w:p w:rsidR="00A40D01" w:rsidRPr="00A40D01" w:rsidRDefault="003F1105" w:rsidP="00A40D01">
      <w:pPr>
        <w:pStyle w:val="ListParagraph"/>
        <w:numPr>
          <w:ilvl w:val="0"/>
          <w:numId w:val="13"/>
        </w:numPr>
        <w:spacing w:before="240" w:line="240" w:lineRule="auto"/>
        <w:ind w:left="284" w:hanging="284"/>
        <w:rPr>
          <w:rFonts w:ascii="Arial" w:hAnsi="Arial"/>
        </w:rPr>
      </w:pPr>
      <w:r w:rsidRPr="00A40D01">
        <w:rPr>
          <w:rFonts w:ascii="Arial" w:hAnsi="Arial"/>
        </w:rPr>
        <w:t>Appropriate follow up for diaphragm and LARC</w:t>
      </w:r>
      <w:r w:rsidR="00750BDD" w:rsidRPr="00A40D01">
        <w:rPr>
          <w:rFonts w:ascii="Arial" w:hAnsi="Arial"/>
        </w:rPr>
        <w:t xml:space="preserve"> where clinically indicated</w:t>
      </w:r>
      <w:r w:rsidRPr="00A40D01">
        <w:rPr>
          <w:rFonts w:ascii="Arial" w:hAnsi="Arial"/>
        </w:rPr>
        <w:t xml:space="preserve"> as a part of continued car</w:t>
      </w:r>
      <w:r w:rsidR="00A40D01">
        <w:rPr>
          <w:rFonts w:ascii="Arial" w:hAnsi="Arial"/>
        </w:rPr>
        <w:t>e</w:t>
      </w:r>
    </w:p>
    <w:p w:rsidR="00A40D01" w:rsidRDefault="00A40D01" w:rsidP="00A40D01">
      <w:pPr>
        <w:pStyle w:val="ListParagraph"/>
        <w:spacing w:before="240" w:line="240" w:lineRule="auto"/>
        <w:ind w:left="284"/>
        <w:rPr>
          <w:rFonts w:ascii="Arial" w:hAnsi="Arial"/>
        </w:rPr>
      </w:pPr>
    </w:p>
    <w:p w:rsidR="00A40D01" w:rsidRPr="00A40D01" w:rsidRDefault="003F1105" w:rsidP="00A40D01">
      <w:pPr>
        <w:pStyle w:val="ListParagraph"/>
        <w:numPr>
          <w:ilvl w:val="0"/>
          <w:numId w:val="13"/>
        </w:numPr>
        <w:spacing w:before="240" w:line="240" w:lineRule="auto"/>
        <w:ind w:left="284" w:hanging="284"/>
        <w:rPr>
          <w:rFonts w:ascii="Arial" w:hAnsi="Arial"/>
        </w:rPr>
      </w:pPr>
      <w:r w:rsidRPr="00A40D01">
        <w:rPr>
          <w:rFonts w:ascii="Arial" w:hAnsi="Arial"/>
        </w:rPr>
        <w:t>Management of uncomplicated problems with chosen contraceptive methods</w:t>
      </w:r>
    </w:p>
    <w:p w:rsidR="00A40D01" w:rsidRDefault="00A40D01" w:rsidP="00A40D01">
      <w:pPr>
        <w:pStyle w:val="ListParagraph"/>
        <w:spacing w:before="240" w:line="240" w:lineRule="auto"/>
        <w:ind w:left="284"/>
        <w:rPr>
          <w:rFonts w:ascii="Arial" w:hAnsi="Arial"/>
        </w:rPr>
      </w:pPr>
    </w:p>
    <w:p w:rsidR="00A40D01" w:rsidRPr="00A40D01" w:rsidRDefault="003F1105" w:rsidP="00A40D01">
      <w:pPr>
        <w:pStyle w:val="ListParagraph"/>
        <w:numPr>
          <w:ilvl w:val="0"/>
          <w:numId w:val="13"/>
        </w:numPr>
        <w:spacing w:before="240" w:line="240" w:lineRule="auto"/>
        <w:ind w:left="284" w:hanging="284"/>
        <w:rPr>
          <w:rFonts w:ascii="Arial" w:hAnsi="Arial"/>
        </w:rPr>
      </w:pPr>
      <w:r w:rsidRPr="00A40D01">
        <w:rPr>
          <w:rFonts w:ascii="Arial" w:hAnsi="Arial"/>
        </w:rPr>
        <w:t xml:space="preserve">Removal of </w:t>
      </w:r>
      <w:r w:rsidR="00A40D01" w:rsidRPr="00A40D01">
        <w:rPr>
          <w:rFonts w:ascii="Arial" w:hAnsi="Arial"/>
        </w:rPr>
        <w:t xml:space="preserve">contraceptive </w:t>
      </w:r>
      <w:r w:rsidR="007E669C" w:rsidRPr="00A40D01">
        <w:rPr>
          <w:rFonts w:ascii="Arial" w:hAnsi="Arial"/>
        </w:rPr>
        <w:t xml:space="preserve">implants </w:t>
      </w:r>
      <w:r w:rsidRPr="00A40D01">
        <w:rPr>
          <w:rFonts w:ascii="Arial" w:hAnsi="Arial"/>
        </w:rPr>
        <w:t>and IUDs/IUSs, which can be referred to the specialist service where there are complications</w:t>
      </w:r>
    </w:p>
    <w:p w:rsidR="00A40D01" w:rsidRDefault="00A40D01" w:rsidP="00A40D01">
      <w:pPr>
        <w:pStyle w:val="ListParagraph"/>
        <w:spacing w:before="240" w:line="240" w:lineRule="auto"/>
        <w:ind w:left="284"/>
        <w:rPr>
          <w:rFonts w:ascii="Arial" w:hAnsi="Arial" w:cs="Arial"/>
        </w:rPr>
      </w:pPr>
    </w:p>
    <w:p w:rsidR="003F1105" w:rsidRPr="00A40D01" w:rsidRDefault="003F1105" w:rsidP="00A40D01">
      <w:pPr>
        <w:pStyle w:val="ListParagraph"/>
        <w:numPr>
          <w:ilvl w:val="0"/>
          <w:numId w:val="13"/>
        </w:numPr>
        <w:spacing w:before="240" w:line="240" w:lineRule="auto"/>
        <w:ind w:left="284" w:hanging="284"/>
        <w:rPr>
          <w:rFonts w:ascii="Arial" w:hAnsi="Arial" w:cs="Arial"/>
        </w:rPr>
      </w:pPr>
      <w:r w:rsidRPr="00A40D01">
        <w:rPr>
          <w:rFonts w:ascii="Arial" w:hAnsi="Arial" w:cs="Arial"/>
        </w:rPr>
        <w:t>Diagnosis and treatment of simple genital dermatoses, including punch biopsy as indicated, with appropriate onward referral to primary care or specialist services when further investigation and treatment of the more complex is required.</w:t>
      </w:r>
    </w:p>
    <w:p w:rsidR="00D22550" w:rsidRPr="007259CD" w:rsidRDefault="00D22550" w:rsidP="00F4523D">
      <w:pPr>
        <w:jc w:val="both"/>
        <w:rPr>
          <w:rFonts w:cs="Arial"/>
          <w:bCs/>
        </w:rPr>
      </w:pPr>
    </w:p>
    <w:p w:rsidR="00D22550" w:rsidRPr="007259CD" w:rsidRDefault="00530EED" w:rsidP="00A40D01">
      <w:pPr>
        <w:pStyle w:val="ListParagraph"/>
        <w:numPr>
          <w:ilvl w:val="2"/>
          <w:numId w:val="37"/>
        </w:numPr>
        <w:jc w:val="both"/>
        <w:rPr>
          <w:rFonts w:ascii="Arial" w:hAnsi="Arial" w:cs="Arial"/>
          <w:bCs/>
        </w:rPr>
      </w:pPr>
      <w:r w:rsidRPr="007259CD">
        <w:rPr>
          <w:rFonts w:ascii="Arial" w:hAnsi="Arial" w:cs="Arial"/>
          <w:b/>
        </w:rPr>
        <w:t>Routine management of sexually transmitted infections (STIs) services</w:t>
      </w:r>
    </w:p>
    <w:p w:rsidR="00D22550" w:rsidRPr="007259CD" w:rsidRDefault="00D22550" w:rsidP="00F4523D">
      <w:pPr>
        <w:jc w:val="both"/>
        <w:rPr>
          <w:rFonts w:cs="Arial"/>
          <w:bCs/>
        </w:rPr>
      </w:pPr>
    </w:p>
    <w:p w:rsidR="003F1105" w:rsidRDefault="003F1105" w:rsidP="00A40D01">
      <w:pPr>
        <w:jc w:val="both"/>
        <w:rPr>
          <w:rFonts w:cs="Arial"/>
        </w:rPr>
      </w:pPr>
      <w:r w:rsidRPr="00A40D01">
        <w:rPr>
          <w:rFonts w:cs="Arial"/>
        </w:rPr>
        <w:t>The following services shall be provided for STIs as part of</w:t>
      </w:r>
      <w:r w:rsidR="00A40D01" w:rsidRPr="00A40D01">
        <w:rPr>
          <w:rFonts w:cs="Arial"/>
        </w:rPr>
        <w:t xml:space="preserve"> routine</w:t>
      </w:r>
      <w:r w:rsidRPr="00A40D01">
        <w:rPr>
          <w:rFonts w:cs="Arial"/>
        </w:rPr>
        <w:t xml:space="preserve"> </w:t>
      </w:r>
      <w:r w:rsidR="00A40D01">
        <w:rPr>
          <w:rFonts w:cs="Arial"/>
          <w:bCs/>
        </w:rPr>
        <w:t>n</w:t>
      </w:r>
      <w:r w:rsidR="00A40D01" w:rsidRPr="00A40D01">
        <w:rPr>
          <w:rFonts w:cs="Arial"/>
          <w:bCs/>
        </w:rPr>
        <w:t>on-</w:t>
      </w:r>
      <w:r w:rsidR="00A40D01">
        <w:rPr>
          <w:rFonts w:cs="Arial"/>
          <w:bCs/>
        </w:rPr>
        <w:t>s</w:t>
      </w:r>
      <w:r w:rsidR="00A40D01" w:rsidRPr="00A40D01">
        <w:rPr>
          <w:rFonts w:cs="Arial"/>
          <w:bCs/>
        </w:rPr>
        <w:t>pecialist (level 2)</w:t>
      </w:r>
      <w:r w:rsidR="00A40D01">
        <w:rPr>
          <w:rFonts w:cs="Arial"/>
          <w:bCs/>
        </w:rPr>
        <w:t xml:space="preserve"> </w:t>
      </w:r>
      <w:r w:rsidRPr="007259CD">
        <w:rPr>
          <w:rFonts w:cs="Arial"/>
        </w:rPr>
        <w:t>care, including but not limited to:</w:t>
      </w:r>
    </w:p>
    <w:p w:rsidR="00A40D01" w:rsidRPr="00A40D01" w:rsidRDefault="00A40D01" w:rsidP="00A40D01">
      <w:pPr>
        <w:jc w:val="both"/>
        <w:rPr>
          <w:rFonts w:cs="Arial"/>
          <w:bCs/>
        </w:rPr>
      </w:pPr>
    </w:p>
    <w:p w:rsidR="003F1105" w:rsidRPr="007259CD" w:rsidRDefault="003F1105" w:rsidP="002A30E5">
      <w:pPr>
        <w:pStyle w:val="ListParagraph"/>
        <w:numPr>
          <w:ilvl w:val="0"/>
          <w:numId w:val="14"/>
        </w:numPr>
        <w:ind w:left="284" w:hanging="142"/>
        <w:rPr>
          <w:rFonts w:ascii="Arial" w:hAnsi="Arial" w:cs="Arial"/>
        </w:rPr>
      </w:pPr>
      <w:r w:rsidRPr="007259CD">
        <w:rPr>
          <w:rFonts w:ascii="Arial" w:hAnsi="Arial" w:cs="Arial"/>
        </w:rPr>
        <w:t>Timely screening</w:t>
      </w:r>
      <w:r w:rsidR="00B45056">
        <w:rPr>
          <w:rFonts w:ascii="Arial" w:hAnsi="Arial" w:cs="Arial"/>
        </w:rPr>
        <w:t xml:space="preserve"> and STI </w:t>
      </w:r>
      <w:r w:rsidRPr="007259CD">
        <w:rPr>
          <w:rFonts w:ascii="Arial" w:hAnsi="Arial" w:cs="Arial"/>
        </w:rPr>
        <w:t>testing</w:t>
      </w:r>
      <w:r w:rsidR="00B45056">
        <w:rPr>
          <w:rFonts w:ascii="Arial" w:hAnsi="Arial" w:cs="Arial"/>
        </w:rPr>
        <w:t>, through face to face and online services</w:t>
      </w:r>
      <w:r w:rsidRPr="007259CD">
        <w:rPr>
          <w:rFonts w:ascii="Arial" w:hAnsi="Arial" w:cs="Arial"/>
        </w:rPr>
        <w:t>, results notification</w:t>
      </w:r>
      <w:r w:rsidRPr="007259CD">
        <w:rPr>
          <w:rStyle w:val="FootnoteReference"/>
          <w:rFonts w:ascii="Arial" w:hAnsi="Arial" w:cs="Arial"/>
        </w:rPr>
        <w:footnoteReference w:id="4"/>
      </w:r>
      <w:r w:rsidRPr="007259CD">
        <w:rPr>
          <w:rFonts w:ascii="Arial" w:hAnsi="Arial" w:cs="Arial"/>
        </w:rPr>
        <w:t xml:space="preserve">, diagnosis and treatment for STIs and </w:t>
      </w:r>
      <w:r w:rsidR="00EB29A1">
        <w:rPr>
          <w:rFonts w:ascii="Arial" w:hAnsi="Arial" w:cs="Arial"/>
        </w:rPr>
        <w:t>testing and diagnosis of HIV</w:t>
      </w:r>
      <w:r w:rsidRPr="007259CD">
        <w:rPr>
          <w:rFonts w:ascii="Arial" w:hAnsi="Arial" w:cs="Arial"/>
        </w:rPr>
        <w:t>, with an emphasis on rapid</w:t>
      </w:r>
      <w:r w:rsidR="00CF71BC">
        <w:rPr>
          <w:rFonts w:ascii="Arial" w:hAnsi="Arial" w:cs="Arial"/>
        </w:rPr>
        <w:t xml:space="preserve"> access for vulnerable groups, </w:t>
      </w:r>
      <w:r w:rsidRPr="007259CD">
        <w:rPr>
          <w:rFonts w:ascii="Arial" w:hAnsi="Arial" w:cs="Arial"/>
        </w:rPr>
        <w:t xml:space="preserve">those at increased risk and people presenting with urgent priority conditions, including those with a positive test result from commissioned </w:t>
      </w:r>
      <w:r w:rsidR="00D43648">
        <w:rPr>
          <w:rFonts w:ascii="Arial" w:hAnsi="Arial" w:cs="Arial"/>
        </w:rPr>
        <w:t>online</w:t>
      </w:r>
      <w:r w:rsidRPr="007259CD">
        <w:rPr>
          <w:rFonts w:ascii="Arial" w:hAnsi="Arial" w:cs="Arial"/>
        </w:rPr>
        <w:t xml:space="preserve"> self-sampling service(s).  </w:t>
      </w:r>
    </w:p>
    <w:p w:rsidR="003F1105" w:rsidRPr="007259CD" w:rsidRDefault="003F1105" w:rsidP="002A30E5">
      <w:pPr>
        <w:pStyle w:val="ListParagraph"/>
        <w:numPr>
          <w:ilvl w:val="0"/>
          <w:numId w:val="14"/>
        </w:numPr>
        <w:ind w:left="284" w:hanging="142"/>
        <w:rPr>
          <w:rFonts w:ascii="Arial" w:hAnsi="Arial" w:cs="Arial"/>
        </w:rPr>
      </w:pPr>
      <w:r w:rsidRPr="007259CD">
        <w:rPr>
          <w:rFonts w:ascii="Arial" w:hAnsi="Arial" w:cs="Arial"/>
        </w:rPr>
        <w:t>Routine offer of chlamydia and gonorrhoea testing, accessible through self-care and self-sampling pathways.</w:t>
      </w:r>
    </w:p>
    <w:p w:rsidR="00304286" w:rsidRDefault="003F1105" w:rsidP="002A30E5">
      <w:pPr>
        <w:pStyle w:val="ListParagraph"/>
        <w:numPr>
          <w:ilvl w:val="0"/>
          <w:numId w:val="14"/>
        </w:numPr>
        <w:ind w:left="284" w:hanging="142"/>
        <w:rPr>
          <w:rFonts w:ascii="Arial" w:hAnsi="Arial" w:cs="Arial"/>
        </w:rPr>
      </w:pPr>
      <w:r w:rsidRPr="007259CD">
        <w:rPr>
          <w:rFonts w:ascii="Arial" w:hAnsi="Arial" w:cs="Arial"/>
        </w:rPr>
        <w:t xml:space="preserve">Routine offer of HIV and/or syphilis testing where at risk, and testing where clinically indicated or requested.  </w:t>
      </w:r>
    </w:p>
    <w:p w:rsidR="00304286" w:rsidRDefault="00304286" w:rsidP="00304286">
      <w:pPr>
        <w:pStyle w:val="ListParagraph"/>
        <w:ind w:left="284"/>
        <w:rPr>
          <w:rFonts w:ascii="Arial" w:hAnsi="Arial" w:cs="Arial"/>
        </w:rPr>
      </w:pPr>
    </w:p>
    <w:p w:rsidR="003F1105" w:rsidRDefault="003F1105" w:rsidP="002A30E5">
      <w:pPr>
        <w:pStyle w:val="ListParagraph"/>
        <w:numPr>
          <w:ilvl w:val="0"/>
          <w:numId w:val="14"/>
        </w:numPr>
        <w:ind w:left="284" w:hanging="142"/>
        <w:rPr>
          <w:rFonts w:ascii="Arial" w:hAnsi="Arial" w:cs="Arial"/>
        </w:rPr>
      </w:pPr>
      <w:r w:rsidRPr="007259CD">
        <w:rPr>
          <w:rFonts w:ascii="Arial" w:hAnsi="Arial" w:cs="Arial"/>
        </w:rPr>
        <w:t>HIV testing should be recommended to all first time attendees of the service, and in particular for individuals or members of groups where assessment shows increased risk.  For individuals or members of groups where there is increased risk, HIV testing should also be strongly recommended as part of future episodes of care.  Point of care testing is acceptable where CE marked and licensed for use, providing there is access to support from a clini</w:t>
      </w:r>
      <w:r w:rsidR="00304286">
        <w:rPr>
          <w:rFonts w:ascii="Arial" w:hAnsi="Arial" w:cs="Arial"/>
        </w:rPr>
        <w:t xml:space="preserve">cally competent practitioner.  </w:t>
      </w:r>
    </w:p>
    <w:p w:rsidR="00304286" w:rsidRPr="007259CD" w:rsidRDefault="00304286" w:rsidP="007166BD">
      <w:pPr>
        <w:pStyle w:val="ListParagraph"/>
        <w:ind w:left="284"/>
        <w:rPr>
          <w:rFonts w:ascii="Arial" w:hAnsi="Arial" w:cs="Arial"/>
        </w:rPr>
      </w:pPr>
    </w:p>
    <w:p w:rsidR="00304286" w:rsidRDefault="00A461EE" w:rsidP="00304286">
      <w:pPr>
        <w:pStyle w:val="ListParagraph"/>
        <w:numPr>
          <w:ilvl w:val="0"/>
          <w:numId w:val="14"/>
        </w:numPr>
        <w:ind w:left="284" w:hanging="142"/>
        <w:rPr>
          <w:rFonts w:ascii="Arial" w:hAnsi="Arial" w:cs="Arial"/>
        </w:rPr>
      </w:pPr>
      <w:r w:rsidRPr="007259CD">
        <w:rPr>
          <w:rFonts w:ascii="Arial" w:hAnsi="Arial" w:cs="Arial"/>
        </w:rPr>
        <w:t xml:space="preserve">Testing for viral hepatitis B </w:t>
      </w:r>
      <w:r w:rsidR="003F1105" w:rsidRPr="007259CD">
        <w:rPr>
          <w:rFonts w:ascii="Arial" w:hAnsi="Arial" w:cs="Arial"/>
        </w:rPr>
        <w:t>and C for high risk groups (with refe</w:t>
      </w:r>
      <w:r w:rsidRPr="007259CD">
        <w:rPr>
          <w:rFonts w:ascii="Arial" w:hAnsi="Arial" w:cs="Arial"/>
        </w:rPr>
        <w:t xml:space="preserve">rral to local pathways of care, according to patient choice as set out in the Berkshire BBV Pathway. </w:t>
      </w:r>
      <w:r w:rsidR="003F1105" w:rsidRPr="007259CD">
        <w:rPr>
          <w:rFonts w:ascii="Arial" w:hAnsi="Arial" w:cs="Arial"/>
        </w:rPr>
        <w:t>Further testing for other infections according to clinical risk and where considered clinically indicated.</w:t>
      </w:r>
    </w:p>
    <w:p w:rsidR="00304286" w:rsidRPr="00304286" w:rsidRDefault="00304286" w:rsidP="00304286">
      <w:pPr>
        <w:pStyle w:val="ListParagraph"/>
        <w:rPr>
          <w:rFonts w:ascii="Arial" w:hAnsi="Arial" w:cs="Arial"/>
        </w:rPr>
      </w:pPr>
    </w:p>
    <w:p w:rsidR="00304286" w:rsidRPr="00304286" w:rsidRDefault="00304286" w:rsidP="00304286">
      <w:pPr>
        <w:pStyle w:val="ListParagraph"/>
        <w:ind w:left="284"/>
        <w:rPr>
          <w:rFonts w:ascii="Arial" w:hAnsi="Arial" w:cs="Arial"/>
        </w:rPr>
      </w:pPr>
    </w:p>
    <w:p w:rsidR="00A461EE" w:rsidRPr="007259CD" w:rsidRDefault="003F1105" w:rsidP="002A30E5">
      <w:pPr>
        <w:pStyle w:val="ListParagraph"/>
        <w:numPr>
          <w:ilvl w:val="0"/>
          <w:numId w:val="14"/>
        </w:numPr>
        <w:ind w:left="284" w:hanging="142"/>
        <w:rPr>
          <w:rFonts w:ascii="Arial" w:hAnsi="Arial" w:cs="Arial"/>
        </w:rPr>
      </w:pPr>
      <w:r w:rsidRPr="007259CD">
        <w:rPr>
          <w:rFonts w:ascii="Arial" w:hAnsi="Arial" w:cs="Arial"/>
        </w:rPr>
        <w:t>Immediate treatment of uncomplicated infections in index patients and their contactable contacts. This includes treating diagnoses confirmed by external services/providers. Confirmatory testing must occur in the event of an initial diagnosis</w:t>
      </w:r>
      <w:r w:rsidR="00B0328C">
        <w:rPr>
          <w:rFonts w:ascii="Arial" w:hAnsi="Arial" w:cs="Arial"/>
        </w:rPr>
        <w:t>. H</w:t>
      </w:r>
      <w:r w:rsidRPr="007259CD">
        <w:rPr>
          <w:rFonts w:ascii="Arial" w:hAnsi="Arial" w:cs="Arial"/>
        </w:rPr>
        <w:t>owever</w:t>
      </w:r>
      <w:r w:rsidR="00B0328C">
        <w:rPr>
          <w:rFonts w:ascii="Arial" w:hAnsi="Arial" w:cs="Arial"/>
        </w:rPr>
        <w:t>,</w:t>
      </w:r>
      <w:r w:rsidRPr="007259CD">
        <w:rPr>
          <w:rFonts w:ascii="Arial" w:hAnsi="Arial" w:cs="Arial"/>
        </w:rPr>
        <w:t xml:space="preserve"> repeating a test within the recommended window period of an initial diagnosis must only occur where clinically indicated.</w:t>
      </w:r>
      <w:r w:rsidR="00A461EE" w:rsidRPr="007259CD">
        <w:rPr>
          <w:rFonts w:ascii="Arial" w:hAnsi="Arial" w:cs="Arial"/>
        </w:rPr>
        <w:t xml:space="preserve"> </w:t>
      </w:r>
    </w:p>
    <w:p w:rsidR="003F1105" w:rsidRPr="007259CD" w:rsidRDefault="003F1105" w:rsidP="002A30E5">
      <w:pPr>
        <w:pStyle w:val="ListParagraph"/>
        <w:numPr>
          <w:ilvl w:val="0"/>
          <w:numId w:val="15"/>
        </w:numPr>
        <w:ind w:left="284" w:hanging="284"/>
        <w:rPr>
          <w:rFonts w:ascii="Arial" w:hAnsi="Arial" w:cs="Arial"/>
        </w:rPr>
      </w:pPr>
      <w:r w:rsidRPr="007259CD">
        <w:rPr>
          <w:rFonts w:ascii="Arial" w:hAnsi="Arial" w:cs="Arial"/>
        </w:rPr>
        <w:t>Initial diagnosis and treatment of genital warts, and provide initial swabs of lesions for probable herpes with appropriate treatment, referring uncertain, complex or refractory cases to specialist services</w:t>
      </w:r>
      <w:r w:rsidR="007166BD" w:rsidRPr="009B3770">
        <w:rPr>
          <w:rFonts w:ascii="Arial" w:hAnsi="Arial" w:cs="Arial"/>
        </w:rPr>
        <w:t>, with appropriate onward referral to primary care</w:t>
      </w:r>
      <w:r w:rsidR="007166BD">
        <w:rPr>
          <w:rFonts w:ascii="Arial" w:hAnsi="Arial" w:cs="Arial"/>
        </w:rPr>
        <w:t xml:space="preserve"> for o</w:t>
      </w:r>
      <w:r w:rsidR="007166BD" w:rsidRPr="007259CD">
        <w:rPr>
          <w:rFonts w:ascii="Arial" w:hAnsi="Arial" w:cs="Arial"/>
        </w:rPr>
        <w:t>ngoing management and treatment</w:t>
      </w:r>
      <w:r w:rsidR="007166BD">
        <w:rPr>
          <w:rFonts w:ascii="Arial" w:hAnsi="Arial" w:cs="Arial"/>
        </w:rPr>
        <w:t xml:space="preserve">  of uncomplicated </w:t>
      </w:r>
      <w:r w:rsidR="007166BD" w:rsidRPr="007259CD">
        <w:rPr>
          <w:rFonts w:ascii="Arial" w:hAnsi="Arial" w:cs="Arial"/>
        </w:rPr>
        <w:t>genital warts and herpes</w:t>
      </w:r>
      <w:r w:rsidR="007166BD">
        <w:rPr>
          <w:rFonts w:ascii="Arial" w:hAnsi="Arial" w:cs="Arial"/>
        </w:rPr>
        <w:t xml:space="preserve"> where appropriate</w:t>
      </w:r>
      <w:r w:rsidRPr="007259CD">
        <w:rPr>
          <w:rFonts w:ascii="Arial" w:hAnsi="Arial" w:cs="Arial"/>
        </w:rPr>
        <w:t>.</w:t>
      </w:r>
    </w:p>
    <w:p w:rsidR="00304286" w:rsidRPr="00304286" w:rsidRDefault="003F1105" w:rsidP="00304286">
      <w:pPr>
        <w:pStyle w:val="ListParagraph"/>
        <w:numPr>
          <w:ilvl w:val="0"/>
          <w:numId w:val="15"/>
        </w:numPr>
        <w:ind w:left="284" w:hanging="284"/>
        <w:rPr>
          <w:rFonts w:ascii="Arial" w:hAnsi="Arial" w:cs="Arial"/>
        </w:rPr>
      </w:pPr>
      <w:r w:rsidRPr="00304286">
        <w:rPr>
          <w:rFonts w:ascii="Arial" w:hAnsi="Arial" w:cs="Arial"/>
        </w:rPr>
        <w:t>Rapid and confidential contact tracing/partner notification where an infection has been diagnosed or confirmed by the Service</w:t>
      </w:r>
      <w:r w:rsidR="00A461EE" w:rsidRPr="00304286">
        <w:rPr>
          <w:rFonts w:ascii="Arial" w:hAnsi="Arial" w:cs="Arial"/>
        </w:rPr>
        <w:t xml:space="preserve"> or by </w:t>
      </w:r>
      <w:r w:rsidR="00D43648">
        <w:rPr>
          <w:rFonts w:ascii="Arial" w:hAnsi="Arial" w:cs="Arial"/>
        </w:rPr>
        <w:t>its</w:t>
      </w:r>
      <w:r w:rsidR="00D43648" w:rsidRPr="00304286">
        <w:rPr>
          <w:rFonts w:ascii="Arial" w:hAnsi="Arial" w:cs="Arial"/>
        </w:rPr>
        <w:t xml:space="preserve"> </w:t>
      </w:r>
      <w:r w:rsidR="00A461EE" w:rsidRPr="00304286">
        <w:rPr>
          <w:rFonts w:ascii="Arial" w:hAnsi="Arial" w:cs="Arial"/>
        </w:rPr>
        <w:t>sub-contracted</w:t>
      </w:r>
      <w:r w:rsidR="00304286" w:rsidRPr="00304286">
        <w:rPr>
          <w:rFonts w:ascii="Arial" w:hAnsi="Arial" w:cs="Arial"/>
        </w:rPr>
        <w:t>,</w:t>
      </w:r>
      <w:r w:rsidR="00A461EE" w:rsidRPr="00304286">
        <w:rPr>
          <w:rFonts w:ascii="Arial" w:hAnsi="Arial" w:cs="Arial"/>
        </w:rPr>
        <w:t xml:space="preserve"> or externally commissioned providers of </w:t>
      </w:r>
      <w:r w:rsidR="00D43648" w:rsidRPr="00D43648">
        <w:rPr>
          <w:rFonts w:ascii="Arial" w:hAnsi="Arial" w:cs="Arial"/>
        </w:rPr>
        <w:t>online</w:t>
      </w:r>
      <w:r w:rsidR="00A461EE" w:rsidRPr="00D43648">
        <w:rPr>
          <w:rFonts w:ascii="Arial" w:hAnsi="Arial" w:cs="Arial"/>
        </w:rPr>
        <w:t xml:space="preserve"> </w:t>
      </w:r>
      <w:r w:rsidR="00A461EE" w:rsidRPr="00304286">
        <w:rPr>
          <w:rFonts w:ascii="Arial" w:hAnsi="Arial" w:cs="Arial"/>
        </w:rPr>
        <w:t xml:space="preserve">STI testing and chlamydia screening as </w:t>
      </w:r>
      <w:r w:rsidR="00304286">
        <w:rPr>
          <w:rFonts w:ascii="Arial" w:hAnsi="Arial" w:cs="Arial"/>
        </w:rPr>
        <w:t xml:space="preserve">agreed with local </w:t>
      </w:r>
      <w:r w:rsidR="007479A2">
        <w:rPr>
          <w:rFonts w:ascii="Arial" w:hAnsi="Arial" w:cs="Arial"/>
        </w:rPr>
        <w:t>Commissioner</w:t>
      </w:r>
      <w:r w:rsidR="00304286">
        <w:rPr>
          <w:rFonts w:ascii="Arial" w:hAnsi="Arial" w:cs="Arial"/>
        </w:rPr>
        <w:t xml:space="preserve">s; </w:t>
      </w:r>
      <w:r w:rsidRPr="00304286">
        <w:rPr>
          <w:rFonts w:ascii="Arial" w:hAnsi="Arial" w:cs="Arial"/>
        </w:rPr>
        <w:t xml:space="preserve">ensuring that </w:t>
      </w:r>
      <w:r w:rsidR="00D83004">
        <w:rPr>
          <w:rFonts w:ascii="Arial" w:hAnsi="Arial" w:cs="Arial"/>
        </w:rPr>
        <w:t>Service User</w:t>
      </w:r>
      <w:r w:rsidRPr="00304286">
        <w:rPr>
          <w:rFonts w:ascii="Arial" w:hAnsi="Arial" w:cs="Arial"/>
        </w:rPr>
        <w:t>s with a diagnosed infection understand it</w:t>
      </w:r>
      <w:r w:rsidR="00304286" w:rsidRPr="00304286">
        <w:rPr>
          <w:rFonts w:ascii="Arial" w:hAnsi="Arial" w:cs="Arial"/>
        </w:rPr>
        <w:t>s importance and f</w:t>
      </w:r>
      <w:r w:rsidR="00304286">
        <w:rPr>
          <w:rFonts w:ascii="Arial" w:hAnsi="Arial" w:cs="Arial"/>
        </w:rPr>
        <w:t>ully engage.</w:t>
      </w:r>
    </w:p>
    <w:p w:rsidR="003F1105" w:rsidRPr="007259CD" w:rsidRDefault="003F1105" w:rsidP="002A30E5">
      <w:pPr>
        <w:pStyle w:val="ListParagraph"/>
        <w:numPr>
          <w:ilvl w:val="0"/>
          <w:numId w:val="15"/>
        </w:numPr>
        <w:ind w:left="284" w:hanging="284"/>
        <w:rPr>
          <w:rFonts w:ascii="Arial" w:hAnsi="Arial" w:cs="Arial"/>
        </w:rPr>
      </w:pPr>
      <w:r w:rsidRPr="007259CD">
        <w:rPr>
          <w:rFonts w:ascii="Arial" w:hAnsi="Arial" w:cs="Arial"/>
        </w:rPr>
        <w:t>Promotion and delivery of vaccination, inclu</w:t>
      </w:r>
      <w:r w:rsidR="00A461EE" w:rsidRPr="007259CD">
        <w:rPr>
          <w:rFonts w:ascii="Arial" w:hAnsi="Arial" w:cs="Arial"/>
        </w:rPr>
        <w:t xml:space="preserve">ding for </w:t>
      </w:r>
      <w:r w:rsidR="00B0328C">
        <w:rPr>
          <w:rFonts w:ascii="Arial" w:hAnsi="Arial" w:cs="Arial"/>
        </w:rPr>
        <w:t>h</w:t>
      </w:r>
      <w:r w:rsidR="00B0328C" w:rsidRPr="007259CD">
        <w:rPr>
          <w:rFonts w:ascii="Arial" w:hAnsi="Arial" w:cs="Arial"/>
        </w:rPr>
        <w:t xml:space="preserve">epatitis </w:t>
      </w:r>
      <w:r w:rsidR="00A461EE" w:rsidRPr="007259CD">
        <w:rPr>
          <w:rFonts w:ascii="Arial" w:hAnsi="Arial" w:cs="Arial"/>
        </w:rPr>
        <w:t xml:space="preserve">B and A, in accordance with </w:t>
      </w:r>
      <w:r w:rsidRPr="007259CD">
        <w:rPr>
          <w:rFonts w:ascii="Arial" w:hAnsi="Arial" w:cs="Arial"/>
        </w:rPr>
        <w:t>the most recent national guidance on immunisation in GUM service settings</w:t>
      </w:r>
      <w:r w:rsidR="00A461EE" w:rsidRPr="007259CD">
        <w:rPr>
          <w:rFonts w:ascii="Arial" w:hAnsi="Arial" w:cs="Arial"/>
        </w:rPr>
        <w:t xml:space="preserve"> and in line with </w:t>
      </w:r>
      <w:r w:rsidR="00304286" w:rsidRPr="007259CD">
        <w:rPr>
          <w:rFonts w:ascii="Arial" w:hAnsi="Arial" w:cs="Arial"/>
        </w:rPr>
        <w:t>the Berkshire</w:t>
      </w:r>
      <w:r w:rsidR="00A461EE" w:rsidRPr="007259CD">
        <w:rPr>
          <w:rFonts w:ascii="Arial" w:hAnsi="Arial" w:cs="Arial"/>
        </w:rPr>
        <w:t xml:space="preserve"> BBV Pathway.</w:t>
      </w:r>
    </w:p>
    <w:p w:rsidR="003F1105" w:rsidRPr="007259CD" w:rsidRDefault="003F1105" w:rsidP="00F4523D">
      <w:pPr>
        <w:jc w:val="both"/>
        <w:rPr>
          <w:rFonts w:cs="Arial"/>
          <w:b/>
          <w:bCs/>
        </w:rPr>
      </w:pPr>
    </w:p>
    <w:p w:rsidR="00D22550" w:rsidRPr="007259CD" w:rsidRDefault="00D22550" w:rsidP="00A40D01">
      <w:pPr>
        <w:pStyle w:val="ListParagraph"/>
        <w:numPr>
          <w:ilvl w:val="1"/>
          <w:numId w:val="37"/>
        </w:numPr>
        <w:jc w:val="both"/>
        <w:rPr>
          <w:rFonts w:ascii="Arial" w:hAnsi="Arial" w:cs="Arial"/>
          <w:b/>
          <w:bCs/>
        </w:rPr>
      </w:pPr>
      <w:r w:rsidRPr="007259CD">
        <w:rPr>
          <w:rFonts w:ascii="Arial" w:hAnsi="Arial" w:cs="Arial"/>
          <w:b/>
          <w:bCs/>
        </w:rPr>
        <w:t>Specialist Services</w:t>
      </w:r>
      <w:r w:rsidR="00573845" w:rsidRPr="007259CD">
        <w:rPr>
          <w:rFonts w:ascii="Arial" w:hAnsi="Arial" w:cs="Arial"/>
          <w:b/>
          <w:bCs/>
        </w:rPr>
        <w:t xml:space="preserve"> (level 3)</w:t>
      </w:r>
    </w:p>
    <w:p w:rsidR="00530EED" w:rsidRPr="007259CD" w:rsidRDefault="00530EED" w:rsidP="00F4523D">
      <w:pPr>
        <w:jc w:val="both"/>
        <w:rPr>
          <w:rFonts w:cs="Arial"/>
          <w:b/>
          <w:bCs/>
        </w:rPr>
      </w:pPr>
    </w:p>
    <w:p w:rsidR="00530EED" w:rsidRPr="007259CD" w:rsidRDefault="00530EED" w:rsidP="00530EED">
      <w:pPr>
        <w:rPr>
          <w:rFonts w:cs="Arial"/>
        </w:rPr>
      </w:pPr>
      <w:r w:rsidRPr="007259CD">
        <w:rPr>
          <w:rFonts w:cs="Arial"/>
        </w:rPr>
        <w:t xml:space="preserve">Services should be designed to provide the </w:t>
      </w:r>
      <w:r w:rsidRPr="007259CD">
        <w:rPr>
          <w:rFonts w:cs="Arial"/>
          <w:color w:val="000000"/>
        </w:rPr>
        <w:t>right level of service, in the right place, at the right time</w:t>
      </w:r>
      <w:r w:rsidRPr="007259CD">
        <w:rPr>
          <w:rFonts w:cs="Arial"/>
        </w:rPr>
        <w:t xml:space="preserve">, according to the identified needs of the </w:t>
      </w:r>
      <w:r w:rsidR="00D83004">
        <w:rPr>
          <w:rFonts w:cs="Arial"/>
        </w:rPr>
        <w:t>Service User</w:t>
      </w:r>
      <w:r w:rsidRPr="007259CD">
        <w:rPr>
          <w:rFonts w:cs="Arial"/>
        </w:rPr>
        <w:t xml:space="preserve">.  Specialised services offered within the fully comprehensive service will be focused on complex needs, rather than needs that can be met through the general or routine contraceptive and STI levels of service described above.  There should be rapid or seamless movement between service levels for </w:t>
      </w:r>
      <w:r w:rsidR="00D83004">
        <w:rPr>
          <w:rFonts w:cs="Arial"/>
        </w:rPr>
        <w:t>Service User</w:t>
      </w:r>
      <w:r w:rsidRPr="007259CD">
        <w:rPr>
          <w:rFonts w:cs="Arial"/>
        </w:rPr>
        <w:t xml:space="preserve">s, depending on the identification of their needs.  </w:t>
      </w:r>
    </w:p>
    <w:p w:rsidR="00530EED" w:rsidRPr="007259CD" w:rsidRDefault="00530EED" w:rsidP="00530EED">
      <w:pPr>
        <w:pStyle w:val="ListParagraph"/>
        <w:spacing w:line="240" w:lineRule="auto"/>
        <w:rPr>
          <w:rFonts w:ascii="Arial" w:hAnsi="Arial" w:cs="Arial"/>
        </w:rPr>
      </w:pPr>
    </w:p>
    <w:p w:rsidR="00530EED" w:rsidRPr="007259CD" w:rsidRDefault="00530EED" w:rsidP="00530EED">
      <w:pPr>
        <w:rPr>
          <w:rFonts w:cs="Arial"/>
        </w:rPr>
      </w:pPr>
      <w:r w:rsidRPr="007259CD">
        <w:rPr>
          <w:rFonts w:cs="Arial"/>
        </w:rPr>
        <w:t xml:space="preserve">Specialist </w:t>
      </w:r>
      <w:r w:rsidR="00A40D01">
        <w:rPr>
          <w:rFonts w:cs="Arial"/>
        </w:rPr>
        <w:t xml:space="preserve">(level 3) </w:t>
      </w:r>
      <w:r w:rsidRPr="007259CD">
        <w:rPr>
          <w:rFonts w:cs="Arial"/>
        </w:rPr>
        <w:t xml:space="preserve">Services under this Agreement must have access to immediate </w:t>
      </w:r>
      <w:r w:rsidR="007E669C">
        <w:rPr>
          <w:rFonts w:cs="Arial"/>
        </w:rPr>
        <w:t>on-site</w:t>
      </w:r>
      <w:r w:rsidRPr="007259CD">
        <w:rPr>
          <w:rFonts w:cs="Arial"/>
        </w:rPr>
        <w:t xml:space="preserve"> (near patient) testing facilities including microscopy </w:t>
      </w:r>
      <w:r w:rsidRPr="007166BD">
        <w:rPr>
          <w:rFonts w:cs="Arial"/>
        </w:rPr>
        <w:t>and ultrasound services</w:t>
      </w:r>
      <w:r w:rsidRPr="007259CD">
        <w:rPr>
          <w:rFonts w:cs="Arial"/>
        </w:rPr>
        <w:t xml:space="preserve"> to rapidly:  </w:t>
      </w:r>
    </w:p>
    <w:p w:rsidR="00530EED" w:rsidRPr="007259CD" w:rsidRDefault="00530EED" w:rsidP="00530EED">
      <w:pPr>
        <w:pStyle w:val="ListParagraph"/>
        <w:spacing w:line="240" w:lineRule="auto"/>
        <w:rPr>
          <w:rFonts w:ascii="Arial" w:hAnsi="Arial" w:cs="Arial"/>
        </w:rPr>
      </w:pPr>
    </w:p>
    <w:p w:rsidR="00530EED" w:rsidRPr="007259CD" w:rsidRDefault="00530EED" w:rsidP="002A30E5">
      <w:pPr>
        <w:pStyle w:val="ListParagraph"/>
        <w:numPr>
          <w:ilvl w:val="0"/>
          <w:numId w:val="9"/>
        </w:numPr>
        <w:ind w:left="360"/>
        <w:rPr>
          <w:rFonts w:ascii="Arial" w:hAnsi="Arial" w:cs="Arial"/>
        </w:rPr>
      </w:pPr>
      <w:r w:rsidRPr="007259CD">
        <w:rPr>
          <w:rFonts w:ascii="Arial" w:hAnsi="Arial" w:cs="Arial"/>
        </w:rPr>
        <w:t xml:space="preserve">Manage acute problems with chosen contraceptive methods including issues with IUD/IUS devices, difficult implant removal and side effects or complications of hormonal contraceptives </w:t>
      </w:r>
    </w:p>
    <w:p w:rsidR="00530EED" w:rsidRPr="007259CD" w:rsidRDefault="00530EED" w:rsidP="002A30E5">
      <w:pPr>
        <w:pStyle w:val="ListParagraph"/>
        <w:numPr>
          <w:ilvl w:val="0"/>
          <w:numId w:val="9"/>
        </w:numPr>
        <w:ind w:left="360"/>
        <w:rPr>
          <w:rFonts w:ascii="Arial" w:hAnsi="Arial" w:cs="Arial"/>
        </w:rPr>
      </w:pPr>
      <w:r w:rsidRPr="007259CD">
        <w:rPr>
          <w:rFonts w:ascii="Arial" w:hAnsi="Arial" w:cs="Arial"/>
        </w:rPr>
        <w:t xml:space="preserve">Manage contraceptive problems in persons with co-morbidities including those identified in UK Medical Eligibility Criteria (UKMEC) </w:t>
      </w:r>
    </w:p>
    <w:p w:rsidR="00530EED" w:rsidRPr="007259CD" w:rsidRDefault="00530EED" w:rsidP="002A30E5">
      <w:pPr>
        <w:pStyle w:val="ListParagraph"/>
        <w:numPr>
          <w:ilvl w:val="0"/>
          <w:numId w:val="9"/>
        </w:numPr>
        <w:ind w:left="360"/>
        <w:rPr>
          <w:rFonts w:ascii="Arial" w:hAnsi="Arial" w:cs="Arial"/>
        </w:rPr>
      </w:pPr>
      <w:r w:rsidRPr="007259CD">
        <w:rPr>
          <w:rFonts w:ascii="Arial" w:hAnsi="Arial" w:cs="Arial"/>
        </w:rPr>
        <w:t xml:space="preserve">Diagnose and treat genital dermatosis, including punch biopsy as clinically indicated, with appropriate onward referral to specialist dermatology services for more complex cases where required </w:t>
      </w:r>
    </w:p>
    <w:p w:rsidR="00530EED" w:rsidRPr="007259CD" w:rsidRDefault="00A40D01" w:rsidP="002A30E5">
      <w:pPr>
        <w:pStyle w:val="ListParagraph"/>
        <w:numPr>
          <w:ilvl w:val="0"/>
          <w:numId w:val="9"/>
        </w:numPr>
        <w:ind w:left="360"/>
        <w:rPr>
          <w:rFonts w:ascii="Arial" w:hAnsi="Arial" w:cs="Arial"/>
        </w:rPr>
      </w:pPr>
      <w:r>
        <w:rPr>
          <w:rFonts w:ascii="Arial" w:hAnsi="Arial" w:cs="Arial"/>
        </w:rPr>
        <w:t>A</w:t>
      </w:r>
      <w:r w:rsidR="00530EED" w:rsidRPr="007259CD">
        <w:rPr>
          <w:rFonts w:ascii="Arial" w:hAnsi="Arial" w:cs="Arial"/>
        </w:rPr>
        <w:t xml:space="preserve">ssess, diagnose and treat genital ulcerations </w:t>
      </w:r>
    </w:p>
    <w:p w:rsidR="00530EED" w:rsidRPr="007259CD" w:rsidRDefault="00B0328C" w:rsidP="002A30E5">
      <w:pPr>
        <w:pStyle w:val="ListParagraph"/>
        <w:numPr>
          <w:ilvl w:val="0"/>
          <w:numId w:val="9"/>
        </w:numPr>
        <w:ind w:left="360"/>
        <w:rPr>
          <w:rFonts w:ascii="Arial" w:hAnsi="Arial" w:cs="Arial"/>
        </w:rPr>
      </w:pPr>
      <w:r>
        <w:rPr>
          <w:rFonts w:ascii="Arial" w:hAnsi="Arial" w:cs="Arial"/>
        </w:rPr>
        <w:t>Manage</w:t>
      </w:r>
      <w:r w:rsidR="00530EED" w:rsidRPr="007259CD">
        <w:rPr>
          <w:rFonts w:ascii="Arial" w:hAnsi="Arial" w:cs="Arial"/>
        </w:rPr>
        <w:t xml:space="preserve"> complicated, recurrent and tropical STIs with or without symptoms </w:t>
      </w:r>
    </w:p>
    <w:p w:rsidR="00530EED" w:rsidRPr="007259CD" w:rsidRDefault="00530EED" w:rsidP="002A30E5">
      <w:pPr>
        <w:pStyle w:val="ListParagraph"/>
        <w:numPr>
          <w:ilvl w:val="0"/>
          <w:numId w:val="9"/>
        </w:numPr>
        <w:ind w:left="360"/>
        <w:rPr>
          <w:rFonts w:ascii="Arial" w:hAnsi="Arial" w:cs="Arial"/>
        </w:rPr>
      </w:pPr>
      <w:r w:rsidRPr="007259CD">
        <w:rPr>
          <w:rFonts w:ascii="Arial" w:hAnsi="Arial" w:cs="Arial"/>
        </w:rPr>
        <w:t xml:space="preserve">Manage acute lower abdominal pain in women that may be associated with contraceptive use or STI </w:t>
      </w:r>
    </w:p>
    <w:p w:rsidR="00530EED" w:rsidRPr="007259CD" w:rsidRDefault="00530EED" w:rsidP="002A30E5">
      <w:pPr>
        <w:pStyle w:val="ListParagraph"/>
        <w:numPr>
          <w:ilvl w:val="0"/>
          <w:numId w:val="9"/>
        </w:numPr>
        <w:ind w:left="360"/>
        <w:rPr>
          <w:rFonts w:ascii="Arial" w:hAnsi="Arial" w:cs="Arial"/>
        </w:rPr>
      </w:pPr>
      <w:r w:rsidRPr="007259CD">
        <w:rPr>
          <w:rFonts w:ascii="Arial" w:hAnsi="Arial" w:cs="Arial"/>
        </w:rPr>
        <w:lastRenderedPageBreak/>
        <w:t xml:space="preserve">Manage </w:t>
      </w:r>
      <w:r w:rsidR="00D83004">
        <w:rPr>
          <w:rFonts w:ascii="Arial" w:hAnsi="Arial" w:cs="Arial"/>
        </w:rPr>
        <w:t>Service User</w:t>
      </w:r>
      <w:r w:rsidRPr="007259CD">
        <w:rPr>
          <w:rFonts w:ascii="Arial" w:hAnsi="Arial" w:cs="Arial"/>
        </w:rPr>
        <w:t xml:space="preserve">s with penile discharge, genital pain, anal or rectal symptoms such as pain, discharge or bleeding that may be associated with an STI, and/or systemic symptoms suggestive of STI infection or HIV seroconversion </w:t>
      </w:r>
    </w:p>
    <w:p w:rsidR="00530EED" w:rsidRPr="007259CD" w:rsidRDefault="00530EED" w:rsidP="002A30E5">
      <w:pPr>
        <w:pStyle w:val="ListParagraph"/>
        <w:numPr>
          <w:ilvl w:val="0"/>
          <w:numId w:val="9"/>
        </w:numPr>
        <w:ind w:left="360"/>
        <w:rPr>
          <w:rFonts w:ascii="Arial" w:hAnsi="Arial" w:cs="Arial"/>
        </w:rPr>
      </w:pPr>
      <w:r w:rsidRPr="007259CD">
        <w:rPr>
          <w:rFonts w:ascii="Arial" w:hAnsi="Arial" w:cs="Arial"/>
        </w:rPr>
        <w:t xml:space="preserve">Manage STIs in pregnant women  </w:t>
      </w:r>
    </w:p>
    <w:p w:rsidR="00530EED" w:rsidRPr="007259CD" w:rsidRDefault="00B0328C" w:rsidP="002A30E5">
      <w:pPr>
        <w:pStyle w:val="ListParagraph"/>
        <w:numPr>
          <w:ilvl w:val="0"/>
          <w:numId w:val="9"/>
        </w:numPr>
        <w:ind w:left="360"/>
        <w:rPr>
          <w:rFonts w:ascii="Arial" w:hAnsi="Arial" w:cs="Arial"/>
        </w:rPr>
      </w:pPr>
      <w:r>
        <w:rPr>
          <w:rFonts w:ascii="Arial" w:hAnsi="Arial" w:cs="Arial"/>
        </w:rPr>
        <w:t>Provide</w:t>
      </w:r>
      <w:r w:rsidR="00530EED" w:rsidRPr="007259CD">
        <w:rPr>
          <w:rFonts w:ascii="Arial" w:hAnsi="Arial" w:cs="Arial"/>
        </w:rPr>
        <w:t xml:space="preserve"> post-exposure prophylaxis (PEPse) where recent exposure to HIV is suspected with on-going monitoring and management, in accordance with national policy, noting that drug costs are not met within the scope of this agreement </w:t>
      </w:r>
    </w:p>
    <w:p w:rsidR="00530EED" w:rsidRPr="00255AFB" w:rsidRDefault="00530EED" w:rsidP="002A30E5">
      <w:pPr>
        <w:pStyle w:val="ListParagraph"/>
        <w:numPr>
          <w:ilvl w:val="0"/>
          <w:numId w:val="9"/>
        </w:numPr>
        <w:ind w:left="360"/>
        <w:rPr>
          <w:rFonts w:ascii="Arial" w:hAnsi="Arial" w:cs="Arial"/>
        </w:rPr>
      </w:pPr>
      <w:r w:rsidRPr="00255AFB">
        <w:rPr>
          <w:rFonts w:ascii="Arial" w:hAnsi="Arial" w:cs="Arial"/>
        </w:rPr>
        <w:t>Initiate and carry out partner notification, as described above</w:t>
      </w:r>
    </w:p>
    <w:p w:rsidR="00530EED" w:rsidRPr="00255AFB" w:rsidRDefault="00530EED" w:rsidP="002A30E5">
      <w:pPr>
        <w:pStyle w:val="ListParagraph"/>
        <w:numPr>
          <w:ilvl w:val="0"/>
          <w:numId w:val="9"/>
        </w:numPr>
        <w:ind w:left="360"/>
        <w:rPr>
          <w:rFonts w:ascii="Arial" w:hAnsi="Arial" w:cs="Arial"/>
        </w:rPr>
      </w:pPr>
      <w:r w:rsidRPr="00255AFB">
        <w:rPr>
          <w:rFonts w:ascii="Arial" w:hAnsi="Arial" w:cs="Arial"/>
        </w:rPr>
        <w:t>Appropriate referral to primary care or other medical specialities where outside of the scope of this Service</w:t>
      </w:r>
    </w:p>
    <w:p w:rsidR="00B0328C" w:rsidRPr="00A40D01" w:rsidRDefault="00530EED" w:rsidP="00255AFB">
      <w:pPr>
        <w:pStyle w:val="ListParagraph"/>
        <w:numPr>
          <w:ilvl w:val="0"/>
          <w:numId w:val="9"/>
        </w:numPr>
        <w:ind w:left="360"/>
        <w:rPr>
          <w:rFonts w:cs="Arial"/>
          <w:b/>
          <w:bCs/>
        </w:rPr>
      </w:pPr>
      <w:r w:rsidRPr="00255AFB">
        <w:rPr>
          <w:rFonts w:ascii="Arial" w:hAnsi="Arial" w:cs="Arial"/>
        </w:rPr>
        <w:t xml:space="preserve">Management of the sexual and reproductive health aspects of </w:t>
      </w:r>
      <w:r w:rsidRPr="00255AFB">
        <w:rPr>
          <w:rFonts w:ascii="Arial" w:hAnsi="Arial"/>
        </w:rPr>
        <w:t>psychosexual dysfunction</w:t>
      </w:r>
      <w:r w:rsidRPr="00255AFB">
        <w:rPr>
          <w:rFonts w:ascii="Arial" w:hAnsi="Arial" w:cs="Arial"/>
        </w:rPr>
        <w:t xml:space="preserve"> caused by the risks of or presence or perceived presence of an STI, unplanned pregnancy, fertility concerns; support for dyspareunia,all forms of sexual exploitation, gender violence and sexual assault; and ensure clear pathways and interventions are available</w:t>
      </w:r>
    </w:p>
    <w:p w:rsidR="00255AFB" w:rsidRPr="00255AFB" w:rsidRDefault="00B0328C" w:rsidP="00255AFB">
      <w:pPr>
        <w:pStyle w:val="ListParagraph"/>
        <w:numPr>
          <w:ilvl w:val="0"/>
          <w:numId w:val="9"/>
        </w:numPr>
        <w:ind w:left="360"/>
        <w:rPr>
          <w:rFonts w:cs="Arial"/>
          <w:b/>
          <w:bCs/>
        </w:rPr>
      </w:pPr>
      <w:r>
        <w:rPr>
          <w:rFonts w:ascii="Arial" w:hAnsi="Arial" w:cs="Arial"/>
        </w:rPr>
        <w:t>Refer</w:t>
      </w:r>
      <w:r w:rsidR="009B3770" w:rsidRPr="00255AFB">
        <w:rPr>
          <w:rFonts w:ascii="Arial" w:hAnsi="Arial" w:cs="Arial"/>
        </w:rPr>
        <w:t xml:space="preserve"> to appropriate services for the management of other aspects of </w:t>
      </w:r>
      <w:r w:rsidR="009B3770" w:rsidRPr="00255AFB">
        <w:rPr>
          <w:rFonts w:ascii="Arial" w:hAnsi="Arial"/>
        </w:rPr>
        <w:t>psychosexual dysfunction</w:t>
      </w:r>
    </w:p>
    <w:p w:rsidR="00283252" w:rsidRPr="007259CD" w:rsidRDefault="00283252" w:rsidP="00283252">
      <w:pPr>
        <w:pStyle w:val="ListParagraph"/>
        <w:ind w:left="360"/>
        <w:rPr>
          <w:rFonts w:ascii="Arial" w:hAnsi="Arial" w:cs="Arial"/>
        </w:rPr>
      </w:pPr>
    </w:p>
    <w:p w:rsidR="00894766" w:rsidRDefault="00530EED" w:rsidP="00530EED">
      <w:pPr>
        <w:rPr>
          <w:rFonts w:cs="Arial"/>
        </w:rPr>
      </w:pPr>
      <w:r w:rsidRPr="007259CD">
        <w:rPr>
          <w:rFonts w:cs="Arial"/>
        </w:rPr>
        <w:t>Commissioners will want to review the model and outcomes following the first year of operation to assess how it is contributing to the objectives of the Service</w:t>
      </w:r>
      <w:r w:rsidR="00B0328C">
        <w:rPr>
          <w:rFonts w:cs="Arial"/>
        </w:rPr>
        <w:t>.</w:t>
      </w:r>
    </w:p>
    <w:p w:rsidR="00255AFB" w:rsidRDefault="00255AFB" w:rsidP="00530EED">
      <w:pPr>
        <w:rPr>
          <w:rFonts w:cs="Arial"/>
        </w:rPr>
      </w:pPr>
    </w:p>
    <w:p w:rsidR="00255AFB" w:rsidRPr="007259CD" w:rsidRDefault="00255AFB" w:rsidP="00530EED">
      <w:pPr>
        <w:rPr>
          <w:rFonts w:cs="Arial"/>
          <w:bCs/>
        </w:rPr>
      </w:pPr>
    </w:p>
    <w:p w:rsidR="00283252" w:rsidRPr="007259CD" w:rsidRDefault="00530EED" w:rsidP="00A40D01">
      <w:pPr>
        <w:pStyle w:val="ListParagraph"/>
        <w:numPr>
          <w:ilvl w:val="0"/>
          <w:numId w:val="37"/>
        </w:numPr>
        <w:rPr>
          <w:rFonts w:ascii="Arial" w:hAnsi="Arial" w:cs="Arial"/>
          <w:bCs/>
        </w:rPr>
      </w:pPr>
      <w:r w:rsidRPr="007259CD">
        <w:rPr>
          <w:rFonts w:ascii="Arial" w:hAnsi="Arial" w:cs="Arial"/>
          <w:b/>
          <w:bCs/>
        </w:rPr>
        <w:t xml:space="preserve">Education and Training, Advice and Guidance </w:t>
      </w:r>
    </w:p>
    <w:p w:rsidR="00283252" w:rsidRPr="007259CD" w:rsidRDefault="00283252" w:rsidP="00283252">
      <w:pPr>
        <w:ind w:left="-284"/>
        <w:rPr>
          <w:rFonts w:cs="Arial"/>
          <w:bCs/>
        </w:rPr>
      </w:pPr>
    </w:p>
    <w:p w:rsidR="00283252" w:rsidRDefault="00283252" w:rsidP="00283252">
      <w:pPr>
        <w:ind w:left="-284"/>
        <w:rPr>
          <w:rFonts w:cs="Arial"/>
          <w:bCs/>
        </w:rPr>
      </w:pPr>
      <w:r w:rsidRPr="007259CD">
        <w:rPr>
          <w:rFonts w:cs="Arial"/>
          <w:bCs/>
        </w:rPr>
        <w:t xml:space="preserve">The Service will develop a sexual and reproductive health workforce through a range of FSRH and BASHH accredited postgraduate training relevant to the Service expectations set out </w:t>
      </w:r>
      <w:r w:rsidR="00B0328C">
        <w:rPr>
          <w:rFonts w:cs="Arial"/>
          <w:bCs/>
        </w:rPr>
        <w:t>in</w:t>
      </w:r>
      <w:r w:rsidR="00B0328C" w:rsidRPr="007259CD">
        <w:rPr>
          <w:rFonts w:cs="Arial"/>
          <w:bCs/>
        </w:rPr>
        <w:t xml:space="preserve"> </w:t>
      </w:r>
      <w:r w:rsidRPr="007259CD">
        <w:rPr>
          <w:rFonts w:cs="Arial"/>
          <w:bCs/>
        </w:rPr>
        <w:t xml:space="preserve">this Agreement. Clinical competencies across the whole skill-mix within the Service will be maintained through continuous professional development as well as undergraduate and postgraduate medical and nurse training in line with the latest </w:t>
      </w:r>
      <w:r w:rsidR="00B0328C" w:rsidRPr="00B0328C">
        <w:rPr>
          <w:rFonts w:cs="Arial"/>
          <w:bCs/>
        </w:rPr>
        <w:t xml:space="preserve">General Medical Council </w:t>
      </w:r>
      <w:r w:rsidR="00B0328C">
        <w:rPr>
          <w:rFonts w:cs="Arial"/>
          <w:bCs/>
        </w:rPr>
        <w:t>(</w:t>
      </w:r>
      <w:r w:rsidRPr="007259CD">
        <w:rPr>
          <w:rFonts w:cs="Arial"/>
          <w:bCs/>
        </w:rPr>
        <w:t>GMC</w:t>
      </w:r>
      <w:r w:rsidR="00B0328C">
        <w:rPr>
          <w:rFonts w:cs="Arial"/>
          <w:bCs/>
        </w:rPr>
        <w:t>)</w:t>
      </w:r>
      <w:r w:rsidRPr="007259CD">
        <w:rPr>
          <w:rFonts w:cs="Arial"/>
          <w:bCs/>
        </w:rPr>
        <w:t xml:space="preserve"> and </w:t>
      </w:r>
      <w:r w:rsidR="00B0328C" w:rsidRPr="00B0328C">
        <w:rPr>
          <w:rFonts w:cs="Arial"/>
          <w:bCs/>
        </w:rPr>
        <w:t xml:space="preserve">Nursing and Midwifery Council </w:t>
      </w:r>
      <w:r w:rsidR="00B0328C">
        <w:rPr>
          <w:rFonts w:cs="Arial"/>
          <w:bCs/>
        </w:rPr>
        <w:t>(</w:t>
      </w:r>
      <w:r w:rsidRPr="007259CD">
        <w:rPr>
          <w:rFonts w:cs="Arial"/>
          <w:bCs/>
        </w:rPr>
        <w:t>NMC</w:t>
      </w:r>
      <w:r w:rsidR="00B0328C">
        <w:rPr>
          <w:rFonts w:cs="Arial"/>
          <w:bCs/>
        </w:rPr>
        <w:t>)</w:t>
      </w:r>
      <w:r w:rsidRPr="007259CD">
        <w:rPr>
          <w:rFonts w:cs="Arial"/>
          <w:bCs/>
        </w:rPr>
        <w:t xml:space="preserve"> curricula, appropriate to the Service delivered under this Agreement.   </w:t>
      </w:r>
    </w:p>
    <w:p w:rsidR="008B2155" w:rsidRDefault="008B2155" w:rsidP="00283252">
      <w:pPr>
        <w:ind w:left="-284"/>
        <w:rPr>
          <w:rFonts w:cs="Arial"/>
          <w:bCs/>
        </w:rPr>
      </w:pPr>
    </w:p>
    <w:p w:rsidR="008B2155" w:rsidRPr="007259CD" w:rsidRDefault="008B2155" w:rsidP="00283252">
      <w:pPr>
        <w:ind w:left="-284"/>
        <w:rPr>
          <w:rFonts w:cs="Arial"/>
          <w:bCs/>
        </w:rPr>
      </w:pPr>
      <w:r>
        <w:rPr>
          <w:rFonts w:cs="Arial"/>
          <w:bCs/>
        </w:rPr>
        <w:t xml:space="preserve">The </w:t>
      </w:r>
      <w:r w:rsidR="00B0328C">
        <w:rPr>
          <w:rFonts w:cs="Arial"/>
          <w:bCs/>
        </w:rPr>
        <w:t>Provider</w:t>
      </w:r>
      <w:r>
        <w:rPr>
          <w:rFonts w:cs="Arial"/>
          <w:bCs/>
        </w:rPr>
        <w:t xml:space="preserve"> will offer training to local GPs and practice nurses to support the delivery of LARC in primary care. The </w:t>
      </w:r>
      <w:r w:rsidR="00B0328C">
        <w:rPr>
          <w:rFonts w:cs="Arial"/>
          <w:bCs/>
        </w:rPr>
        <w:t>Provider</w:t>
      </w:r>
      <w:r>
        <w:rPr>
          <w:rFonts w:cs="Arial"/>
          <w:bCs/>
        </w:rPr>
        <w:t xml:space="preserve"> will offer training to local pharmacy staff to support the delivery of the EHC service for young women.</w:t>
      </w:r>
    </w:p>
    <w:p w:rsidR="00283252" w:rsidRPr="007259CD" w:rsidRDefault="00283252" w:rsidP="00283252">
      <w:pPr>
        <w:ind w:left="-284"/>
        <w:rPr>
          <w:rFonts w:cs="Arial"/>
          <w:bCs/>
        </w:rPr>
      </w:pPr>
    </w:p>
    <w:p w:rsidR="00283252" w:rsidRPr="007259CD" w:rsidRDefault="00283252" w:rsidP="00283252">
      <w:pPr>
        <w:ind w:left="-284"/>
        <w:rPr>
          <w:rFonts w:cs="Arial"/>
          <w:bCs/>
        </w:rPr>
      </w:pPr>
      <w:r w:rsidRPr="007259CD">
        <w:rPr>
          <w:rFonts w:cs="Arial"/>
          <w:bCs/>
        </w:rPr>
        <w:t xml:space="preserve">The </w:t>
      </w:r>
      <w:r w:rsidR="008B2155">
        <w:rPr>
          <w:rFonts w:cs="Arial"/>
          <w:bCs/>
        </w:rPr>
        <w:t>Provider</w:t>
      </w:r>
      <w:r w:rsidR="008B2155" w:rsidRPr="007259CD">
        <w:rPr>
          <w:rFonts w:cs="Arial"/>
          <w:bCs/>
        </w:rPr>
        <w:t xml:space="preserve"> </w:t>
      </w:r>
      <w:r w:rsidRPr="007259CD">
        <w:rPr>
          <w:rFonts w:cs="Arial"/>
          <w:bCs/>
        </w:rPr>
        <w:t xml:space="preserve">is expected to work with Health Education England to assess current training placements in the context of the new service model, as well as planning future training commitments.  Senior Staff will supervise and deliver training appropriate to their level of seniority and the educational commitments referenced in their professional objectives. </w:t>
      </w:r>
    </w:p>
    <w:p w:rsidR="00283252" w:rsidRPr="007259CD" w:rsidRDefault="00283252" w:rsidP="00283252">
      <w:pPr>
        <w:ind w:left="-284"/>
        <w:rPr>
          <w:rFonts w:cs="Arial"/>
          <w:bCs/>
        </w:rPr>
      </w:pPr>
    </w:p>
    <w:p w:rsidR="00283252" w:rsidRPr="007259CD" w:rsidRDefault="00283252" w:rsidP="00283252">
      <w:pPr>
        <w:ind w:left="-284"/>
        <w:rPr>
          <w:rFonts w:cs="Arial"/>
          <w:bCs/>
        </w:rPr>
      </w:pPr>
      <w:r w:rsidRPr="007166BD">
        <w:rPr>
          <w:rFonts w:cs="Arial"/>
          <w:bCs/>
        </w:rPr>
        <w:t xml:space="preserve">The Service will meet the requirements for trainees on the Thames Valley deanery programme for speciality trainees in GUM and SRH and train and provide placements for nursing and medical practitioners from external medical specialities, and deliver undergraduate and postgraduate training to primary and secondary care. The training provided must be befitting of this Service and in accordance with what has been agreed with local </w:t>
      </w:r>
      <w:r w:rsidR="007479A2">
        <w:rPr>
          <w:rFonts w:cs="Arial"/>
          <w:bCs/>
        </w:rPr>
        <w:t>Commissioner</w:t>
      </w:r>
      <w:r w:rsidRPr="007166BD">
        <w:rPr>
          <w:rFonts w:cs="Arial"/>
          <w:bCs/>
        </w:rPr>
        <w:t>s.</w:t>
      </w:r>
    </w:p>
    <w:p w:rsidR="00283252" w:rsidRPr="007259CD" w:rsidRDefault="00283252" w:rsidP="00283252">
      <w:pPr>
        <w:ind w:left="-284"/>
        <w:rPr>
          <w:rFonts w:cs="Arial"/>
          <w:bCs/>
        </w:rPr>
      </w:pPr>
    </w:p>
    <w:p w:rsidR="00283252" w:rsidRPr="007259CD" w:rsidRDefault="00283252" w:rsidP="00283252">
      <w:pPr>
        <w:ind w:left="-284"/>
        <w:rPr>
          <w:rFonts w:cs="Arial"/>
          <w:bCs/>
        </w:rPr>
      </w:pPr>
      <w:r w:rsidRPr="007259CD">
        <w:rPr>
          <w:rFonts w:cs="Arial"/>
          <w:bCs/>
        </w:rPr>
        <w:t xml:space="preserve">Where the Service agrees to train or provide placements for nursing and medical practitioners from external medical specialities, or deliver undergraduate and postgraduate training to </w:t>
      </w:r>
      <w:r w:rsidRPr="007259CD">
        <w:rPr>
          <w:rFonts w:cs="Arial"/>
          <w:bCs/>
        </w:rPr>
        <w:lastRenderedPageBreak/>
        <w:t xml:space="preserve">primary and secondary care, the training provided must be befitting of this Service and be in accordance with what has been agreed with local </w:t>
      </w:r>
      <w:r w:rsidR="007479A2">
        <w:rPr>
          <w:rFonts w:cs="Arial"/>
          <w:bCs/>
        </w:rPr>
        <w:t>Commissioner</w:t>
      </w:r>
      <w:r w:rsidRPr="007259CD">
        <w:rPr>
          <w:rFonts w:cs="Arial"/>
          <w:bCs/>
        </w:rPr>
        <w:t>s.</w:t>
      </w:r>
    </w:p>
    <w:p w:rsidR="00283252" w:rsidRPr="007259CD" w:rsidRDefault="00283252" w:rsidP="00283252">
      <w:pPr>
        <w:ind w:left="-284"/>
        <w:rPr>
          <w:rFonts w:cs="Arial"/>
          <w:bCs/>
        </w:rPr>
      </w:pPr>
    </w:p>
    <w:p w:rsidR="00283252" w:rsidRPr="007259CD" w:rsidRDefault="00283252" w:rsidP="00283252">
      <w:pPr>
        <w:ind w:left="-284"/>
        <w:rPr>
          <w:rFonts w:cs="Arial"/>
          <w:bCs/>
        </w:rPr>
      </w:pPr>
      <w:r w:rsidRPr="007259CD">
        <w:rPr>
          <w:rFonts w:cs="Arial"/>
          <w:bCs/>
        </w:rPr>
        <w:t xml:space="preserve">The </w:t>
      </w:r>
      <w:r w:rsidR="00B0328C">
        <w:rPr>
          <w:rFonts w:cs="Arial"/>
          <w:bCs/>
        </w:rPr>
        <w:t>Provider</w:t>
      </w:r>
      <w:r w:rsidRPr="007259CD">
        <w:rPr>
          <w:rFonts w:cs="Arial"/>
          <w:bCs/>
        </w:rPr>
        <w:t xml:space="preserve"> will be expected to deliver accredited and/or other training to GPs,  practice nurses, pharmacists and other clinical staff in regards to sexual health assessment and screening, testing, contraception (including, but not only, LARC), awareness of FGM and other related issues</w:t>
      </w:r>
    </w:p>
    <w:p w:rsidR="00283252" w:rsidRPr="007259CD" w:rsidRDefault="00283252" w:rsidP="00283252">
      <w:pPr>
        <w:ind w:left="-284"/>
        <w:rPr>
          <w:rFonts w:cs="Arial"/>
          <w:bCs/>
        </w:rPr>
      </w:pPr>
    </w:p>
    <w:p w:rsidR="00283252" w:rsidRPr="007259CD" w:rsidRDefault="00283252" w:rsidP="00283252">
      <w:pPr>
        <w:ind w:left="-284"/>
        <w:rPr>
          <w:rFonts w:cs="Arial"/>
          <w:bCs/>
        </w:rPr>
      </w:pPr>
      <w:r w:rsidRPr="007259CD">
        <w:rPr>
          <w:rFonts w:cs="Arial"/>
          <w:bCs/>
        </w:rPr>
        <w:t xml:space="preserve">The Service will provide a telephone and </w:t>
      </w:r>
      <w:r w:rsidR="00D43648">
        <w:rPr>
          <w:rFonts w:cs="Arial"/>
          <w:bCs/>
        </w:rPr>
        <w:t>online</w:t>
      </w:r>
      <w:r w:rsidRPr="007259CD">
        <w:rPr>
          <w:rFonts w:cs="Arial"/>
          <w:bCs/>
        </w:rPr>
        <w:t xml:space="preserve"> advice and guidance service for local GPs and Practice Nurses, and other health and social care professionals working within Berkshire East, concerning diagnosis and management, and where indicated, referral for STIs, HIV testing and contraception.</w:t>
      </w:r>
    </w:p>
    <w:p w:rsidR="00530EED" w:rsidRDefault="00530EED" w:rsidP="00530EED">
      <w:pPr>
        <w:ind w:left="-360"/>
        <w:jc w:val="both"/>
        <w:rPr>
          <w:rFonts w:cs="Arial"/>
          <w:bCs/>
        </w:rPr>
      </w:pPr>
    </w:p>
    <w:p w:rsidR="00FF34EA" w:rsidRDefault="00FF34EA" w:rsidP="00530EED">
      <w:pPr>
        <w:ind w:left="-360"/>
        <w:jc w:val="both"/>
        <w:rPr>
          <w:rFonts w:cs="Arial"/>
          <w:bCs/>
        </w:rPr>
      </w:pPr>
    </w:p>
    <w:p w:rsidR="00FF34EA" w:rsidRPr="007259CD" w:rsidRDefault="00FF34EA" w:rsidP="00530EED">
      <w:pPr>
        <w:ind w:left="-360"/>
        <w:jc w:val="both"/>
        <w:rPr>
          <w:rFonts w:cs="Arial"/>
          <w:bCs/>
        </w:rPr>
      </w:pPr>
    </w:p>
    <w:p w:rsidR="00894766" w:rsidRPr="007259CD" w:rsidRDefault="00530EED" w:rsidP="00A40D01">
      <w:pPr>
        <w:pStyle w:val="ListParagraph"/>
        <w:numPr>
          <w:ilvl w:val="0"/>
          <w:numId w:val="37"/>
        </w:numPr>
        <w:jc w:val="both"/>
        <w:rPr>
          <w:rFonts w:ascii="Arial" w:hAnsi="Arial" w:cs="Arial"/>
          <w:b/>
          <w:bCs/>
        </w:rPr>
      </w:pPr>
      <w:r w:rsidRPr="007259CD">
        <w:rPr>
          <w:rFonts w:ascii="Arial" w:hAnsi="Arial" w:cs="Arial"/>
          <w:b/>
          <w:bCs/>
        </w:rPr>
        <w:t>Access</w:t>
      </w:r>
    </w:p>
    <w:p w:rsidR="00894766" w:rsidRPr="007259CD" w:rsidRDefault="00894766" w:rsidP="00894766">
      <w:pPr>
        <w:ind w:left="-360"/>
        <w:jc w:val="both"/>
        <w:rPr>
          <w:rFonts w:cs="Arial"/>
          <w:b/>
          <w:bCs/>
        </w:rPr>
      </w:pPr>
    </w:p>
    <w:p w:rsidR="00894766" w:rsidRDefault="00894766" w:rsidP="00894766">
      <w:pPr>
        <w:ind w:left="-360"/>
        <w:jc w:val="both"/>
        <w:rPr>
          <w:rFonts w:cs="Arial"/>
        </w:rPr>
      </w:pPr>
      <w:r w:rsidRPr="007259CD">
        <w:rPr>
          <w:rFonts w:cs="Arial"/>
          <w:bCs/>
        </w:rPr>
        <w:t>The Service will provide e</w:t>
      </w:r>
      <w:r w:rsidRPr="007259CD">
        <w:rPr>
          <w:rFonts w:cs="Arial"/>
        </w:rPr>
        <w:t>quitable access to all members of the population, including (but not only)</w:t>
      </w:r>
      <w:r w:rsidR="00B0328C">
        <w:rPr>
          <w:rFonts w:cs="Arial"/>
        </w:rPr>
        <w:t xml:space="preserve"> people:</w:t>
      </w:r>
      <w:r w:rsidRPr="007259CD">
        <w:rPr>
          <w:rFonts w:cs="Arial"/>
        </w:rPr>
        <w:t xml:space="preserve"> with physical, mental health, sensory and learning disabilities; </w:t>
      </w:r>
      <w:r w:rsidR="00B0328C">
        <w:rPr>
          <w:rFonts w:cs="Arial"/>
        </w:rPr>
        <w:t xml:space="preserve">with </w:t>
      </w:r>
      <w:r w:rsidRPr="007259CD">
        <w:rPr>
          <w:rFonts w:cs="Arial"/>
        </w:rPr>
        <w:t xml:space="preserve">various levels of literacy; </w:t>
      </w:r>
      <w:r w:rsidR="00B0328C">
        <w:rPr>
          <w:rFonts w:cs="Arial"/>
        </w:rPr>
        <w:t xml:space="preserve">with </w:t>
      </w:r>
      <w:r w:rsidRPr="007259CD">
        <w:rPr>
          <w:rFonts w:cs="Arial"/>
        </w:rPr>
        <w:t>varying levels of IT literacy and access; and people who require interpretation services</w:t>
      </w:r>
      <w:r w:rsidR="007166BD">
        <w:rPr>
          <w:rFonts w:cs="Arial"/>
        </w:rPr>
        <w:t>.</w:t>
      </w:r>
    </w:p>
    <w:p w:rsidR="007166BD" w:rsidRDefault="007166BD" w:rsidP="00894766">
      <w:pPr>
        <w:ind w:left="-360"/>
        <w:jc w:val="both"/>
        <w:rPr>
          <w:rFonts w:cs="Arial"/>
        </w:rPr>
      </w:pPr>
    </w:p>
    <w:p w:rsidR="007166BD" w:rsidRPr="007259CD" w:rsidRDefault="007166BD" w:rsidP="00894766">
      <w:pPr>
        <w:ind w:left="-360"/>
        <w:jc w:val="both"/>
        <w:rPr>
          <w:rFonts w:cs="Arial"/>
        </w:rPr>
      </w:pPr>
      <w:r>
        <w:rPr>
          <w:rFonts w:cs="Arial"/>
        </w:rPr>
        <w:t xml:space="preserve">As described above, digital access to a range of sexual and reproductive health services is expected. At a minimum the </w:t>
      </w:r>
      <w:r w:rsidR="00B0328C">
        <w:rPr>
          <w:rFonts w:cs="Arial"/>
        </w:rPr>
        <w:t>Provider</w:t>
      </w:r>
      <w:r>
        <w:rPr>
          <w:rFonts w:cs="Arial"/>
        </w:rPr>
        <w:t xml:space="preserve"> with ensure STI testing, appointment booking, results and sexual health advice are available online, engaging with </w:t>
      </w:r>
      <w:r w:rsidR="007479A2">
        <w:rPr>
          <w:rFonts w:cs="Arial"/>
        </w:rPr>
        <w:t>Commissioner</w:t>
      </w:r>
      <w:r>
        <w:rPr>
          <w:rFonts w:cs="Arial"/>
        </w:rPr>
        <w:t>s to ensure that access via digital methods does not disadvantage specific individuals and groups, such as those outlined above.</w:t>
      </w:r>
    </w:p>
    <w:p w:rsidR="00894766" w:rsidRPr="007259CD" w:rsidRDefault="00894766" w:rsidP="00894766">
      <w:pPr>
        <w:ind w:left="-360"/>
        <w:jc w:val="both"/>
        <w:rPr>
          <w:rFonts w:cs="Arial"/>
        </w:rPr>
      </w:pPr>
    </w:p>
    <w:p w:rsidR="00894766" w:rsidRPr="007259CD" w:rsidRDefault="00894766" w:rsidP="00894766">
      <w:pPr>
        <w:ind w:left="-360"/>
        <w:jc w:val="both"/>
        <w:rPr>
          <w:rFonts w:cs="Arial"/>
          <w:b/>
          <w:bCs/>
        </w:rPr>
      </w:pPr>
      <w:r w:rsidRPr="007259CD">
        <w:rPr>
          <w:rFonts w:cs="Arial"/>
          <w:bCs/>
        </w:rPr>
        <w:t xml:space="preserve">Services should be available through a mix of advance appointments and walk-in attendance through the week, including at weekends. Appointments at the Service should usually be offered to the clinic site(s) nearest to the person’s residence, according to need. </w:t>
      </w:r>
    </w:p>
    <w:p w:rsidR="00894766" w:rsidRPr="007259CD" w:rsidRDefault="00894766" w:rsidP="00894766">
      <w:pPr>
        <w:ind w:left="-360"/>
        <w:jc w:val="both"/>
        <w:rPr>
          <w:rFonts w:cs="Arial"/>
          <w:b/>
          <w:bCs/>
        </w:rPr>
      </w:pPr>
    </w:p>
    <w:p w:rsidR="00894766" w:rsidRPr="007259CD" w:rsidRDefault="00894766" w:rsidP="00894766">
      <w:pPr>
        <w:ind w:left="-360"/>
        <w:jc w:val="both"/>
        <w:rPr>
          <w:rFonts w:cs="Arial"/>
          <w:b/>
          <w:bCs/>
        </w:rPr>
      </w:pPr>
      <w:r w:rsidRPr="007259CD">
        <w:rPr>
          <w:rFonts w:cs="Arial"/>
          <w:bCs/>
        </w:rPr>
        <w:t xml:space="preserve">Self-referrals, as well as direct referrals from GPs or other health services within </w:t>
      </w:r>
      <w:r w:rsidR="007166BD">
        <w:rPr>
          <w:rFonts w:cs="Arial"/>
          <w:bCs/>
        </w:rPr>
        <w:t>Berkshire East</w:t>
      </w:r>
      <w:r w:rsidRPr="007259CD">
        <w:rPr>
          <w:rFonts w:cs="Arial"/>
          <w:bCs/>
        </w:rPr>
        <w:t xml:space="preserve">, will be accepted.  Appointments will be available allowing 48 hour access (i.e. access within two working days), with same day or next day access for people with urgent needs.  </w:t>
      </w:r>
    </w:p>
    <w:p w:rsidR="00894766" w:rsidRPr="007259CD" w:rsidRDefault="00894766" w:rsidP="00894766">
      <w:pPr>
        <w:ind w:left="-360"/>
        <w:jc w:val="both"/>
        <w:rPr>
          <w:rFonts w:cs="Arial"/>
          <w:bCs/>
        </w:rPr>
      </w:pPr>
    </w:p>
    <w:p w:rsidR="006C1348" w:rsidRPr="006C1348" w:rsidRDefault="00894766" w:rsidP="00894766">
      <w:pPr>
        <w:ind w:left="-360"/>
        <w:jc w:val="both"/>
        <w:rPr>
          <w:rFonts w:cs="Arial"/>
          <w:bCs/>
        </w:rPr>
      </w:pPr>
      <w:r w:rsidRPr="007259CD">
        <w:rPr>
          <w:rFonts w:cs="Arial"/>
          <w:bCs/>
        </w:rPr>
        <w:t>Users of the non-specialist</w:t>
      </w:r>
      <w:r w:rsidR="00087959">
        <w:rPr>
          <w:rFonts w:cs="Arial"/>
          <w:bCs/>
        </w:rPr>
        <w:t xml:space="preserve"> (level 2)</w:t>
      </w:r>
      <w:r w:rsidRPr="007259CD">
        <w:rPr>
          <w:rFonts w:cs="Arial"/>
          <w:bCs/>
        </w:rPr>
        <w:t xml:space="preserve">clinics who require referral to the specialist service should be able to be </w:t>
      </w:r>
      <w:r w:rsidRPr="006C1348">
        <w:rPr>
          <w:rFonts w:cs="Arial"/>
          <w:bCs/>
        </w:rPr>
        <w:t xml:space="preserve">seen same day or next working day.  Appointments for tertiary (complex) contraception will be after assessment by a health care professional, and will therefore usually be via internal referral within the service or via direct GP (or other health professional) referral, and appointments will be available within 48 hours (or two working days).  </w:t>
      </w:r>
    </w:p>
    <w:p w:rsidR="006C1348" w:rsidRPr="006C1348" w:rsidRDefault="006C1348" w:rsidP="00894766">
      <w:pPr>
        <w:ind w:left="-360"/>
        <w:jc w:val="both"/>
        <w:rPr>
          <w:rFonts w:cs="Arial"/>
          <w:bCs/>
        </w:rPr>
      </w:pPr>
    </w:p>
    <w:p w:rsidR="00650D4B" w:rsidRDefault="00894766" w:rsidP="006C1348">
      <w:pPr>
        <w:ind w:left="-360"/>
        <w:jc w:val="both"/>
        <w:rPr>
          <w:rFonts w:cs="Arial"/>
          <w:bCs/>
        </w:rPr>
      </w:pPr>
      <w:r w:rsidRPr="006C1348">
        <w:rPr>
          <w:rFonts w:cs="Arial"/>
          <w:bCs/>
        </w:rPr>
        <w:t xml:space="preserve">GPs, or other health professionals, who make a formal referral to the Service should receive a discharge communication from the Service on the outcome of the referral following attendance and completion of the episode of care, with the agreement of the </w:t>
      </w:r>
      <w:r w:rsidR="00D83004" w:rsidRPr="006C1348">
        <w:rPr>
          <w:rFonts w:cs="Arial"/>
          <w:bCs/>
        </w:rPr>
        <w:t>Service User</w:t>
      </w:r>
      <w:r w:rsidRPr="006C1348">
        <w:rPr>
          <w:rFonts w:cs="Arial"/>
          <w:bCs/>
        </w:rPr>
        <w:t xml:space="preserve">.  All </w:t>
      </w:r>
      <w:r w:rsidR="00D83004" w:rsidRPr="006C1348">
        <w:rPr>
          <w:rFonts w:cs="Arial"/>
          <w:bCs/>
        </w:rPr>
        <w:t>Service User</w:t>
      </w:r>
      <w:r w:rsidRPr="006C1348">
        <w:rPr>
          <w:rFonts w:cs="Arial"/>
          <w:bCs/>
        </w:rPr>
        <w:t xml:space="preserve">s, whether referred or self-referred, should be given the opportunity for a discharge communication for their episode of care to be shared with their registered GP.  The advantages of sharing communication with the registered GP about care should be discussed with all </w:t>
      </w:r>
      <w:r w:rsidR="00D83004" w:rsidRPr="006C1348">
        <w:rPr>
          <w:rFonts w:cs="Arial"/>
          <w:bCs/>
        </w:rPr>
        <w:t>Service User</w:t>
      </w:r>
      <w:r w:rsidRPr="006C1348">
        <w:rPr>
          <w:rFonts w:cs="Arial"/>
          <w:bCs/>
        </w:rPr>
        <w:t xml:space="preserve">s and particularly highlighted for people with a positive diagnostic result, who are prescribed contraception and/or have </w:t>
      </w:r>
      <w:r w:rsidR="00C63DF2" w:rsidRPr="00C63DF2">
        <w:rPr>
          <w:rFonts w:cs="Arial"/>
          <w:bCs/>
        </w:rPr>
        <w:t>vulnerabilities</w:t>
      </w:r>
      <w:r w:rsidR="00C63DF2">
        <w:rPr>
          <w:rFonts w:cs="Arial"/>
          <w:bCs/>
        </w:rPr>
        <w:t>.</w:t>
      </w:r>
    </w:p>
    <w:p w:rsidR="00C63DF2" w:rsidRDefault="00C63DF2" w:rsidP="006C1348">
      <w:pPr>
        <w:ind w:left="-360"/>
        <w:jc w:val="both"/>
        <w:rPr>
          <w:rFonts w:cs="Arial"/>
          <w:bCs/>
        </w:rPr>
      </w:pPr>
    </w:p>
    <w:p w:rsidR="00C63DF2" w:rsidRDefault="00C63DF2" w:rsidP="006C1348">
      <w:pPr>
        <w:ind w:left="-360"/>
        <w:jc w:val="both"/>
        <w:rPr>
          <w:rFonts w:cs="Arial"/>
          <w:bCs/>
        </w:rPr>
      </w:pPr>
    </w:p>
    <w:p w:rsidR="00C63DF2" w:rsidRDefault="00C63DF2" w:rsidP="006C1348">
      <w:pPr>
        <w:ind w:left="-360"/>
        <w:jc w:val="both"/>
        <w:rPr>
          <w:rFonts w:cs="Arial"/>
          <w:b/>
          <w:bCs/>
        </w:rPr>
      </w:pPr>
    </w:p>
    <w:p w:rsidR="00650D4B" w:rsidRPr="007259CD" w:rsidRDefault="00650D4B" w:rsidP="00530EED">
      <w:pPr>
        <w:ind w:left="-360"/>
        <w:jc w:val="both"/>
        <w:rPr>
          <w:rFonts w:cs="Arial"/>
          <w:b/>
          <w:bCs/>
        </w:rPr>
      </w:pPr>
    </w:p>
    <w:p w:rsidR="00894766" w:rsidRPr="007259CD" w:rsidRDefault="00530EED" w:rsidP="00A40D01">
      <w:pPr>
        <w:pStyle w:val="ListParagraph"/>
        <w:numPr>
          <w:ilvl w:val="0"/>
          <w:numId w:val="37"/>
        </w:numPr>
        <w:jc w:val="both"/>
        <w:rPr>
          <w:rFonts w:ascii="Arial" w:hAnsi="Arial" w:cs="Arial"/>
          <w:b/>
        </w:rPr>
      </w:pPr>
      <w:r w:rsidRPr="007259CD">
        <w:rPr>
          <w:rFonts w:ascii="Arial" w:hAnsi="Arial" w:cs="Arial"/>
          <w:b/>
        </w:rPr>
        <w:lastRenderedPageBreak/>
        <w:t>Service information, promotion and marketing</w:t>
      </w:r>
    </w:p>
    <w:p w:rsidR="00894766" w:rsidRPr="007259CD" w:rsidRDefault="00894766" w:rsidP="00894766">
      <w:pPr>
        <w:ind w:left="-360"/>
        <w:jc w:val="both"/>
        <w:rPr>
          <w:rFonts w:cs="Arial"/>
        </w:rPr>
      </w:pPr>
    </w:p>
    <w:p w:rsidR="00894766" w:rsidRPr="007259CD" w:rsidRDefault="00894766" w:rsidP="00894766">
      <w:pPr>
        <w:ind w:left="-360"/>
        <w:jc w:val="both"/>
        <w:rPr>
          <w:rFonts w:cs="Arial"/>
          <w:b/>
        </w:rPr>
      </w:pPr>
      <w:r w:rsidRPr="007259CD">
        <w:rPr>
          <w:rFonts w:cs="Arial"/>
        </w:rPr>
        <w:t>The Provider is required to</w:t>
      </w:r>
      <w:r w:rsidR="0077510F">
        <w:rPr>
          <w:rFonts w:cs="Arial"/>
        </w:rPr>
        <w:t>:</w:t>
      </w:r>
    </w:p>
    <w:p w:rsidR="00894766" w:rsidRPr="007259CD" w:rsidRDefault="00894766" w:rsidP="002A30E5">
      <w:pPr>
        <w:pStyle w:val="ListParagraph"/>
        <w:numPr>
          <w:ilvl w:val="0"/>
          <w:numId w:val="10"/>
        </w:numPr>
        <w:spacing w:before="120" w:after="0" w:line="240" w:lineRule="auto"/>
        <w:contextualSpacing w:val="0"/>
        <w:jc w:val="both"/>
        <w:rPr>
          <w:rFonts w:ascii="Arial" w:hAnsi="Arial" w:cs="Arial"/>
        </w:rPr>
      </w:pPr>
      <w:r w:rsidRPr="007259CD">
        <w:rPr>
          <w:rFonts w:ascii="Arial" w:hAnsi="Arial" w:cs="Arial"/>
        </w:rPr>
        <w:t xml:space="preserve">Proactively contribute to the content, design and marketing of the </w:t>
      </w:r>
      <w:r w:rsidR="007E669C">
        <w:rPr>
          <w:rFonts w:ascii="Arial" w:hAnsi="Arial" w:cs="Arial"/>
        </w:rPr>
        <w:t>Safe Sex Berkshire</w:t>
      </w:r>
      <w:r w:rsidRPr="007259CD">
        <w:rPr>
          <w:rFonts w:ascii="Arial" w:hAnsi="Arial" w:cs="Arial"/>
        </w:rPr>
        <w:t xml:space="preserve"> website, ensuring clinic details are kept up to date</w:t>
      </w:r>
    </w:p>
    <w:p w:rsidR="00894766" w:rsidRPr="007259CD" w:rsidRDefault="00894766" w:rsidP="002A30E5">
      <w:pPr>
        <w:pStyle w:val="ListParagraph"/>
        <w:numPr>
          <w:ilvl w:val="0"/>
          <w:numId w:val="10"/>
        </w:numPr>
        <w:spacing w:before="120" w:after="0" w:line="240" w:lineRule="auto"/>
        <w:contextualSpacing w:val="0"/>
        <w:jc w:val="both"/>
        <w:rPr>
          <w:rFonts w:ascii="Arial" w:hAnsi="Arial" w:cs="Arial"/>
        </w:rPr>
      </w:pPr>
      <w:r w:rsidRPr="007259CD">
        <w:rPr>
          <w:rFonts w:ascii="Arial" w:hAnsi="Arial" w:cs="Arial"/>
        </w:rPr>
        <w:t xml:space="preserve">Ensure the information provided to the public includes reference to other key agencies </w:t>
      </w:r>
      <w:r w:rsidR="007E669C">
        <w:rPr>
          <w:rFonts w:ascii="Arial" w:hAnsi="Arial" w:cs="Arial"/>
        </w:rPr>
        <w:t>e.g.</w:t>
      </w:r>
      <w:r w:rsidRPr="007259CD">
        <w:rPr>
          <w:rFonts w:ascii="Arial" w:hAnsi="Arial" w:cs="Arial"/>
        </w:rPr>
        <w:t xml:space="preserve"> e-services providers and local support services</w:t>
      </w:r>
    </w:p>
    <w:p w:rsidR="00894766" w:rsidRPr="007259CD" w:rsidRDefault="00894766" w:rsidP="002A30E5">
      <w:pPr>
        <w:pStyle w:val="ListParagraph"/>
        <w:numPr>
          <w:ilvl w:val="0"/>
          <w:numId w:val="10"/>
        </w:numPr>
        <w:spacing w:before="120" w:after="0" w:line="240" w:lineRule="auto"/>
        <w:contextualSpacing w:val="0"/>
        <w:jc w:val="both"/>
        <w:rPr>
          <w:rFonts w:ascii="Arial" w:hAnsi="Arial" w:cs="Arial"/>
        </w:rPr>
      </w:pPr>
      <w:r w:rsidRPr="007259CD">
        <w:rPr>
          <w:rFonts w:ascii="Arial" w:hAnsi="Arial" w:cs="Arial"/>
        </w:rPr>
        <w:t xml:space="preserve">By agreement with the </w:t>
      </w:r>
      <w:r w:rsidR="007479A2">
        <w:rPr>
          <w:rFonts w:ascii="Arial" w:hAnsi="Arial" w:cs="Arial"/>
        </w:rPr>
        <w:t>Commissioner</w:t>
      </w:r>
      <w:r w:rsidRPr="007259CD">
        <w:rPr>
          <w:rFonts w:ascii="Arial" w:hAnsi="Arial" w:cs="Arial"/>
        </w:rPr>
        <w:t xml:space="preserve">s, link with/support national and local initiatives to promote awareness of and better sexual health, </w:t>
      </w:r>
      <w:r w:rsidR="007E669C">
        <w:rPr>
          <w:rFonts w:ascii="Arial" w:hAnsi="Arial" w:cs="Arial"/>
        </w:rPr>
        <w:t>e.g.</w:t>
      </w:r>
      <w:r w:rsidRPr="007259CD">
        <w:rPr>
          <w:rFonts w:ascii="Arial" w:hAnsi="Arial" w:cs="Arial"/>
        </w:rPr>
        <w:t xml:space="preserve"> HIV Testing Week</w:t>
      </w:r>
      <w:r w:rsidR="0077510F">
        <w:rPr>
          <w:rFonts w:ascii="Arial" w:hAnsi="Arial" w:cs="Arial"/>
        </w:rPr>
        <w:t>,</w:t>
      </w:r>
      <w:r w:rsidRPr="007259CD">
        <w:rPr>
          <w:rFonts w:ascii="Arial" w:hAnsi="Arial" w:cs="Arial"/>
        </w:rPr>
        <w:t xml:space="preserve"> World AIDS Day, World Hepatitis Day, the Halve It campaign, or </w:t>
      </w:r>
      <w:r w:rsidR="0077510F">
        <w:rPr>
          <w:rFonts w:ascii="Arial" w:hAnsi="Arial" w:cs="Arial"/>
        </w:rPr>
        <w:t>FPA</w:t>
      </w:r>
      <w:r w:rsidR="0077510F" w:rsidRPr="007259CD">
        <w:rPr>
          <w:rFonts w:ascii="Arial" w:hAnsi="Arial" w:cs="Arial"/>
        </w:rPr>
        <w:t xml:space="preserve"> </w:t>
      </w:r>
      <w:r w:rsidRPr="007259CD">
        <w:rPr>
          <w:rFonts w:ascii="Arial" w:hAnsi="Arial" w:cs="Arial"/>
        </w:rPr>
        <w:t>Sexual Health Week.</w:t>
      </w:r>
    </w:p>
    <w:p w:rsidR="00894766" w:rsidRPr="007259CD" w:rsidRDefault="00894766" w:rsidP="00894766">
      <w:pPr>
        <w:ind w:left="-360"/>
        <w:jc w:val="both"/>
        <w:rPr>
          <w:rFonts w:cs="Arial"/>
          <w:b/>
        </w:rPr>
      </w:pPr>
    </w:p>
    <w:p w:rsidR="00894766" w:rsidRPr="007259CD" w:rsidRDefault="00894766" w:rsidP="00894766">
      <w:pPr>
        <w:ind w:left="-360"/>
        <w:jc w:val="both"/>
        <w:rPr>
          <w:rFonts w:cs="Arial"/>
          <w:b/>
        </w:rPr>
      </w:pPr>
    </w:p>
    <w:p w:rsidR="00894766" w:rsidRPr="007259CD" w:rsidRDefault="00894766" w:rsidP="00894766">
      <w:pPr>
        <w:ind w:left="-360"/>
        <w:jc w:val="both"/>
        <w:rPr>
          <w:rFonts w:cs="Arial"/>
          <w:b/>
        </w:rPr>
      </w:pPr>
    </w:p>
    <w:p w:rsidR="00894766" w:rsidRPr="007259CD" w:rsidRDefault="00530EED" w:rsidP="00A40D01">
      <w:pPr>
        <w:pStyle w:val="ListParagraph"/>
        <w:numPr>
          <w:ilvl w:val="0"/>
          <w:numId w:val="37"/>
        </w:numPr>
        <w:jc w:val="both"/>
        <w:rPr>
          <w:rFonts w:ascii="Arial" w:hAnsi="Arial" w:cs="Arial"/>
          <w:b/>
        </w:rPr>
      </w:pPr>
      <w:r w:rsidRPr="007259CD">
        <w:rPr>
          <w:rFonts w:ascii="Arial" w:hAnsi="Arial" w:cs="Arial"/>
          <w:b/>
          <w:bCs/>
        </w:rPr>
        <w:t xml:space="preserve">Service Improvements and Developments </w:t>
      </w:r>
    </w:p>
    <w:p w:rsidR="00894766" w:rsidRPr="007259CD" w:rsidRDefault="00894766" w:rsidP="00894766">
      <w:pPr>
        <w:ind w:left="-360"/>
        <w:jc w:val="both"/>
        <w:rPr>
          <w:rFonts w:cs="Arial"/>
          <w:b/>
        </w:rPr>
      </w:pPr>
    </w:p>
    <w:p w:rsidR="00894766" w:rsidRPr="007259CD" w:rsidRDefault="00530EED" w:rsidP="00894766">
      <w:pPr>
        <w:ind w:left="-360"/>
        <w:jc w:val="both"/>
        <w:rPr>
          <w:rFonts w:cs="Arial"/>
          <w:b/>
        </w:rPr>
      </w:pPr>
      <w:r w:rsidRPr="007259CD">
        <w:rPr>
          <w:rFonts w:cs="Arial"/>
          <w:bCs/>
        </w:rPr>
        <w:t xml:space="preserve">The Service is expected to look for ways to continuously improve operational efficiency in line with local priorities and opportunities (e.g. changes to ICT). </w:t>
      </w:r>
    </w:p>
    <w:p w:rsidR="00894766" w:rsidRPr="007259CD" w:rsidRDefault="00894766" w:rsidP="00894766">
      <w:pPr>
        <w:ind w:left="-360"/>
        <w:jc w:val="both"/>
        <w:rPr>
          <w:rFonts w:cs="Arial"/>
          <w:b/>
        </w:rPr>
      </w:pPr>
    </w:p>
    <w:p w:rsidR="00530EED" w:rsidRDefault="00530EED" w:rsidP="00894766">
      <w:pPr>
        <w:ind w:left="-360"/>
        <w:jc w:val="both"/>
        <w:rPr>
          <w:rFonts w:cs="Arial"/>
          <w:bCs/>
        </w:rPr>
      </w:pPr>
      <w:r w:rsidRPr="007259CD">
        <w:rPr>
          <w:rFonts w:cs="Arial"/>
          <w:bCs/>
        </w:rPr>
        <w:t xml:space="preserve">Where the Service has intentions to undertake changes to the Service such as establishing new sites, outreach, additional promotional work, or marketing, or any other innovative developments that may result in changes in activity or charges, the </w:t>
      </w:r>
      <w:r w:rsidR="00B0328C">
        <w:rPr>
          <w:rFonts w:cs="Arial"/>
          <w:bCs/>
        </w:rPr>
        <w:t>Provider</w:t>
      </w:r>
      <w:r w:rsidRPr="007259CD">
        <w:rPr>
          <w:rFonts w:cs="Arial"/>
          <w:bCs/>
        </w:rPr>
        <w:t xml:space="preserve"> must first seek the agreement of the </w:t>
      </w:r>
      <w:r w:rsidR="007479A2">
        <w:rPr>
          <w:rFonts w:cs="Arial"/>
          <w:bCs/>
        </w:rPr>
        <w:t>Commissioner</w:t>
      </w:r>
      <w:r w:rsidRPr="007259CD">
        <w:rPr>
          <w:rFonts w:cs="Arial"/>
          <w:bCs/>
        </w:rPr>
        <w:t>s</w:t>
      </w:r>
      <w:r w:rsidR="007166BD">
        <w:rPr>
          <w:rFonts w:cs="Arial"/>
          <w:bCs/>
        </w:rPr>
        <w:t>, this includes developments to digital services</w:t>
      </w:r>
      <w:r w:rsidRPr="007259CD">
        <w:rPr>
          <w:rFonts w:cs="Arial"/>
          <w:bCs/>
        </w:rPr>
        <w:t xml:space="preserve">.   </w:t>
      </w:r>
    </w:p>
    <w:p w:rsidR="007166BD" w:rsidRDefault="007166BD" w:rsidP="00894766">
      <w:pPr>
        <w:ind w:left="-360"/>
        <w:jc w:val="both"/>
        <w:rPr>
          <w:rFonts w:cs="Arial"/>
          <w:bCs/>
        </w:rPr>
      </w:pPr>
    </w:p>
    <w:p w:rsidR="00530EED" w:rsidRPr="007259CD" w:rsidRDefault="00530EED" w:rsidP="00530EED">
      <w:pPr>
        <w:ind w:left="-360"/>
        <w:jc w:val="both"/>
        <w:rPr>
          <w:rFonts w:cs="Arial"/>
          <w:b/>
          <w:bCs/>
        </w:rPr>
      </w:pPr>
    </w:p>
    <w:p w:rsidR="00530EED" w:rsidRPr="007259CD" w:rsidRDefault="00241458" w:rsidP="00A40D01">
      <w:pPr>
        <w:pStyle w:val="ListParagraph"/>
        <w:numPr>
          <w:ilvl w:val="0"/>
          <w:numId w:val="37"/>
        </w:numPr>
        <w:jc w:val="both"/>
        <w:rPr>
          <w:rFonts w:ascii="Arial" w:hAnsi="Arial" w:cs="Arial"/>
          <w:b/>
          <w:bCs/>
        </w:rPr>
      </w:pPr>
      <w:r w:rsidRPr="007259CD">
        <w:rPr>
          <w:rFonts w:ascii="Arial" w:hAnsi="Arial" w:cs="Arial"/>
          <w:b/>
          <w:bCs/>
        </w:rPr>
        <w:t>Service Exclusions</w:t>
      </w:r>
    </w:p>
    <w:p w:rsidR="00241458" w:rsidRPr="007259CD" w:rsidRDefault="00241458" w:rsidP="00530EED">
      <w:pPr>
        <w:ind w:left="-360"/>
        <w:jc w:val="both"/>
        <w:rPr>
          <w:rFonts w:cs="Arial"/>
          <w:b/>
          <w:bCs/>
        </w:rPr>
      </w:pPr>
    </w:p>
    <w:p w:rsidR="00241458" w:rsidRPr="00FF34EA" w:rsidRDefault="001706E1" w:rsidP="00530EED">
      <w:pPr>
        <w:ind w:left="-360"/>
        <w:jc w:val="both"/>
        <w:rPr>
          <w:rFonts w:cs="Arial"/>
          <w:bCs/>
        </w:rPr>
      </w:pPr>
      <w:r w:rsidRPr="00FF34EA">
        <w:rPr>
          <w:rFonts w:cs="Arial"/>
          <w:bCs/>
        </w:rPr>
        <w:t xml:space="preserve">Patients requiring </w:t>
      </w:r>
      <w:r w:rsidR="00FF34EA" w:rsidRPr="00FF34EA">
        <w:rPr>
          <w:rFonts w:cs="Arial"/>
          <w:bCs/>
        </w:rPr>
        <w:t xml:space="preserve">gynaecology </w:t>
      </w:r>
      <w:r w:rsidRPr="00FF34EA">
        <w:rPr>
          <w:rFonts w:cs="Arial"/>
          <w:bCs/>
        </w:rPr>
        <w:t>services</w:t>
      </w:r>
      <w:r w:rsidR="00FF34EA" w:rsidRPr="00FF34EA">
        <w:rPr>
          <w:rFonts w:cs="Arial"/>
          <w:bCs/>
        </w:rPr>
        <w:t xml:space="preserve"> ONLY</w:t>
      </w:r>
      <w:r w:rsidRPr="00FF34EA">
        <w:rPr>
          <w:rFonts w:cs="Arial"/>
          <w:bCs/>
        </w:rPr>
        <w:t xml:space="preserve"> are </w:t>
      </w:r>
      <w:r w:rsidR="002F31EE">
        <w:rPr>
          <w:rFonts w:cs="Arial"/>
          <w:bCs/>
        </w:rPr>
        <w:t>NOT</w:t>
      </w:r>
      <w:r w:rsidR="002F31EE" w:rsidRPr="00FF34EA">
        <w:rPr>
          <w:rFonts w:cs="Arial"/>
          <w:bCs/>
        </w:rPr>
        <w:t xml:space="preserve"> </w:t>
      </w:r>
      <w:r w:rsidR="00DB5F49" w:rsidRPr="00FF34EA">
        <w:rPr>
          <w:rFonts w:cs="Arial"/>
          <w:bCs/>
        </w:rPr>
        <w:t>eligible</w:t>
      </w:r>
      <w:r w:rsidRPr="00FF34EA">
        <w:rPr>
          <w:rFonts w:cs="Arial"/>
          <w:bCs/>
        </w:rPr>
        <w:t xml:space="preserve"> for this </w:t>
      </w:r>
      <w:r w:rsidR="00DB5F49" w:rsidRPr="00FF34EA">
        <w:rPr>
          <w:rFonts w:cs="Arial"/>
          <w:bCs/>
        </w:rPr>
        <w:t>service</w:t>
      </w:r>
      <w:r w:rsidRPr="00FF34EA">
        <w:rPr>
          <w:rFonts w:cs="Arial"/>
          <w:bCs/>
        </w:rPr>
        <w:t xml:space="preserve"> and should be referred to the relevant service for according to clinical needs.</w:t>
      </w:r>
    </w:p>
    <w:p w:rsidR="00255AFB" w:rsidRPr="00FF34EA" w:rsidRDefault="00255AFB" w:rsidP="00255AFB">
      <w:pPr>
        <w:jc w:val="both"/>
        <w:rPr>
          <w:rFonts w:cs="Arial"/>
          <w:bCs/>
        </w:rPr>
      </w:pPr>
    </w:p>
    <w:p w:rsidR="002F31EE" w:rsidRDefault="00255AFB" w:rsidP="002F31EE">
      <w:pPr>
        <w:ind w:left="-360"/>
        <w:jc w:val="both"/>
        <w:rPr>
          <w:rFonts w:cs="Arial"/>
          <w:bCs/>
        </w:rPr>
      </w:pPr>
      <w:r w:rsidRPr="00FF34EA">
        <w:rPr>
          <w:rFonts w:cs="Arial"/>
          <w:bCs/>
        </w:rPr>
        <w:t>Non-Bracknell Forest residents are excluded from the</w:t>
      </w:r>
      <w:r w:rsidR="002F31EE">
        <w:rPr>
          <w:rFonts w:cs="Arial"/>
          <w:bCs/>
        </w:rPr>
        <w:t xml:space="preserve"> Bracknell Forest</w:t>
      </w:r>
      <w:r w:rsidRPr="00FF34EA">
        <w:rPr>
          <w:rFonts w:cs="Arial"/>
          <w:bCs/>
        </w:rPr>
        <w:t xml:space="preserve"> specialist nurse outreach servic</w:t>
      </w:r>
      <w:r w:rsidR="002F31EE">
        <w:rPr>
          <w:rFonts w:cs="Arial"/>
          <w:bCs/>
        </w:rPr>
        <w:t>e; this is an additional service on top of the open access non-specialist (level 2) clinic</w:t>
      </w:r>
      <w:r w:rsidR="00FF34EA">
        <w:rPr>
          <w:rFonts w:cs="Arial"/>
          <w:bCs/>
        </w:rPr>
        <w:t>.</w:t>
      </w:r>
    </w:p>
    <w:p w:rsidR="002F31EE" w:rsidRDefault="002F31EE" w:rsidP="002F31EE">
      <w:pPr>
        <w:ind w:left="-360"/>
        <w:jc w:val="both"/>
        <w:rPr>
          <w:rFonts w:cs="Arial"/>
          <w:bCs/>
        </w:rPr>
      </w:pPr>
    </w:p>
    <w:p w:rsidR="002F31EE" w:rsidRPr="002F31EE" w:rsidRDefault="002F31EE" w:rsidP="002F31EE">
      <w:pPr>
        <w:ind w:left="-360"/>
        <w:jc w:val="both"/>
        <w:rPr>
          <w:rStyle w:val="st1"/>
          <w:rFonts w:cs="Arial"/>
          <w:bCs/>
        </w:rPr>
      </w:pPr>
      <w:r w:rsidRPr="002F31EE">
        <w:rPr>
          <w:rFonts w:cs="Arial"/>
          <w:bCs/>
        </w:rPr>
        <w:t xml:space="preserve">The service does NOT include </w:t>
      </w:r>
      <w:r w:rsidRPr="002F31EE">
        <w:rPr>
          <w:rStyle w:val="st1"/>
          <w:rFonts w:cs="Arial"/>
        </w:rPr>
        <w:t xml:space="preserve">non-sexual-health elements of </w:t>
      </w:r>
      <w:r w:rsidRPr="002F31EE">
        <w:rPr>
          <w:rStyle w:val="Emphasis"/>
          <w:rFonts w:cs="Arial"/>
          <w:b w:val="0"/>
        </w:rPr>
        <w:t>psychosexual</w:t>
      </w:r>
      <w:r w:rsidRPr="002F31EE">
        <w:rPr>
          <w:rStyle w:val="st1"/>
          <w:rFonts w:cs="Arial"/>
        </w:rPr>
        <w:t xml:space="preserve"> health services.</w:t>
      </w:r>
    </w:p>
    <w:p w:rsidR="002F31EE" w:rsidRPr="00FF34EA" w:rsidRDefault="002F31EE" w:rsidP="00530EED">
      <w:pPr>
        <w:ind w:left="-360"/>
        <w:jc w:val="both"/>
        <w:rPr>
          <w:rFonts w:cs="Arial"/>
          <w:bCs/>
        </w:rPr>
      </w:pPr>
    </w:p>
    <w:p w:rsidR="00241458" w:rsidRPr="007259CD" w:rsidRDefault="00241458" w:rsidP="00530EED">
      <w:pPr>
        <w:ind w:left="-360"/>
        <w:jc w:val="both"/>
        <w:rPr>
          <w:rFonts w:cs="Arial"/>
          <w:b/>
          <w:bCs/>
        </w:rPr>
      </w:pPr>
    </w:p>
    <w:p w:rsidR="00283252" w:rsidRPr="007259CD" w:rsidRDefault="00241458" w:rsidP="00A40D01">
      <w:pPr>
        <w:pStyle w:val="ListParagraph"/>
        <w:numPr>
          <w:ilvl w:val="0"/>
          <w:numId w:val="37"/>
        </w:numPr>
        <w:jc w:val="both"/>
        <w:rPr>
          <w:rFonts w:ascii="Arial" w:hAnsi="Arial" w:cs="Arial"/>
          <w:b/>
          <w:bCs/>
        </w:rPr>
      </w:pPr>
      <w:r w:rsidRPr="007259CD">
        <w:rPr>
          <w:rFonts w:ascii="Arial" w:hAnsi="Arial" w:cs="Arial"/>
          <w:b/>
          <w:bCs/>
        </w:rPr>
        <w:t>Population Covered</w:t>
      </w:r>
    </w:p>
    <w:p w:rsidR="00283252" w:rsidRDefault="00283252" w:rsidP="00283252">
      <w:pPr>
        <w:ind w:left="-426"/>
        <w:jc w:val="both"/>
        <w:rPr>
          <w:rFonts w:eastAsia="Times New Roman" w:cs="Arial"/>
          <w:bCs/>
        </w:rPr>
      </w:pPr>
      <w:r w:rsidRPr="007259CD">
        <w:rPr>
          <w:rFonts w:eastAsia="Times New Roman" w:cs="Arial"/>
          <w:bCs/>
        </w:rPr>
        <w:t>Clinic-based services</w:t>
      </w:r>
      <w:r w:rsidR="00577971" w:rsidRPr="007259CD">
        <w:rPr>
          <w:rFonts w:eastAsia="Times New Roman" w:cs="Arial"/>
          <w:bCs/>
        </w:rPr>
        <w:t xml:space="preserve"> (GUM and SRH)</w:t>
      </w:r>
      <w:r w:rsidRPr="007259CD">
        <w:rPr>
          <w:rFonts w:eastAsia="Times New Roman" w:cs="Arial"/>
          <w:bCs/>
        </w:rPr>
        <w:t xml:space="preserve"> will be provided as an open access service to all residents of Bracknell Forest, Slough and RBWM and for others who may be present within the local area, as set out in the requirements for mandated public health services.</w:t>
      </w:r>
    </w:p>
    <w:p w:rsidR="001706E1" w:rsidRDefault="001706E1" w:rsidP="00283252">
      <w:pPr>
        <w:ind w:left="-426"/>
        <w:jc w:val="both"/>
        <w:rPr>
          <w:rFonts w:eastAsia="Times New Roman" w:cs="Arial"/>
          <w:bCs/>
        </w:rPr>
      </w:pPr>
    </w:p>
    <w:p w:rsidR="001706E1" w:rsidRPr="007259CD" w:rsidRDefault="001706E1" w:rsidP="00283252">
      <w:pPr>
        <w:ind w:left="-426"/>
        <w:jc w:val="both"/>
        <w:rPr>
          <w:rFonts w:eastAsia="Times New Roman" w:cs="Arial"/>
          <w:bCs/>
        </w:rPr>
      </w:pPr>
      <w:r>
        <w:rPr>
          <w:rFonts w:eastAsia="Times New Roman" w:cs="Arial"/>
          <w:bCs/>
        </w:rPr>
        <w:t>Services will be provided to residents of Berkshire West (Reading, West Berkshire and Wokingham) Local Authorities in the same way as for Bracknell Forest,</w:t>
      </w:r>
      <w:r w:rsidR="00255AFB">
        <w:rPr>
          <w:rFonts w:eastAsia="Times New Roman" w:cs="Arial"/>
          <w:bCs/>
        </w:rPr>
        <w:t xml:space="preserve"> Slough and RBWM residents.</w:t>
      </w:r>
      <w:r>
        <w:rPr>
          <w:rFonts w:eastAsia="Times New Roman" w:cs="Arial"/>
          <w:bCs/>
        </w:rPr>
        <w:t xml:space="preserve"> </w:t>
      </w:r>
    </w:p>
    <w:p w:rsidR="00577971" w:rsidRPr="007259CD" w:rsidRDefault="00577971" w:rsidP="00283252">
      <w:pPr>
        <w:ind w:left="-426"/>
        <w:jc w:val="both"/>
        <w:rPr>
          <w:rFonts w:eastAsia="Times New Roman" w:cs="Arial"/>
          <w:bCs/>
        </w:rPr>
      </w:pPr>
    </w:p>
    <w:p w:rsidR="00577971" w:rsidRPr="007D5A34" w:rsidRDefault="00D43648" w:rsidP="00283252">
      <w:pPr>
        <w:ind w:left="-426"/>
        <w:jc w:val="both"/>
        <w:rPr>
          <w:rFonts w:eastAsia="Times New Roman" w:cs="Arial"/>
          <w:bCs/>
        </w:rPr>
      </w:pPr>
      <w:r>
        <w:rPr>
          <w:rFonts w:eastAsia="Times New Roman" w:cs="Arial"/>
          <w:bCs/>
        </w:rPr>
        <w:t>Online</w:t>
      </w:r>
      <w:r w:rsidR="00577971" w:rsidRPr="007259CD">
        <w:rPr>
          <w:rFonts w:eastAsia="Times New Roman" w:cs="Arial"/>
          <w:bCs/>
        </w:rPr>
        <w:t xml:space="preserve"> services will be provided to </w:t>
      </w:r>
      <w:r w:rsidR="00577971" w:rsidRPr="007D5A34">
        <w:rPr>
          <w:rFonts w:eastAsia="Times New Roman" w:cs="Arial"/>
          <w:bCs/>
        </w:rPr>
        <w:t>residents of Bracknell Forest, Slough and RBWM who are eligible based on their age and / or risk profile following online triage.</w:t>
      </w:r>
    </w:p>
    <w:p w:rsidR="00577971" w:rsidRPr="007D5A34" w:rsidRDefault="00577971" w:rsidP="00283252">
      <w:pPr>
        <w:ind w:left="-426"/>
        <w:jc w:val="both"/>
        <w:rPr>
          <w:rFonts w:eastAsia="Times New Roman" w:cs="Arial"/>
          <w:bCs/>
        </w:rPr>
      </w:pPr>
    </w:p>
    <w:p w:rsidR="001706E1" w:rsidRPr="007D5A34" w:rsidRDefault="00577971" w:rsidP="00577971">
      <w:pPr>
        <w:ind w:left="-426"/>
        <w:rPr>
          <w:rFonts w:eastAsia="Times New Roman" w:cs="Arial"/>
          <w:bCs/>
          <w:lang w:eastAsia="en-GB"/>
        </w:rPr>
      </w:pPr>
      <w:r w:rsidRPr="007D5A34">
        <w:rPr>
          <w:rFonts w:eastAsia="Times New Roman" w:cs="Arial"/>
          <w:bCs/>
          <w:lang w:eastAsia="en-GB"/>
        </w:rPr>
        <w:t xml:space="preserve">As an integrated sexual health service, the Service must provide open access services accessible to all patients eligible for free NHS treatment, irrespective of council of residence.  </w:t>
      </w:r>
      <w:r w:rsidRPr="007D5A34">
        <w:rPr>
          <w:rFonts w:eastAsia="Times New Roman" w:cs="Arial"/>
          <w:bCs/>
          <w:lang w:eastAsia="en-GB"/>
        </w:rPr>
        <w:lastRenderedPageBreak/>
        <w:t xml:space="preserve">The service is expected to request and collect postcode of residence from all users of the service, with a target of &lt;0.5% of missing, incomplete or non-attributable postcodes (exclusive of overseas visitors who do not have a usual place of UK residence) and charge the council of residence accordingly, save for those services which are host funded on a block basis.  </w:t>
      </w:r>
    </w:p>
    <w:p w:rsidR="001706E1" w:rsidRPr="007D5A34" w:rsidRDefault="001706E1" w:rsidP="00577971">
      <w:pPr>
        <w:ind w:left="-426"/>
        <w:rPr>
          <w:rFonts w:eastAsia="Times New Roman" w:cs="Arial"/>
          <w:bCs/>
          <w:lang w:eastAsia="en-GB"/>
        </w:rPr>
      </w:pPr>
    </w:p>
    <w:p w:rsidR="00577971" w:rsidRPr="001706E1" w:rsidRDefault="00577971" w:rsidP="00577971">
      <w:pPr>
        <w:ind w:left="-426"/>
        <w:rPr>
          <w:rFonts w:eastAsia="Times New Roman" w:cs="Arial"/>
          <w:b/>
          <w:bCs/>
          <w:lang w:eastAsia="en-GB"/>
        </w:rPr>
      </w:pPr>
      <w:r w:rsidRPr="007D5A34">
        <w:rPr>
          <w:rFonts w:eastAsia="Times New Roman" w:cs="Arial"/>
          <w:b/>
          <w:bCs/>
          <w:lang w:eastAsia="en-GB"/>
        </w:rPr>
        <w:t>The service is responsible for raising and recouping charges for use of open access sexual health services by out of area residents through cross-charging to other councils.</w:t>
      </w:r>
    </w:p>
    <w:p w:rsidR="00577971" w:rsidRPr="001706E1" w:rsidRDefault="00577971" w:rsidP="00283252">
      <w:pPr>
        <w:ind w:left="-426"/>
        <w:jc w:val="both"/>
        <w:rPr>
          <w:rFonts w:cs="Arial"/>
          <w:b/>
          <w:bCs/>
        </w:rPr>
      </w:pPr>
    </w:p>
    <w:p w:rsidR="00577971" w:rsidRPr="007259CD" w:rsidRDefault="00577971" w:rsidP="00577971">
      <w:pPr>
        <w:ind w:left="-426"/>
        <w:rPr>
          <w:rFonts w:eastAsia="Times New Roman" w:cs="Arial"/>
          <w:bCs/>
          <w:lang w:eastAsia="en-GB"/>
        </w:rPr>
      </w:pPr>
      <w:r w:rsidRPr="007259CD">
        <w:rPr>
          <w:rFonts w:eastAsia="Times New Roman" w:cs="Arial"/>
          <w:bCs/>
          <w:lang w:eastAsia="en-GB"/>
        </w:rPr>
        <w:t xml:space="preserve">Visitors from abroad will be eligible for free treatment for services, in line with guidance for eligibility for free NHS treatments by the service for overseas visitors as set out in The National Health Service (Charges to Overseas Visitors) Regulations 2015.  This includes exemptions for charges for any overseas visitor for: the diagnosis and treatment of sexually transmitted diseases; testing and diagnosis of HIV; and contraceptive services.  The full regulation is available at:   </w:t>
      </w:r>
      <w:hyperlink r:id="rId12" w:history="1">
        <w:r w:rsidRPr="007259CD">
          <w:rPr>
            <w:rStyle w:val="Hyperlink"/>
            <w:rFonts w:eastAsia="Times New Roman" w:cs="Arial"/>
            <w:lang w:eastAsia="en-GB"/>
          </w:rPr>
          <w:t>http://www.legislation.gov.uk/uksi/2015/238/made</w:t>
        </w:r>
      </w:hyperlink>
    </w:p>
    <w:p w:rsidR="00577971" w:rsidRPr="007259CD" w:rsidRDefault="00577971" w:rsidP="00577971">
      <w:pPr>
        <w:ind w:left="-426"/>
        <w:rPr>
          <w:rFonts w:eastAsia="Times New Roman" w:cs="Arial"/>
          <w:bCs/>
          <w:lang w:eastAsia="en-GB"/>
        </w:rPr>
      </w:pPr>
    </w:p>
    <w:p w:rsidR="00577971" w:rsidRPr="007259CD" w:rsidRDefault="00577971" w:rsidP="00577971">
      <w:pPr>
        <w:ind w:left="-426"/>
        <w:rPr>
          <w:rFonts w:eastAsia="Times New Roman" w:cs="Arial"/>
          <w:bCs/>
          <w:lang w:eastAsia="en-GB"/>
        </w:rPr>
      </w:pPr>
    </w:p>
    <w:p w:rsidR="00577971" w:rsidRPr="007259CD" w:rsidRDefault="00577971" w:rsidP="00577971">
      <w:pPr>
        <w:ind w:left="-426"/>
        <w:rPr>
          <w:rFonts w:eastAsia="Times New Roman" w:cs="Arial"/>
          <w:bCs/>
          <w:lang w:eastAsia="en-GB"/>
        </w:rPr>
      </w:pPr>
      <w:r w:rsidRPr="007259CD">
        <w:rPr>
          <w:rFonts w:eastAsia="Times New Roman" w:cs="Arial"/>
        </w:rPr>
        <w:t xml:space="preserve">The Provider has the right to refuse Service provisions to </w:t>
      </w:r>
      <w:r w:rsidR="0077510F">
        <w:rPr>
          <w:rFonts w:eastAsia="Times New Roman" w:cs="Arial"/>
        </w:rPr>
        <w:t>persons</w:t>
      </w:r>
      <w:r w:rsidRPr="007259CD">
        <w:rPr>
          <w:rFonts w:eastAsia="Times New Roman" w:cs="Arial"/>
        </w:rPr>
        <w:t xml:space="preserve">:  </w:t>
      </w:r>
    </w:p>
    <w:p w:rsidR="00577971" w:rsidRPr="007259CD" w:rsidRDefault="00577971" w:rsidP="002A30E5">
      <w:pPr>
        <w:pStyle w:val="ListParagraph"/>
        <w:numPr>
          <w:ilvl w:val="0"/>
          <w:numId w:val="16"/>
        </w:numPr>
        <w:suppressAutoHyphens/>
        <w:jc w:val="both"/>
        <w:rPr>
          <w:rFonts w:ascii="Arial" w:eastAsia="Times New Roman" w:hAnsi="Arial" w:cs="Arial"/>
        </w:rPr>
      </w:pPr>
      <w:r w:rsidRPr="007259CD">
        <w:rPr>
          <w:rFonts w:ascii="Arial" w:eastAsia="Times New Roman" w:hAnsi="Arial" w:cs="Arial"/>
        </w:rPr>
        <w:t>Who are unsuitable for treatment or care under the conditions of this Service specification;</w:t>
      </w:r>
    </w:p>
    <w:p w:rsidR="00577971" w:rsidRPr="007259CD" w:rsidRDefault="00577971" w:rsidP="002A30E5">
      <w:pPr>
        <w:pStyle w:val="ListParagraph"/>
        <w:numPr>
          <w:ilvl w:val="0"/>
          <w:numId w:val="16"/>
        </w:numPr>
        <w:suppressAutoHyphens/>
        <w:jc w:val="both"/>
        <w:rPr>
          <w:rFonts w:ascii="Arial" w:eastAsia="Times New Roman" w:hAnsi="Arial" w:cs="Arial"/>
        </w:rPr>
      </w:pPr>
      <w:r w:rsidRPr="007259CD">
        <w:rPr>
          <w:rFonts w:ascii="Arial" w:eastAsia="Times New Roman" w:hAnsi="Arial" w:cs="Arial"/>
        </w:rPr>
        <w:t xml:space="preserve">Who have not validly consented to the treatment provided under the Services; and </w:t>
      </w:r>
    </w:p>
    <w:p w:rsidR="00577971" w:rsidRPr="007259CD" w:rsidRDefault="00577971" w:rsidP="002A30E5">
      <w:pPr>
        <w:pStyle w:val="ListParagraph"/>
        <w:numPr>
          <w:ilvl w:val="0"/>
          <w:numId w:val="16"/>
        </w:numPr>
        <w:suppressAutoHyphens/>
        <w:jc w:val="both"/>
        <w:rPr>
          <w:rFonts w:ascii="Arial" w:eastAsia="Times New Roman" w:hAnsi="Arial" w:cs="Arial"/>
        </w:rPr>
      </w:pPr>
      <w:r w:rsidRPr="007259CD">
        <w:rPr>
          <w:rFonts w:ascii="Arial" w:eastAsia="Times New Roman" w:hAnsi="Arial" w:cs="Arial"/>
        </w:rPr>
        <w:t xml:space="preserve">For any unreasonable behaviour unacceptable to the Provider, it’s Staff, the Consultant or the named professional clinically responsible for the management of the care of such </w:t>
      </w:r>
      <w:r w:rsidR="0077510F">
        <w:rPr>
          <w:rFonts w:ascii="Arial" w:eastAsia="Times New Roman" w:hAnsi="Arial" w:cs="Arial"/>
        </w:rPr>
        <w:t>persons</w:t>
      </w:r>
      <w:r w:rsidRPr="007259CD">
        <w:rPr>
          <w:rFonts w:ascii="Arial" w:eastAsia="Times New Roman" w:hAnsi="Arial" w:cs="Arial"/>
        </w:rPr>
        <w:t>.</w:t>
      </w:r>
    </w:p>
    <w:p w:rsidR="00577971" w:rsidRPr="007259CD" w:rsidRDefault="00577971" w:rsidP="00577971">
      <w:pPr>
        <w:ind w:left="-426"/>
        <w:rPr>
          <w:rFonts w:eastAsia="Times New Roman" w:cs="Arial"/>
          <w:bCs/>
          <w:lang w:eastAsia="en-GB"/>
        </w:rPr>
      </w:pPr>
    </w:p>
    <w:p w:rsidR="00241458" w:rsidRPr="007259CD" w:rsidRDefault="00241458" w:rsidP="00530EED">
      <w:pPr>
        <w:ind w:left="-360"/>
        <w:jc w:val="both"/>
        <w:rPr>
          <w:rFonts w:cs="Arial"/>
          <w:b/>
          <w:bCs/>
        </w:rPr>
      </w:pPr>
    </w:p>
    <w:p w:rsidR="00241458" w:rsidRPr="007259CD" w:rsidRDefault="00241458" w:rsidP="00F66DDD">
      <w:pPr>
        <w:pStyle w:val="ListParagraph"/>
        <w:numPr>
          <w:ilvl w:val="0"/>
          <w:numId w:val="37"/>
        </w:numPr>
        <w:rPr>
          <w:rFonts w:ascii="Arial" w:hAnsi="Arial" w:cs="Arial"/>
          <w:b/>
          <w:bCs/>
        </w:rPr>
      </w:pPr>
      <w:r w:rsidRPr="007259CD">
        <w:rPr>
          <w:rFonts w:ascii="Arial" w:hAnsi="Arial" w:cs="Arial"/>
          <w:b/>
          <w:bCs/>
        </w:rPr>
        <w:t>Key population groups of need – service priorities</w:t>
      </w:r>
    </w:p>
    <w:p w:rsidR="00241458" w:rsidRPr="007259CD" w:rsidRDefault="00241458" w:rsidP="00241458">
      <w:pPr>
        <w:ind w:left="-360"/>
        <w:jc w:val="both"/>
        <w:rPr>
          <w:rFonts w:cs="Arial"/>
          <w:b/>
          <w:bCs/>
        </w:rPr>
      </w:pPr>
      <w:r w:rsidRPr="007259CD">
        <w:rPr>
          <w:rFonts w:eastAsia="Arial" w:cs="Arial"/>
          <w:bCs/>
        </w:rPr>
        <w:t>Improving the sexual and reproductive health of the population is a key goal, including addressing inequalities in sexual health by providing information and advice, evidence based behaviour change interventions, access to the most effective forms of contraception to meet needs, and timely access to testing, treatment and follow-up for STIs and HIV, including partner notification.  Those groups who are at risk of poorer sexual health outcomes or access include men and women from some black and minority ethnic (</w:t>
      </w:r>
      <w:r w:rsidR="00BF567C">
        <w:rPr>
          <w:rFonts w:eastAsia="Arial" w:cs="Arial"/>
          <w:bCs/>
        </w:rPr>
        <w:t>BAME</w:t>
      </w:r>
      <w:r w:rsidRPr="007259CD">
        <w:rPr>
          <w:rFonts w:eastAsia="Arial" w:cs="Arial"/>
          <w:bCs/>
        </w:rPr>
        <w:t xml:space="preserve">) groups; gay, bisexual </w:t>
      </w:r>
      <w:r w:rsidR="0077510F">
        <w:rPr>
          <w:rFonts w:eastAsia="Arial" w:cs="Arial"/>
          <w:bCs/>
        </w:rPr>
        <w:t xml:space="preserve">men </w:t>
      </w:r>
      <w:r w:rsidRPr="007259CD">
        <w:rPr>
          <w:rFonts w:eastAsia="Arial" w:cs="Arial"/>
          <w:bCs/>
        </w:rPr>
        <w:t>and other men who have sex with men (MSM); young people; and people selling sex, among others.  Across all groups, deprivation is a major risk factor for poorer sexual health outcomes.  Other high risk populations may emerge, reflecting demographic and behaviour changes within the population.</w:t>
      </w:r>
    </w:p>
    <w:p w:rsidR="00241458" w:rsidRPr="007259CD" w:rsidRDefault="00241458" w:rsidP="00241458">
      <w:pPr>
        <w:ind w:left="-360"/>
        <w:jc w:val="both"/>
        <w:rPr>
          <w:rFonts w:cs="Arial"/>
          <w:b/>
          <w:bCs/>
        </w:rPr>
      </w:pPr>
    </w:p>
    <w:p w:rsidR="00241458" w:rsidRPr="007259CD" w:rsidRDefault="00241458" w:rsidP="00241458">
      <w:pPr>
        <w:ind w:left="-360"/>
        <w:jc w:val="both"/>
        <w:rPr>
          <w:rFonts w:cs="Arial"/>
          <w:b/>
          <w:bCs/>
        </w:rPr>
      </w:pPr>
      <w:r w:rsidRPr="007259CD">
        <w:rPr>
          <w:rFonts w:eastAsia="Times New Roman" w:cs="Arial"/>
          <w:bCs/>
          <w:lang w:eastAsia="en-GB"/>
        </w:rPr>
        <w:t xml:space="preserve">The needs of the following </w:t>
      </w:r>
      <w:r w:rsidR="00D83004">
        <w:rPr>
          <w:rFonts w:eastAsia="Times New Roman" w:cs="Arial"/>
          <w:bCs/>
          <w:lang w:eastAsia="en-GB"/>
        </w:rPr>
        <w:t>Service User</w:t>
      </w:r>
      <w:r w:rsidRPr="007259CD">
        <w:rPr>
          <w:rFonts w:eastAsia="Times New Roman" w:cs="Arial"/>
          <w:bCs/>
          <w:lang w:eastAsia="en-GB"/>
        </w:rPr>
        <w:t xml:space="preserve">s are deemed to be Service priorities considering they are often the most vulnerable in terms of access and/or at greatest risk of poor sexual health outcomes; across all groups, deprivation increases the risks of poorer sexual health </w:t>
      </w:r>
      <w:r w:rsidRPr="007259CD">
        <w:rPr>
          <w:rFonts w:eastAsia="Times New Roman" w:cs="Arial"/>
          <w:bCs/>
          <w:lang w:eastAsia="en-GB"/>
        </w:rPr>
        <w:tab/>
        <w:t xml:space="preserve">outcomes: </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eastAsia="Times New Roman" w:hAnsi="Arial" w:cs="Arial"/>
          <w:bCs/>
          <w:lang w:eastAsia="en-GB"/>
        </w:rPr>
        <w:t>Gay, bisexual</w:t>
      </w:r>
      <w:r w:rsidR="0077510F">
        <w:rPr>
          <w:rFonts w:ascii="Arial" w:eastAsia="Times New Roman" w:hAnsi="Arial" w:cs="Arial"/>
          <w:bCs/>
          <w:lang w:eastAsia="en-GB"/>
        </w:rPr>
        <w:t xml:space="preserve"> men</w:t>
      </w:r>
      <w:r w:rsidRPr="007259CD">
        <w:rPr>
          <w:rFonts w:ascii="Arial" w:eastAsia="Times New Roman" w:hAnsi="Arial" w:cs="Arial"/>
          <w:bCs/>
          <w:lang w:eastAsia="en-GB"/>
        </w:rPr>
        <w:t xml:space="preserve"> and other men who have sex with men </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eastAsia="Times New Roman" w:hAnsi="Arial" w:cs="Arial"/>
          <w:bCs/>
          <w:lang w:eastAsia="en-GB"/>
        </w:rPr>
        <w:t>Young people</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eastAsia="Times New Roman" w:hAnsi="Arial" w:cs="Arial"/>
          <w:bCs/>
          <w:lang w:eastAsia="en-GB"/>
        </w:rPr>
        <w:t xml:space="preserve">People living with HIV </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hAnsi="Arial" w:cs="Arial"/>
          <w:lang w:eastAsia="en-GB"/>
        </w:rPr>
        <w:t xml:space="preserve">People who are homeless </w:t>
      </w:r>
    </w:p>
    <w:p w:rsidR="0077510F" w:rsidRPr="00A40D01" w:rsidRDefault="00241458" w:rsidP="002A30E5">
      <w:pPr>
        <w:pStyle w:val="ListParagraph"/>
        <w:numPr>
          <w:ilvl w:val="0"/>
          <w:numId w:val="11"/>
        </w:numPr>
        <w:jc w:val="both"/>
        <w:rPr>
          <w:rFonts w:ascii="Arial" w:eastAsia="Arial" w:hAnsi="Arial" w:cs="Arial"/>
          <w:bCs/>
        </w:rPr>
      </w:pPr>
      <w:r w:rsidRPr="007259CD">
        <w:rPr>
          <w:rFonts w:ascii="Arial" w:hAnsi="Arial" w:cs="Arial"/>
          <w:lang w:eastAsia="en-GB"/>
        </w:rPr>
        <w:t>People who inject drugs</w:t>
      </w:r>
    </w:p>
    <w:p w:rsidR="00241458" w:rsidRPr="007259CD" w:rsidRDefault="0077510F" w:rsidP="002A30E5">
      <w:pPr>
        <w:pStyle w:val="ListParagraph"/>
        <w:numPr>
          <w:ilvl w:val="0"/>
          <w:numId w:val="11"/>
        </w:numPr>
        <w:jc w:val="both"/>
        <w:rPr>
          <w:rFonts w:ascii="Arial" w:eastAsia="Arial" w:hAnsi="Arial" w:cs="Arial"/>
          <w:bCs/>
        </w:rPr>
      </w:pPr>
      <w:r>
        <w:rPr>
          <w:rFonts w:ascii="Arial" w:hAnsi="Arial" w:cs="Arial"/>
          <w:lang w:eastAsia="en-GB"/>
        </w:rPr>
        <w:t xml:space="preserve">People who misuse </w:t>
      </w:r>
      <w:r w:rsidR="00241458" w:rsidRPr="007259CD">
        <w:rPr>
          <w:rFonts w:ascii="Arial" w:hAnsi="Arial" w:cs="Arial"/>
          <w:lang w:eastAsia="en-GB"/>
        </w:rPr>
        <w:t>alcohol and/or substance</w:t>
      </w:r>
      <w:r>
        <w:rPr>
          <w:rFonts w:ascii="Arial" w:hAnsi="Arial" w:cs="Arial"/>
          <w:lang w:eastAsia="en-GB"/>
        </w:rPr>
        <w:t>s</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eastAsia="Times New Roman" w:hAnsi="Arial" w:cs="Arial"/>
          <w:bCs/>
          <w:lang w:eastAsia="en-GB"/>
        </w:rPr>
        <w:t xml:space="preserve">People from </w:t>
      </w:r>
      <w:r w:rsidR="00BF567C">
        <w:rPr>
          <w:rFonts w:ascii="Arial" w:eastAsia="Times New Roman" w:hAnsi="Arial" w:cs="Arial"/>
          <w:bCs/>
          <w:lang w:eastAsia="en-GB"/>
        </w:rPr>
        <w:t>BAME</w:t>
      </w:r>
      <w:r w:rsidRPr="007259CD">
        <w:rPr>
          <w:rFonts w:ascii="Arial" w:eastAsia="Times New Roman" w:hAnsi="Arial" w:cs="Arial"/>
          <w:bCs/>
          <w:lang w:eastAsia="en-GB"/>
        </w:rPr>
        <w:t xml:space="preserve"> communities</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eastAsia="Times New Roman" w:hAnsi="Arial" w:cs="Arial"/>
          <w:bCs/>
          <w:lang w:eastAsia="en-GB"/>
        </w:rPr>
        <w:t xml:space="preserve">People from communities seeking asylum </w:t>
      </w:r>
    </w:p>
    <w:p w:rsidR="00241458" w:rsidRPr="007259CD" w:rsidRDefault="0077510F" w:rsidP="002A30E5">
      <w:pPr>
        <w:pStyle w:val="ListParagraph"/>
        <w:numPr>
          <w:ilvl w:val="0"/>
          <w:numId w:val="11"/>
        </w:numPr>
        <w:jc w:val="both"/>
        <w:rPr>
          <w:rFonts w:ascii="Arial" w:eastAsia="Arial" w:hAnsi="Arial" w:cs="Arial"/>
          <w:bCs/>
        </w:rPr>
      </w:pPr>
      <w:r>
        <w:rPr>
          <w:rFonts w:ascii="Arial" w:eastAsia="Times New Roman" w:hAnsi="Arial" w:cs="Arial"/>
          <w:bCs/>
          <w:lang w:eastAsia="en-GB"/>
        </w:rPr>
        <w:t>People who are transsexual</w:t>
      </w:r>
    </w:p>
    <w:p w:rsidR="00241458" w:rsidRPr="007259CD" w:rsidRDefault="00241458" w:rsidP="002A30E5">
      <w:pPr>
        <w:pStyle w:val="ListParagraph"/>
        <w:numPr>
          <w:ilvl w:val="0"/>
          <w:numId w:val="11"/>
        </w:numPr>
        <w:jc w:val="both"/>
        <w:rPr>
          <w:rFonts w:ascii="Arial" w:eastAsia="Arial" w:hAnsi="Arial" w:cs="Arial"/>
          <w:bCs/>
        </w:rPr>
      </w:pPr>
      <w:r w:rsidRPr="007259CD">
        <w:rPr>
          <w:rFonts w:ascii="Arial" w:eastAsia="Times New Roman" w:hAnsi="Arial" w:cs="Arial"/>
          <w:bCs/>
          <w:lang w:eastAsia="en-GB"/>
        </w:rPr>
        <w:t xml:space="preserve">People with </w:t>
      </w:r>
      <w:r w:rsidR="0077510F">
        <w:rPr>
          <w:rFonts w:ascii="Arial" w:eastAsia="Times New Roman" w:hAnsi="Arial" w:cs="Arial"/>
          <w:bCs/>
          <w:lang w:eastAsia="en-GB"/>
        </w:rPr>
        <w:t>l</w:t>
      </w:r>
      <w:r w:rsidR="0077510F" w:rsidRPr="007259CD">
        <w:rPr>
          <w:rFonts w:ascii="Arial" w:eastAsia="Times New Roman" w:hAnsi="Arial" w:cs="Arial"/>
          <w:bCs/>
          <w:lang w:eastAsia="en-GB"/>
        </w:rPr>
        <w:t xml:space="preserve">earning </w:t>
      </w:r>
      <w:r w:rsidR="0077510F">
        <w:rPr>
          <w:rFonts w:ascii="Arial" w:eastAsia="Times New Roman" w:hAnsi="Arial" w:cs="Arial"/>
          <w:bCs/>
          <w:lang w:eastAsia="en-GB"/>
        </w:rPr>
        <w:t>d</w:t>
      </w:r>
      <w:r w:rsidR="0077510F" w:rsidRPr="007259CD">
        <w:rPr>
          <w:rFonts w:ascii="Arial" w:eastAsia="Times New Roman" w:hAnsi="Arial" w:cs="Arial"/>
          <w:bCs/>
          <w:lang w:eastAsia="en-GB"/>
        </w:rPr>
        <w:t>isabilities</w:t>
      </w:r>
    </w:p>
    <w:p w:rsidR="00241458" w:rsidRPr="009020CD" w:rsidRDefault="00A40D01" w:rsidP="002A30E5">
      <w:pPr>
        <w:pStyle w:val="ListParagraph"/>
        <w:numPr>
          <w:ilvl w:val="0"/>
          <w:numId w:val="11"/>
        </w:numPr>
        <w:jc w:val="both"/>
        <w:rPr>
          <w:rFonts w:ascii="Arial" w:eastAsia="Arial" w:hAnsi="Arial" w:cs="Arial"/>
          <w:bCs/>
        </w:rPr>
      </w:pPr>
      <w:r>
        <w:rPr>
          <w:rFonts w:ascii="Arial" w:eastAsia="Times New Roman" w:hAnsi="Arial" w:cs="Arial"/>
          <w:bCs/>
          <w:lang w:eastAsia="en-GB"/>
        </w:rPr>
        <w:lastRenderedPageBreak/>
        <w:t>S</w:t>
      </w:r>
      <w:r w:rsidR="0077510F" w:rsidRPr="007259CD">
        <w:rPr>
          <w:rFonts w:ascii="Arial" w:eastAsia="Times New Roman" w:hAnsi="Arial" w:cs="Arial"/>
          <w:bCs/>
          <w:lang w:eastAsia="en-GB"/>
        </w:rPr>
        <w:t xml:space="preserve">ex </w:t>
      </w:r>
      <w:r w:rsidR="0077510F">
        <w:rPr>
          <w:rFonts w:ascii="Arial" w:eastAsia="Times New Roman" w:hAnsi="Arial" w:cs="Arial"/>
          <w:bCs/>
          <w:lang w:eastAsia="en-GB"/>
        </w:rPr>
        <w:t>w</w:t>
      </w:r>
      <w:r w:rsidR="0077510F" w:rsidRPr="007259CD">
        <w:rPr>
          <w:rFonts w:ascii="Arial" w:eastAsia="Times New Roman" w:hAnsi="Arial" w:cs="Arial"/>
          <w:bCs/>
          <w:lang w:eastAsia="en-GB"/>
        </w:rPr>
        <w:t>orkers</w:t>
      </w:r>
      <w:r>
        <w:rPr>
          <w:rFonts w:ascii="Arial" w:eastAsia="Times New Roman" w:hAnsi="Arial" w:cs="Arial"/>
          <w:bCs/>
          <w:lang w:eastAsia="en-GB"/>
        </w:rPr>
        <w:t xml:space="preserve"> of any gender</w:t>
      </w:r>
    </w:p>
    <w:p w:rsidR="009020CD" w:rsidRPr="0056686F" w:rsidRDefault="009020CD" w:rsidP="0056686F">
      <w:pPr>
        <w:pStyle w:val="ListParagraph"/>
        <w:ind w:left="1080"/>
        <w:jc w:val="both"/>
        <w:rPr>
          <w:b/>
        </w:rPr>
      </w:pPr>
    </w:p>
    <w:p w:rsidR="00283252" w:rsidRPr="007259CD" w:rsidRDefault="00283252" w:rsidP="00A40D01">
      <w:pPr>
        <w:pStyle w:val="ListParagraph"/>
        <w:numPr>
          <w:ilvl w:val="0"/>
          <w:numId w:val="37"/>
        </w:numPr>
        <w:jc w:val="both"/>
        <w:rPr>
          <w:rFonts w:ascii="Arial" w:eastAsia="Arial" w:hAnsi="Arial" w:cs="Arial"/>
          <w:b/>
          <w:bCs/>
        </w:rPr>
      </w:pPr>
      <w:r w:rsidRPr="007259CD">
        <w:rPr>
          <w:rFonts w:ascii="Arial" w:eastAsia="Arial" w:hAnsi="Arial" w:cs="Arial"/>
          <w:b/>
          <w:bCs/>
        </w:rPr>
        <w:t>Research</w:t>
      </w:r>
    </w:p>
    <w:p w:rsidR="00283252" w:rsidRPr="007259CD" w:rsidRDefault="00283252" w:rsidP="00283252">
      <w:pPr>
        <w:pBdr>
          <w:top w:val="nil"/>
          <w:left w:val="nil"/>
          <w:bottom w:val="nil"/>
          <w:right w:val="nil"/>
          <w:between w:val="nil"/>
          <w:bar w:val="nil"/>
        </w:pBdr>
        <w:rPr>
          <w:rFonts w:cs="Arial"/>
        </w:rPr>
      </w:pPr>
      <w:r w:rsidRPr="007259CD">
        <w:rPr>
          <w:rFonts w:cs="Arial"/>
        </w:rPr>
        <w:t xml:space="preserve">The Provider is expected and encouraged to actively participate in local, regional and national clinical networks, relevant trials, training, research, pilots and audit programmes where applicable.  Programmes or initiatives that may have an impact on commissioned service delivery, activity or charges, need to be discussed and agreed with </w:t>
      </w:r>
      <w:r w:rsidR="007479A2">
        <w:rPr>
          <w:rFonts w:cs="Arial"/>
        </w:rPr>
        <w:t>Commissioner</w:t>
      </w:r>
      <w:r w:rsidRPr="007259CD">
        <w:rPr>
          <w:rFonts w:cs="Arial"/>
        </w:rPr>
        <w:t>s in advance.</w:t>
      </w:r>
    </w:p>
    <w:p w:rsidR="00283252" w:rsidRPr="007259CD" w:rsidRDefault="00283252" w:rsidP="00283252">
      <w:pPr>
        <w:pBdr>
          <w:top w:val="nil"/>
          <w:left w:val="nil"/>
          <w:bottom w:val="nil"/>
          <w:right w:val="nil"/>
          <w:between w:val="nil"/>
          <w:bar w:val="nil"/>
        </w:pBdr>
        <w:ind w:left="142"/>
        <w:rPr>
          <w:rFonts w:cs="Arial"/>
        </w:rPr>
      </w:pPr>
    </w:p>
    <w:p w:rsidR="00283252" w:rsidRPr="007259CD" w:rsidRDefault="00283252" w:rsidP="00283252">
      <w:pPr>
        <w:pBdr>
          <w:top w:val="nil"/>
          <w:left w:val="nil"/>
          <w:bottom w:val="nil"/>
          <w:right w:val="nil"/>
          <w:between w:val="nil"/>
          <w:bar w:val="nil"/>
        </w:pBdr>
        <w:rPr>
          <w:rFonts w:cs="Arial"/>
        </w:rPr>
      </w:pPr>
      <w:r w:rsidRPr="007259CD">
        <w:rPr>
          <w:rFonts w:cs="Arial"/>
        </w:rPr>
        <w:t>The Provider must have systems in place to ensure that the principles and requirements of the research governance framework are consistently applied when either leading or participating in research.</w:t>
      </w:r>
    </w:p>
    <w:p w:rsidR="00283252" w:rsidRPr="007259CD" w:rsidRDefault="00283252" w:rsidP="00283252">
      <w:pPr>
        <w:pBdr>
          <w:top w:val="nil"/>
          <w:left w:val="nil"/>
          <w:bottom w:val="nil"/>
          <w:right w:val="nil"/>
          <w:between w:val="nil"/>
          <w:bar w:val="nil"/>
        </w:pBdr>
        <w:rPr>
          <w:rFonts w:cs="Arial"/>
        </w:rPr>
      </w:pPr>
    </w:p>
    <w:p w:rsidR="00283252" w:rsidRPr="007259CD" w:rsidRDefault="00283252" w:rsidP="00283252">
      <w:pPr>
        <w:pBdr>
          <w:top w:val="nil"/>
          <w:left w:val="nil"/>
          <w:bottom w:val="nil"/>
          <w:right w:val="nil"/>
          <w:between w:val="nil"/>
          <w:bar w:val="nil"/>
        </w:pBdr>
        <w:rPr>
          <w:rFonts w:cs="Arial"/>
        </w:rPr>
      </w:pPr>
      <w:r w:rsidRPr="007259CD">
        <w:rPr>
          <w:rFonts w:cs="Arial"/>
        </w:rPr>
        <w:t xml:space="preserve">The Provider is expected to continue with existing research activities and/or seek new sources of research funding to ensure </w:t>
      </w:r>
      <w:r w:rsidR="00D83004">
        <w:rPr>
          <w:rFonts w:cs="Arial"/>
        </w:rPr>
        <w:t>Service User</w:t>
      </w:r>
      <w:r w:rsidRPr="007259CD">
        <w:rPr>
          <w:rFonts w:cs="Arial"/>
        </w:rPr>
        <w:t xml:space="preserve">s have continued access to participation in research studies, and future users are able to benefit from improved services and health and wellbeing from the outcomes of research. </w:t>
      </w:r>
    </w:p>
    <w:p w:rsidR="00283252" w:rsidRPr="007259CD" w:rsidRDefault="00283252" w:rsidP="00283252">
      <w:pPr>
        <w:jc w:val="both"/>
        <w:rPr>
          <w:rFonts w:eastAsia="Arial" w:cs="Arial"/>
          <w:b/>
          <w:bCs/>
        </w:rPr>
      </w:pPr>
    </w:p>
    <w:p w:rsidR="00577971" w:rsidRPr="007259CD" w:rsidRDefault="00577971" w:rsidP="00577971">
      <w:pPr>
        <w:jc w:val="both"/>
        <w:rPr>
          <w:rFonts w:eastAsia="Arial" w:cs="Arial"/>
          <w:b/>
          <w:bCs/>
        </w:rPr>
      </w:pPr>
    </w:p>
    <w:p w:rsidR="009D748D" w:rsidRPr="007259CD" w:rsidRDefault="009D748D" w:rsidP="00F66DDD">
      <w:pPr>
        <w:pStyle w:val="ListParagraph"/>
        <w:numPr>
          <w:ilvl w:val="0"/>
          <w:numId w:val="37"/>
        </w:numPr>
        <w:jc w:val="both"/>
        <w:rPr>
          <w:rFonts w:ascii="Arial" w:eastAsia="Arial" w:hAnsi="Arial" w:cs="Arial"/>
          <w:b/>
          <w:bCs/>
        </w:rPr>
      </w:pPr>
      <w:r w:rsidRPr="007259CD">
        <w:rPr>
          <w:rFonts w:ascii="Arial" w:eastAsia="Arial" w:hAnsi="Arial" w:cs="Arial"/>
          <w:b/>
          <w:bCs/>
        </w:rPr>
        <w:t>Care Standards</w:t>
      </w:r>
    </w:p>
    <w:p w:rsidR="00E10230" w:rsidRPr="0056686F" w:rsidRDefault="002A30E5" w:rsidP="00E10230">
      <w:pPr>
        <w:jc w:val="both"/>
      </w:pPr>
      <w:r w:rsidRPr="0056686F">
        <w:t>The service will be delivered in line with</w:t>
      </w:r>
      <w:r w:rsidR="007D7952">
        <w:t xml:space="preserve"> the latest</w:t>
      </w:r>
      <w:r w:rsidRPr="0056686F">
        <w:t xml:space="preserve"> national guidelines and standards as published by NICE, PHE</w:t>
      </w:r>
      <w:r w:rsidR="00C04504" w:rsidRPr="0056686F">
        <w:t xml:space="preserve">, </w:t>
      </w:r>
      <w:r w:rsidRPr="0056686F">
        <w:t>UK National Screening Committee</w:t>
      </w:r>
      <w:r w:rsidR="007D7952">
        <w:t>,</w:t>
      </w:r>
      <w:r w:rsidRPr="0056686F">
        <w:t xml:space="preserve"> FSRH, BASHH and BHIVA</w:t>
      </w:r>
      <w:r w:rsidR="007D7952">
        <w:t xml:space="preserve"> (This is not exhaustive). </w:t>
      </w:r>
    </w:p>
    <w:p w:rsidR="007259CD" w:rsidRPr="007259CD" w:rsidRDefault="007259CD" w:rsidP="00E10230">
      <w:pPr>
        <w:jc w:val="both"/>
        <w:rPr>
          <w:rFonts w:eastAsia="Arial" w:cs="Arial"/>
          <w:b/>
          <w:bCs/>
        </w:rPr>
      </w:pPr>
    </w:p>
    <w:p w:rsidR="00E10230" w:rsidRPr="007259CD" w:rsidRDefault="00E10230" w:rsidP="00F66DDD">
      <w:pPr>
        <w:pStyle w:val="ListParagraph"/>
        <w:numPr>
          <w:ilvl w:val="0"/>
          <w:numId w:val="37"/>
        </w:numPr>
        <w:suppressAutoHyphens/>
        <w:jc w:val="both"/>
        <w:rPr>
          <w:rFonts w:ascii="Arial" w:eastAsia="Times New Roman" w:hAnsi="Arial" w:cs="Arial"/>
          <w:b/>
          <w:bCs/>
          <w:color w:val="000000" w:themeColor="text1"/>
        </w:rPr>
      </w:pPr>
      <w:r w:rsidRPr="007259CD">
        <w:rPr>
          <w:rFonts w:ascii="Arial" w:eastAsia="Times New Roman" w:hAnsi="Arial" w:cs="Arial"/>
          <w:b/>
          <w:bCs/>
          <w:color w:val="000000" w:themeColor="text1"/>
        </w:rPr>
        <w:t>Multi-disciplinary working and links with other services</w:t>
      </w:r>
    </w:p>
    <w:p w:rsidR="00E10230" w:rsidRPr="007259CD" w:rsidRDefault="00E10230" w:rsidP="007259CD">
      <w:pPr>
        <w:rPr>
          <w:rFonts w:cs="Arial"/>
          <w:lang w:val="en-US"/>
        </w:rPr>
      </w:pPr>
      <w:r w:rsidRPr="007259CD">
        <w:rPr>
          <w:rFonts w:cs="Arial"/>
          <w:lang w:val="en-US"/>
        </w:rPr>
        <w:t xml:space="preserve">The Service exists as part of a wider sexual health service and is expected to work with other </w:t>
      </w:r>
      <w:r w:rsidRPr="007259CD">
        <w:rPr>
          <w:rFonts w:cs="Arial"/>
          <w:lang w:val="en-US"/>
        </w:rPr>
        <w:tab/>
        <w:t xml:space="preserve">providers to deliver optimal sexual health outcomes. </w:t>
      </w:r>
    </w:p>
    <w:p w:rsidR="00E10230" w:rsidRPr="007259CD" w:rsidRDefault="00E10230" w:rsidP="00E10230">
      <w:pPr>
        <w:pStyle w:val="ListParagraph"/>
        <w:ind w:left="360"/>
        <w:rPr>
          <w:rFonts w:ascii="Arial" w:hAnsi="Arial" w:cs="Arial"/>
          <w:lang w:val="en-US"/>
        </w:rPr>
      </w:pPr>
    </w:p>
    <w:p w:rsidR="00E10230" w:rsidRPr="007259CD" w:rsidRDefault="00E10230" w:rsidP="007259CD">
      <w:pPr>
        <w:rPr>
          <w:rFonts w:cs="Arial"/>
          <w:lang w:val="en-US"/>
        </w:rPr>
      </w:pPr>
      <w:r w:rsidRPr="007259CD">
        <w:rPr>
          <w:rFonts w:eastAsia="Times New Roman" w:cs="Arial"/>
        </w:rPr>
        <w:t>The Service will maintain efficient working relationships with allied services, agencies and stakeholders to enhance the quality of care delivered and ensure the holistic nature of the Service.  Specifically, linkages will be maintained with</w:t>
      </w:r>
      <w:r w:rsidR="0077510F" w:rsidRPr="007259CD">
        <w:rPr>
          <w:rFonts w:eastAsia="Times New Roman" w:cs="Arial"/>
        </w:rPr>
        <w:t xml:space="preserve"> </w:t>
      </w:r>
      <w:r w:rsidRPr="007259CD">
        <w:rPr>
          <w:rFonts w:eastAsia="Times New Roman" w:cs="Arial"/>
        </w:rPr>
        <w:t xml:space="preserve">GPs, wider Local Authority services, Health Promotion, other sexual health and secondary health service providers and other health and social care services for use </w:t>
      </w:r>
      <w:r w:rsidR="00F66DDD">
        <w:rPr>
          <w:rFonts w:eastAsia="Times New Roman" w:cs="Arial"/>
        </w:rPr>
        <w:t>as</w:t>
      </w:r>
      <w:r w:rsidR="00F66DDD" w:rsidRPr="007259CD">
        <w:rPr>
          <w:rFonts w:eastAsia="Times New Roman" w:cs="Arial"/>
        </w:rPr>
        <w:t xml:space="preserve"> </w:t>
      </w:r>
      <w:r w:rsidRPr="007259CD">
        <w:rPr>
          <w:rFonts w:eastAsia="Times New Roman" w:cs="Arial"/>
        </w:rPr>
        <w:t>relevant.</w:t>
      </w:r>
    </w:p>
    <w:p w:rsidR="00E10230" w:rsidRPr="007259CD" w:rsidRDefault="00E10230" w:rsidP="00E10230">
      <w:pPr>
        <w:pStyle w:val="ListParagraph"/>
        <w:rPr>
          <w:rFonts w:ascii="Arial" w:hAnsi="Arial" w:cs="Arial"/>
          <w:lang w:val="en-US"/>
        </w:rPr>
      </w:pPr>
    </w:p>
    <w:p w:rsidR="00E10230" w:rsidRPr="007259CD" w:rsidRDefault="00E10230" w:rsidP="007259CD">
      <w:pPr>
        <w:rPr>
          <w:rFonts w:cs="Arial"/>
          <w:lang w:val="en-US"/>
        </w:rPr>
      </w:pPr>
      <w:r w:rsidRPr="007259CD">
        <w:rPr>
          <w:rFonts w:eastAsia="Times New Roman" w:cs="Arial"/>
        </w:rPr>
        <w:t xml:space="preserve">The Service cannot work in isolation and is required to work with partners to address the needs of </w:t>
      </w:r>
      <w:r w:rsidR="00D83004">
        <w:rPr>
          <w:rFonts w:eastAsia="Times New Roman" w:cs="Arial"/>
        </w:rPr>
        <w:t>Service User</w:t>
      </w:r>
      <w:r w:rsidRPr="007259CD">
        <w:rPr>
          <w:rFonts w:eastAsia="Times New Roman" w:cs="Arial"/>
        </w:rPr>
        <w:t xml:space="preserve">s and increase the opportunity for </w:t>
      </w:r>
      <w:r w:rsidR="00D83004">
        <w:rPr>
          <w:rFonts w:eastAsia="Times New Roman" w:cs="Arial"/>
        </w:rPr>
        <w:t>Service User</w:t>
      </w:r>
      <w:r w:rsidRPr="007259CD">
        <w:rPr>
          <w:rFonts w:eastAsia="Times New Roman" w:cs="Arial"/>
        </w:rPr>
        <w:t>s to achieve optimum sexual health outcomes. Partners may include:</w:t>
      </w:r>
    </w:p>
    <w:p w:rsidR="00E10230" w:rsidRPr="007259CD" w:rsidRDefault="00E10230" w:rsidP="00E10230">
      <w:pPr>
        <w:pStyle w:val="ListParagraph"/>
        <w:rPr>
          <w:rFonts w:ascii="Arial" w:eastAsia="Times New Roman" w:hAnsi="Arial" w:cs="Arial"/>
        </w:rPr>
      </w:pP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Abortion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Antenatal and postnatal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Pre-conceptual care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Cervical Screening Programme</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Young </w:t>
      </w:r>
      <w:r w:rsidR="0077510F">
        <w:rPr>
          <w:rFonts w:ascii="Arial" w:eastAsia="Times New Roman" w:hAnsi="Arial" w:cs="Arial"/>
        </w:rPr>
        <w:t>p</w:t>
      </w:r>
      <w:r w:rsidR="0077510F" w:rsidRPr="007259CD">
        <w:rPr>
          <w:rFonts w:ascii="Arial" w:eastAsia="Times New Roman" w:hAnsi="Arial" w:cs="Arial"/>
        </w:rPr>
        <w:t xml:space="preserve">eople’s </w:t>
      </w:r>
      <w:r w:rsidRPr="007259CD">
        <w:rPr>
          <w:rFonts w:ascii="Arial" w:eastAsia="Times New Roman" w:hAnsi="Arial" w:cs="Arial"/>
        </w:rPr>
        <w:t>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Child and adolescent mental health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Community pharmacy</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Drug and alcohol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Public health lifestyle </w:t>
      </w:r>
      <w:r w:rsidR="0077510F" w:rsidRPr="007259CD">
        <w:rPr>
          <w:rFonts w:ascii="Arial" w:eastAsia="Times New Roman" w:hAnsi="Arial" w:cs="Arial"/>
        </w:rPr>
        <w:t>services</w:t>
      </w:r>
      <w:r w:rsidR="0077510F">
        <w:rPr>
          <w:rFonts w:ascii="Arial" w:eastAsia="Times New Roman" w:hAnsi="Arial" w:cs="Arial"/>
        </w:rPr>
        <w:t xml:space="preserve">, e.g. </w:t>
      </w:r>
      <w:r w:rsidRPr="007259CD">
        <w:rPr>
          <w:rFonts w:ascii="Arial" w:eastAsia="Times New Roman" w:hAnsi="Arial" w:cs="Arial"/>
        </w:rPr>
        <w:t xml:space="preserve">weight management or stop smoking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Public Health England</w:t>
      </w:r>
      <w:r w:rsidR="00306C20">
        <w:rPr>
          <w:rFonts w:ascii="Arial" w:eastAsia="Times New Roman" w:hAnsi="Arial" w:cs="Arial"/>
        </w:rPr>
        <w:t xml:space="preserve"> (PHE)</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lastRenderedPageBreak/>
        <w:t>General practice</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Gynaecology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HIV treatment and care services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Male and </w:t>
      </w:r>
      <w:r w:rsidR="00CF1C63">
        <w:rPr>
          <w:rFonts w:ascii="Arial" w:eastAsia="Times New Roman" w:hAnsi="Arial" w:cs="Arial"/>
        </w:rPr>
        <w:t>f</w:t>
      </w:r>
      <w:r w:rsidR="00CF1C63" w:rsidRPr="007259CD">
        <w:rPr>
          <w:rFonts w:ascii="Arial" w:eastAsia="Times New Roman" w:hAnsi="Arial" w:cs="Arial"/>
        </w:rPr>
        <w:t xml:space="preserve">emale </w:t>
      </w:r>
      <w:r w:rsidRPr="007259CD">
        <w:rPr>
          <w:rFonts w:ascii="Arial" w:eastAsia="Times New Roman" w:hAnsi="Arial" w:cs="Arial"/>
        </w:rPr>
        <w:t xml:space="preserve">sterilisation services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Mental health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Other healthcare service areas including voluntary </w:t>
      </w:r>
      <w:r w:rsidR="00F66DDD">
        <w:rPr>
          <w:rFonts w:ascii="Arial" w:eastAsia="Times New Roman" w:hAnsi="Arial" w:cs="Arial"/>
        </w:rPr>
        <w:t>and third sector</w:t>
      </w:r>
      <w:r w:rsidR="00306C20">
        <w:rPr>
          <w:rFonts w:ascii="Arial" w:eastAsia="Times New Roman" w:hAnsi="Arial" w:cs="Arial"/>
        </w:rPr>
        <w:t xml:space="preserve">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Pathology and laboratory services including recognised reference laboratories for additional analyses (e.g. quantification of HBV DNA and core avidity testing)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 xml:space="preserve">Prisons and youth offenders institutions </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School and education services</w:t>
      </w:r>
    </w:p>
    <w:p w:rsidR="00E10230" w:rsidRPr="007259CD" w:rsidRDefault="00E10230" w:rsidP="002A30E5">
      <w:pPr>
        <w:pStyle w:val="ListParagraph"/>
        <w:numPr>
          <w:ilvl w:val="0"/>
          <w:numId w:val="18"/>
        </w:numPr>
        <w:suppressAutoHyphens/>
        <w:jc w:val="both"/>
        <w:rPr>
          <w:rFonts w:ascii="Arial" w:eastAsia="Times New Roman" w:hAnsi="Arial" w:cs="Arial"/>
        </w:rPr>
      </w:pPr>
      <w:r w:rsidRPr="007259CD">
        <w:rPr>
          <w:rFonts w:ascii="Arial" w:eastAsia="Times New Roman" w:hAnsi="Arial" w:cs="Arial"/>
        </w:rPr>
        <w:t>Sexual Assault Referral Centre</w:t>
      </w:r>
      <w:r w:rsidR="00306C20">
        <w:rPr>
          <w:rFonts w:ascii="Arial" w:eastAsia="Times New Roman" w:hAnsi="Arial" w:cs="Arial"/>
        </w:rPr>
        <w:t>s</w:t>
      </w:r>
    </w:p>
    <w:p w:rsidR="00E10230" w:rsidRPr="007259CD" w:rsidRDefault="00F66DDD" w:rsidP="002A30E5">
      <w:pPr>
        <w:pStyle w:val="ListParagraph"/>
        <w:numPr>
          <w:ilvl w:val="0"/>
          <w:numId w:val="18"/>
        </w:numPr>
        <w:suppressAutoHyphens/>
        <w:jc w:val="both"/>
        <w:rPr>
          <w:rFonts w:ascii="Arial" w:eastAsia="Times New Roman" w:hAnsi="Arial" w:cs="Arial"/>
        </w:rPr>
      </w:pPr>
      <w:r>
        <w:rPr>
          <w:rFonts w:ascii="Arial" w:eastAsia="Times New Roman" w:hAnsi="Arial" w:cs="Arial"/>
        </w:rPr>
        <w:t xml:space="preserve">Adult’s and Children’s </w:t>
      </w:r>
      <w:r w:rsidR="00E10230" w:rsidRPr="007259CD">
        <w:rPr>
          <w:rFonts w:ascii="Arial" w:eastAsia="Times New Roman" w:hAnsi="Arial" w:cs="Arial"/>
        </w:rPr>
        <w:t xml:space="preserve">Social </w:t>
      </w:r>
      <w:r w:rsidR="0077510F">
        <w:rPr>
          <w:rFonts w:ascii="Arial" w:eastAsia="Times New Roman" w:hAnsi="Arial" w:cs="Arial"/>
        </w:rPr>
        <w:t>c</w:t>
      </w:r>
      <w:r w:rsidR="0077510F" w:rsidRPr="007259CD">
        <w:rPr>
          <w:rFonts w:ascii="Arial" w:eastAsia="Times New Roman" w:hAnsi="Arial" w:cs="Arial"/>
        </w:rPr>
        <w:t>are</w:t>
      </w:r>
    </w:p>
    <w:p w:rsidR="00E10230" w:rsidRPr="007259CD" w:rsidRDefault="00C31090" w:rsidP="002A30E5">
      <w:pPr>
        <w:pStyle w:val="ListParagraph"/>
        <w:numPr>
          <w:ilvl w:val="0"/>
          <w:numId w:val="18"/>
        </w:numPr>
        <w:suppressAutoHyphens/>
        <w:jc w:val="both"/>
        <w:rPr>
          <w:rFonts w:ascii="Arial" w:eastAsia="Times New Roman" w:hAnsi="Arial" w:cs="Arial"/>
        </w:rPr>
      </w:pPr>
      <w:r>
        <w:rPr>
          <w:rFonts w:ascii="Arial" w:eastAsia="Times New Roman" w:hAnsi="Arial" w:cs="Arial"/>
        </w:rPr>
        <w:t xml:space="preserve">Local Authority </w:t>
      </w:r>
      <w:r w:rsidR="00306C20">
        <w:rPr>
          <w:rFonts w:ascii="Arial" w:eastAsia="Times New Roman" w:hAnsi="Arial" w:cs="Arial"/>
        </w:rPr>
        <w:t>y</w:t>
      </w:r>
      <w:r w:rsidR="00306C20" w:rsidRPr="007259CD">
        <w:rPr>
          <w:rFonts w:ascii="Arial" w:eastAsia="Times New Roman" w:hAnsi="Arial" w:cs="Arial"/>
        </w:rPr>
        <w:t xml:space="preserve">outh </w:t>
      </w:r>
      <w:r w:rsidR="00E10230" w:rsidRPr="007259CD">
        <w:rPr>
          <w:rFonts w:ascii="Arial" w:eastAsia="Times New Roman" w:hAnsi="Arial" w:cs="Arial"/>
        </w:rPr>
        <w:t>services</w:t>
      </w:r>
    </w:p>
    <w:p w:rsidR="00FF34EA" w:rsidRDefault="00FF34EA">
      <w:pPr>
        <w:rPr>
          <w:rFonts w:eastAsia="Times New Roman" w:cs="Arial"/>
        </w:rPr>
      </w:pPr>
      <w:r>
        <w:rPr>
          <w:rFonts w:eastAsia="Times New Roman" w:cs="Arial"/>
        </w:rPr>
        <w:br w:type="page"/>
      </w:r>
    </w:p>
    <w:p w:rsidR="00E10230" w:rsidRPr="007259CD" w:rsidRDefault="00E10230" w:rsidP="00E10230">
      <w:pPr>
        <w:suppressAutoHyphens/>
        <w:spacing w:before="20" w:after="20"/>
        <w:contextualSpacing/>
        <w:jc w:val="both"/>
        <w:rPr>
          <w:rFonts w:eastAsia="Times New Roman" w:cs="Arial"/>
        </w:rPr>
      </w:pPr>
    </w:p>
    <w:p w:rsidR="00E10230" w:rsidRPr="007259CD" w:rsidRDefault="00E10230" w:rsidP="00F66DDD">
      <w:pPr>
        <w:pStyle w:val="ListParagraph"/>
        <w:numPr>
          <w:ilvl w:val="0"/>
          <w:numId w:val="37"/>
        </w:numPr>
        <w:suppressAutoHyphens/>
        <w:spacing w:before="20" w:after="20"/>
        <w:jc w:val="both"/>
        <w:rPr>
          <w:rFonts w:ascii="Arial" w:eastAsia="Times New Roman" w:hAnsi="Arial" w:cs="Arial"/>
          <w:b/>
        </w:rPr>
      </w:pPr>
      <w:r w:rsidRPr="007259CD">
        <w:rPr>
          <w:rFonts w:ascii="Arial" w:eastAsia="Times New Roman" w:hAnsi="Arial" w:cs="Arial"/>
          <w:b/>
        </w:rPr>
        <w:t xml:space="preserve">Public Health </w:t>
      </w:r>
    </w:p>
    <w:p w:rsidR="00E10230" w:rsidRPr="007259CD" w:rsidRDefault="00E10230" w:rsidP="00E10230">
      <w:pPr>
        <w:suppressAutoHyphens/>
        <w:spacing w:before="20" w:after="20"/>
        <w:contextualSpacing/>
        <w:jc w:val="both"/>
        <w:rPr>
          <w:rFonts w:eastAsia="Times New Roman" w:cs="Arial"/>
          <w:b/>
        </w:rPr>
      </w:pPr>
    </w:p>
    <w:p w:rsidR="00E10230" w:rsidRPr="007259CD" w:rsidRDefault="00E10230" w:rsidP="00E10230">
      <w:pPr>
        <w:rPr>
          <w:rFonts w:cs="Arial"/>
          <w:bCs/>
        </w:rPr>
      </w:pPr>
      <w:r w:rsidRPr="007259CD">
        <w:rPr>
          <w:rFonts w:cs="Arial"/>
          <w:bCs/>
        </w:rPr>
        <w:t>The Provider is required to promote, protect and improve the health of the community served and help address health inequalities by:</w:t>
      </w:r>
    </w:p>
    <w:p w:rsidR="00E10230" w:rsidRPr="007259CD" w:rsidRDefault="00E10230" w:rsidP="002A30E5">
      <w:pPr>
        <w:pStyle w:val="ListParagraph"/>
        <w:numPr>
          <w:ilvl w:val="0"/>
          <w:numId w:val="19"/>
        </w:numPr>
        <w:rPr>
          <w:rFonts w:ascii="Arial" w:hAnsi="Arial" w:cs="Arial"/>
          <w:bCs/>
        </w:rPr>
      </w:pPr>
      <w:r w:rsidRPr="007259CD">
        <w:rPr>
          <w:rFonts w:ascii="Arial" w:hAnsi="Arial" w:cs="Arial"/>
          <w:bCs/>
        </w:rPr>
        <w:t>Co-operating with other sexual health services, the NHS, local authorities and other organisations;</w:t>
      </w:r>
    </w:p>
    <w:p w:rsidR="00E10230" w:rsidRPr="007259CD" w:rsidRDefault="00E10230" w:rsidP="002A30E5">
      <w:pPr>
        <w:pStyle w:val="ListParagraph"/>
        <w:numPr>
          <w:ilvl w:val="0"/>
          <w:numId w:val="19"/>
        </w:numPr>
        <w:rPr>
          <w:rFonts w:ascii="Arial" w:hAnsi="Arial" w:cs="Arial"/>
          <w:bCs/>
        </w:rPr>
      </w:pPr>
      <w:r w:rsidRPr="007259CD">
        <w:rPr>
          <w:rFonts w:ascii="Arial" w:hAnsi="Arial" w:cs="Arial"/>
          <w:bCs/>
        </w:rPr>
        <w:t>Ensuring that local needs assessments such as the JSNA or Annual Public Health Report inform their policies and practices; and</w:t>
      </w:r>
    </w:p>
    <w:p w:rsidR="00E10230" w:rsidRPr="007259CD" w:rsidRDefault="00E10230" w:rsidP="002A30E5">
      <w:pPr>
        <w:pStyle w:val="ListParagraph"/>
        <w:numPr>
          <w:ilvl w:val="0"/>
          <w:numId w:val="19"/>
        </w:numPr>
        <w:rPr>
          <w:rFonts w:ascii="Arial" w:hAnsi="Arial" w:cs="Arial"/>
          <w:bCs/>
        </w:rPr>
      </w:pPr>
      <w:r w:rsidRPr="007259CD">
        <w:rPr>
          <w:rFonts w:ascii="Arial" w:hAnsi="Arial" w:cs="Arial"/>
          <w:bCs/>
        </w:rPr>
        <w:t xml:space="preserve">Making an appropriate and effective contribution to local partnership arrangements relating to or including sexual health services.  </w:t>
      </w:r>
    </w:p>
    <w:p w:rsidR="00E10230" w:rsidRPr="007259CD" w:rsidRDefault="00E10230" w:rsidP="00E10230">
      <w:pPr>
        <w:pStyle w:val="ListParagraph"/>
        <w:ind w:left="1080"/>
        <w:rPr>
          <w:rFonts w:ascii="Arial" w:hAnsi="Arial" w:cs="Arial"/>
          <w:bCs/>
        </w:rPr>
      </w:pPr>
    </w:p>
    <w:p w:rsidR="00E10230" w:rsidRPr="007259CD" w:rsidRDefault="00E10230" w:rsidP="00E10230">
      <w:pPr>
        <w:rPr>
          <w:rFonts w:cs="Arial"/>
          <w:bCs/>
        </w:rPr>
      </w:pPr>
      <w:r w:rsidRPr="007259CD">
        <w:rPr>
          <w:rFonts w:cs="Arial"/>
          <w:bCs/>
        </w:rPr>
        <w:t>The Provider is required to provide patients in their clinics with a systematic and managed disease prevention and health promotion programme.</w:t>
      </w:r>
    </w:p>
    <w:p w:rsidR="00E10230" w:rsidRPr="007259CD" w:rsidRDefault="00E10230" w:rsidP="00E10230">
      <w:pPr>
        <w:rPr>
          <w:rFonts w:cs="Arial"/>
          <w:bCs/>
        </w:rPr>
      </w:pPr>
    </w:p>
    <w:p w:rsidR="00E10230" w:rsidRPr="007259CD" w:rsidRDefault="00E10230" w:rsidP="00E10230">
      <w:pPr>
        <w:rPr>
          <w:rFonts w:cs="Arial"/>
          <w:bCs/>
        </w:rPr>
      </w:pPr>
      <w:r w:rsidRPr="007259CD">
        <w:rPr>
          <w:rFonts w:cs="Arial"/>
          <w:bCs/>
        </w:rPr>
        <w:t>The Provider is required to:</w:t>
      </w:r>
    </w:p>
    <w:p w:rsidR="00E10230" w:rsidRPr="007259CD" w:rsidRDefault="00E10230" w:rsidP="00E10230">
      <w:pPr>
        <w:pStyle w:val="ListParagraph"/>
        <w:rPr>
          <w:rFonts w:ascii="Arial" w:hAnsi="Arial" w:cs="Arial"/>
          <w:bCs/>
        </w:rPr>
      </w:pPr>
    </w:p>
    <w:p w:rsidR="00E10230" w:rsidRPr="007259CD" w:rsidRDefault="00E10230" w:rsidP="002A30E5">
      <w:pPr>
        <w:pStyle w:val="ListParagraph"/>
        <w:numPr>
          <w:ilvl w:val="0"/>
          <w:numId w:val="20"/>
        </w:numPr>
        <w:rPr>
          <w:rFonts w:ascii="Arial" w:hAnsi="Arial" w:cs="Arial"/>
          <w:bCs/>
        </w:rPr>
      </w:pPr>
      <w:r w:rsidRPr="007259CD">
        <w:rPr>
          <w:rFonts w:ascii="Arial" w:hAnsi="Arial" w:cs="Arial"/>
          <w:bCs/>
        </w:rPr>
        <w:t xml:space="preserve">Help identify and act upon significant public health problems and health inequality issues, with Local Authorities taking the leading role </w:t>
      </w:r>
    </w:p>
    <w:p w:rsidR="00E10230" w:rsidRPr="007259CD" w:rsidRDefault="00E10230" w:rsidP="002A30E5">
      <w:pPr>
        <w:pStyle w:val="ListParagraph"/>
        <w:numPr>
          <w:ilvl w:val="0"/>
          <w:numId w:val="20"/>
        </w:numPr>
        <w:rPr>
          <w:rFonts w:ascii="Arial" w:hAnsi="Arial" w:cs="Arial"/>
          <w:bCs/>
        </w:rPr>
      </w:pPr>
      <w:r w:rsidRPr="007259CD">
        <w:rPr>
          <w:rFonts w:ascii="Arial" w:hAnsi="Arial" w:cs="Arial"/>
          <w:bCs/>
        </w:rPr>
        <w:t>Implement effective programmes to improve health and reduce health inequalities including specific information, health promotion interventions and services targeting at risk groups</w:t>
      </w:r>
    </w:p>
    <w:p w:rsidR="00E10230" w:rsidRDefault="00E10230" w:rsidP="002A30E5">
      <w:pPr>
        <w:pStyle w:val="ListParagraph"/>
        <w:numPr>
          <w:ilvl w:val="0"/>
          <w:numId w:val="20"/>
        </w:numPr>
        <w:rPr>
          <w:rFonts w:ascii="Arial" w:hAnsi="Arial" w:cs="Arial"/>
          <w:bCs/>
        </w:rPr>
      </w:pPr>
      <w:r w:rsidRPr="007259CD">
        <w:rPr>
          <w:rFonts w:ascii="Arial" w:hAnsi="Arial" w:cs="Arial"/>
          <w:bCs/>
        </w:rPr>
        <w:t>Take fully into account current and emerging policies and knowledge on public health issues in the development and provision of their public health programmes, health promotion and prevention services for the public.</w:t>
      </w:r>
    </w:p>
    <w:p w:rsidR="00F66DDD" w:rsidRPr="007259CD" w:rsidRDefault="00F66DDD" w:rsidP="00F66DDD">
      <w:pPr>
        <w:pStyle w:val="ListParagraph"/>
        <w:rPr>
          <w:rFonts w:ascii="Arial" w:hAnsi="Arial" w:cs="Arial"/>
          <w:bCs/>
        </w:rPr>
      </w:pPr>
    </w:p>
    <w:p w:rsidR="00E10230" w:rsidRPr="007259CD" w:rsidRDefault="00E10230" w:rsidP="00E10230">
      <w:pPr>
        <w:pStyle w:val="ListParagraph"/>
        <w:ind w:left="360"/>
        <w:rPr>
          <w:rFonts w:ascii="Arial" w:hAnsi="Arial" w:cs="Arial"/>
          <w:bCs/>
        </w:rPr>
      </w:pPr>
    </w:p>
    <w:p w:rsidR="00E10230" w:rsidRPr="007259CD" w:rsidRDefault="00E10230" w:rsidP="00F66DDD">
      <w:pPr>
        <w:pStyle w:val="ListParagraph"/>
        <w:numPr>
          <w:ilvl w:val="1"/>
          <w:numId w:val="37"/>
        </w:numPr>
        <w:rPr>
          <w:rFonts w:ascii="Arial" w:eastAsia="Times New Roman" w:hAnsi="Arial" w:cs="Arial"/>
          <w:b/>
        </w:rPr>
      </w:pPr>
      <w:r w:rsidRPr="007259CD">
        <w:rPr>
          <w:rFonts w:ascii="Arial" w:eastAsia="Times New Roman" w:hAnsi="Arial" w:cs="Arial"/>
          <w:b/>
        </w:rPr>
        <w:t>Health Protection</w:t>
      </w:r>
    </w:p>
    <w:p w:rsidR="00E10230" w:rsidRPr="007259CD" w:rsidRDefault="00E10230" w:rsidP="00E10230">
      <w:pPr>
        <w:rPr>
          <w:rFonts w:eastAsia="Times New Roman" w:cs="Arial"/>
        </w:rPr>
      </w:pPr>
    </w:p>
    <w:p w:rsidR="00124F92" w:rsidRPr="007259CD" w:rsidRDefault="00E10230" w:rsidP="00E10230">
      <w:pPr>
        <w:rPr>
          <w:rFonts w:eastAsia="Times New Roman" w:cs="Arial"/>
        </w:rPr>
      </w:pPr>
      <w:r w:rsidRPr="007259CD">
        <w:rPr>
          <w:rFonts w:eastAsia="Times New Roman" w:cs="Arial"/>
        </w:rPr>
        <w:t xml:space="preserve">The </w:t>
      </w:r>
      <w:r w:rsidR="00B0328C">
        <w:rPr>
          <w:rFonts w:eastAsia="Times New Roman" w:cs="Arial"/>
        </w:rPr>
        <w:t>Provider</w:t>
      </w:r>
      <w:r w:rsidRPr="007259CD">
        <w:rPr>
          <w:rFonts w:eastAsia="Times New Roman" w:cs="Arial"/>
        </w:rPr>
        <w:t xml:space="preserve"> </w:t>
      </w:r>
      <w:r w:rsidR="00124F92" w:rsidRPr="007259CD">
        <w:rPr>
          <w:rFonts w:eastAsia="Times New Roman" w:cs="Arial"/>
        </w:rPr>
        <w:t>is</w:t>
      </w:r>
      <w:r w:rsidRPr="007259CD">
        <w:rPr>
          <w:rFonts w:eastAsia="Times New Roman" w:cs="Arial"/>
        </w:rPr>
        <w:t xml:space="preserve"> required to</w:t>
      </w:r>
      <w:r w:rsidR="00306C20">
        <w:rPr>
          <w:rFonts w:eastAsia="Times New Roman" w:cs="Arial"/>
        </w:rPr>
        <w:t>:</w:t>
      </w:r>
    </w:p>
    <w:p w:rsidR="00124F92" w:rsidRPr="007259CD" w:rsidRDefault="00124F92" w:rsidP="00E10230">
      <w:pPr>
        <w:rPr>
          <w:rFonts w:eastAsia="Times New Roman" w:cs="Arial"/>
        </w:rPr>
      </w:pPr>
    </w:p>
    <w:p w:rsidR="00E10230" w:rsidRPr="007259CD" w:rsidRDefault="00124F92" w:rsidP="002A30E5">
      <w:pPr>
        <w:pStyle w:val="ListParagraph"/>
        <w:numPr>
          <w:ilvl w:val="0"/>
          <w:numId w:val="21"/>
        </w:numPr>
        <w:rPr>
          <w:rFonts w:ascii="Arial" w:hAnsi="Arial" w:cs="Arial"/>
          <w:bCs/>
        </w:rPr>
      </w:pPr>
      <w:r w:rsidRPr="007259CD">
        <w:rPr>
          <w:rFonts w:ascii="Arial" w:eastAsia="Times New Roman" w:hAnsi="Arial" w:cs="Arial"/>
        </w:rPr>
        <w:t>W</w:t>
      </w:r>
      <w:r w:rsidR="00E10230" w:rsidRPr="007259CD">
        <w:rPr>
          <w:rFonts w:ascii="Arial" w:eastAsia="Times New Roman" w:hAnsi="Arial" w:cs="Arial"/>
        </w:rPr>
        <w:t xml:space="preserve">ork with organisations such as Public Health England (PHE), for the purposes of health protection and epidemiological monitoring. This includes reporting and cooperation on STI outbreaks and to ensure people with HBV or HCV infections or other notifiable infections receive and follow public health advice on the treatment and management of their infections, and risk assessment and advice on avoiding further transmission to household, workplace or other contacts as appropriate. </w:t>
      </w:r>
    </w:p>
    <w:p w:rsidR="00E10230" w:rsidRPr="007259CD" w:rsidRDefault="00E10230" w:rsidP="00E10230">
      <w:pPr>
        <w:pStyle w:val="ListParagraph"/>
        <w:rPr>
          <w:rFonts w:ascii="Arial" w:hAnsi="Arial" w:cs="Arial"/>
          <w:bCs/>
        </w:rPr>
      </w:pPr>
    </w:p>
    <w:p w:rsidR="00E10230" w:rsidRPr="007259CD" w:rsidRDefault="00E10230" w:rsidP="002A30E5">
      <w:pPr>
        <w:pStyle w:val="ListParagraph"/>
        <w:numPr>
          <w:ilvl w:val="0"/>
          <w:numId w:val="20"/>
        </w:numPr>
        <w:rPr>
          <w:rFonts w:ascii="Arial" w:hAnsi="Arial" w:cs="Arial"/>
          <w:bCs/>
        </w:rPr>
      </w:pPr>
      <w:r w:rsidRPr="007259CD">
        <w:rPr>
          <w:rFonts w:ascii="Arial" w:hAnsi="Arial" w:cs="Arial"/>
          <w:bCs/>
        </w:rPr>
        <w:t xml:space="preserve">Communicate with </w:t>
      </w:r>
      <w:r w:rsidR="00306C20">
        <w:rPr>
          <w:rFonts w:ascii="Arial" w:hAnsi="Arial" w:cs="Arial"/>
          <w:bCs/>
        </w:rPr>
        <w:t>PHE</w:t>
      </w:r>
      <w:r w:rsidRPr="007259CD">
        <w:rPr>
          <w:rFonts w:ascii="Arial" w:hAnsi="Arial" w:cs="Arial"/>
          <w:bCs/>
        </w:rPr>
        <w:t xml:space="preserve"> and affected </w:t>
      </w:r>
      <w:r w:rsidR="007479A2">
        <w:rPr>
          <w:rFonts w:ascii="Arial" w:hAnsi="Arial" w:cs="Arial"/>
          <w:bCs/>
        </w:rPr>
        <w:t>Commissioner</w:t>
      </w:r>
      <w:r w:rsidRPr="007259CD">
        <w:rPr>
          <w:rFonts w:ascii="Arial" w:hAnsi="Arial" w:cs="Arial"/>
          <w:bCs/>
        </w:rPr>
        <w:t>s, around any existing or emerging infections and related public health risks, including outbreaks of sexually transmitted infections or other communicable diseases.</w:t>
      </w:r>
    </w:p>
    <w:p w:rsidR="009D748D" w:rsidRPr="007259CD" w:rsidRDefault="009D748D" w:rsidP="00124F92">
      <w:pPr>
        <w:pStyle w:val="ListParagraph"/>
        <w:jc w:val="both"/>
        <w:rPr>
          <w:rFonts w:ascii="Arial" w:eastAsia="Arial" w:hAnsi="Arial" w:cs="Arial"/>
          <w:b/>
          <w:bCs/>
        </w:rPr>
      </w:pPr>
    </w:p>
    <w:p w:rsidR="00FF34EA" w:rsidRDefault="00FF34EA">
      <w:pPr>
        <w:rPr>
          <w:rFonts w:eastAsia="Arial" w:cs="Arial"/>
          <w:b/>
          <w:bCs/>
        </w:rPr>
      </w:pPr>
      <w:r>
        <w:rPr>
          <w:rFonts w:eastAsia="Arial" w:cs="Arial"/>
          <w:b/>
          <w:bCs/>
        </w:rPr>
        <w:br w:type="page"/>
      </w:r>
    </w:p>
    <w:p w:rsidR="00124F92" w:rsidRPr="007259CD" w:rsidRDefault="00124F92" w:rsidP="00124F92">
      <w:pPr>
        <w:pStyle w:val="ListParagraph"/>
        <w:jc w:val="both"/>
        <w:rPr>
          <w:rFonts w:ascii="Arial" w:eastAsia="Arial" w:hAnsi="Arial" w:cs="Arial"/>
          <w:b/>
          <w:bCs/>
        </w:rPr>
      </w:pPr>
    </w:p>
    <w:p w:rsidR="009D748D" w:rsidRDefault="009D748D" w:rsidP="00F66DDD">
      <w:pPr>
        <w:pStyle w:val="ListParagraph"/>
        <w:numPr>
          <w:ilvl w:val="0"/>
          <w:numId w:val="37"/>
        </w:numPr>
        <w:jc w:val="both"/>
        <w:rPr>
          <w:rFonts w:ascii="Arial" w:eastAsia="Arial" w:hAnsi="Arial" w:cs="Arial"/>
          <w:b/>
          <w:bCs/>
        </w:rPr>
      </w:pPr>
      <w:r w:rsidRPr="007259CD">
        <w:rPr>
          <w:rFonts w:ascii="Arial" w:eastAsia="Arial" w:hAnsi="Arial" w:cs="Arial"/>
          <w:b/>
          <w:bCs/>
        </w:rPr>
        <w:t>Data reporting requirements</w:t>
      </w:r>
    </w:p>
    <w:p w:rsidR="0056686F" w:rsidRPr="007259CD" w:rsidRDefault="0056686F" w:rsidP="00E63DEA">
      <w:pPr>
        <w:pStyle w:val="ListParagraph"/>
        <w:ind w:left="360"/>
        <w:jc w:val="both"/>
        <w:rPr>
          <w:rFonts w:ascii="Arial" w:eastAsia="Arial" w:hAnsi="Arial" w:cs="Arial"/>
          <w:b/>
          <w:bCs/>
        </w:rPr>
      </w:pPr>
    </w:p>
    <w:p w:rsidR="00D904AE" w:rsidRPr="007259CD" w:rsidRDefault="00D904AE" w:rsidP="00F66DDD">
      <w:pPr>
        <w:pStyle w:val="ListParagraph"/>
        <w:numPr>
          <w:ilvl w:val="1"/>
          <w:numId w:val="37"/>
        </w:numPr>
        <w:rPr>
          <w:rFonts w:ascii="Arial" w:hAnsi="Arial" w:cs="Arial"/>
          <w:b/>
          <w:bCs/>
        </w:rPr>
      </w:pPr>
      <w:r w:rsidRPr="007259CD">
        <w:rPr>
          <w:rFonts w:ascii="Arial" w:hAnsi="Arial" w:cs="Arial"/>
          <w:b/>
          <w:bCs/>
        </w:rPr>
        <w:t xml:space="preserve">National data requirements </w:t>
      </w:r>
    </w:p>
    <w:p w:rsidR="00D904AE" w:rsidRPr="007259CD" w:rsidRDefault="00D904AE" w:rsidP="00D904AE">
      <w:pPr>
        <w:rPr>
          <w:rFonts w:cs="Arial"/>
          <w:bCs/>
        </w:rPr>
      </w:pPr>
    </w:p>
    <w:p w:rsidR="00D904AE" w:rsidRPr="007259CD" w:rsidRDefault="00D904AE" w:rsidP="00D904AE">
      <w:pPr>
        <w:rPr>
          <w:rFonts w:cs="Arial"/>
          <w:bCs/>
        </w:rPr>
      </w:pPr>
      <w:r w:rsidRPr="007259CD">
        <w:rPr>
          <w:rFonts w:cs="Arial"/>
          <w:bCs/>
        </w:rPr>
        <w:t xml:space="preserve">The Service, including the supporting laboratory service(s), is required to meet national data reporting requirements as set </w:t>
      </w:r>
      <w:r w:rsidR="007259CD" w:rsidRPr="007259CD">
        <w:rPr>
          <w:rFonts w:cs="Arial"/>
          <w:bCs/>
        </w:rPr>
        <w:t>out below</w:t>
      </w:r>
    </w:p>
    <w:p w:rsidR="00D904AE" w:rsidRPr="007259CD" w:rsidRDefault="00D904AE" w:rsidP="00D904AE">
      <w:pPr>
        <w:rPr>
          <w:rFonts w:cs="Arial"/>
          <w:bCs/>
        </w:rPr>
      </w:pPr>
    </w:p>
    <w:p w:rsidR="00D904AE" w:rsidRPr="007259CD" w:rsidRDefault="00306C20" w:rsidP="00D904AE">
      <w:pPr>
        <w:rPr>
          <w:rFonts w:cs="Arial"/>
          <w:bCs/>
        </w:rPr>
      </w:pPr>
      <w:r>
        <w:rPr>
          <w:rFonts w:cs="Arial"/>
          <w:bCs/>
        </w:rPr>
        <w:t>Sexual and Reproductive Health Activity Dataset (</w:t>
      </w:r>
      <w:r w:rsidR="00D904AE" w:rsidRPr="007259CD">
        <w:rPr>
          <w:rFonts w:cs="Arial"/>
          <w:bCs/>
        </w:rPr>
        <w:t>SRHAD</w:t>
      </w:r>
      <w:r>
        <w:rPr>
          <w:rFonts w:cs="Arial"/>
          <w:bCs/>
        </w:rPr>
        <w:t>)</w:t>
      </w:r>
      <w:r w:rsidR="00D904AE" w:rsidRPr="007259CD">
        <w:rPr>
          <w:rFonts w:cs="Arial"/>
          <w:bCs/>
        </w:rPr>
        <w:t xml:space="preserve"> (and </w:t>
      </w:r>
      <w:r>
        <w:rPr>
          <w:rFonts w:cs="Arial"/>
          <w:bCs/>
        </w:rPr>
        <w:t>HIV and AIDS Reporting System (</w:t>
      </w:r>
      <w:r w:rsidR="00D904AE" w:rsidRPr="007259CD">
        <w:rPr>
          <w:rFonts w:cs="Arial"/>
          <w:bCs/>
        </w:rPr>
        <w:t>HARS</w:t>
      </w:r>
      <w:r>
        <w:rPr>
          <w:rFonts w:cs="Arial"/>
          <w:bCs/>
        </w:rPr>
        <w:t>)</w:t>
      </w:r>
      <w:r w:rsidR="00D904AE" w:rsidRPr="007259CD">
        <w:rPr>
          <w:rFonts w:cs="Arial"/>
          <w:bCs/>
        </w:rPr>
        <w:t xml:space="preserve"> for HIV treatment services), together with </w:t>
      </w:r>
      <w:r>
        <w:rPr>
          <w:rFonts w:cs="Arial"/>
          <w:bCs/>
        </w:rPr>
        <w:t>Genitourinary Medicine Clinic Activity Dataset (</w:t>
      </w:r>
      <w:r w:rsidR="00D904AE" w:rsidRPr="007259CD">
        <w:rPr>
          <w:rFonts w:cs="Arial"/>
          <w:bCs/>
        </w:rPr>
        <w:t>GUMCAD</w:t>
      </w:r>
      <w:r>
        <w:rPr>
          <w:rFonts w:cs="Arial"/>
          <w:bCs/>
        </w:rPr>
        <w:t>)</w:t>
      </w:r>
      <w:r w:rsidR="00D904AE" w:rsidRPr="007259CD">
        <w:rPr>
          <w:rFonts w:cs="Arial"/>
          <w:bCs/>
        </w:rPr>
        <w:t xml:space="preserve"> and </w:t>
      </w:r>
      <w:r>
        <w:rPr>
          <w:rFonts w:cs="Arial"/>
          <w:bCs/>
        </w:rPr>
        <w:t>Chlamydia Surveillance System (</w:t>
      </w:r>
      <w:r w:rsidR="00D904AE" w:rsidRPr="007259CD">
        <w:rPr>
          <w:rFonts w:cs="Arial"/>
          <w:bCs/>
        </w:rPr>
        <w:t>CTAD</w:t>
      </w:r>
      <w:r>
        <w:rPr>
          <w:rFonts w:cs="Arial"/>
          <w:bCs/>
        </w:rPr>
        <w:t>)</w:t>
      </w:r>
      <w:r w:rsidR="00D904AE" w:rsidRPr="007259CD">
        <w:rPr>
          <w:rFonts w:cs="Arial"/>
          <w:bCs/>
        </w:rPr>
        <w:t xml:space="preserve"> form the basis for a standardised national sexual health dataset collected from sexual health services. All data analysed by PHE informs national, regional and local monitoring of trends in sexual health, and contributes to commissioning and service delivery. </w:t>
      </w:r>
    </w:p>
    <w:p w:rsidR="00D904AE" w:rsidRPr="007259CD" w:rsidRDefault="00D904AE" w:rsidP="00D904AE">
      <w:pPr>
        <w:rPr>
          <w:rFonts w:cs="Arial"/>
          <w:bCs/>
        </w:rPr>
      </w:pPr>
    </w:p>
    <w:p w:rsidR="00D904AE" w:rsidRPr="007259CD" w:rsidRDefault="00D904AE" w:rsidP="00D904AE">
      <w:pPr>
        <w:rPr>
          <w:rFonts w:cs="Arial"/>
        </w:rPr>
      </w:pPr>
      <w:r w:rsidRPr="007259CD">
        <w:rPr>
          <w:rFonts w:cs="Arial"/>
        </w:rPr>
        <w:t xml:space="preserve">The accomplishment of outcomes and objectives will be evidenced by indicators provided by government bodies including </w:t>
      </w:r>
      <w:r w:rsidR="00306C20">
        <w:rPr>
          <w:rFonts w:cs="Arial"/>
        </w:rPr>
        <w:t>PHE</w:t>
      </w:r>
      <w:r w:rsidRPr="007259CD">
        <w:rPr>
          <w:rFonts w:cs="Arial"/>
        </w:rPr>
        <w:t xml:space="preserve"> and the Health and Social Care Information Centre (HSCIC). </w:t>
      </w:r>
    </w:p>
    <w:p w:rsidR="00D904AE" w:rsidRPr="007259CD" w:rsidRDefault="00D904AE" w:rsidP="00D904AE">
      <w:pPr>
        <w:rPr>
          <w:rFonts w:cs="Arial"/>
          <w:bCs/>
        </w:rPr>
      </w:pPr>
    </w:p>
    <w:p w:rsidR="00D904AE" w:rsidRPr="007259CD" w:rsidRDefault="00D904AE" w:rsidP="00D904AE">
      <w:pPr>
        <w:rPr>
          <w:rFonts w:cs="Arial"/>
          <w:bCs/>
        </w:rPr>
      </w:pPr>
      <w:r w:rsidRPr="007259CD">
        <w:rPr>
          <w:rFonts w:cs="Arial"/>
          <w:bCs/>
        </w:rPr>
        <w:t xml:space="preserve">The Provider is required to adhere to all current national reporting guidelines and to be able to respond to any amendments to the datasets including additions of new modules, such as introduction of GUMCADv3, in line with nationally agreed lead-in times. </w:t>
      </w:r>
    </w:p>
    <w:p w:rsidR="00D904AE" w:rsidRPr="007259CD" w:rsidRDefault="00D904AE" w:rsidP="00D904AE">
      <w:pPr>
        <w:rPr>
          <w:rFonts w:cs="Arial"/>
          <w:bCs/>
        </w:rPr>
      </w:pPr>
    </w:p>
    <w:p w:rsidR="00D904AE" w:rsidRPr="007259CD" w:rsidRDefault="00D904AE" w:rsidP="00D904AE">
      <w:pPr>
        <w:rPr>
          <w:rFonts w:cs="Arial"/>
          <w:bCs/>
        </w:rPr>
      </w:pPr>
      <w:r w:rsidRPr="007259CD">
        <w:rPr>
          <w:rFonts w:cs="Arial"/>
          <w:bCs/>
        </w:rPr>
        <w:t xml:space="preserve">The Service must have electronic information systems to support data reporting for national, as well as local, reporting requirements. </w:t>
      </w:r>
    </w:p>
    <w:p w:rsidR="00D904AE" w:rsidRPr="007259CD" w:rsidRDefault="00D904AE" w:rsidP="00D904AE">
      <w:pPr>
        <w:rPr>
          <w:rFonts w:cs="Arial"/>
          <w:bCs/>
        </w:rPr>
      </w:pPr>
    </w:p>
    <w:p w:rsidR="00D904AE" w:rsidRDefault="00D904AE" w:rsidP="00D904AE">
      <w:pPr>
        <w:rPr>
          <w:rFonts w:cs="Arial"/>
          <w:bCs/>
        </w:rPr>
      </w:pPr>
      <w:r w:rsidRPr="007259CD">
        <w:rPr>
          <w:rFonts w:cs="Arial"/>
          <w:bCs/>
        </w:rPr>
        <w:t xml:space="preserve">It is the Service’s responsibility to ensure that every chlamydia test it sends to laboratories for testing includes all the necessary information required to allow the laboratories to complete and fulfil CTAD data requirements. This may include completion of a valid postcode of residence, ODS codes and testing service type. </w:t>
      </w:r>
    </w:p>
    <w:p w:rsidR="0056686F" w:rsidRPr="007259CD" w:rsidRDefault="0056686F" w:rsidP="00D904AE">
      <w:pPr>
        <w:rPr>
          <w:rFonts w:cs="Arial"/>
          <w:bCs/>
        </w:rPr>
      </w:pPr>
    </w:p>
    <w:p w:rsidR="00D904AE" w:rsidRPr="007259CD" w:rsidRDefault="00D904AE" w:rsidP="00D904AE">
      <w:pPr>
        <w:rPr>
          <w:rFonts w:cs="Arial"/>
          <w:bCs/>
        </w:rPr>
      </w:pPr>
    </w:p>
    <w:p w:rsidR="00D904AE" w:rsidRPr="007259CD" w:rsidRDefault="00D904AE" w:rsidP="00F66DDD">
      <w:pPr>
        <w:pStyle w:val="ListParagraph"/>
        <w:numPr>
          <w:ilvl w:val="1"/>
          <w:numId w:val="37"/>
        </w:numPr>
        <w:rPr>
          <w:rFonts w:ascii="Arial" w:hAnsi="Arial" w:cs="Arial"/>
          <w:b/>
          <w:bCs/>
        </w:rPr>
      </w:pPr>
      <w:r w:rsidRPr="007259CD">
        <w:rPr>
          <w:rFonts w:ascii="Arial" w:hAnsi="Arial" w:cs="Arial"/>
          <w:b/>
          <w:bCs/>
        </w:rPr>
        <w:t xml:space="preserve">Local data requirements </w:t>
      </w:r>
    </w:p>
    <w:p w:rsidR="00D904AE" w:rsidRPr="007259CD" w:rsidRDefault="00D904AE" w:rsidP="00D904AE">
      <w:pPr>
        <w:rPr>
          <w:rFonts w:cs="Arial"/>
          <w:bCs/>
        </w:rPr>
      </w:pPr>
    </w:p>
    <w:p w:rsidR="00D904AE" w:rsidRPr="007259CD" w:rsidRDefault="00D904AE" w:rsidP="00D904AE">
      <w:pPr>
        <w:rPr>
          <w:rFonts w:cs="Arial"/>
          <w:bCs/>
        </w:rPr>
      </w:pPr>
      <w:r w:rsidRPr="007259CD">
        <w:rPr>
          <w:rFonts w:cs="Arial"/>
          <w:bCs/>
        </w:rPr>
        <w:t xml:space="preserve">As part of accurate data reporting, attention should be paid to report infections diagnosed elsewhere (but treated locally) as such in all GUMCAD submissions through the use of relevant suffix codes. </w:t>
      </w:r>
    </w:p>
    <w:p w:rsidR="00D904AE" w:rsidRPr="007259CD" w:rsidRDefault="00D904AE" w:rsidP="00D904AE">
      <w:pPr>
        <w:rPr>
          <w:rFonts w:cs="Arial"/>
          <w:bCs/>
        </w:rPr>
      </w:pPr>
    </w:p>
    <w:p w:rsidR="00C44691" w:rsidRDefault="00F66DDD" w:rsidP="00D904AE">
      <w:pPr>
        <w:rPr>
          <w:rFonts w:cs="Arial"/>
          <w:bCs/>
        </w:rPr>
      </w:pPr>
      <w:r>
        <w:rPr>
          <w:rFonts w:cs="Arial"/>
          <w:bCs/>
        </w:rPr>
        <w:t>T</w:t>
      </w:r>
      <w:r w:rsidR="00D904AE" w:rsidRPr="007259CD">
        <w:rPr>
          <w:rFonts w:cs="Arial"/>
          <w:bCs/>
        </w:rPr>
        <w:t xml:space="preserve">he Service </w:t>
      </w:r>
      <w:r w:rsidR="0056686F">
        <w:rPr>
          <w:rFonts w:cs="Arial"/>
          <w:bCs/>
        </w:rPr>
        <w:t>is</w:t>
      </w:r>
      <w:r w:rsidR="00D904AE" w:rsidRPr="007259CD">
        <w:rPr>
          <w:rFonts w:cs="Arial"/>
          <w:bCs/>
        </w:rPr>
        <w:t xml:space="preserve"> required to report progress against all </w:t>
      </w:r>
      <w:r w:rsidR="00FF34EA">
        <w:rPr>
          <w:rFonts w:cs="Arial"/>
          <w:bCs/>
        </w:rPr>
        <w:t xml:space="preserve">Key </w:t>
      </w:r>
      <w:r w:rsidR="00306C20">
        <w:rPr>
          <w:rFonts w:cs="Arial"/>
          <w:bCs/>
        </w:rPr>
        <w:t xml:space="preserve">Performance </w:t>
      </w:r>
      <w:r w:rsidR="00FF34EA">
        <w:rPr>
          <w:rFonts w:cs="Arial"/>
          <w:bCs/>
        </w:rPr>
        <w:t xml:space="preserve">Indicators </w:t>
      </w:r>
      <w:r>
        <w:rPr>
          <w:rFonts w:cs="Arial"/>
          <w:bCs/>
        </w:rPr>
        <w:t>o</w:t>
      </w:r>
      <w:r w:rsidRPr="007259CD">
        <w:rPr>
          <w:rFonts w:cs="Arial"/>
          <w:bCs/>
        </w:rPr>
        <w:t xml:space="preserve">n a quarterly or annual basis as specified </w:t>
      </w:r>
      <w:r w:rsidR="00FF34EA">
        <w:rPr>
          <w:rFonts w:cs="Arial"/>
          <w:bCs/>
        </w:rPr>
        <w:t xml:space="preserve">in Section </w:t>
      </w:r>
      <w:r>
        <w:rPr>
          <w:rFonts w:cs="Arial"/>
          <w:bCs/>
        </w:rPr>
        <w:fldChar w:fldCharType="begin"/>
      </w:r>
      <w:r>
        <w:rPr>
          <w:rFonts w:cs="Arial"/>
          <w:bCs/>
        </w:rPr>
        <w:instrText xml:space="preserve"> REF _Ref510532068 \r \h </w:instrText>
      </w:r>
      <w:r>
        <w:rPr>
          <w:rFonts w:cs="Arial"/>
          <w:bCs/>
        </w:rPr>
      </w:r>
      <w:r>
        <w:rPr>
          <w:rFonts w:cs="Arial"/>
          <w:bCs/>
        </w:rPr>
        <w:fldChar w:fldCharType="separate"/>
      </w:r>
      <w:r>
        <w:rPr>
          <w:rFonts w:cs="Arial"/>
          <w:bCs/>
        </w:rPr>
        <w:t>17</w:t>
      </w:r>
      <w:r>
        <w:rPr>
          <w:rFonts w:cs="Arial"/>
          <w:bCs/>
        </w:rPr>
        <w:fldChar w:fldCharType="end"/>
      </w:r>
      <w:r>
        <w:rPr>
          <w:rFonts w:cs="Arial"/>
          <w:bCs/>
        </w:rPr>
        <w:t xml:space="preserve"> </w:t>
      </w:r>
      <w:r w:rsidR="00FF34EA">
        <w:rPr>
          <w:rFonts w:cs="Arial"/>
          <w:bCs/>
        </w:rPr>
        <w:t>and to provide service information as set out</w:t>
      </w:r>
      <w:r w:rsidR="00FF34EA" w:rsidRPr="007259CD">
        <w:rPr>
          <w:rFonts w:cs="Arial"/>
          <w:bCs/>
        </w:rPr>
        <w:t xml:space="preserve"> </w:t>
      </w:r>
      <w:r w:rsidR="00D904AE" w:rsidRPr="007259CD">
        <w:rPr>
          <w:rFonts w:cs="Arial"/>
          <w:bCs/>
        </w:rPr>
        <w:t>in</w:t>
      </w:r>
      <w:r w:rsidR="00FF34EA">
        <w:rPr>
          <w:rFonts w:cs="Arial"/>
          <w:bCs/>
        </w:rPr>
        <w:t xml:space="preserve"> Section</w:t>
      </w:r>
      <w:r w:rsidR="00D904AE" w:rsidRPr="007259CD">
        <w:rPr>
          <w:rFonts w:cs="Arial"/>
          <w:bCs/>
        </w:rPr>
        <w:t xml:space="preserve"> </w:t>
      </w:r>
      <w:r w:rsidR="00FF34EA">
        <w:rPr>
          <w:rFonts w:cs="Arial"/>
          <w:bCs/>
        </w:rPr>
        <w:fldChar w:fldCharType="begin"/>
      </w:r>
      <w:r w:rsidR="00FF34EA">
        <w:rPr>
          <w:rFonts w:cs="Arial"/>
          <w:bCs/>
        </w:rPr>
        <w:instrText xml:space="preserve"> REF _Ref510531983 \r \h </w:instrText>
      </w:r>
      <w:r w:rsidR="00FF34EA">
        <w:rPr>
          <w:rFonts w:cs="Arial"/>
          <w:bCs/>
        </w:rPr>
      </w:r>
      <w:r w:rsidR="00FF34EA">
        <w:rPr>
          <w:rFonts w:cs="Arial"/>
          <w:bCs/>
        </w:rPr>
        <w:fldChar w:fldCharType="separate"/>
      </w:r>
      <w:r w:rsidR="00FF34EA">
        <w:rPr>
          <w:rFonts w:cs="Arial"/>
          <w:bCs/>
        </w:rPr>
        <w:t>17</w:t>
      </w:r>
      <w:r w:rsidR="00FF34EA">
        <w:rPr>
          <w:rFonts w:cs="Arial"/>
          <w:bCs/>
        </w:rPr>
        <w:fldChar w:fldCharType="end"/>
      </w:r>
      <w:r w:rsidR="00FF34EA">
        <w:rPr>
          <w:rFonts w:cs="Arial"/>
          <w:bCs/>
        </w:rPr>
        <w:t xml:space="preserve">. </w:t>
      </w:r>
      <w:r w:rsidR="00D904AE" w:rsidRPr="007259CD">
        <w:rPr>
          <w:rFonts w:cs="Arial"/>
          <w:bCs/>
        </w:rPr>
        <w:t xml:space="preserve">The format of these reports is to be agreed with local </w:t>
      </w:r>
      <w:r w:rsidR="007479A2">
        <w:rPr>
          <w:rFonts w:cs="Arial"/>
          <w:bCs/>
        </w:rPr>
        <w:t>Commissioner</w:t>
      </w:r>
      <w:r w:rsidR="00D904AE" w:rsidRPr="007259CD">
        <w:rPr>
          <w:rFonts w:cs="Arial"/>
          <w:bCs/>
        </w:rPr>
        <w:t xml:space="preserve">s prior to service delivery. The service is expected to participate with </w:t>
      </w:r>
      <w:r w:rsidR="007479A2">
        <w:rPr>
          <w:rFonts w:cs="Arial"/>
          <w:bCs/>
        </w:rPr>
        <w:t>Commissioner</w:t>
      </w:r>
      <w:r w:rsidR="00D904AE" w:rsidRPr="007259CD">
        <w:rPr>
          <w:rFonts w:cs="Arial"/>
          <w:bCs/>
        </w:rPr>
        <w:t>s in the ongoing review of reports</w:t>
      </w:r>
      <w:r w:rsidR="00E10230" w:rsidRPr="007259CD">
        <w:rPr>
          <w:rFonts w:cs="Arial"/>
          <w:bCs/>
        </w:rPr>
        <w:t xml:space="preserve"> to ensure they are fit for purpose. </w:t>
      </w:r>
    </w:p>
    <w:p w:rsidR="00C44691" w:rsidRDefault="00C44691" w:rsidP="00D904AE">
      <w:pPr>
        <w:rPr>
          <w:rFonts w:cs="Arial"/>
          <w:bCs/>
        </w:rPr>
      </w:pPr>
    </w:p>
    <w:p w:rsidR="0056686F" w:rsidRDefault="00E10230" w:rsidP="00D904AE">
      <w:pPr>
        <w:rPr>
          <w:rFonts w:cs="Arial"/>
          <w:bCs/>
        </w:rPr>
      </w:pPr>
      <w:r w:rsidRPr="007259CD">
        <w:rPr>
          <w:rFonts w:cs="Arial"/>
          <w:bCs/>
        </w:rPr>
        <w:t xml:space="preserve">The </w:t>
      </w:r>
      <w:r w:rsidR="00B0328C">
        <w:rPr>
          <w:rFonts w:cs="Arial"/>
          <w:bCs/>
        </w:rPr>
        <w:t>Provider</w:t>
      </w:r>
      <w:r w:rsidRPr="007259CD">
        <w:rPr>
          <w:rFonts w:cs="Arial"/>
          <w:bCs/>
        </w:rPr>
        <w:t xml:space="preserve"> is expected to share key</w:t>
      </w:r>
      <w:r w:rsidR="00C44691">
        <w:rPr>
          <w:rFonts w:cs="Arial"/>
          <w:bCs/>
        </w:rPr>
        <w:t xml:space="preserve"> local attendance and outcome</w:t>
      </w:r>
      <w:r w:rsidRPr="007259CD">
        <w:rPr>
          <w:rFonts w:cs="Arial"/>
          <w:bCs/>
        </w:rPr>
        <w:t xml:space="preserve"> indicators as part of the Berkshire East Sexual Health Network Dashboard</w:t>
      </w:r>
      <w:r w:rsidR="0056686F">
        <w:rPr>
          <w:rFonts w:cs="Arial"/>
          <w:bCs/>
        </w:rPr>
        <w:t>.</w:t>
      </w:r>
    </w:p>
    <w:p w:rsidR="0056686F" w:rsidRDefault="0056686F" w:rsidP="00D904AE">
      <w:pPr>
        <w:rPr>
          <w:rFonts w:cs="Arial"/>
          <w:bCs/>
        </w:rPr>
      </w:pPr>
    </w:p>
    <w:p w:rsidR="00D904AE" w:rsidRPr="0056686F" w:rsidRDefault="0056686F" w:rsidP="00D904AE">
      <w:pPr>
        <w:rPr>
          <w:rFonts w:cs="Arial"/>
          <w:bCs/>
        </w:rPr>
      </w:pPr>
      <w:r>
        <w:rPr>
          <w:rFonts w:cs="Arial"/>
          <w:bCs/>
        </w:rPr>
        <w:t>On an annual basis the service is required to provide an Equal Opportunities Monitoring Report detailing</w:t>
      </w:r>
      <w:r w:rsidR="00F66DDD">
        <w:rPr>
          <w:rFonts w:cs="Arial"/>
          <w:bCs/>
        </w:rPr>
        <w:t xml:space="preserve"> all</w:t>
      </w:r>
      <w:r>
        <w:rPr>
          <w:rFonts w:cs="Arial"/>
          <w:bCs/>
        </w:rPr>
        <w:t xml:space="preserve"> </w:t>
      </w:r>
      <w:r w:rsidR="00F66DDD">
        <w:rPr>
          <w:rFonts w:cs="Arial"/>
          <w:bCs/>
        </w:rPr>
        <w:t xml:space="preserve">clinic </w:t>
      </w:r>
      <w:r>
        <w:rPr>
          <w:rFonts w:cs="Arial"/>
          <w:bCs/>
        </w:rPr>
        <w:t xml:space="preserve">attendances and use of online </w:t>
      </w:r>
      <w:r w:rsidR="00F66DDD">
        <w:rPr>
          <w:rFonts w:cs="Arial"/>
          <w:bCs/>
        </w:rPr>
        <w:t xml:space="preserve">or telephone </w:t>
      </w:r>
      <w:r>
        <w:rPr>
          <w:rFonts w:cs="Arial"/>
          <w:bCs/>
        </w:rPr>
        <w:t>services by groups with each of the protected characteristics (</w:t>
      </w:r>
      <w:r>
        <w:rPr>
          <w:rStyle w:val="tgc"/>
          <w:rFonts w:cs="Arial"/>
          <w:color w:val="222222"/>
        </w:rPr>
        <w:t>age, disability, gender reassignment, race, religion or belief, sex, sexual orientation, marriage and civil partnership, and pregnancy and maternity)</w:t>
      </w:r>
      <w:r>
        <w:rPr>
          <w:rFonts w:cs="Arial"/>
          <w:bCs/>
        </w:rPr>
        <w:t xml:space="preserve"> as per the Equality </w:t>
      </w:r>
      <w:r w:rsidRPr="0056686F">
        <w:rPr>
          <w:rFonts w:cs="Arial"/>
          <w:bCs/>
        </w:rPr>
        <w:t>Act 2010.</w:t>
      </w:r>
      <w:r w:rsidR="00E10230" w:rsidRPr="0056686F">
        <w:rPr>
          <w:rFonts w:cs="Arial"/>
          <w:bCs/>
        </w:rPr>
        <w:t xml:space="preserve"> </w:t>
      </w:r>
    </w:p>
    <w:p w:rsidR="00E10230" w:rsidRPr="0056686F" w:rsidRDefault="00E10230" w:rsidP="00D904AE">
      <w:pPr>
        <w:rPr>
          <w:rFonts w:cs="Arial"/>
          <w:bCs/>
        </w:rPr>
      </w:pPr>
    </w:p>
    <w:p w:rsidR="0056686F" w:rsidRDefault="0056686F" w:rsidP="00D904AE">
      <w:pPr>
        <w:rPr>
          <w:rFonts w:cs="Arial"/>
          <w:b/>
          <w:bCs/>
        </w:rPr>
      </w:pPr>
      <w:r w:rsidRPr="0056686F">
        <w:rPr>
          <w:rFonts w:cs="Arial"/>
          <w:bCs/>
        </w:rPr>
        <w:t>O</w:t>
      </w:r>
      <w:r>
        <w:rPr>
          <w:rFonts w:cs="Arial"/>
          <w:bCs/>
        </w:rPr>
        <w:t>n</w:t>
      </w:r>
      <w:r w:rsidRPr="0056686F">
        <w:rPr>
          <w:rFonts w:cs="Arial"/>
          <w:bCs/>
        </w:rPr>
        <w:t xml:space="preserve"> a quarterly basis, the service is required to report the number of new</w:t>
      </w:r>
      <w:r w:rsidR="00C44691">
        <w:rPr>
          <w:rFonts w:cs="Arial"/>
          <w:bCs/>
        </w:rPr>
        <w:t xml:space="preserve"> chlamydia, gonorrhoea, syphilis and HIV</w:t>
      </w:r>
      <w:r w:rsidRPr="0056686F">
        <w:rPr>
          <w:rFonts w:cs="Arial"/>
          <w:bCs/>
        </w:rPr>
        <w:t xml:space="preserve"> diagnoses </w:t>
      </w:r>
      <w:r w:rsidR="00C44691">
        <w:rPr>
          <w:rFonts w:cs="Arial"/>
          <w:bCs/>
        </w:rPr>
        <w:t xml:space="preserve">(using SHAPPT codes </w:t>
      </w:r>
      <w:r w:rsidRPr="0056686F">
        <w:rPr>
          <w:rFonts w:cs="Arial"/>
          <w:bCs/>
        </w:rPr>
        <w:t>as per GUMCAD requirements</w:t>
      </w:r>
      <w:r w:rsidR="00C44691">
        <w:rPr>
          <w:rFonts w:cs="Arial"/>
          <w:bCs/>
        </w:rPr>
        <w:t>)</w:t>
      </w:r>
      <w:r w:rsidRPr="0056686F">
        <w:rPr>
          <w:rFonts w:cs="Arial"/>
          <w:bCs/>
        </w:rPr>
        <w:t xml:space="preserve"> for residents of each Local Authority</w:t>
      </w:r>
      <w:r>
        <w:rPr>
          <w:rFonts w:cs="Arial"/>
          <w:b/>
          <w:bCs/>
        </w:rPr>
        <w:t>.</w:t>
      </w:r>
    </w:p>
    <w:p w:rsidR="0056686F" w:rsidRPr="0056686F" w:rsidRDefault="0056686F" w:rsidP="00D904AE">
      <w:pPr>
        <w:rPr>
          <w:rFonts w:cs="Arial"/>
          <w:bCs/>
        </w:rPr>
      </w:pPr>
      <w:r>
        <w:rPr>
          <w:rFonts w:cs="Arial"/>
          <w:b/>
          <w:bCs/>
        </w:rPr>
        <w:t xml:space="preserve"> </w:t>
      </w:r>
    </w:p>
    <w:p w:rsidR="0056686F" w:rsidRDefault="0056686F" w:rsidP="00D904AE">
      <w:pPr>
        <w:rPr>
          <w:rFonts w:cs="Arial"/>
          <w:bCs/>
        </w:rPr>
      </w:pPr>
      <w:r w:rsidRPr="0056686F">
        <w:rPr>
          <w:rFonts w:cs="Arial"/>
          <w:bCs/>
        </w:rPr>
        <w:t>Data reporting requirements for locally agreed variations to the service are listed as follows</w:t>
      </w:r>
      <w:r w:rsidR="00306C20">
        <w:rPr>
          <w:rFonts w:cs="Arial"/>
          <w:bCs/>
        </w:rPr>
        <w:t>:</w:t>
      </w:r>
    </w:p>
    <w:p w:rsidR="00E63DEA" w:rsidRPr="0056686F" w:rsidRDefault="00E63DEA" w:rsidP="00D904AE">
      <w:pPr>
        <w:rPr>
          <w:rFonts w:cs="Arial"/>
          <w:bCs/>
        </w:rPr>
      </w:pPr>
    </w:p>
    <w:p w:rsidR="0056686F" w:rsidRPr="0056686F" w:rsidRDefault="0056686F" w:rsidP="0056686F">
      <w:pPr>
        <w:pStyle w:val="ListParagraph"/>
        <w:numPr>
          <w:ilvl w:val="0"/>
          <w:numId w:val="21"/>
        </w:numPr>
        <w:rPr>
          <w:rFonts w:ascii="Arial" w:hAnsi="Arial" w:cs="Arial"/>
          <w:bCs/>
        </w:rPr>
      </w:pPr>
      <w:r w:rsidRPr="0056686F">
        <w:rPr>
          <w:rFonts w:ascii="Arial" w:hAnsi="Arial" w:cs="Arial"/>
          <w:bCs/>
        </w:rPr>
        <w:t>Appendix 1 (Bracknell Forest Targeted Outreach Nurse)</w:t>
      </w:r>
    </w:p>
    <w:p w:rsidR="009D748D" w:rsidRPr="00976ECE" w:rsidRDefault="00682EAA" w:rsidP="009D748D">
      <w:pPr>
        <w:jc w:val="both"/>
        <w:rPr>
          <w:rFonts w:eastAsia="Arial" w:cs="Arial"/>
          <w:b/>
          <w:bCs/>
        </w:rPr>
      </w:pPr>
      <w:r>
        <w:rPr>
          <w:rFonts w:eastAsia="Arial" w:cs="Arial"/>
          <w:b/>
          <w:bCs/>
        </w:rPr>
        <w:br w:type="page"/>
      </w:r>
    </w:p>
    <w:p w:rsidR="00DB5F49" w:rsidRDefault="009D748D" w:rsidP="00F66DDD">
      <w:pPr>
        <w:pStyle w:val="ListParagraph"/>
        <w:numPr>
          <w:ilvl w:val="0"/>
          <w:numId w:val="37"/>
        </w:numPr>
        <w:jc w:val="both"/>
        <w:rPr>
          <w:rFonts w:ascii="Arial" w:eastAsia="Arial" w:hAnsi="Arial" w:cs="Arial"/>
          <w:b/>
          <w:bCs/>
        </w:rPr>
      </w:pPr>
      <w:bookmarkStart w:id="1" w:name="_Ref510532068"/>
      <w:r w:rsidRPr="00976ECE">
        <w:rPr>
          <w:rFonts w:ascii="Arial" w:eastAsia="Arial" w:hAnsi="Arial" w:cs="Arial"/>
          <w:b/>
          <w:bCs/>
        </w:rPr>
        <w:lastRenderedPageBreak/>
        <w:t>KPIs</w:t>
      </w:r>
      <w:bookmarkEnd w:id="1"/>
      <w:r w:rsidR="000D2E7D" w:rsidRPr="00976ECE">
        <w:rPr>
          <w:rFonts w:ascii="Arial" w:eastAsia="Arial" w:hAnsi="Arial" w:cs="Arial"/>
          <w:b/>
          <w:bCs/>
        </w:rPr>
        <w:t xml:space="preserve"> </w:t>
      </w:r>
    </w:p>
    <w:p w:rsidR="00F66DDD" w:rsidRDefault="00F66DDD" w:rsidP="00DB5F49">
      <w:pPr>
        <w:pStyle w:val="ListParagraph"/>
        <w:ind w:left="-142"/>
        <w:jc w:val="both"/>
        <w:rPr>
          <w:rFonts w:ascii="Arial" w:hAnsi="Arial" w:cs="Arial"/>
        </w:rPr>
      </w:pPr>
    </w:p>
    <w:p w:rsidR="00DB5F49" w:rsidRDefault="00DB5F49" w:rsidP="00DB5F49">
      <w:pPr>
        <w:pStyle w:val="ListParagraph"/>
        <w:ind w:left="-142"/>
        <w:jc w:val="both"/>
        <w:rPr>
          <w:rFonts w:ascii="Arial" w:hAnsi="Arial" w:cs="Arial"/>
        </w:rPr>
      </w:pPr>
      <w:r w:rsidRPr="00DB5F49">
        <w:rPr>
          <w:rFonts w:ascii="Arial" w:hAnsi="Arial" w:cs="Arial"/>
        </w:rPr>
        <w:t xml:space="preserve">Note that </w:t>
      </w:r>
      <w:r w:rsidR="00306C20">
        <w:rPr>
          <w:rFonts w:ascii="Arial" w:hAnsi="Arial" w:cs="Arial"/>
        </w:rPr>
        <w:t>i</w:t>
      </w:r>
      <w:r w:rsidR="00306C20" w:rsidRPr="00DB5F49">
        <w:rPr>
          <w:rFonts w:ascii="Arial" w:hAnsi="Arial" w:cs="Arial"/>
        </w:rPr>
        <w:t xml:space="preserve">nformation </w:t>
      </w:r>
      <w:r w:rsidRPr="00DB5F49">
        <w:rPr>
          <w:rFonts w:ascii="Arial" w:hAnsi="Arial" w:cs="Arial"/>
        </w:rPr>
        <w:t xml:space="preserve">items should be provided by </w:t>
      </w:r>
      <w:r w:rsidR="00306C20">
        <w:rPr>
          <w:rFonts w:ascii="Arial" w:hAnsi="Arial" w:cs="Arial"/>
        </w:rPr>
        <w:t>Local Authority</w:t>
      </w:r>
      <w:r w:rsidR="00306C20" w:rsidRPr="00DB5F49">
        <w:rPr>
          <w:rFonts w:ascii="Arial" w:hAnsi="Arial" w:cs="Arial"/>
        </w:rPr>
        <w:t xml:space="preserve"> </w:t>
      </w:r>
      <w:r w:rsidRPr="00DB5F49">
        <w:rPr>
          <w:rFonts w:ascii="Arial" w:hAnsi="Arial" w:cs="Arial"/>
        </w:rPr>
        <w:t>of residence unless otherwise stated</w:t>
      </w:r>
      <w:r w:rsidR="00306C20">
        <w:rPr>
          <w:rFonts w:ascii="Arial" w:hAnsi="Arial" w:cs="Arial"/>
        </w:rPr>
        <w:t>.</w:t>
      </w:r>
    </w:p>
    <w:p w:rsidR="00F66DDD" w:rsidRPr="00DB5F49" w:rsidRDefault="00F66DDD" w:rsidP="00DB5F49">
      <w:pPr>
        <w:pStyle w:val="ListParagraph"/>
        <w:ind w:left="-142"/>
        <w:jc w:val="both"/>
        <w:rPr>
          <w:rFonts w:ascii="Arial" w:hAnsi="Arial"/>
        </w:rPr>
      </w:pPr>
    </w:p>
    <w:tbl>
      <w:tblPr>
        <w:tblStyle w:val="TableGrid"/>
        <w:tblW w:w="5001" w:type="pct"/>
        <w:tblLayout w:type="fixed"/>
        <w:tblLook w:val="04A0" w:firstRow="1" w:lastRow="0" w:firstColumn="1" w:lastColumn="0" w:noHBand="0" w:noVBand="1"/>
      </w:tblPr>
      <w:tblGrid>
        <w:gridCol w:w="817"/>
        <w:gridCol w:w="5247"/>
        <w:gridCol w:w="139"/>
        <w:gridCol w:w="1403"/>
        <w:gridCol w:w="15"/>
        <w:gridCol w:w="142"/>
        <w:gridCol w:w="1481"/>
      </w:tblGrid>
      <w:tr w:rsidR="008722F3" w:rsidRPr="00976ECE" w:rsidTr="000D3635">
        <w:trPr>
          <w:trHeight w:val="1155"/>
        </w:trPr>
        <w:tc>
          <w:tcPr>
            <w:tcW w:w="442" w:type="pct"/>
            <w:shd w:val="clear" w:color="auto" w:fill="C6D9F1" w:themeFill="text2" w:themeFillTint="33"/>
            <w:hideMark/>
          </w:tcPr>
          <w:p w:rsidR="008722F3" w:rsidRPr="00976ECE" w:rsidRDefault="008722F3" w:rsidP="008722F3">
            <w:pPr>
              <w:jc w:val="center"/>
              <w:rPr>
                <w:rFonts w:eastAsia="Times New Roman" w:cs="Arial"/>
                <w:b/>
                <w:bCs/>
                <w:color w:val="000000"/>
                <w:lang w:eastAsia="en-GB"/>
              </w:rPr>
            </w:pPr>
          </w:p>
        </w:tc>
        <w:tc>
          <w:tcPr>
            <w:tcW w:w="2913" w:type="pct"/>
            <w:gridSpan w:val="2"/>
            <w:shd w:val="clear" w:color="auto" w:fill="C6D9F1" w:themeFill="text2" w:themeFillTint="33"/>
            <w:hideMark/>
          </w:tcPr>
          <w:p w:rsidR="008722F3" w:rsidRPr="00976ECE" w:rsidRDefault="008722F3" w:rsidP="00976ECE">
            <w:pPr>
              <w:jc w:val="center"/>
              <w:rPr>
                <w:rFonts w:eastAsia="Times New Roman" w:cs="Arial"/>
                <w:b/>
                <w:bCs/>
                <w:color w:val="000000"/>
                <w:lang w:eastAsia="en-GB"/>
              </w:rPr>
            </w:pPr>
            <w:r w:rsidRPr="00976ECE">
              <w:rPr>
                <w:rFonts w:eastAsia="Times New Roman" w:cs="Arial"/>
                <w:b/>
                <w:bCs/>
                <w:color w:val="000000"/>
                <w:lang w:eastAsia="en-GB"/>
              </w:rPr>
              <w:t xml:space="preserve">Indicator </w:t>
            </w:r>
          </w:p>
        </w:tc>
        <w:tc>
          <w:tcPr>
            <w:tcW w:w="759" w:type="pct"/>
            <w:shd w:val="clear" w:color="auto" w:fill="C6D9F1" w:themeFill="text2" w:themeFillTint="33"/>
            <w:hideMark/>
          </w:tcPr>
          <w:p w:rsidR="008722F3" w:rsidRPr="00976ECE" w:rsidRDefault="008722F3" w:rsidP="008722F3">
            <w:pPr>
              <w:jc w:val="center"/>
              <w:rPr>
                <w:rFonts w:eastAsia="Times New Roman" w:cs="Arial"/>
                <w:b/>
                <w:bCs/>
                <w:color w:val="000000"/>
                <w:lang w:eastAsia="en-GB"/>
              </w:rPr>
            </w:pPr>
            <w:r w:rsidRPr="00976ECE">
              <w:rPr>
                <w:rFonts w:eastAsia="Times New Roman" w:cs="Arial"/>
                <w:b/>
                <w:bCs/>
                <w:color w:val="000000"/>
                <w:lang w:eastAsia="en-GB"/>
              </w:rPr>
              <w:t>Threshold</w:t>
            </w:r>
          </w:p>
        </w:tc>
        <w:tc>
          <w:tcPr>
            <w:tcW w:w="886" w:type="pct"/>
            <w:gridSpan w:val="3"/>
            <w:shd w:val="clear" w:color="auto" w:fill="C6D9F1" w:themeFill="text2" w:themeFillTint="33"/>
            <w:hideMark/>
          </w:tcPr>
          <w:p w:rsidR="008722F3" w:rsidRPr="00976ECE" w:rsidRDefault="008722F3" w:rsidP="008722F3">
            <w:pPr>
              <w:jc w:val="center"/>
              <w:rPr>
                <w:rFonts w:eastAsia="Times New Roman" w:cs="Arial"/>
                <w:b/>
                <w:bCs/>
                <w:color w:val="000000"/>
                <w:lang w:eastAsia="en-GB"/>
              </w:rPr>
            </w:pPr>
            <w:r w:rsidRPr="00976ECE">
              <w:rPr>
                <w:rFonts w:eastAsia="Times New Roman" w:cs="Arial"/>
                <w:b/>
                <w:bCs/>
                <w:color w:val="000000"/>
                <w:lang w:eastAsia="en-GB"/>
              </w:rPr>
              <w:t xml:space="preserve">Frequency / </w:t>
            </w:r>
            <w:r w:rsidRPr="00976ECE">
              <w:rPr>
                <w:rFonts w:eastAsia="Times New Roman" w:cs="Arial"/>
                <w:b/>
                <w:bCs/>
                <w:color w:val="000000"/>
                <w:lang w:eastAsia="en-GB"/>
              </w:rPr>
              <w:br/>
              <w:t>Method of Measurement</w:t>
            </w:r>
          </w:p>
        </w:tc>
      </w:tr>
      <w:tr w:rsidR="00976ECE" w:rsidRPr="00976ECE" w:rsidTr="00650D4B">
        <w:trPr>
          <w:trHeight w:val="375"/>
        </w:trPr>
        <w:tc>
          <w:tcPr>
            <w:tcW w:w="5000" w:type="pct"/>
            <w:gridSpan w:val="7"/>
            <w:shd w:val="clear" w:color="auto" w:fill="548DD4" w:themeFill="text2" w:themeFillTint="99"/>
          </w:tcPr>
          <w:p w:rsidR="00976ECE" w:rsidRPr="00976ECE" w:rsidRDefault="00976ECE" w:rsidP="008722F3">
            <w:pPr>
              <w:jc w:val="center"/>
              <w:rPr>
                <w:rFonts w:eastAsia="Times New Roman" w:cs="Arial"/>
                <w:lang w:eastAsia="en-GB"/>
              </w:rPr>
            </w:pPr>
            <w:r>
              <w:rPr>
                <w:rFonts w:eastAsia="Times New Roman" w:cs="Arial"/>
                <w:b/>
                <w:bCs/>
                <w:color w:val="000000"/>
                <w:lang w:eastAsia="en-GB"/>
              </w:rPr>
              <w:t>Clinical Management</w:t>
            </w:r>
          </w:p>
        </w:tc>
      </w:tr>
      <w:tr w:rsidR="008722F3" w:rsidRPr="00976ECE" w:rsidTr="000D3635">
        <w:trPr>
          <w:trHeight w:val="630"/>
        </w:trPr>
        <w:tc>
          <w:tcPr>
            <w:tcW w:w="442" w:type="pct"/>
            <w:vMerge w:val="restart"/>
            <w:hideMark/>
          </w:tcPr>
          <w:p w:rsidR="008722F3" w:rsidRPr="00976ECE" w:rsidRDefault="008722F3" w:rsidP="008722F3">
            <w:pPr>
              <w:jc w:val="center"/>
              <w:rPr>
                <w:rFonts w:eastAsia="Times New Roman" w:cs="Arial"/>
                <w:b/>
                <w:bCs/>
                <w:color w:val="000000"/>
                <w:lang w:eastAsia="en-GB"/>
              </w:rPr>
            </w:pPr>
            <w:r w:rsidRPr="00976ECE">
              <w:rPr>
                <w:rFonts w:eastAsia="Times New Roman" w:cs="Arial"/>
                <w:b/>
                <w:bCs/>
                <w:color w:val="000000"/>
                <w:lang w:eastAsia="en-GB"/>
              </w:rPr>
              <w:t>1</w:t>
            </w:r>
          </w:p>
        </w:tc>
        <w:tc>
          <w:tcPr>
            <w:tcW w:w="2913" w:type="pct"/>
            <w:gridSpan w:val="2"/>
            <w:vMerge w:val="restart"/>
            <w:hideMark/>
          </w:tcPr>
          <w:p w:rsidR="00DB5F49" w:rsidRDefault="00341AEC" w:rsidP="00976ECE">
            <w:pPr>
              <w:rPr>
                <w:rFonts w:eastAsia="Times New Roman" w:cs="Arial"/>
                <w:color w:val="000000"/>
                <w:lang w:eastAsia="en-GB"/>
              </w:rPr>
            </w:pPr>
            <w:r>
              <w:rPr>
                <w:rFonts w:eastAsia="Times New Roman" w:cs="Arial"/>
                <w:color w:val="000000"/>
                <w:lang w:eastAsia="en-GB"/>
              </w:rPr>
              <w:t>Number and p</w:t>
            </w:r>
            <w:r w:rsidR="008722F3" w:rsidRPr="00976ECE">
              <w:rPr>
                <w:rFonts w:eastAsia="Times New Roman" w:cs="Arial"/>
                <w:color w:val="000000"/>
                <w:lang w:eastAsia="en-GB"/>
              </w:rPr>
              <w:t>ercentage of users who are triaged within 30 minutes.</w:t>
            </w:r>
          </w:p>
          <w:p w:rsidR="008722F3" w:rsidRPr="00DB5F49" w:rsidRDefault="008722F3" w:rsidP="00DB5F49">
            <w:pPr>
              <w:rPr>
                <w:rFonts w:eastAsia="Times New Roman" w:cs="Arial"/>
                <w:lang w:eastAsia="en-GB"/>
              </w:rPr>
            </w:pPr>
          </w:p>
        </w:tc>
        <w:tc>
          <w:tcPr>
            <w:tcW w:w="759" w:type="pct"/>
            <w:vMerge w:val="restart"/>
            <w:hideMark/>
          </w:tcPr>
          <w:p w:rsidR="008722F3" w:rsidRPr="00976ECE" w:rsidRDefault="008722F3" w:rsidP="008722F3">
            <w:pPr>
              <w:jc w:val="center"/>
              <w:rPr>
                <w:rFonts w:eastAsia="Times New Roman" w:cs="Arial"/>
                <w:color w:val="000000"/>
                <w:lang w:eastAsia="en-GB"/>
              </w:rPr>
            </w:pPr>
            <w:r w:rsidRPr="00976ECE">
              <w:rPr>
                <w:rFonts w:eastAsia="Times New Roman" w:cs="Arial"/>
                <w:color w:val="000000"/>
                <w:lang w:eastAsia="en-GB"/>
              </w:rPr>
              <w:t>98%</w:t>
            </w:r>
          </w:p>
        </w:tc>
        <w:tc>
          <w:tcPr>
            <w:tcW w:w="886" w:type="pct"/>
            <w:gridSpan w:val="3"/>
            <w:vMerge w:val="restart"/>
            <w:hideMark/>
          </w:tcPr>
          <w:p w:rsidR="008722F3" w:rsidRPr="00976ECE" w:rsidRDefault="008722F3" w:rsidP="008722F3">
            <w:pPr>
              <w:jc w:val="center"/>
              <w:rPr>
                <w:rFonts w:eastAsia="Times New Roman" w:cs="Arial"/>
                <w:lang w:eastAsia="en-GB"/>
              </w:rPr>
            </w:pPr>
            <w:r w:rsidRPr="00976ECE">
              <w:rPr>
                <w:rFonts w:eastAsia="Times New Roman" w:cs="Arial"/>
                <w:lang w:eastAsia="en-GB"/>
              </w:rPr>
              <w:t>Quarterly</w:t>
            </w:r>
          </w:p>
        </w:tc>
      </w:tr>
      <w:tr w:rsidR="008722F3" w:rsidRPr="00976ECE" w:rsidTr="000D3635">
        <w:trPr>
          <w:trHeight w:val="300"/>
        </w:trPr>
        <w:tc>
          <w:tcPr>
            <w:tcW w:w="442" w:type="pct"/>
            <w:vMerge/>
            <w:hideMark/>
          </w:tcPr>
          <w:p w:rsidR="008722F3" w:rsidRPr="00976ECE" w:rsidRDefault="008722F3" w:rsidP="008722F3">
            <w:pPr>
              <w:rPr>
                <w:rFonts w:eastAsia="Times New Roman" w:cs="Arial"/>
                <w:b/>
                <w:bCs/>
                <w:color w:val="000000"/>
                <w:lang w:eastAsia="en-GB"/>
              </w:rPr>
            </w:pPr>
          </w:p>
        </w:tc>
        <w:tc>
          <w:tcPr>
            <w:tcW w:w="2913" w:type="pct"/>
            <w:gridSpan w:val="2"/>
            <w:vMerge/>
            <w:hideMark/>
          </w:tcPr>
          <w:p w:rsidR="008722F3" w:rsidRPr="00976ECE" w:rsidRDefault="008722F3" w:rsidP="00976ECE">
            <w:pPr>
              <w:rPr>
                <w:rFonts w:eastAsia="Times New Roman" w:cs="Arial"/>
                <w:color w:val="000000"/>
                <w:lang w:eastAsia="en-GB"/>
              </w:rPr>
            </w:pPr>
          </w:p>
        </w:tc>
        <w:tc>
          <w:tcPr>
            <w:tcW w:w="759" w:type="pct"/>
            <w:vMerge/>
            <w:hideMark/>
          </w:tcPr>
          <w:p w:rsidR="008722F3" w:rsidRPr="00976ECE" w:rsidRDefault="008722F3" w:rsidP="008722F3">
            <w:pPr>
              <w:rPr>
                <w:rFonts w:eastAsia="Times New Roman" w:cs="Arial"/>
                <w:color w:val="000000"/>
                <w:lang w:eastAsia="en-GB"/>
              </w:rPr>
            </w:pPr>
          </w:p>
        </w:tc>
        <w:tc>
          <w:tcPr>
            <w:tcW w:w="886" w:type="pct"/>
            <w:gridSpan w:val="3"/>
            <w:vMerge/>
            <w:hideMark/>
          </w:tcPr>
          <w:p w:rsidR="008722F3" w:rsidRPr="00976ECE" w:rsidRDefault="008722F3" w:rsidP="008722F3">
            <w:pPr>
              <w:rPr>
                <w:rFonts w:eastAsia="Times New Roman" w:cs="Arial"/>
                <w:lang w:eastAsia="en-GB"/>
              </w:rPr>
            </w:pPr>
          </w:p>
        </w:tc>
      </w:tr>
      <w:tr w:rsidR="008722F3" w:rsidRPr="00976ECE" w:rsidTr="000D3635">
        <w:trPr>
          <w:trHeight w:val="300"/>
        </w:trPr>
        <w:tc>
          <w:tcPr>
            <w:tcW w:w="442" w:type="pct"/>
            <w:vMerge/>
            <w:hideMark/>
          </w:tcPr>
          <w:p w:rsidR="008722F3" w:rsidRPr="00976ECE" w:rsidRDefault="008722F3" w:rsidP="008722F3">
            <w:pPr>
              <w:rPr>
                <w:rFonts w:eastAsia="Times New Roman" w:cs="Arial"/>
                <w:b/>
                <w:bCs/>
                <w:color w:val="000000"/>
                <w:lang w:eastAsia="en-GB"/>
              </w:rPr>
            </w:pPr>
          </w:p>
        </w:tc>
        <w:tc>
          <w:tcPr>
            <w:tcW w:w="2913" w:type="pct"/>
            <w:gridSpan w:val="2"/>
            <w:vMerge/>
            <w:hideMark/>
          </w:tcPr>
          <w:p w:rsidR="008722F3" w:rsidRPr="00976ECE" w:rsidRDefault="008722F3" w:rsidP="00976ECE">
            <w:pPr>
              <w:rPr>
                <w:rFonts w:eastAsia="Times New Roman" w:cs="Arial"/>
                <w:color w:val="000000"/>
                <w:lang w:eastAsia="en-GB"/>
              </w:rPr>
            </w:pPr>
          </w:p>
        </w:tc>
        <w:tc>
          <w:tcPr>
            <w:tcW w:w="759" w:type="pct"/>
            <w:vMerge/>
            <w:hideMark/>
          </w:tcPr>
          <w:p w:rsidR="008722F3" w:rsidRPr="00976ECE" w:rsidRDefault="008722F3" w:rsidP="008722F3">
            <w:pPr>
              <w:rPr>
                <w:rFonts w:eastAsia="Times New Roman" w:cs="Arial"/>
                <w:color w:val="000000"/>
                <w:lang w:eastAsia="en-GB"/>
              </w:rPr>
            </w:pPr>
          </w:p>
        </w:tc>
        <w:tc>
          <w:tcPr>
            <w:tcW w:w="886" w:type="pct"/>
            <w:gridSpan w:val="3"/>
            <w:vMerge/>
            <w:hideMark/>
          </w:tcPr>
          <w:p w:rsidR="008722F3" w:rsidRPr="00976ECE" w:rsidRDefault="008722F3" w:rsidP="008722F3">
            <w:pPr>
              <w:rPr>
                <w:rFonts w:eastAsia="Times New Roman" w:cs="Arial"/>
                <w:lang w:eastAsia="en-GB"/>
              </w:rPr>
            </w:pPr>
          </w:p>
        </w:tc>
      </w:tr>
      <w:tr w:rsidR="008722F3" w:rsidRPr="00976ECE" w:rsidTr="00DB5F49">
        <w:trPr>
          <w:trHeight w:val="253"/>
        </w:trPr>
        <w:tc>
          <w:tcPr>
            <w:tcW w:w="442" w:type="pct"/>
            <w:vMerge/>
            <w:hideMark/>
          </w:tcPr>
          <w:p w:rsidR="008722F3" w:rsidRPr="00976ECE" w:rsidRDefault="008722F3" w:rsidP="008722F3">
            <w:pPr>
              <w:rPr>
                <w:rFonts w:eastAsia="Times New Roman" w:cs="Arial"/>
                <w:b/>
                <w:bCs/>
                <w:color w:val="000000"/>
                <w:lang w:eastAsia="en-GB"/>
              </w:rPr>
            </w:pPr>
          </w:p>
        </w:tc>
        <w:tc>
          <w:tcPr>
            <w:tcW w:w="2913" w:type="pct"/>
            <w:gridSpan w:val="2"/>
            <w:vMerge/>
            <w:hideMark/>
          </w:tcPr>
          <w:p w:rsidR="008722F3" w:rsidRPr="00976ECE" w:rsidRDefault="008722F3" w:rsidP="00976ECE">
            <w:pPr>
              <w:rPr>
                <w:rFonts w:eastAsia="Times New Roman" w:cs="Arial"/>
                <w:color w:val="000000"/>
                <w:lang w:eastAsia="en-GB"/>
              </w:rPr>
            </w:pPr>
          </w:p>
        </w:tc>
        <w:tc>
          <w:tcPr>
            <w:tcW w:w="759" w:type="pct"/>
            <w:vMerge/>
            <w:hideMark/>
          </w:tcPr>
          <w:p w:rsidR="008722F3" w:rsidRPr="00976ECE" w:rsidRDefault="008722F3" w:rsidP="008722F3">
            <w:pPr>
              <w:rPr>
                <w:rFonts w:eastAsia="Times New Roman" w:cs="Arial"/>
                <w:color w:val="000000"/>
                <w:lang w:eastAsia="en-GB"/>
              </w:rPr>
            </w:pPr>
          </w:p>
        </w:tc>
        <w:tc>
          <w:tcPr>
            <w:tcW w:w="886" w:type="pct"/>
            <w:gridSpan w:val="3"/>
            <w:vMerge/>
            <w:hideMark/>
          </w:tcPr>
          <w:p w:rsidR="008722F3" w:rsidRPr="00976ECE" w:rsidRDefault="008722F3" w:rsidP="008722F3">
            <w:pPr>
              <w:rPr>
                <w:rFonts w:eastAsia="Times New Roman" w:cs="Arial"/>
                <w:lang w:eastAsia="en-GB"/>
              </w:rPr>
            </w:pPr>
          </w:p>
        </w:tc>
      </w:tr>
      <w:tr w:rsidR="008722F3" w:rsidRPr="00976ECE" w:rsidTr="000D3635">
        <w:trPr>
          <w:trHeight w:val="255"/>
        </w:trPr>
        <w:tc>
          <w:tcPr>
            <w:tcW w:w="442" w:type="pct"/>
            <w:vMerge w:val="restart"/>
            <w:hideMark/>
          </w:tcPr>
          <w:p w:rsidR="008722F3" w:rsidRPr="00976ECE" w:rsidRDefault="008722F3" w:rsidP="008722F3">
            <w:pPr>
              <w:jc w:val="center"/>
              <w:rPr>
                <w:rFonts w:eastAsia="Times New Roman" w:cs="Arial"/>
                <w:b/>
                <w:bCs/>
                <w:color w:val="000000"/>
                <w:lang w:eastAsia="en-GB"/>
              </w:rPr>
            </w:pPr>
            <w:r w:rsidRPr="00976ECE">
              <w:rPr>
                <w:rFonts w:eastAsia="Times New Roman" w:cs="Arial"/>
                <w:b/>
                <w:bCs/>
                <w:color w:val="000000"/>
                <w:lang w:eastAsia="en-GB"/>
              </w:rPr>
              <w:t>2</w:t>
            </w:r>
          </w:p>
        </w:tc>
        <w:tc>
          <w:tcPr>
            <w:tcW w:w="2913" w:type="pct"/>
            <w:gridSpan w:val="2"/>
            <w:vMerge w:val="restart"/>
            <w:hideMark/>
          </w:tcPr>
          <w:p w:rsidR="008722F3" w:rsidRPr="00407403" w:rsidRDefault="00407403" w:rsidP="00976ECE">
            <w:pPr>
              <w:rPr>
                <w:rFonts w:cs="Arial"/>
              </w:rPr>
            </w:pPr>
            <w:r w:rsidRPr="006E0BEE">
              <w:rPr>
                <w:rFonts w:cs="Arial"/>
              </w:rPr>
              <w:t>% of people with needs relating to STIs and/or contraception contacting a service who are offered to be seen or assessed with an appointment or as a ‘walk-in’ within two working days of first contacting the service</w:t>
            </w:r>
          </w:p>
        </w:tc>
        <w:tc>
          <w:tcPr>
            <w:tcW w:w="759" w:type="pct"/>
            <w:vMerge w:val="restart"/>
            <w:hideMark/>
          </w:tcPr>
          <w:p w:rsidR="008722F3" w:rsidRPr="00976ECE" w:rsidRDefault="008722F3" w:rsidP="008722F3">
            <w:pPr>
              <w:jc w:val="center"/>
              <w:rPr>
                <w:rFonts w:eastAsia="Times New Roman" w:cs="Arial"/>
                <w:color w:val="000000"/>
                <w:lang w:eastAsia="en-GB"/>
              </w:rPr>
            </w:pPr>
            <w:r w:rsidRPr="00976ECE">
              <w:rPr>
                <w:rFonts w:eastAsia="Times New Roman" w:cs="Arial"/>
                <w:color w:val="000000"/>
                <w:lang w:eastAsia="en-GB"/>
              </w:rPr>
              <w:t>98%</w:t>
            </w:r>
          </w:p>
        </w:tc>
        <w:tc>
          <w:tcPr>
            <w:tcW w:w="886" w:type="pct"/>
            <w:gridSpan w:val="3"/>
            <w:vMerge w:val="restart"/>
            <w:hideMark/>
          </w:tcPr>
          <w:p w:rsidR="008722F3" w:rsidRPr="00976ECE" w:rsidRDefault="008722F3" w:rsidP="008722F3">
            <w:pPr>
              <w:jc w:val="center"/>
              <w:rPr>
                <w:rFonts w:eastAsia="Times New Roman" w:cs="Arial"/>
                <w:lang w:eastAsia="en-GB"/>
              </w:rPr>
            </w:pPr>
            <w:r w:rsidRPr="00976ECE">
              <w:rPr>
                <w:rFonts w:eastAsia="Times New Roman" w:cs="Arial"/>
                <w:lang w:eastAsia="en-GB"/>
              </w:rPr>
              <w:t>Quarterly</w:t>
            </w:r>
          </w:p>
        </w:tc>
      </w:tr>
      <w:tr w:rsidR="008722F3" w:rsidRPr="00976ECE" w:rsidTr="000D3635">
        <w:trPr>
          <w:trHeight w:val="255"/>
        </w:trPr>
        <w:tc>
          <w:tcPr>
            <w:tcW w:w="442" w:type="pct"/>
            <w:vMerge/>
            <w:hideMark/>
          </w:tcPr>
          <w:p w:rsidR="008722F3" w:rsidRPr="00976ECE" w:rsidRDefault="008722F3" w:rsidP="008722F3">
            <w:pPr>
              <w:rPr>
                <w:rFonts w:eastAsia="Times New Roman" w:cs="Arial"/>
                <w:b/>
                <w:bCs/>
                <w:color w:val="000000"/>
                <w:lang w:eastAsia="en-GB"/>
              </w:rPr>
            </w:pPr>
          </w:p>
        </w:tc>
        <w:tc>
          <w:tcPr>
            <w:tcW w:w="2913" w:type="pct"/>
            <w:gridSpan w:val="2"/>
            <w:vMerge/>
            <w:hideMark/>
          </w:tcPr>
          <w:p w:rsidR="008722F3" w:rsidRPr="00976ECE" w:rsidRDefault="008722F3" w:rsidP="00976ECE">
            <w:pPr>
              <w:rPr>
                <w:rFonts w:eastAsia="Times New Roman" w:cs="Arial"/>
                <w:color w:val="000000"/>
                <w:lang w:eastAsia="en-GB"/>
              </w:rPr>
            </w:pPr>
          </w:p>
        </w:tc>
        <w:tc>
          <w:tcPr>
            <w:tcW w:w="759" w:type="pct"/>
            <w:vMerge/>
            <w:hideMark/>
          </w:tcPr>
          <w:p w:rsidR="008722F3" w:rsidRPr="00976ECE" w:rsidRDefault="008722F3" w:rsidP="008722F3">
            <w:pPr>
              <w:rPr>
                <w:rFonts w:eastAsia="Times New Roman" w:cs="Arial"/>
                <w:color w:val="000000"/>
                <w:lang w:eastAsia="en-GB"/>
              </w:rPr>
            </w:pPr>
          </w:p>
        </w:tc>
        <w:tc>
          <w:tcPr>
            <w:tcW w:w="886" w:type="pct"/>
            <w:gridSpan w:val="3"/>
            <w:vMerge/>
            <w:hideMark/>
          </w:tcPr>
          <w:p w:rsidR="008722F3" w:rsidRPr="00976ECE" w:rsidRDefault="008722F3" w:rsidP="008722F3">
            <w:pPr>
              <w:rPr>
                <w:rFonts w:eastAsia="Times New Roman" w:cs="Arial"/>
                <w:lang w:eastAsia="en-GB"/>
              </w:rPr>
            </w:pPr>
          </w:p>
        </w:tc>
      </w:tr>
      <w:tr w:rsidR="008722F3" w:rsidRPr="00976ECE" w:rsidTr="000D3635">
        <w:trPr>
          <w:trHeight w:val="255"/>
        </w:trPr>
        <w:tc>
          <w:tcPr>
            <w:tcW w:w="442" w:type="pct"/>
            <w:vMerge/>
            <w:hideMark/>
          </w:tcPr>
          <w:p w:rsidR="008722F3" w:rsidRPr="00976ECE" w:rsidRDefault="008722F3" w:rsidP="008722F3">
            <w:pPr>
              <w:rPr>
                <w:rFonts w:eastAsia="Times New Roman" w:cs="Arial"/>
                <w:b/>
                <w:bCs/>
                <w:color w:val="000000"/>
                <w:lang w:eastAsia="en-GB"/>
              </w:rPr>
            </w:pPr>
          </w:p>
        </w:tc>
        <w:tc>
          <w:tcPr>
            <w:tcW w:w="2913" w:type="pct"/>
            <w:gridSpan w:val="2"/>
            <w:vMerge/>
            <w:hideMark/>
          </w:tcPr>
          <w:p w:rsidR="008722F3" w:rsidRPr="00976ECE" w:rsidRDefault="008722F3" w:rsidP="00976ECE">
            <w:pPr>
              <w:rPr>
                <w:rFonts w:eastAsia="Times New Roman" w:cs="Arial"/>
                <w:color w:val="000000"/>
                <w:lang w:eastAsia="en-GB"/>
              </w:rPr>
            </w:pPr>
          </w:p>
        </w:tc>
        <w:tc>
          <w:tcPr>
            <w:tcW w:w="759" w:type="pct"/>
            <w:vMerge/>
            <w:hideMark/>
          </w:tcPr>
          <w:p w:rsidR="008722F3" w:rsidRPr="00976ECE" w:rsidRDefault="008722F3" w:rsidP="008722F3">
            <w:pPr>
              <w:rPr>
                <w:rFonts w:eastAsia="Times New Roman" w:cs="Arial"/>
                <w:color w:val="000000"/>
                <w:lang w:eastAsia="en-GB"/>
              </w:rPr>
            </w:pPr>
          </w:p>
        </w:tc>
        <w:tc>
          <w:tcPr>
            <w:tcW w:w="886" w:type="pct"/>
            <w:gridSpan w:val="3"/>
            <w:vMerge/>
            <w:hideMark/>
          </w:tcPr>
          <w:p w:rsidR="008722F3" w:rsidRPr="00976ECE" w:rsidRDefault="008722F3" w:rsidP="008722F3">
            <w:pPr>
              <w:rPr>
                <w:rFonts w:eastAsia="Times New Roman" w:cs="Arial"/>
                <w:lang w:eastAsia="en-GB"/>
              </w:rPr>
            </w:pPr>
          </w:p>
        </w:tc>
      </w:tr>
      <w:tr w:rsidR="008722F3" w:rsidRPr="00976ECE" w:rsidTr="000D3635">
        <w:trPr>
          <w:trHeight w:val="255"/>
        </w:trPr>
        <w:tc>
          <w:tcPr>
            <w:tcW w:w="442" w:type="pct"/>
            <w:vMerge/>
            <w:hideMark/>
          </w:tcPr>
          <w:p w:rsidR="008722F3" w:rsidRPr="00976ECE" w:rsidRDefault="008722F3" w:rsidP="008722F3">
            <w:pPr>
              <w:rPr>
                <w:rFonts w:eastAsia="Times New Roman" w:cs="Arial"/>
                <w:b/>
                <w:bCs/>
                <w:color w:val="000000"/>
                <w:lang w:eastAsia="en-GB"/>
              </w:rPr>
            </w:pPr>
          </w:p>
        </w:tc>
        <w:tc>
          <w:tcPr>
            <w:tcW w:w="2913" w:type="pct"/>
            <w:gridSpan w:val="2"/>
            <w:vMerge/>
            <w:hideMark/>
          </w:tcPr>
          <w:p w:rsidR="008722F3" w:rsidRPr="00976ECE" w:rsidRDefault="008722F3" w:rsidP="00976ECE">
            <w:pPr>
              <w:rPr>
                <w:rFonts w:eastAsia="Times New Roman" w:cs="Arial"/>
                <w:color w:val="000000"/>
                <w:lang w:eastAsia="en-GB"/>
              </w:rPr>
            </w:pPr>
          </w:p>
        </w:tc>
        <w:tc>
          <w:tcPr>
            <w:tcW w:w="759" w:type="pct"/>
            <w:vMerge/>
            <w:hideMark/>
          </w:tcPr>
          <w:p w:rsidR="008722F3" w:rsidRPr="00976ECE" w:rsidRDefault="008722F3" w:rsidP="008722F3">
            <w:pPr>
              <w:rPr>
                <w:rFonts w:eastAsia="Times New Roman" w:cs="Arial"/>
                <w:color w:val="000000"/>
                <w:lang w:eastAsia="en-GB"/>
              </w:rPr>
            </w:pPr>
          </w:p>
        </w:tc>
        <w:tc>
          <w:tcPr>
            <w:tcW w:w="886" w:type="pct"/>
            <w:gridSpan w:val="3"/>
            <w:vMerge/>
            <w:hideMark/>
          </w:tcPr>
          <w:p w:rsidR="008722F3" w:rsidRPr="00976ECE" w:rsidRDefault="008722F3" w:rsidP="008722F3">
            <w:pPr>
              <w:rPr>
                <w:rFonts w:eastAsia="Times New Roman" w:cs="Arial"/>
                <w:lang w:eastAsia="en-GB"/>
              </w:rPr>
            </w:pPr>
          </w:p>
        </w:tc>
      </w:tr>
      <w:tr w:rsidR="008722F3" w:rsidRPr="00976ECE" w:rsidTr="000D3635">
        <w:trPr>
          <w:trHeight w:val="1365"/>
        </w:trPr>
        <w:tc>
          <w:tcPr>
            <w:tcW w:w="442" w:type="pct"/>
            <w:hideMark/>
          </w:tcPr>
          <w:p w:rsidR="008722F3" w:rsidRPr="00DB5F49" w:rsidRDefault="008722F3" w:rsidP="008722F3">
            <w:pPr>
              <w:jc w:val="center"/>
              <w:rPr>
                <w:rFonts w:eastAsia="Times New Roman" w:cs="Arial"/>
                <w:b/>
                <w:bCs/>
                <w:color w:val="000000"/>
                <w:lang w:eastAsia="en-GB"/>
              </w:rPr>
            </w:pPr>
            <w:r w:rsidRPr="00DB5F49">
              <w:rPr>
                <w:rFonts w:eastAsia="Times New Roman" w:cs="Arial"/>
                <w:b/>
                <w:bCs/>
                <w:color w:val="000000"/>
                <w:lang w:eastAsia="en-GB"/>
              </w:rPr>
              <w:t>3</w:t>
            </w:r>
          </w:p>
        </w:tc>
        <w:tc>
          <w:tcPr>
            <w:tcW w:w="2913" w:type="pct"/>
            <w:gridSpan w:val="2"/>
            <w:hideMark/>
          </w:tcPr>
          <w:p w:rsidR="008722F3" w:rsidRPr="00DB5F49" w:rsidRDefault="008722F3" w:rsidP="00976ECE">
            <w:pPr>
              <w:rPr>
                <w:rFonts w:eastAsia="Times New Roman" w:cs="Arial"/>
                <w:lang w:eastAsia="en-GB"/>
              </w:rPr>
            </w:pPr>
            <w:r w:rsidRPr="00DB5F49">
              <w:rPr>
                <w:rFonts w:eastAsia="Times New Roman" w:cs="Arial"/>
                <w:lang w:eastAsia="en-GB"/>
              </w:rPr>
              <w:t xml:space="preserve"> Percentage of clients waiting longer than 2 working days from booking to appointment when clinically indicated </w:t>
            </w:r>
          </w:p>
        </w:tc>
        <w:tc>
          <w:tcPr>
            <w:tcW w:w="759" w:type="pct"/>
            <w:hideMark/>
          </w:tcPr>
          <w:p w:rsidR="008722F3" w:rsidRPr="00DB5F49" w:rsidRDefault="008722F3" w:rsidP="008722F3">
            <w:pPr>
              <w:jc w:val="center"/>
              <w:rPr>
                <w:rFonts w:eastAsia="Times New Roman" w:cs="Arial"/>
                <w:color w:val="000000"/>
                <w:lang w:eastAsia="en-GB"/>
              </w:rPr>
            </w:pPr>
            <w:r w:rsidRPr="00DB5F49">
              <w:rPr>
                <w:rFonts w:eastAsia="Times New Roman" w:cs="Arial"/>
                <w:color w:val="000000"/>
                <w:lang w:eastAsia="en-GB"/>
              </w:rPr>
              <w:t>&lt; 20%</w:t>
            </w:r>
          </w:p>
        </w:tc>
        <w:tc>
          <w:tcPr>
            <w:tcW w:w="886" w:type="pct"/>
            <w:gridSpan w:val="3"/>
            <w:hideMark/>
          </w:tcPr>
          <w:p w:rsidR="008722F3" w:rsidRPr="00DB5F49" w:rsidRDefault="008722F3" w:rsidP="008722F3">
            <w:pPr>
              <w:jc w:val="center"/>
              <w:rPr>
                <w:rFonts w:eastAsia="Times New Roman" w:cs="Arial"/>
                <w:color w:val="000000"/>
                <w:lang w:eastAsia="en-GB"/>
              </w:rPr>
            </w:pPr>
            <w:r w:rsidRPr="00DB5F49">
              <w:rPr>
                <w:rFonts w:eastAsia="Times New Roman" w:cs="Arial"/>
                <w:color w:val="000000"/>
                <w:lang w:eastAsia="en-GB"/>
              </w:rPr>
              <w:t xml:space="preserve">Quarterly </w:t>
            </w:r>
          </w:p>
        </w:tc>
      </w:tr>
      <w:tr w:rsidR="00D93708" w:rsidRPr="00976ECE" w:rsidTr="00650D4B">
        <w:trPr>
          <w:trHeight w:val="381"/>
        </w:trPr>
        <w:tc>
          <w:tcPr>
            <w:tcW w:w="5000" w:type="pct"/>
            <w:gridSpan w:val="7"/>
            <w:shd w:val="clear" w:color="auto" w:fill="548DD4" w:themeFill="text2" w:themeFillTint="99"/>
          </w:tcPr>
          <w:p w:rsidR="00D93708" w:rsidRPr="003C3A27" w:rsidRDefault="00D93708" w:rsidP="007F0D3D">
            <w:pPr>
              <w:jc w:val="center"/>
              <w:rPr>
                <w:rFonts w:eastAsia="Times New Roman" w:cs="Arial"/>
                <w:b/>
                <w:lang w:eastAsia="en-GB"/>
              </w:rPr>
            </w:pPr>
            <w:r w:rsidRPr="003C3A27">
              <w:rPr>
                <w:rFonts w:eastAsia="Times New Roman" w:cs="Arial"/>
                <w:b/>
                <w:lang w:eastAsia="en-GB"/>
              </w:rPr>
              <w:t>Uptake and offer of testing</w:t>
            </w:r>
          </w:p>
          <w:p w:rsidR="00D93708" w:rsidRPr="003C3A27" w:rsidRDefault="00D93708" w:rsidP="007F0D3D">
            <w:pPr>
              <w:jc w:val="center"/>
              <w:rPr>
                <w:rFonts w:eastAsia="Times New Roman" w:cs="Arial"/>
                <w:b/>
                <w:lang w:eastAsia="en-GB"/>
              </w:rPr>
            </w:pPr>
          </w:p>
          <w:p w:rsidR="00D93708" w:rsidRPr="003C3A27" w:rsidRDefault="00D93708" w:rsidP="00D93708">
            <w:pPr>
              <w:rPr>
                <w:rFonts w:eastAsia="Times New Roman" w:cs="Arial"/>
                <w:b/>
                <w:lang w:eastAsia="en-GB"/>
              </w:rPr>
            </w:pPr>
          </w:p>
        </w:tc>
      </w:tr>
      <w:tr w:rsidR="000D3635" w:rsidRPr="00976ECE" w:rsidTr="000D3635">
        <w:trPr>
          <w:trHeight w:val="1170"/>
        </w:trPr>
        <w:tc>
          <w:tcPr>
            <w:tcW w:w="442" w:type="pct"/>
          </w:tcPr>
          <w:p w:rsidR="000D3635" w:rsidRPr="00E80B49" w:rsidRDefault="00682EAA" w:rsidP="007F0D3D">
            <w:pPr>
              <w:jc w:val="center"/>
              <w:rPr>
                <w:rFonts w:eastAsia="Times New Roman" w:cs="Arial"/>
                <w:b/>
                <w:bCs/>
                <w:lang w:eastAsia="en-GB"/>
              </w:rPr>
            </w:pPr>
            <w:r>
              <w:rPr>
                <w:rFonts w:eastAsia="Times New Roman" w:cs="Arial"/>
                <w:b/>
                <w:bCs/>
                <w:lang w:eastAsia="en-GB"/>
              </w:rPr>
              <w:t>4</w:t>
            </w:r>
          </w:p>
        </w:tc>
        <w:tc>
          <w:tcPr>
            <w:tcW w:w="2913" w:type="pct"/>
            <w:gridSpan w:val="2"/>
          </w:tcPr>
          <w:p w:rsidR="000D3635" w:rsidRPr="00E80B49" w:rsidRDefault="000D3635" w:rsidP="007F0D3D">
            <w:pPr>
              <w:rPr>
                <w:rFonts w:eastAsia="Times New Roman" w:cs="Arial"/>
              </w:rPr>
            </w:pPr>
            <w:r w:rsidRPr="00E80B49">
              <w:rPr>
                <w:rFonts w:eastAsia="Times New Roman" w:cs="Arial"/>
              </w:rPr>
              <w:t>Percentage of all under 25 year olds accessing the service for the first time offered and tested for chlamydia (</w:t>
            </w:r>
            <w:r w:rsidRPr="00E80B49">
              <w:rPr>
                <w:rFonts w:cs="Arial"/>
              </w:rPr>
              <w:t>excluding those who are chlamydia testing inappropriate)</w:t>
            </w:r>
          </w:p>
          <w:p w:rsidR="000D3635" w:rsidRPr="00E80B49" w:rsidRDefault="000D3635" w:rsidP="007F0D3D">
            <w:pPr>
              <w:jc w:val="both"/>
              <w:rPr>
                <w:rFonts w:eastAsia="Arial" w:cs="Arial"/>
                <w:bCs/>
              </w:rPr>
            </w:pPr>
          </w:p>
        </w:tc>
        <w:tc>
          <w:tcPr>
            <w:tcW w:w="844" w:type="pct"/>
            <w:gridSpan w:val="3"/>
          </w:tcPr>
          <w:p w:rsidR="000D3635" w:rsidRPr="00E80B49" w:rsidRDefault="000D3635" w:rsidP="007F0D3D">
            <w:pPr>
              <w:jc w:val="center"/>
              <w:rPr>
                <w:rFonts w:eastAsia="Times New Roman" w:cs="Arial"/>
                <w:lang w:eastAsia="en-GB"/>
              </w:rPr>
            </w:pPr>
            <w:r w:rsidRPr="00E80B49">
              <w:rPr>
                <w:rFonts w:eastAsia="Times New Roman" w:cs="Arial"/>
                <w:lang w:eastAsia="en-GB"/>
              </w:rPr>
              <w:t>100% offer</w:t>
            </w:r>
          </w:p>
          <w:p w:rsidR="000D3635" w:rsidRPr="00E80B49" w:rsidRDefault="000D3635" w:rsidP="007F0D3D">
            <w:pPr>
              <w:jc w:val="center"/>
              <w:rPr>
                <w:rFonts w:eastAsia="Times New Roman" w:cs="Arial"/>
                <w:lang w:eastAsia="en-GB"/>
              </w:rPr>
            </w:pPr>
          </w:p>
          <w:p w:rsidR="000D3635" w:rsidRPr="00E80B49" w:rsidRDefault="000D3635" w:rsidP="007F0D3D">
            <w:pPr>
              <w:jc w:val="center"/>
              <w:rPr>
                <w:rFonts w:eastAsia="Times New Roman" w:cs="Arial"/>
                <w:lang w:eastAsia="en-GB"/>
              </w:rPr>
            </w:pPr>
            <w:r w:rsidRPr="00E80B49">
              <w:rPr>
                <w:rFonts w:eastAsia="Times New Roman" w:cs="Arial"/>
                <w:lang w:eastAsia="en-GB"/>
              </w:rPr>
              <w:t>&gt;75% uptake for new attendances</w:t>
            </w:r>
          </w:p>
        </w:tc>
        <w:tc>
          <w:tcPr>
            <w:tcW w:w="801" w:type="pct"/>
          </w:tcPr>
          <w:p w:rsidR="000D3635" w:rsidRPr="00E80B49" w:rsidRDefault="00E80B49" w:rsidP="007F0D3D">
            <w:pPr>
              <w:jc w:val="center"/>
              <w:rPr>
                <w:rFonts w:eastAsia="Times New Roman" w:cs="Arial"/>
                <w:lang w:eastAsia="en-GB"/>
              </w:rPr>
            </w:pPr>
            <w:r w:rsidRPr="00976ECE">
              <w:rPr>
                <w:rFonts w:eastAsia="Times New Roman" w:cs="Arial"/>
                <w:color w:val="000000"/>
                <w:lang w:eastAsia="en-GB"/>
              </w:rPr>
              <w:t>Quarterly</w:t>
            </w:r>
          </w:p>
        </w:tc>
      </w:tr>
      <w:tr w:rsidR="000D3635" w:rsidRPr="00976ECE" w:rsidTr="000D3635">
        <w:trPr>
          <w:trHeight w:val="1170"/>
        </w:trPr>
        <w:tc>
          <w:tcPr>
            <w:tcW w:w="442" w:type="pct"/>
          </w:tcPr>
          <w:p w:rsidR="000D3635" w:rsidRPr="00976ECE" w:rsidRDefault="00682EAA" w:rsidP="007F0D3D">
            <w:pPr>
              <w:jc w:val="center"/>
              <w:rPr>
                <w:rFonts w:eastAsia="Times New Roman" w:cs="Arial"/>
                <w:b/>
                <w:bCs/>
                <w:color w:val="000000"/>
                <w:lang w:eastAsia="en-GB"/>
              </w:rPr>
            </w:pPr>
            <w:r>
              <w:rPr>
                <w:rFonts w:eastAsia="Times New Roman" w:cs="Arial"/>
                <w:b/>
                <w:bCs/>
                <w:color w:val="000000"/>
                <w:lang w:eastAsia="en-GB"/>
              </w:rPr>
              <w:t>5</w:t>
            </w:r>
          </w:p>
        </w:tc>
        <w:tc>
          <w:tcPr>
            <w:tcW w:w="2913" w:type="pct"/>
            <w:gridSpan w:val="2"/>
          </w:tcPr>
          <w:p w:rsidR="000D3635" w:rsidRPr="00976ECE" w:rsidRDefault="000D3635" w:rsidP="00E80B49">
            <w:pPr>
              <w:rPr>
                <w:rFonts w:eastAsia="Times New Roman" w:cs="Arial"/>
                <w:lang w:eastAsia="en-GB"/>
              </w:rPr>
            </w:pPr>
            <w:r w:rsidRPr="00976ECE">
              <w:rPr>
                <w:rFonts w:eastAsia="Times New Roman" w:cs="Arial"/>
                <w:lang w:eastAsia="en-GB"/>
              </w:rPr>
              <w:t xml:space="preserve"> Percentage of  people with needs related to sexual health who are </w:t>
            </w:r>
            <w:r w:rsidRPr="00CF71BC">
              <w:rPr>
                <w:rFonts w:eastAsia="Times New Roman" w:cs="Arial"/>
                <w:lang w:eastAsia="en-GB"/>
              </w:rPr>
              <w:t xml:space="preserve">offered </w:t>
            </w:r>
            <w:r w:rsidR="00E80B49">
              <w:rPr>
                <w:rFonts w:eastAsia="Times New Roman" w:cs="Arial"/>
                <w:lang w:eastAsia="en-GB"/>
              </w:rPr>
              <w:t>and tested for HIV</w:t>
            </w:r>
            <w:r w:rsidRPr="00976ECE">
              <w:rPr>
                <w:rFonts w:eastAsia="Times New Roman" w:cs="Arial"/>
                <w:lang w:eastAsia="en-GB"/>
              </w:rPr>
              <w:t xml:space="preserve"> at all new episodes (excluding known HIV positive and P1C i.e. test inappropriate) </w:t>
            </w:r>
          </w:p>
        </w:tc>
        <w:tc>
          <w:tcPr>
            <w:tcW w:w="844" w:type="pct"/>
            <w:gridSpan w:val="3"/>
          </w:tcPr>
          <w:p w:rsidR="000D3635" w:rsidRDefault="00CF71BC" w:rsidP="007F0D3D">
            <w:pPr>
              <w:jc w:val="center"/>
              <w:rPr>
                <w:rFonts w:eastAsia="Times New Roman" w:cs="Arial"/>
                <w:color w:val="000000"/>
                <w:lang w:eastAsia="en-GB"/>
              </w:rPr>
            </w:pPr>
            <w:r>
              <w:rPr>
                <w:rFonts w:eastAsia="Times New Roman" w:cs="Arial"/>
                <w:color w:val="000000"/>
                <w:lang w:eastAsia="en-GB"/>
              </w:rPr>
              <w:t>100</w:t>
            </w:r>
            <w:r w:rsidR="000D3635" w:rsidRPr="00976ECE">
              <w:rPr>
                <w:rFonts w:eastAsia="Times New Roman" w:cs="Arial"/>
                <w:color w:val="000000"/>
                <w:lang w:eastAsia="en-GB"/>
              </w:rPr>
              <w:t>%</w:t>
            </w:r>
            <w:r>
              <w:rPr>
                <w:rFonts w:eastAsia="Times New Roman" w:cs="Arial"/>
                <w:color w:val="000000"/>
                <w:lang w:eastAsia="en-GB"/>
              </w:rPr>
              <w:t xml:space="preserve"> offer</w:t>
            </w:r>
          </w:p>
          <w:p w:rsidR="00E80B49" w:rsidRDefault="00E80B49" w:rsidP="007F0D3D">
            <w:pPr>
              <w:jc w:val="center"/>
              <w:rPr>
                <w:rFonts w:eastAsia="Times New Roman" w:cs="Arial"/>
                <w:color w:val="000000"/>
                <w:lang w:eastAsia="en-GB"/>
              </w:rPr>
            </w:pPr>
          </w:p>
          <w:p w:rsidR="00E80B49" w:rsidRPr="00976ECE" w:rsidRDefault="00E80B49" w:rsidP="007F0D3D">
            <w:pPr>
              <w:jc w:val="center"/>
              <w:rPr>
                <w:rFonts w:eastAsia="Times New Roman" w:cs="Arial"/>
                <w:color w:val="000000"/>
                <w:lang w:eastAsia="en-GB"/>
              </w:rPr>
            </w:pPr>
            <w:r>
              <w:rPr>
                <w:rFonts w:eastAsia="Times New Roman" w:cs="Arial"/>
                <w:color w:val="000000"/>
                <w:lang w:eastAsia="en-GB"/>
              </w:rPr>
              <w:t>80% uptake</w:t>
            </w:r>
          </w:p>
        </w:tc>
        <w:tc>
          <w:tcPr>
            <w:tcW w:w="801" w:type="pct"/>
          </w:tcPr>
          <w:p w:rsidR="000D3635" w:rsidRPr="00976ECE" w:rsidRDefault="000D3635" w:rsidP="007F0D3D">
            <w:pPr>
              <w:jc w:val="center"/>
              <w:rPr>
                <w:rFonts w:eastAsia="Times New Roman" w:cs="Arial"/>
                <w:color w:val="000000"/>
                <w:lang w:eastAsia="en-GB"/>
              </w:rPr>
            </w:pPr>
            <w:r w:rsidRPr="00976ECE">
              <w:rPr>
                <w:rFonts w:eastAsia="Times New Roman" w:cs="Arial"/>
                <w:color w:val="000000"/>
                <w:lang w:eastAsia="en-GB"/>
              </w:rPr>
              <w:t>Quarterly</w:t>
            </w:r>
          </w:p>
        </w:tc>
      </w:tr>
      <w:tr w:rsidR="000D3635" w:rsidRPr="00976ECE" w:rsidTr="000D3635">
        <w:trPr>
          <w:trHeight w:val="765"/>
        </w:trPr>
        <w:tc>
          <w:tcPr>
            <w:tcW w:w="442" w:type="pct"/>
            <w:hideMark/>
          </w:tcPr>
          <w:p w:rsidR="000D3635" w:rsidRPr="00976ECE" w:rsidRDefault="00682EAA" w:rsidP="008722F3">
            <w:pPr>
              <w:jc w:val="center"/>
              <w:rPr>
                <w:rFonts w:eastAsia="Times New Roman" w:cs="Arial"/>
                <w:b/>
                <w:bCs/>
                <w:color w:val="000000"/>
                <w:lang w:eastAsia="en-GB"/>
              </w:rPr>
            </w:pPr>
            <w:r>
              <w:rPr>
                <w:rFonts w:eastAsia="Times New Roman" w:cs="Arial"/>
                <w:b/>
                <w:bCs/>
                <w:color w:val="000000"/>
                <w:lang w:eastAsia="en-GB"/>
              </w:rPr>
              <w:t>6</w:t>
            </w:r>
          </w:p>
        </w:tc>
        <w:tc>
          <w:tcPr>
            <w:tcW w:w="2913" w:type="pct"/>
            <w:gridSpan w:val="2"/>
            <w:hideMark/>
          </w:tcPr>
          <w:p w:rsidR="000D3635" w:rsidRPr="00976ECE" w:rsidRDefault="000D3635" w:rsidP="00976ECE">
            <w:pPr>
              <w:rPr>
                <w:rFonts w:eastAsia="Times New Roman" w:cs="Arial"/>
                <w:color w:val="000000"/>
                <w:lang w:eastAsia="en-GB"/>
              </w:rPr>
            </w:pPr>
            <w:r w:rsidRPr="00976ECE">
              <w:rPr>
                <w:rFonts w:eastAsia="Times New Roman" w:cs="Arial"/>
                <w:color w:val="000000"/>
                <w:lang w:eastAsia="en-GB"/>
              </w:rPr>
              <w:t>Percentage of people having STI tests whose results were made available</w:t>
            </w:r>
            <w:r w:rsidR="00E80B49">
              <w:rPr>
                <w:rFonts w:eastAsia="Times New Roman" w:cs="Arial"/>
                <w:color w:val="000000"/>
                <w:lang w:eastAsia="en-GB"/>
              </w:rPr>
              <w:t xml:space="preserve"> to them</w:t>
            </w:r>
            <w:r w:rsidRPr="00976ECE">
              <w:rPr>
                <w:rFonts w:eastAsia="Times New Roman" w:cs="Arial"/>
                <w:color w:val="000000"/>
                <w:lang w:eastAsia="en-GB"/>
              </w:rPr>
              <w:t xml:space="preserve"> (both + or -) within 10 working days of the date of the sample</w:t>
            </w:r>
            <w:r w:rsidR="00CA4E95">
              <w:rPr>
                <w:rFonts w:eastAsia="Times New Roman" w:cs="Arial"/>
                <w:color w:val="000000"/>
                <w:lang w:eastAsia="en-GB"/>
              </w:rPr>
              <w:t xml:space="preserve"> </w:t>
            </w:r>
            <w:r w:rsidRPr="00976ECE">
              <w:rPr>
                <w:rFonts w:eastAsia="Times New Roman" w:cs="Arial"/>
                <w:color w:val="000000"/>
                <w:lang w:eastAsia="en-GB"/>
              </w:rPr>
              <w:t>(excl</w:t>
            </w:r>
            <w:r w:rsidR="00CA4E95">
              <w:rPr>
                <w:rFonts w:eastAsia="Times New Roman" w:cs="Arial"/>
                <w:color w:val="000000"/>
                <w:lang w:eastAsia="en-GB"/>
              </w:rPr>
              <w:t xml:space="preserve">uding </w:t>
            </w:r>
            <w:r w:rsidRPr="00976ECE">
              <w:rPr>
                <w:rFonts w:eastAsia="Times New Roman" w:cs="Arial"/>
                <w:color w:val="000000"/>
                <w:lang w:eastAsia="en-GB"/>
              </w:rPr>
              <w:t xml:space="preserve"> those requiring supplementary tests)</w:t>
            </w:r>
          </w:p>
        </w:tc>
        <w:tc>
          <w:tcPr>
            <w:tcW w:w="844" w:type="pct"/>
            <w:gridSpan w:val="3"/>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95%</w:t>
            </w:r>
          </w:p>
        </w:tc>
        <w:tc>
          <w:tcPr>
            <w:tcW w:w="801" w:type="pct"/>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Quarterly</w:t>
            </w:r>
          </w:p>
        </w:tc>
      </w:tr>
      <w:tr w:rsidR="000D3635" w:rsidRPr="00976ECE" w:rsidTr="000D3635">
        <w:trPr>
          <w:trHeight w:val="1052"/>
        </w:trPr>
        <w:tc>
          <w:tcPr>
            <w:tcW w:w="442" w:type="pct"/>
          </w:tcPr>
          <w:p w:rsidR="000D3635" w:rsidRPr="003C3A27" w:rsidRDefault="00682EAA" w:rsidP="00407403">
            <w:pPr>
              <w:jc w:val="center"/>
              <w:rPr>
                <w:rFonts w:eastAsia="Times New Roman" w:cs="Arial"/>
                <w:b/>
                <w:bCs/>
                <w:lang w:eastAsia="en-GB"/>
              </w:rPr>
            </w:pPr>
            <w:r>
              <w:rPr>
                <w:rFonts w:eastAsia="Times New Roman" w:cs="Arial"/>
                <w:b/>
                <w:bCs/>
                <w:lang w:eastAsia="en-GB"/>
              </w:rPr>
              <w:t>7</w:t>
            </w:r>
          </w:p>
        </w:tc>
        <w:tc>
          <w:tcPr>
            <w:tcW w:w="2913" w:type="pct"/>
            <w:gridSpan w:val="2"/>
          </w:tcPr>
          <w:p w:rsidR="000D3635" w:rsidRPr="003C3A27" w:rsidRDefault="00682EAA" w:rsidP="00976ECE">
            <w:pPr>
              <w:rPr>
                <w:rFonts w:eastAsia="Arial" w:cs="Arial"/>
                <w:bCs/>
              </w:rPr>
            </w:pPr>
            <w:r>
              <w:rPr>
                <w:rFonts w:eastAsia="Arial" w:cs="Arial"/>
                <w:bCs/>
              </w:rPr>
              <w:t>7</w:t>
            </w:r>
            <w:r w:rsidRPr="003C3A27">
              <w:rPr>
                <w:rFonts w:eastAsia="Arial" w:cs="Arial"/>
                <w:bCs/>
              </w:rPr>
              <w:t>a</w:t>
            </w:r>
            <w:r w:rsidR="008B2155" w:rsidRPr="003C3A27">
              <w:rPr>
                <w:rFonts w:eastAsia="Arial" w:cs="Arial"/>
                <w:bCs/>
              </w:rPr>
              <w:t xml:space="preserve">. </w:t>
            </w:r>
            <w:r w:rsidR="000D3635" w:rsidRPr="003C3A27">
              <w:rPr>
                <w:rFonts w:eastAsia="Arial" w:cs="Arial"/>
                <w:bCs/>
              </w:rPr>
              <w:t>Proportion of all STI</w:t>
            </w:r>
            <w:r w:rsidR="008B2155" w:rsidRPr="003C3A27">
              <w:rPr>
                <w:rFonts w:eastAsia="Arial" w:cs="Arial"/>
                <w:bCs/>
              </w:rPr>
              <w:t xml:space="preserve"> (T4)</w:t>
            </w:r>
            <w:r w:rsidR="000D3635" w:rsidRPr="003C3A27">
              <w:rPr>
                <w:rFonts w:eastAsia="Arial" w:cs="Arial"/>
                <w:bCs/>
              </w:rPr>
              <w:t xml:space="preserve"> tests that were carried out through the online service</w:t>
            </w:r>
          </w:p>
          <w:p w:rsidR="008B2155" w:rsidRPr="003C3A27" w:rsidRDefault="008B2155" w:rsidP="00976ECE">
            <w:pPr>
              <w:rPr>
                <w:rFonts w:eastAsia="Arial" w:cs="Arial"/>
                <w:bCs/>
              </w:rPr>
            </w:pPr>
          </w:p>
          <w:p w:rsidR="00682EAA" w:rsidRDefault="00682EAA" w:rsidP="00976ECE">
            <w:pPr>
              <w:rPr>
                <w:rFonts w:eastAsia="Arial" w:cs="Arial"/>
                <w:bCs/>
              </w:rPr>
            </w:pPr>
            <w:r>
              <w:rPr>
                <w:rFonts w:eastAsia="Arial" w:cs="Arial"/>
                <w:bCs/>
              </w:rPr>
              <w:t>7</w:t>
            </w:r>
            <w:r w:rsidRPr="003C3A27">
              <w:rPr>
                <w:rFonts w:eastAsia="Arial" w:cs="Arial"/>
                <w:bCs/>
              </w:rPr>
              <w:t>b</w:t>
            </w:r>
            <w:r w:rsidR="008B2155" w:rsidRPr="003C3A27">
              <w:rPr>
                <w:rFonts w:eastAsia="Arial" w:cs="Arial"/>
                <w:bCs/>
              </w:rPr>
              <w:t>. Proportion of all HIV tests that were carried out through the online service</w:t>
            </w:r>
          </w:p>
          <w:p w:rsidR="00682EAA" w:rsidRDefault="00682EAA" w:rsidP="00976ECE">
            <w:pPr>
              <w:rPr>
                <w:rFonts w:eastAsia="Arial" w:cs="Arial"/>
                <w:bCs/>
              </w:rPr>
            </w:pPr>
          </w:p>
          <w:p w:rsidR="008B2155" w:rsidRPr="003C3A27" w:rsidRDefault="00682EAA" w:rsidP="00976ECE">
            <w:pPr>
              <w:rPr>
                <w:rFonts w:eastAsia="Times New Roman" w:cs="Arial"/>
                <w:lang w:eastAsia="en-GB"/>
              </w:rPr>
            </w:pPr>
            <w:r>
              <w:rPr>
                <w:rFonts w:eastAsia="Arial" w:cs="Arial"/>
                <w:bCs/>
              </w:rPr>
              <w:t xml:space="preserve">7c. </w:t>
            </w:r>
            <w:r w:rsidRPr="003C3A27">
              <w:rPr>
                <w:rFonts w:eastAsia="Times New Roman" w:cs="Arial"/>
              </w:rPr>
              <w:t xml:space="preserve"> Percentage of under 25 year old chlamydia and gonorrhoea tests that were undertaken through online testing service</w:t>
            </w:r>
          </w:p>
        </w:tc>
        <w:tc>
          <w:tcPr>
            <w:tcW w:w="844" w:type="pct"/>
            <w:gridSpan w:val="3"/>
          </w:tcPr>
          <w:p w:rsidR="008B2155" w:rsidRPr="00976ECE" w:rsidRDefault="003C3A27" w:rsidP="008722F3">
            <w:pPr>
              <w:jc w:val="center"/>
              <w:rPr>
                <w:rFonts w:eastAsia="Times New Roman" w:cs="Arial"/>
                <w:color w:val="000000"/>
                <w:lang w:eastAsia="en-GB"/>
              </w:rPr>
            </w:pPr>
            <w:r>
              <w:rPr>
                <w:rFonts w:eastAsia="Times New Roman" w:cs="Arial"/>
                <w:color w:val="000000"/>
                <w:lang w:eastAsia="en-GB"/>
              </w:rPr>
              <w:t>Review at end of Q1</w:t>
            </w:r>
          </w:p>
        </w:tc>
        <w:tc>
          <w:tcPr>
            <w:tcW w:w="801" w:type="pct"/>
          </w:tcPr>
          <w:p w:rsidR="000D3635" w:rsidRPr="00976ECE" w:rsidRDefault="003C3A27" w:rsidP="008722F3">
            <w:pPr>
              <w:jc w:val="center"/>
              <w:rPr>
                <w:rFonts w:eastAsia="Times New Roman" w:cs="Arial"/>
                <w:color w:val="000000"/>
                <w:lang w:eastAsia="en-GB"/>
              </w:rPr>
            </w:pPr>
            <w:r w:rsidRPr="00976ECE">
              <w:rPr>
                <w:rFonts w:eastAsia="Times New Roman" w:cs="Arial"/>
                <w:color w:val="000000"/>
                <w:lang w:eastAsia="en-GB"/>
              </w:rPr>
              <w:t>Quarterly</w:t>
            </w:r>
          </w:p>
        </w:tc>
      </w:tr>
      <w:tr w:rsidR="000D3635" w:rsidRPr="00976ECE" w:rsidTr="000D3635">
        <w:trPr>
          <w:trHeight w:val="1052"/>
        </w:trPr>
        <w:tc>
          <w:tcPr>
            <w:tcW w:w="442" w:type="pct"/>
          </w:tcPr>
          <w:p w:rsidR="000D3635" w:rsidRPr="003C3A27" w:rsidRDefault="00682EAA" w:rsidP="00407403">
            <w:pPr>
              <w:jc w:val="center"/>
              <w:rPr>
                <w:rFonts w:eastAsia="Times New Roman" w:cs="Arial"/>
                <w:b/>
                <w:bCs/>
                <w:lang w:eastAsia="en-GB"/>
              </w:rPr>
            </w:pPr>
            <w:r>
              <w:rPr>
                <w:rFonts w:eastAsia="Times New Roman" w:cs="Arial"/>
                <w:b/>
                <w:bCs/>
                <w:lang w:eastAsia="en-GB"/>
              </w:rPr>
              <w:lastRenderedPageBreak/>
              <w:t>8</w:t>
            </w:r>
          </w:p>
        </w:tc>
        <w:tc>
          <w:tcPr>
            <w:tcW w:w="2913" w:type="pct"/>
            <w:gridSpan w:val="2"/>
          </w:tcPr>
          <w:p w:rsidR="000D3635" w:rsidRPr="003C3A27" w:rsidRDefault="000D3635" w:rsidP="00D93708">
            <w:pPr>
              <w:jc w:val="both"/>
              <w:rPr>
                <w:rFonts w:eastAsia="Arial" w:cs="Arial"/>
                <w:bCs/>
              </w:rPr>
            </w:pPr>
            <w:r w:rsidRPr="003C3A27">
              <w:rPr>
                <w:rFonts w:eastAsia="Arial" w:cs="Arial"/>
                <w:bCs/>
              </w:rPr>
              <w:t>Percentage of online test kits returned</w:t>
            </w:r>
          </w:p>
          <w:p w:rsidR="000D3635" w:rsidRPr="003C3A27" w:rsidRDefault="000D3635" w:rsidP="00976ECE">
            <w:pPr>
              <w:rPr>
                <w:rFonts w:eastAsia="Times New Roman" w:cs="Arial"/>
                <w:lang w:eastAsia="en-GB"/>
              </w:rPr>
            </w:pPr>
          </w:p>
        </w:tc>
        <w:tc>
          <w:tcPr>
            <w:tcW w:w="844" w:type="pct"/>
            <w:gridSpan w:val="3"/>
          </w:tcPr>
          <w:p w:rsidR="000D3635" w:rsidRPr="00976ECE" w:rsidRDefault="003C3A27" w:rsidP="00682EAA">
            <w:pPr>
              <w:jc w:val="center"/>
              <w:rPr>
                <w:rFonts w:eastAsia="Times New Roman" w:cs="Arial"/>
                <w:color w:val="000000"/>
                <w:lang w:eastAsia="en-GB"/>
              </w:rPr>
            </w:pPr>
            <w:r>
              <w:rPr>
                <w:rFonts w:eastAsia="Times New Roman" w:cs="Arial"/>
                <w:color w:val="000000"/>
                <w:lang w:eastAsia="en-GB"/>
              </w:rPr>
              <w:t xml:space="preserve">65% by </w:t>
            </w:r>
            <w:r w:rsidR="00682EAA">
              <w:rPr>
                <w:rFonts w:eastAsia="Times New Roman" w:cs="Arial"/>
                <w:color w:val="000000"/>
                <w:lang w:eastAsia="en-GB"/>
              </w:rPr>
              <w:t>end of Q1</w:t>
            </w:r>
          </w:p>
        </w:tc>
        <w:tc>
          <w:tcPr>
            <w:tcW w:w="801" w:type="pct"/>
          </w:tcPr>
          <w:p w:rsidR="000D3635" w:rsidRPr="00976ECE" w:rsidRDefault="003C3A27" w:rsidP="008722F3">
            <w:pPr>
              <w:jc w:val="center"/>
              <w:rPr>
                <w:rFonts w:eastAsia="Times New Roman" w:cs="Arial"/>
                <w:color w:val="000000"/>
                <w:lang w:eastAsia="en-GB"/>
              </w:rPr>
            </w:pPr>
            <w:r w:rsidRPr="00976ECE">
              <w:rPr>
                <w:rFonts w:eastAsia="Times New Roman" w:cs="Arial"/>
                <w:color w:val="000000"/>
                <w:lang w:eastAsia="en-GB"/>
              </w:rPr>
              <w:t>Quarterly</w:t>
            </w:r>
          </w:p>
        </w:tc>
      </w:tr>
      <w:tr w:rsidR="000D3635" w:rsidRPr="00976ECE" w:rsidTr="000D3635">
        <w:trPr>
          <w:trHeight w:val="1052"/>
        </w:trPr>
        <w:tc>
          <w:tcPr>
            <w:tcW w:w="442" w:type="pct"/>
          </w:tcPr>
          <w:p w:rsidR="000D3635" w:rsidRPr="003C3A27" w:rsidRDefault="00682EAA" w:rsidP="00407403">
            <w:pPr>
              <w:jc w:val="center"/>
              <w:rPr>
                <w:rFonts w:eastAsia="Times New Roman" w:cs="Arial"/>
                <w:b/>
                <w:bCs/>
                <w:lang w:eastAsia="en-GB"/>
              </w:rPr>
            </w:pPr>
            <w:r>
              <w:rPr>
                <w:rFonts w:eastAsia="Times New Roman" w:cs="Arial"/>
                <w:b/>
                <w:bCs/>
                <w:lang w:eastAsia="en-GB"/>
              </w:rPr>
              <w:t>9</w:t>
            </w:r>
          </w:p>
        </w:tc>
        <w:tc>
          <w:tcPr>
            <w:tcW w:w="2913" w:type="pct"/>
            <w:gridSpan w:val="2"/>
          </w:tcPr>
          <w:p w:rsidR="00682EAA" w:rsidRDefault="000D3635" w:rsidP="00D93708">
            <w:pPr>
              <w:jc w:val="both"/>
              <w:rPr>
                <w:rFonts w:eastAsia="Arial" w:cs="Arial"/>
                <w:bCs/>
              </w:rPr>
            </w:pPr>
            <w:r w:rsidRPr="003C3A27">
              <w:rPr>
                <w:rFonts w:eastAsia="Arial" w:cs="Arial"/>
                <w:bCs/>
              </w:rPr>
              <w:t>Percentage of returned online testing kits which were positive for</w:t>
            </w:r>
            <w:r w:rsidR="00682EAA">
              <w:rPr>
                <w:rFonts w:eastAsia="Arial" w:cs="Arial"/>
                <w:bCs/>
              </w:rPr>
              <w:t>;</w:t>
            </w:r>
          </w:p>
          <w:p w:rsidR="00682EAA" w:rsidRDefault="00682EAA" w:rsidP="00D93708">
            <w:pPr>
              <w:jc w:val="both"/>
              <w:rPr>
                <w:rFonts w:eastAsia="Arial" w:cs="Arial"/>
                <w:bCs/>
              </w:rPr>
            </w:pPr>
          </w:p>
          <w:p w:rsidR="00682EAA" w:rsidRDefault="00682EAA" w:rsidP="00D93708">
            <w:pPr>
              <w:jc w:val="both"/>
              <w:rPr>
                <w:rFonts w:eastAsia="Arial" w:cs="Arial"/>
                <w:bCs/>
              </w:rPr>
            </w:pPr>
            <w:r>
              <w:rPr>
                <w:rFonts w:eastAsia="Arial" w:cs="Arial"/>
                <w:bCs/>
              </w:rPr>
              <w:t xml:space="preserve">9a. </w:t>
            </w:r>
            <w:r w:rsidR="000D3635" w:rsidRPr="003C3A27">
              <w:rPr>
                <w:rFonts w:eastAsia="Arial" w:cs="Arial"/>
                <w:bCs/>
              </w:rPr>
              <w:t>at least one infection</w:t>
            </w:r>
            <w:r w:rsidRPr="003C3A27">
              <w:rPr>
                <w:rFonts w:eastAsia="Arial" w:cs="Arial"/>
                <w:bCs/>
              </w:rPr>
              <w:t xml:space="preserve"> </w:t>
            </w:r>
          </w:p>
          <w:p w:rsidR="00682EAA" w:rsidRDefault="00682EAA" w:rsidP="00D93708">
            <w:pPr>
              <w:jc w:val="both"/>
              <w:rPr>
                <w:rFonts w:eastAsia="Arial" w:cs="Arial"/>
                <w:bCs/>
              </w:rPr>
            </w:pPr>
          </w:p>
          <w:p w:rsidR="000D3635" w:rsidRDefault="00682EAA" w:rsidP="00D93708">
            <w:pPr>
              <w:jc w:val="both"/>
              <w:rPr>
                <w:rFonts w:eastAsia="Arial" w:cs="Arial"/>
                <w:bCs/>
              </w:rPr>
            </w:pPr>
            <w:r>
              <w:rPr>
                <w:rFonts w:eastAsia="Arial" w:cs="Arial"/>
                <w:bCs/>
              </w:rPr>
              <w:t xml:space="preserve">9b. </w:t>
            </w:r>
            <w:r w:rsidRPr="003C3A27">
              <w:rPr>
                <w:rFonts w:eastAsia="Arial" w:cs="Arial"/>
                <w:bCs/>
              </w:rPr>
              <w:t>HIV</w:t>
            </w:r>
          </w:p>
          <w:p w:rsidR="00682EAA" w:rsidRPr="003C3A27" w:rsidRDefault="00682EAA" w:rsidP="00D93708">
            <w:pPr>
              <w:jc w:val="both"/>
              <w:rPr>
                <w:rFonts w:eastAsia="Arial" w:cs="Arial"/>
                <w:bCs/>
              </w:rPr>
            </w:pPr>
          </w:p>
        </w:tc>
        <w:tc>
          <w:tcPr>
            <w:tcW w:w="844" w:type="pct"/>
            <w:gridSpan w:val="3"/>
          </w:tcPr>
          <w:p w:rsidR="00682EAA" w:rsidRDefault="00682EAA" w:rsidP="008722F3">
            <w:pPr>
              <w:jc w:val="center"/>
              <w:rPr>
                <w:rFonts w:eastAsia="Times New Roman" w:cs="Arial"/>
                <w:color w:val="000000"/>
                <w:lang w:eastAsia="en-GB"/>
              </w:rPr>
            </w:pPr>
          </w:p>
          <w:p w:rsidR="00682EAA" w:rsidRDefault="00682EAA" w:rsidP="008722F3">
            <w:pPr>
              <w:jc w:val="center"/>
              <w:rPr>
                <w:rFonts w:eastAsia="Times New Roman" w:cs="Arial"/>
                <w:color w:val="000000"/>
                <w:lang w:eastAsia="en-GB"/>
              </w:rPr>
            </w:pPr>
          </w:p>
          <w:p w:rsidR="000D3635" w:rsidRDefault="003C3A27" w:rsidP="008722F3">
            <w:pPr>
              <w:jc w:val="center"/>
              <w:rPr>
                <w:rFonts w:eastAsia="Times New Roman" w:cs="Arial"/>
                <w:color w:val="000000"/>
                <w:lang w:eastAsia="en-GB"/>
              </w:rPr>
            </w:pPr>
            <w:r>
              <w:rPr>
                <w:rFonts w:eastAsia="Times New Roman" w:cs="Arial"/>
                <w:color w:val="000000"/>
                <w:lang w:eastAsia="en-GB"/>
              </w:rPr>
              <w:t xml:space="preserve">10% by </w:t>
            </w:r>
            <w:r w:rsidR="00682EAA">
              <w:rPr>
                <w:rFonts w:eastAsia="Times New Roman" w:cs="Arial"/>
                <w:color w:val="000000"/>
                <w:lang w:eastAsia="en-GB"/>
              </w:rPr>
              <w:t>end of Q1</w:t>
            </w:r>
          </w:p>
          <w:p w:rsidR="00682EAA" w:rsidRDefault="00682EAA" w:rsidP="008722F3">
            <w:pPr>
              <w:jc w:val="center"/>
              <w:rPr>
                <w:rFonts w:eastAsia="Times New Roman" w:cs="Arial"/>
                <w:color w:val="000000"/>
                <w:lang w:eastAsia="en-GB"/>
              </w:rPr>
            </w:pPr>
          </w:p>
          <w:p w:rsidR="00682EAA" w:rsidRPr="00976ECE" w:rsidRDefault="00682EAA" w:rsidP="008722F3">
            <w:pPr>
              <w:jc w:val="center"/>
              <w:rPr>
                <w:rFonts w:eastAsia="Times New Roman" w:cs="Arial"/>
                <w:color w:val="000000"/>
                <w:lang w:eastAsia="en-GB"/>
              </w:rPr>
            </w:pPr>
            <w:r>
              <w:rPr>
                <w:rFonts w:eastAsia="Times New Roman" w:cs="Arial"/>
                <w:color w:val="000000"/>
                <w:lang w:eastAsia="en-GB"/>
              </w:rPr>
              <w:t>Review at end of Q1</w:t>
            </w:r>
          </w:p>
        </w:tc>
        <w:tc>
          <w:tcPr>
            <w:tcW w:w="801" w:type="pct"/>
          </w:tcPr>
          <w:p w:rsidR="000D3635" w:rsidRPr="00976ECE" w:rsidRDefault="003C3A27" w:rsidP="008722F3">
            <w:pPr>
              <w:jc w:val="center"/>
              <w:rPr>
                <w:rFonts w:eastAsia="Times New Roman" w:cs="Arial"/>
                <w:color w:val="000000"/>
                <w:lang w:eastAsia="en-GB"/>
              </w:rPr>
            </w:pPr>
            <w:r w:rsidRPr="00976ECE">
              <w:rPr>
                <w:rFonts w:eastAsia="Times New Roman" w:cs="Arial"/>
                <w:color w:val="000000"/>
                <w:lang w:eastAsia="en-GB"/>
              </w:rPr>
              <w:t>Quarterly</w:t>
            </w:r>
          </w:p>
        </w:tc>
      </w:tr>
      <w:tr w:rsidR="00A12C17" w:rsidRPr="00976ECE" w:rsidTr="00CA4E95">
        <w:trPr>
          <w:trHeight w:val="507"/>
        </w:trPr>
        <w:tc>
          <w:tcPr>
            <w:tcW w:w="5000" w:type="pct"/>
            <w:gridSpan w:val="7"/>
            <w:shd w:val="clear" w:color="auto" w:fill="548DD4" w:themeFill="text2" w:themeFillTint="99"/>
          </w:tcPr>
          <w:p w:rsidR="00A12C17" w:rsidRPr="003C3A27" w:rsidRDefault="00A12C17" w:rsidP="008722F3">
            <w:pPr>
              <w:jc w:val="center"/>
              <w:rPr>
                <w:rFonts w:eastAsia="Times New Roman" w:cs="Arial"/>
                <w:b/>
                <w:lang w:eastAsia="en-GB"/>
              </w:rPr>
            </w:pPr>
            <w:r w:rsidRPr="003C3A27">
              <w:rPr>
                <w:rFonts w:eastAsia="Times New Roman" w:cs="Arial"/>
                <w:b/>
                <w:lang w:eastAsia="en-GB"/>
              </w:rPr>
              <w:t>Partner Notification and follow up</w:t>
            </w:r>
          </w:p>
        </w:tc>
      </w:tr>
      <w:tr w:rsidR="00A12C17" w:rsidRPr="00976ECE" w:rsidTr="00650D4B">
        <w:trPr>
          <w:trHeight w:val="1052"/>
        </w:trPr>
        <w:tc>
          <w:tcPr>
            <w:tcW w:w="442" w:type="pct"/>
            <w:vAlign w:val="center"/>
          </w:tcPr>
          <w:p w:rsidR="00A12C17" w:rsidRPr="003C3A27" w:rsidRDefault="00682EAA" w:rsidP="00650D4B">
            <w:pPr>
              <w:jc w:val="center"/>
              <w:rPr>
                <w:rFonts w:eastAsia="Times New Roman" w:cs="Arial"/>
                <w:b/>
                <w:bCs/>
                <w:lang w:eastAsia="en-GB"/>
              </w:rPr>
            </w:pPr>
            <w:r>
              <w:rPr>
                <w:rFonts w:eastAsia="Times New Roman" w:cs="Arial"/>
                <w:b/>
                <w:bCs/>
                <w:lang w:eastAsia="en-GB"/>
              </w:rPr>
              <w:t>10</w:t>
            </w:r>
          </w:p>
        </w:tc>
        <w:tc>
          <w:tcPr>
            <w:tcW w:w="2913" w:type="pct"/>
            <w:gridSpan w:val="2"/>
          </w:tcPr>
          <w:p w:rsidR="00A12C17" w:rsidRPr="003C3A27" w:rsidRDefault="00A12C17" w:rsidP="007F0D3D">
            <w:pPr>
              <w:rPr>
                <w:rFonts w:eastAsia="Times New Roman" w:cs="Arial"/>
                <w:lang w:eastAsia="en-GB"/>
              </w:rPr>
            </w:pPr>
            <w:r w:rsidRPr="003C3A27">
              <w:rPr>
                <w:rFonts w:eastAsia="Times New Roman" w:cs="Arial"/>
                <w:lang w:eastAsia="en-GB"/>
              </w:rPr>
              <w:t>Documented evidence within clinical records that PN has been discussed with people living with HIV within 4 weeks of receiving a positive HIV diagnosis and within 1 week of identifying subsequent partners at risk</w:t>
            </w:r>
          </w:p>
        </w:tc>
        <w:tc>
          <w:tcPr>
            <w:tcW w:w="844" w:type="pct"/>
            <w:gridSpan w:val="3"/>
          </w:tcPr>
          <w:p w:rsidR="00A12C17" w:rsidRPr="00976ECE" w:rsidRDefault="00A12C17" w:rsidP="007F0D3D">
            <w:pPr>
              <w:jc w:val="center"/>
              <w:rPr>
                <w:rFonts w:eastAsia="Times New Roman" w:cs="Arial"/>
                <w:b/>
                <w:bCs/>
                <w:color w:val="000000"/>
                <w:lang w:eastAsia="en-GB"/>
              </w:rPr>
            </w:pPr>
            <w:r w:rsidRPr="00976ECE">
              <w:rPr>
                <w:rFonts w:eastAsia="Times New Roman" w:cs="Arial"/>
                <w:color w:val="000000"/>
                <w:lang w:eastAsia="en-GB"/>
              </w:rPr>
              <w:t>90%</w:t>
            </w:r>
          </w:p>
        </w:tc>
        <w:tc>
          <w:tcPr>
            <w:tcW w:w="801" w:type="pct"/>
          </w:tcPr>
          <w:p w:rsidR="00A12C17" w:rsidRPr="00976ECE" w:rsidRDefault="00CA4E95" w:rsidP="00CA4E95">
            <w:pPr>
              <w:jc w:val="center"/>
              <w:rPr>
                <w:rFonts w:eastAsia="Times New Roman" w:cs="Arial"/>
                <w:color w:val="000000"/>
                <w:lang w:eastAsia="en-GB"/>
              </w:rPr>
            </w:pPr>
            <w:r>
              <w:rPr>
                <w:rFonts w:eastAsia="Times New Roman" w:cs="Arial"/>
                <w:color w:val="000000"/>
                <w:lang w:eastAsia="en-GB"/>
              </w:rPr>
              <w:t xml:space="preserve">Annual </w:t>
            </w:r>
            <w:r w:rsidR="00A12C17" w:rsidRPr="00976ECE">
              <w:rPr>
                <w:rFonts w:eastAsia="Times New Roman" w:cs="Arial"/>
                <w:color w:val="000000"/>
                <w:lang w:eastAsia="en-GB"/>
              </w:rPr>
              <w:t>Clinical Audit,</w:t>
            </w:r>
            <w:r>
              <w:rPr>
                <w:rFonts w:eastAsia="Times New Roman" w:cs="Arial"/>
                <w:color w:val="000000"/>
                <w:lang w:eastAsia="en-GB"/>
              </w:rPr>
              <w:t xml:space="preserve"> by </w:t>
            </w:r>
            <w:r w:rsidR="00B0328C">
              <w:rPr>
                <w:rFonts w:eastAsia="Times New Roman" w:cs="Arial"/>
                <w:color w:val="000000"/>
                <w:lang w:eastAsia="en-GB"/>
              </w:rPr>
              <w:t>Provider</w:t>
            </w:r>
            <w:r w:rsidR="00A12C17" w:rsidRPr="00976ECE">
              <w:rPr>
                <w:rFonts w:eastAsia="Times New Roman" w:cs="Arial"/>
                <w:color w:val="000000"/>
                <w:lang w:eastAsia="en-GB"/>
              </w:rPr>
              <w:br/>
            </w:r>
            <w:r w:rsidR="00A12C17" w:rsidRPr="00976ECE">
              <w:rPr>
                <w:rFonts w:eastAsia="Times New Roman" w:cs="Arial"/>
                <w:color w:val="000000"/>
                <w:lang w:eastAsia="en-GB"/>
              </w:rPr>
              <w:br/>
            </w:r>
          </w:p>
        </w:tc>
      </w:tr>
      <w:tr w:rsidR="00A12C17" w:rsidRPr="00976ECE" w:rsidTr="003C3A27">
        <w:trPr>
          <w:trHeight w:val="1052"/>
        </w:trPr>
        <w:tc>
          <w:tcPr>
            <w:tcW w:w="442" w:type="pct"/>
            <w:vAlign w:val="center"/>
          </w:tcPr>
          <w:p w:rsidR="00A12C17" w:rsidRPr="003C3A27" w:rsidRDefault="00A12C17" w:rsidP="00DB5F49">
            <w:pPr>
              <w:rPr>
                <w:rFonts w:eastAsia="Times New Roman" w:cs="Arial"/>
                <w:b/>
                <w:bCs/>
                <w:lang w:eastAsia="en-GB"/>
              </w:rPr>
            </w:pPr>
          </w:p>
          <w:p w:rsidR="00A12C17" w:rsidRPr="003C3A27" w:rsidRDefault="00682EAA" w:rsidP="00650D4B">
            <w:pPr>
              <w:jc w:val="center"/>
              <w:rPr>
                <w:rFonts w:eastAsia="Times New Roman" w:cs="Arial"/>
                <w:b/>
                <w:lang w:eastAsia="en-GB"/>
              </w:rPr>
            </w:pPr>
            <w:r>
              <w:rPr>
                <w:rFonts w:eastAsia="Times New Roman" w:cs="Arial"/>
                <w:b/>
                <w:lang w:eastAsia="en-GB"/>
              </w:rPr>
              <w:t>11</w:t>
            </w:r>
          </w:p>
        </w:tc>
        <w:tc>
          <w:tcPr>
            <w:tcW w:w="2913" w:type="pct"/>
            <w:gridSpan w:val="2"/>
          </w:tcPr>
          <w:p w:rsidR="00A12C17" w:rsidRPr="003C3A27" w:rsidRDefault="00A12C17" w:rsidP="007F0D3D">
            <w:pPr>
              <w:rPr>
                <w:rFonts w:eastAsia="Times New Roman" w:cs="Arial"/>
                <w:lang w:eastAsia="en-GB"/>
              </w:rPr>
            </w:pPr>
            <w:r w:rsidRPr="003C3A27">
              <w:rPr>
                <w:rFonts w:eastAsia="Times New Roman" w:cs="Arial"/>
                <w:lang w:eastAsia="en-GB"/>
              </w:rPr>
              <w:t>Documented PN outcomes or a progress update at 12 weeks after the start of the process with a person receiving a positive HIV diagnosis</w:t>
            </w:r>
          </w:p>
        </w:tc>
        <w:tc>
          <w:tcPr>
            <w:tcW w:w="844" w:type="pct"/>
            <w:gridSpan w:val="3"/>
          </w:tcPr>
          <w:p w:rsidR="00A12C17" w:rsidRPr="00976ECE" w:rsidRDefault="00A12C17" w:rsidP="003C3A27">
            <w:pPr>
              <w:jc w:val="center"/>
              <w:rPr>
                <w:rFonts w:eastAsia="Times New Roman" w:cs="Arial"/>
                <w:color w:val="000000"/>
                <w:lang w:eastAsia="en-GB"/>
              </w:rPr>
            </w:pPr>
            <w:r w:rsidRPr="00976ECE">
              <w:rPr>
                <w:rFonts w:eastAsia="Times New Roman" w:cs="Arial"/>
                <w:color w:val="000000"/>
                <w:lang w:eastAsia="en-GB"/>
              </w:rPr>
              <w:t>90%</w:t>
            </w:r>
          </w:p>
        </w:tc>
        <w:tc>
          <w:tcPr>
            <w:tcW w:w="801" w:type="pct"/>
          </w:tcPr>
          <w:p w:rsidR="00A12C17" w:rsidRPr="00976ECE" w:rsidRDefault="004A34D8" w:rsidP="004A34D8">
            <w:pPr>
              <w:rPr>
                <w:rFonts w:eastAsia="Times New Roman" w:cs="Arial"/>
                <w:color w:val="000000"/>
                <w:lang w:eastAsia="en-GB"/>
              </w:rPr>
            </w:pPr>
            <w:r w:rsidRPr="00976ECE">
              <w:rPr>
                <w:rFonts w:eastAsia="Times New Roman" w:cs="Arial"/>
                <w:color w:val="000000"/>
                <w:lang w:eastAsia="en-GB"/>
              </w:rPr>
              <w:t>Quarterly</w:t>
            </w:r>
          </w:p>
        </w:tc>
      </w:tr>
      <w:tr w:rsidR="00A12C17" w:rsidRPr="00976ECE" w:rsidTr="00650D4B">
        <w:trPr>
          <w:trHeight w:val="1052"/>
        </w:trPr>
        <w:tc>
          <w:tcPr>
            <w:tcW w:w="442" w:type="pct"/>
            <w:vAlign w:val="center"/>
          </w:tcPr>
          <w:p w:rsidR="00A12C17" w:rsidRPr="003C3A27" w:rsidRDefault="00682EAA" w:rsidP="00650D4B">
            <w:pPr>
              <w:jc w:val="center"/>
              <w:rPr>
                <w:rFonts w:eastAsia="Times New Roman" w:cs="Arial"/>
                <w:b/>
                <w:bCs/>
                <w:lang w:eastAsia="en-GB"/>
              </w:rPr>
            </w:pPr>
            <w:r>
              <w:rPr>
                <w:rFonts w:eastAsia="Times New Roman" w:cs="Arial"/>
                <w:b/>
                <w:bCs/>
                <w:lang w:eastAsia="en-GB"/>
              </w:rPr>
              <w:t>12</w:t>
            </w:r>
          </w:p>
        </w:tc>
        <w:tc>
          <w:tcPr>
            <w:tcW w:w="2913" w:type="pct"/>
            <w:gridSpan w:val="2"/>
          </w:tcPr>
          <w:p w:rsidR="00A12C17" w:rsidRPr="003C3A27" w:rsidRDefault="00A12C17" w:rsidP="00A12C17">
            <w:pPr>
              <w:rPr>
                <w:rFonts w:cs="Arial"/>
              </w:rPr>
            </w:pPr>
            <w:r w:rsidRPr="003C3A27">
              <w:rPr>
                <w:rFonts w:cs="Arial"/>
              </w:rPr>
              <w:t>New HIV diagnosis:</w:t>
            </w:r>
          </w:p>
          <w:p w:rsidR="00A12C17" w:rsidRPr="003C3A27" w:rsidRDefault="003C3A27" w:rsidP="002A30E5">
            <w:pPr>
              <w:pStyle w:val="ListParagraph"/>
              <w:numPr>
                <w:ilvl w:val="0"/>
                <w:numId w:val="26"/>
              </w:numPr>
              <w:rPr>
                <w:rFonts w:ascii="Arial" w:hAnsi="Arial" w:cs="Arial"/>
              </w:rPr>
            </w:pPr>
            <w:r>
              <w:rPr>
                <w:rFonts w:ascii="Arial" w:hAnsi="Arial" w:cs="Arial"/>
              </w:rPr>
              <w:t>Ratio</w:t>
            </w:r>
            <w:r w:rsidRPr="003C3A27">
              <w:rPr>
                <w:rFonts w:ascii="Arial" w:hAnsi="Arial" w:cs="Arial"/>
              </w:rPr>
              <w:t xml:space="preserve"> </w:t>
            </w:r>
            <w:r w:rsidR="00A12C17" w:rsidRPr="003C3A27">
              <w:rPr>
                <w:rFonts w:ascii="Arial" w:hAnsi="Arial" w:cs="Arial"/>
              </w:rPr>
              <w:t>of contacts* tested per index case.</w:t>
            </w:r>
          </w:p>
          <w:p w:rsidR="00A12C17" w:rsidRPr="003C3A27" w:rsidRDefault="00A12C17" w:rsidP="00A12C17">
            <w:pPr>
              <w:rPr>
                <w:rFonts w:cs="Arial"/>
                <w:i/>
                <w:iCs/>
              </w:rPr>
            </w:pPr>
            <w:r w:rsidRPr="003C3A27">
              <w:rPr>
                <w:rFonts w:cs="Arial"/>
                <w:i/>
                <w:iCs/>
              </w:rPr>
              <w:t>(</w:t>
            </w:r>
            <w:r w:rsidR="00CA4E95" w:rsidRPr="003C3A27">
              <w:rPr>
                <w:rFonts w:cs="Arial"/>
                <w:i/>
                <w:iCs/>
              </w:rPr>
              <w:t xml:space="preserve">contacts is defined as </w:t>
            </w:r>
            <w:r w:rsidRPr="003C3A27">
              <w:rPr>
                <w:rFonts w:cs="Arial"/>
                <w:i/>
                <w:iCs/>
              </w:rPr>
              <w:t>* status-known contacts + number of contactable status-unknown contacts)</w:t>
            </w:r>
          </w:p>
          <w:p w:rsidR="00A12C17" w:rsidRPr="003C3A27" w:rsidRDefault="00A12C17" w:rsidP="00A12C17">
            <w:pPr>
              <w:rPr>
                <w:rFonts w:cs="Arial"/>
                <w:i/>
                <w:iCs/>
              </w:rPr>
            </w:pPr>
          </w:p>
          <w:p w:rsidR="00A12C17" w:rsidRPr="00DB5F49" w:rsidRDefault="00A12C17" w:rsidP="002A30E5">
            <w:pPr>
              <w:pStyle w:val="ListParagraph"/>
              <w:numPr>
                <w:ilvl w:val="0"/>
                <w:numId w:val="26"/>
              </w:numPr>
              <w:rPr>
                <w:rFonts w:ascii="Arial" w:hAnsi="Arial" w:cs="Arial"/>
                <w:i/>
                <w:iCs/>
              </w:rPr>
            </w:pPr>
            <w:r w:rsidRPr="00682EAA">
              <w:rPr>
                <w:rFonts w:ascii="Arial" w:hAnsi="Arial" w:cs="Arial"/>
              </w:rPr>
              <w:t>Proportion (%) of contactable partners tested*</w:t>
            </w:r>
            <w:r w:rsidR="00AF2B2D">
              <w:rPr>
                <w:rFonts w:ascii="Arial" w:hAnsi="Arial" w:cs="Arial"/>
              </w:rPr>
              <w:t>*</w:t>
            </w:r>
          </w:p>
          <w:p w:rsidR="00A12C17" w:rsidRPr="00DB5F49" w:rsidRDefault="00A12C17" w:rsidP="00A12C17">
            <w:pPr>
              <w:rPr>
                <w:rFonts w:cs="Arial"/>
                <w:i/>
                <w:iCs/>
              </w:rPr>
            </w:pPr>
            <w:r w:rsidRPr="00DB5F49">
              <w:rPr>
                <w:rFonts w:cs="Arial"/>
                <w:i/>
                <w:iCs/>
              </w:rPr>
              <w:t>(*</w:t>
            </w:r>
            <w:r w:rsidR="00AF2B2D">
              <w:rPr>
                <w:rFonts w:cs="Arial"/>
                <w:i/>
                <w:iCs/>
              </w:rPr>
              <w:t>*</w:t>
            </w:r>
            <w:r w:rsidRPr="00DB5F49">
              <w:rPr>
                <w:rFonts w:cs="Arial"/>
                <w:i/>
                <w:iCs/>
              </w:rPr>
              <w:t>status-known contacts + contactable status-unknown contacts tested / total number of status-known contacts and contactable status-unknown contacts)</w:t>
            </w:r>
          </w:p>
          <w:p w:rsidR="00A12C17" w:rsidRPr="00DB5F49" w:rsidRDefault="00A12C17" w:rsidP="00A12C17">
            <w:pPr>
              <w:rPr>
                <w:rFonts w:cs="Arial"/>
                <w:i/>
                <w:iCs/>
              </w:rPr>
            </w:pPr>
          </w:p>
          <w:p w:rsidR="00A12C17" w:rsidRPr="00DB5F49" w:rsidRDefault="00A12C17" w:rsidP="002A30E5">
            <w:pPr>
              <w:pStyle w:val="ListParagraph"/>
              <w:numPr>
                <w:ilvl w:val="0"/>
                <w:numId w:val="26"/>
              </w:numPr>
              <w:rPr>
                <w:rFonts w:cs="Arial"/>
              </w:rPr>
            </w:pPr>
            <w:r w:rsidRPr="00DB5F49">
              <w:rPr>
                <w:rFonts w:ascii="Arial" w:hAnsi="Arial" w:cs="Arial"/>
              </w:rPr>
              <w:t>Proportion of index cases with documented PEP assessment at time of diagnosis for at risk contacts within previous 72 hours</w:t>
            </w:r>
            <w:r w:rsidRPr="00DB5F49">
              <w:rPr>
                <w:rFonts w:cs="Arial"/>
              </w:rPr>
              <w:t>.</w:t>
            </w:r>
          </w:p>
          <w:p w:rsidR="00A12C17" w:rsidRPr="00DB5F49" w:rsidRDefault="00A12C17" w:rsidP="00A12C17">
            <w:pPr>
              <w:rPr>
                <w:rFonts w:cs="Arial"/>
                <w:i/>
                <w:iCs/>
              </w:rPr>
            </w:pPr>
          </w:p>
          <w:p w:rsidR="00A12C17" w:rsidRPr="00DB5F49" w:rsidRDefault="00A12C17" w:rsidP="007F0D3D">
            <w:pPr>
              <w:rPr>
                <w:rFonts w:eastAsia="Times New Roman" w:cs="Arial"/>
                <w:lang w:eastAsia="en-GB"/>
              </w:rPr>
            </w:pPr>
          </w:p>
        </w:tc>
        <w:tc>
          <w:tcPr>
            <w:tcW w:w="844" w:type="pct"/>
            <w:gridSpan w:val="3"/>
          </w:tcPr>
          <w:p w:rsidR="00A12C17" w:rsidRPr="004A34D8" w:rsidRDefault="00A12C17" w:rsidP="007F0D3D">
            <w:pPr>
              <w:rPr>
                <w:rFonts w:eastAsia="Times New Roman" w:cs="Arial"/>
                <w:lang w:eastAsia="en-GB"/>
              </w:rPr>
            </w:pPr>
          </w:p>
          <w:p w:rsidR="00A12C17" w:rsidRPr="004A34D8" w:rsidRDefault="00A12C17" w:rsidP="007F0D3D">
            <w:pPr>
              <w:rPr>
                <w:rFonts w:eastAsia="Times New Roman" w:cs="Arial"/>
                <w:lang w:eastAsia="en-GB"/>
              </w:rPr>
            </w:pPr>
            <w:r w:rsidRPr="004A34D8">
              <w:rPr>
                <w:rFonts w:eastAsia="Times New Roman" w:cs="Arial"/>
                <w:lang w:eastAsia="en-GB"/>
              </w:rPr>
              <w:t>0.8 (by 3 months)</w:t>
            </w:r>
          </w:p>
          <w:p w:rsidR="00A12C17" w:rsidRPr="004A34D8" w:rsidRDefault="00A12C17" w:rsidP="007F0D3D">
            <w:pPr>
              <w:rPr>
                <w:rFonts w:eastAsia="Times New Roman" w:cs="Arial"/>
                <w:lang w:eastAsia="en-GB"/>
              </w:rPr>
            </w:pPr>
          </w:p>
          <w:p w:rsidR="00A12C17" w:rsidRPr="004A34D8" w:rsidRDefault="00A12C17" w:rsidP="007F0D3D">
            <w:pPr>
              <w:rPr>
                <w:rFonts w:eastAsia="Times New Roman" w:cs="Arial"/>
                <w:lang w:eastAsia="en-GB"/>
              </w:rPr>
            </w:pPr>
          </w:p>
          <w:p w:rsidR="00A12C17" w:rsidRPr="004A34D8" w:rsidRDefault="00A12C17" w:rsidP="007F0D3D">
            <w:pPr>
              <w:rPr>
                <w:rFonts w:eastAsia="Times New Roman" w:cs="Arial"/>
                <w:lang w:eastAsia="en-GB"/>
              </w:rPr>
            </w:pPr>
          </w:p>
          <w:p w:rsidR="00A12C17" w:rsidRPr="004A34D8" w:rsidRDefault="00A12C17" w:rsidP="007F0D3D">
            <w:pPr>
              <w:rPr>
                <w:rFonts w:eastAsia="Times New Roman" w:cs="Arial"/>
                <w:lang w:eastAsia="en-GB"/>
              </w:rPr>
            </w:pPr>
          </w:p>
          <w:p w:rsidR="00A12C17" w:rsidRPr="003C3A27" w:rsidRDefault="00A12C17" w:rsidP="007F0D3D">
            <w:pPr>
              <w:rPr>
                <w:rFonts w:eastAsia="Times New Roman" w:cs="Arial"/>
                <w:lang w:eastAsia="en-GB"/>
              </w:rPr>
            </w:pPr>
            <w:r w:rsidRPr="004A34D8">
              <w:rPr>
                <w:rFonts w:eastAsia="Times New Roman" w:cs="Arial"/>
                <w:lang w:eastAsia="en-GB"/>
              </w:rPr>
              <w:t>85% (by 3 months</w:t>
            </w:r>
            <w:r w:rsidRPr="003C3A27">
              <w:rPr>
                <w:rFonts w:eastAsia="Times New Roman" w:cs="Arial"/>
                <w:lang w:eastAsia="en-GB"/>
              </w:rPr>
              <w:t>)</w:t>
            </w:r>
          </w:p>
          <w:p w:rsidR="00A12C17" w:rsidRPr="003C3A27" w:rsidRDefault="00A12C17" w:rsidP="007F0D3D">
            <w:pPr>
              <w:rPr>
                <w:rFonts w:eastAsia="Times New Roman" w:cs="Arial"/>
                <w:lang w:eastAsia="en-GB"/>
              </w:rPr>
            </w:pPr>
          </w:p>
          <w:p w:rsidR="00A12C17" w:rsidRPr="003C3A27" w:rsidRDefault="00A12C17" w:rsidP="007F0D3D">
            <w:pPr>
              <w:rPr>
                <w:rFonts w:eastAsia="Times New Roman" w:cs="Arial"/>
                <w:lang w:eastAsia="en-GB"/>
              </w:rPr>
            </w:pPr>
          </w:p>
          <w:p w:rsidR="00A12C17" w:rsidRPr="003C3A27" w:rsidRDefault="00A12C17" w:rsidP="007F0D3D">
            <w:pPr>
              <w:rPr>
                <w:rFonts w:eastAsia="Times New Roman" w:cs="Arial"/>
                <w:lang w:eastAsia="en-GB"/>
              </w:rPr>
            </w:pPr>
          </w:p>
          <w:p w:rsidR="00A12C17" w:rsidRPr="003C3A27" w:rsidRDefault="00A12C17" w:rsidP="007F0D3D">
            <w:pPr>
              <w:rPr>
                <w:rFonts w:eastAsia="Times New Roman" w:cs="Arial"/>
                <w:lang w:eastAsia="en-GB"/>
              </w:rPr>
            </w:pPr>
          </w:p>
          <w:p w:rsidR="00A12C17" w:rsidRPr="003C3A27" w:rsidRDefault="00A12C17" w:rsidP="007F0D3D">
            <w:pPr>
              <w:rPr>
                <w:rFonts w:eastAsia="Times New Roman" w:cs="Arial"/>
                <w:lang w:eastAsia="en-GB"/>
              </w:rPr>
            </w:pPr>
          </w:p>
          <w:p w:rsidR="00A12C17" w:rsidRPr="003C3A27" w:rsidRDefault="00A12C17" w:rsidP="007F0D3D">
            <w:pPr>
              <w:rPr>
                <w:rFonts w:eastAsia="Times New Roman" w:cs="Arial"/>
                <w:lang w:eastAsia="en-GB"/>
              </w:rPr>
            </w:pPr>
            <w:r w:rsidRPr="003C3A27">
              <w:rPr>
                <w:rFonts w:eastAsia="Times New Roman" w:cs="Arial"/>
                <w:lang w:eastAsia="en-GB"/>
              </w:rPr>
              <w:t>97% (newly diagnosed within the service)</w:t>
            </w:r>
          </w:p>
        </w:tc>
        <w:tc>
          <w:tcPr>
            <w:tcW w:w="801" w:type="pct"/>
          </w:tcPr>
          <w:p w:rsidR="00A12C17" w:rsidRDefault="00A12C17" w:rsidP="007F0D3D">
            <w:pPr>
              <w:rPr>
                <w:rFonts w:eastAsia="Times New Roman" w:cs="Arial"/>
                <w:color w:val="000000"/>
                <w:lang w:eastAsia="en-GB"/>
              </w:rPr>
            </w:pPr>
          </w:p>
          <w:p w:rsidR="00CA4E95" w:rsidRPr="00976ECE" w:rsidRDefault="00CA4E95" w:rsidP="004A34D8">
            <w:pPr>
              <w:rPr>
                <w:rFonts w:eastAsia="Times New Roman" w:cs="Arial"/>
                <w:color w:val="000000"/>
                <w:lang w:eastAsia="en-GB"/>
              </w:rPr>
            </w:pPr>
            <w:r w:rsidRPr="00976ECE">
              <w:rPr>
                <w:rFonts w:eastAsia="Times New Roman" w:cs="Arial"/>
                <w:color w:val="000000"/>
                <w:lang w:eastAsia="en-GB"/>
              </w:rPr>
              <w:t xml:space="preserve">Quarterly </w:t>
            </w:r>
          </w:p>
        </w:tc>
      </w:tr>
      <w:tr w:rsidR="00A12C17" w:rsidRPr="00976ECE" w:rsidTr="000D3635">
        <w:trPr>
          <w:trHeight w:val="1052"/>
        </w:trPr>
        <w:tc>
          <w:tcPr>
            <w:tcW w:w="442" w:type="pct"/>
          </w:tcPr>
          <w:p w:rsidR="00A12C17" w:rsidRPr="003C3A27" w:rsidRDefault="00682EAA" w:rsidP="00407403">
            <w:pPr>
              <w:jc w:val="center"/>
              <w:rPr>
                <w:rFonts w:eastAsia="Times New Roman" w:cs="Arial"/>
                <w:b/>
                <w:bCs/>
                <w:lang w:eastAsia="en-GB"/>
              </w:rPr>
            </w:pPr>
            <w:r>
              <w:rPr>
                <w:rFonts w:eastAsia="Times New Roman" w:cs="Arial"/>
                <w:b/>
                <w:bCs/>
                <w:lang w:eastAsia="en-GB"/>
              </w:rPr>
              <w:t>13</w:t>
            </w:r>
          </w:p>
        </w:tc>
        <w:tc>
          <w:tcPr>
            <w:tcW w:w="2913" w:type="pct"/>
            <w:gridSpan w:val="2"/>
          </w:tcPr>
          <w:p w:rsidR="00A12C17" w:rsidRPr="003C3A27" w:rsidRDefault="00A12C17" w:rsidP="00A12C17">
            <w:pPr>
              <w:rPr>
                <w:rFonts w:cs="Arial"/>
              </w:rPr>
            </w:pPr>
            <w:r w:rsidRPr="003C3A27">
              <w:rPr>
                <w:rFonts w:cs="Arial"/>
              </w:rPr>
              <w:t>Partner notification</w:t>
            </w:r>
            <w:r w:rsidR="00DB5F49">
              <w:rPr>
                <w:rFonts w:cs="Arial"/>
              </w:rPr>
              <w:t xml:space="preserve"> for </w:t>
            </w:r>
            <w:r w:rsidRPr="003C3A27">
              <w:rPr>
                <w:rFonts w:cs="Arial"/>
              </w:rPr>
              <w:t>syphilis, hepatitis B</w:t>
            </w:r>
            <w:r w:rsidR="00DB5F49">
              <w:rPr>
                <w:rFonts w:cs="Arial"/>
              </w:rPr>
              <w:t xml:space="preserve"> and </w:t>
            </w:r>
            <w:r w:rsidRPr="003C3A27">
              <w:rPr>
                <w:rFonts w:cs="Arial"/>
              </w:rPr>
              <w:t>hepatitis C:</w:t>
            </w:r>
          </w:p>
          <w:p w:rsidR="00A12C17" w:rsidRPr="003C3A27" w:rsidRDefault="00A12C17" w:rsidP="002A30E5">
            <w:pPr>
              <w:pStyle w:val="ListParagraph"/>
              <w:numPr>
                <w:ilvl w:val="0"/>
                <w:numId w:val="25"/>
              </w:numPr>
              <w:rPr>
                <w:rFonts w:ascii="Arial" w:hAnsi="Arial" w:cs="Arial"/>
              </w:rPr>
            </w:pPr>
            <w:r w:rsidRPr="003C3A27">
              <w:rPr>
                <w:rFonts w:ascii="Arial" w:hAnsi="Arial" w:cs="Arial"/>
              </w:rPr>
              <w:t>Number of contactable contacts, by infection</w:t>
            </w:r>
          </w:p>
          <w:p w:rsidR="00A12C17" w:rsidRPr="00682EAA" w:rsidRDefault="00A12C17" w:rsidP="002A30E5">
            <w:pPr>
              <w:pStyle w:val="ListParagraph"/>
              <w:numPr>
                <w:ilvl w:val="0"/>
                <w:numId w:val="25"/>
              </w:numPr>
              <w:rPr>
                <w:rFonts w:ascii="Arial" w:hAnsi="Arial" w:cs="Arial"/>
              </w:rPr>
            </w:pPr>
            <w:r w:rsidRPr="00682EAA">
              <w:rPr>
                <w:rFonts w:ascii="Arial" w:hAnsi="Arial" w:cs="Arial"/>
              </w:rPr>
              <w:t>Number of contactable contacts contacted, by infection</w:t>
            </w:r>
          </w:p>
          <w:p w:rsidR="00A12C17" w:rsidRPr="00DB5F49" w:rsidRDefault="00A12C17" w:rsidP="002A30E5">
            <w:pPr>
              <w:pStyle w:val="ListParagraph"/>
              <w:numPr>
                <w:ilvl w:val="0"/>
                <w:numId w:val="25"/>
              </w:numPr>
              <w:rPr>
                <w:rFonts w:cs="Arial"/>
              </w:rPr>
            </w:pPr>
            <w:r w:rsidRPr="00DB5F49">
              <w:rPr>
                <w:rFonts w:ascii="Arial" w:hAnsi="Arial" w:cs="Arial"/>
              </w:rPr>
              <w:t xml:space="preserve">Number of contactable contacts contacted known or reported to have used a service for testing and follow up, by infection, within 4 </w:t>
            </w:r>
            <w:r w:rsidRPr="00DB5F49">
              <w:rPr>
                <w:rFonts w:ascii="Arial" w:hAnsi="Arial" w:cs="Arial"/>
              </w:rPr>
              <w:lastRenderedPageBreak/>
              <w:t>weeks of PN discussion</w:t>
            </w:r>
            <w:r w:rsidRPr="00DB5F49">
              <w:rPr>
                <w:rFonts w:cs="Arial"/>
              </w:rPr>
              <w:t>.</w:t>
            </w:r>
          </w:p>
          <w:p w:rsidR="00A12C17" w:rsidRPr="00DB5F49" w:rsidRDefault="00A12C17" w:rsidP="007F0D3D">
            <w:pPr>
              <w:rPr>
                <w:rFonts w:eastAsia="Times New Roman" w:cs="Arial"/>
                <w:lang w:eastAsia="en-GB"/>
              </w:rPr>
            </w:pPr>
          </w:p>
        </w:tc>
        <w:tc>
          <w:tcPr>
            <w:tcW w:w="844" w:type="pct"/>
            <w:gridSpan w:val="3"/>
          </w:tcPr>
          <w:p w:rsidR="00A12C17" w:rsidRPr="004A34D8" w:rsidRDefault="00A12C17" w:rsidP="00A12C17">
            <w:pPr>
              <w:rPr>
                <w:rFonts w:cs="Arial"/>
              </w:rPr>
            </w:pPr>
            <w:r w:rsidRPr="004A34D8">
              <w:rPr>
                <w:rFonts w:cs="Arial"/>
              </w:rPr>
              <w:lastRenderedPageBreak/>
              <w:t>(Year 1 – baseline)</w:t>
            </w:r>
          </w:p>
          <w:p w:rsidR="00A12C17" w:rsidRPr="004A34D8" w:rsidRDefault="00A12C17" w:rsidP="00A12C17">
            <w:pPr>
              <w:rPr>
                <w:rFonts w:cs="Arial"/>
              </w:rPr>
            </w:pPr>
          </w:p>
          <w:p w:rsidR="00A12C17" w:rsidRPr="004A34D8" w:rsidRDefault="00A12C17" w:rsidP="00A12C17">
            <w:pPr>
              <w:rPr>
                <w:rFonts w:eastAsia="Times New Roman" w:cs="Arial"/>
                <w:lang w:eastAsia="en-GB"/>
              </w:rPr>
            </w:pPr>
            <w:r w:rsidRPr="004A34D8">
              <w:rPr>
                <w:rFonts w:cs="Arial"/>
              </w:rPr>
              <w:t>Improvement plan and trajectory for subsequent years</w:t>
            </w:r>
          </w:p>
        </w:tc>
        <w:tc>
          <w:tcPr>
            <w:tcW w:w="801" w:type="pct"/>
          </w:tcPr>
          <w:p w:rsidR="00A12C17" w:rsidRPr="004A34D8" w:rsidRDefault="004A34D8" w:rsidP="007F0D3D">
            <w:pPr>
              <w:rPr>
                <w:rFonts w:eastAsia="Times New Roman" w:cs="Arial"/>
                <w:lang w:eastAsia="en-GB"/>
              </w:rPr>
            </w:pPr>
            <w:r>
              <w:rPr>
                <w:rFonts w:eastAsia="Times New Roman" w:cs="Arial"/>
                <w:lang w:eastAsia="en-GB"/>
              </w:rPr>
              <w:t>Annually</w:t>
            </w:r>
          </w:p>
        </w:tc>
      </w:tr>
      <w:tr w:rsidR="00A12C17" w:rsidRPr="00976ECE" w:rsidTr="000D3635">
        <w:trPr>
          <w:trHeight w:val="1052"/>
        </w:trPr>
        <w:tc>
          <w:tcPr>
            <w:tcW w:w="442" w:type="pct"/>
          </w:tcPr>
          <w:p w:rsidR="00A12C17" w:rsidRPr="004A34D8" w:rsidRDefault="00682EAA" w:rsidP="007F0D3D">
            <w:pPr>
              <w:jc w:val="center"/>
              <w:rPr>
                <w:rFonts w:eastAsia="Times New Roman" w:cs="Arial"/>
                <w:b/>
                <w:bCs/>
                <w:lang w:eastAsia="en-GB"/>
              </w:rPr>
            </w:pPr>
            <w:r>
              <w:rPr>
                <w:rFonts w:eastAsia="Times New Roman" w:cs="Arial"/>
                <w:b/>
                <w:bCs/>
                <w:lang w:eastAsia="en-GB"/>
              </w:rPr>
              <w:lastRenderedPageBreak/>
              <w:t>14</w:t>
            </w:r>
          </w:p>
        </w:tc>
        <w:tc>
          <w:tcPr>
            <w:tcW w:w="2913" w:type="pct"/>
            <w:gridSpan w:val="2"/>
          </w:tcPr>
          <w:p w:rsidR="00A12C17" w:rsidRPr="004A34D8" w:rsidRDefault="00A12C17" w:rsidP="007F0D3D">
            <w:pPr>
              <w:pStyle w:val="Default"/>
              <w:rPr>
                <w:color w:val="auto"/>
                <w:sz w:val="22"/>
                <w:szCs w:val="22"/>
              </w:rPr>
            </w:pPr>
            <w:r w:rsidRPr="004A34D8">
              <w:rPr>
                <w:color w:val="auto"/>
                <w:sz w:val="22"/>
                <w:szCs w:val="22"/>
              </w:rPr>
              <w:t xml:space="preserve">Ratio of contacts of chlamydia index cases </w:t>
            </w:r>
            <w:r w:rsidRPr="004A34D8">
              <w:rPr>
                <w:rFonts w:eastAsia="Times New Roman"/>
                <w:color w:val="auto"/>
                <w:sz w:val="22"/>
                <w:szCs w:val="22"/>
                <w:lang w:eastAsia="en-GB"/>
              </w:rPr>
              <w:t xml:space="preserve">who attended a service commissioned to manage STIs within four weeks of the date of the first PN discussion </w:t>
            </w:r>
          </w:p>
        </w:tc>
        <w:tc>
          <w:tcPr>
            <w:tcW w:w="844" w:type="pct"/>
            <w:gridSpan w:val="3"/>
          </w:tcPr>
          <w:p w:rsidR="00A12C17" w:rsidRPr="004A34D8" w:rsidRDefault="00A12C17" w:rsidP="007F0D3D">
            <w:pPr>
              <w:jc w:val="center"/>
              <w:rPr>
                <w:rFonts w:eastAsia="Times New Roman" w:cs="Arial"/>
                <w:b/>
                <w:bCs/>
                <w:lang w:eastAsia="en-GB"/>
              </w:rPr>
            </w:pPr>
            <w:r w:rsidRPr="004A34D8">
              <w:rPr>
                <w:rFonts w:eastAsia="Times New Roman" w:cs="Arial"/>
                <w:b/>
                <w:bCs/>
                <w:lang w:eastAsia="en-GB"/>
              </w:rPr>
              <w:t>0.6</w:t>
            </w:r>
          </w:p>
        </w:tc>
        <w:tc>
          <w:tcPr>
            <w:tcW w:w="801" w:type="pct"/>
          </w:tcPr>
          <w:p w:rsidR="00A12C17" w:rsidRPr="004A34D8" w:rsidRDefault="00A12C17" w:rsidP="007F0D3D">
            <w:pPr>
              <w:jc w:val="center"/>
              <w:rPr>
                <w:rFonts w:eastAsia="Times New Roman" w:cs="Arial"/>
                <w:lang w:eastAsia="en-GB"/>
              </w:rPr>
            </w:pPr>
            <w:r w:rsidRPr="004A34D8">
              <w:rPr>
                <w:rFonts w:eastAsia="Times New Roman" w:cs="Arial"/>
                <w:lang w:eastAsia="en-GB"/>
              </w:rPr>
              <w:t>Quarterly</w:t>
            </w:r>
          </w:p>
        </w:tc>
      </w:tr>
      <w:tr w:rsidR="00A12C17" w:rsidRPr="00976ECE" w:rsidTr="000D3635">
        <w:trPr>
          <w:trHeight w:val="1052"/>
        </w:trPr>
        <w:tc>
          <w:tcPr>
            <w:tcW w:w="442" w:type="pct"/>
          </w:tcPr>
          <w:p w:rsidR="00A12C17" w:rsidRPr="004A34D8" w:rsidRDefault="00682EAA" w:rsidP="007F0D3D">
            <w:pPr>
              <w:jc w:val="center"/>
              <w:rPr>
                <w:rFonts w:eastAsia="Times New Roman" w:cs="Arial"/>
                <w:b/>
                <w:bCs/>
                <w:lang w:eastAsia="en-GB"/>
              </w:rPr>
            </w:pPr>
            <w:r>
              <w:rPr>
                <w:rFonts w:eastAsia="Times New Roman" w:cs="Arial"/>
                <w:b/>
                <w:bCs/>
                <w:lang w:eastAsia="en-GB"/>
              </w:rPr>
              <w:t>15</w:t>
            </w:r>
          </w:p>
        </w:tc>
        <w:tc>
          <w:tcPr>
            <w:tcW w:w="2913" w:type="pct"/>
            <w:gridSpan w:val="2"/>
          </w:tcPr>
          <w:p w:rsidR="00A12C17" w:rsidRPr="004A34D8" w:rsidRDefault="00A12C17" w:rsidP="007F0D3D">
            <w:pPr>
              <w:rPr>
                <w:rFonts w:eastAsia="Times New Roman" w:cs="Arial"/>
                <w:lang w:eastAsia="en-GB"/>
              </w:rPr>
            </w:pPr>
            <w:r w:rsidRPr="004A34D8">
              <w:rPr>
                <w:rFonts w:eastAsia="Times New Roman" w:cs="Arial"/>
                <w:lang w:eastAsia="en-GB"/>
              </w:rPr>
              <w:t xml:space="preserve">Ratio of contacts per </w:t>
            </w:r>
            <w:r w:rsidRPr="004A34D8">
              <w:rPr>
                <w:rFonts w:eastAsia="Times New Roman" w:cs="Arial"/>
                <w:u w:val="single"/>
                <w:lang w:eastAsia="en-GB"/>
              </w:rPr>
              <w:t>gonorrhoea</w:t>
            </w:r>
            <w:r w:rsidRPr="004A34D8">
              <w:rPr>
                <w:rFonts w:eastAsia="Times New Roman" w:cs="Arial"/>
                <w:lang w:eastAsia="en-GB"/>
              </w:rPr>
              <w:t xml:space="preserve"> index case, who attended a service commissioned to manage STIs within four weeks of the date of the first PN discussion </w:t>
            </w:r>
          </w:p>
        </w:tc>
        <w:tc>
          <w:tcPr>
            <w:tcW w:w="844" w:type="pct"/>
            <w:gridSpan w:val="3"/>
          </w:tcPr>
          <w:p w:rsidR="00A12C17" w:rsidRPr="004A34D8" w:rsidRDefault="00A12C17" w:rsidP="007F0D3D">
            <w:pPr>
              <w:jc w:val="center"/>
              <w:rPr>
                <w:rFonts w:eastAsia="Times New Roman" w:cs="Arial"/>
                <w:b/>
                <w:bCs/>
                <w:lang w:eastAsia="en-GB"/>
              </w:rPr>
            </w:pPr>
            <w:r w:rsidRPr="004A34D8">
              <w:rPr>
                <w:rFonts w:eastAsia="Times New Roman" w:cs="Arial"/>
                <w:b/>
                <w:bCs/>
                <w:lang w:eastAsia="en-GB"/>
              </w:rPr>
              <w:t>0.4</w:t>
            </w:r>
          </w:p>
        </w:tc>
        <w:tc>
          <w:tcPr>
            <w:tcW w:w="801" w:type="pct"/>
          </w:tcPr>
          <w:p w:rsidR="00A12C17" w:rsidRPr="004A34D8" w:rsidRDefault="00A12C17" w:rsidP="007F0D3D">
            <w:pPr>
              <w:jc w:val="center"/>
              <w:rPr>
                <w:rFonts w:eastAsia="Times New Roman" w:cs="Arial"/>
                <w:lang w:eastAsia="en-GB"/>
              </w:rPr>
            </w:pPr>
            <w:r w:rsidRPr="004A34D8">
              <w:rPr>
                <w:rFonts w:eastAsia="Times New Roman" w:cs="Arial"/>
                <w:lang w:eastAsia="en-GB"/>
              </w:rPr>
              <w:t>Quarterly</w:t>
            </w:r>
          </w:p>
        </w:tc>
      </w:tr>
      <w:tr w:rsidR="000D3635" w:rsidRPr="00976ECE" w:rsidTr="002A30E5">
        <w:trPr>
          <w:trHeight w:val="423"/>
        </w:trPr>
        <w:tc>
          <w:tcPr>
            <w:tcW w:w="5000" w:type="pct"/>
            <w:gridSpan w:val="7"/>
            <w:shd w:val="clear" w:color="auto" w:fill="548DD4" w:themeFill="text2" w:themeFillTint="99"/>
          </w:tcPr>
          <w:p w:rsidR="000D3635" w:rsidRPr="004A34D8" w:rsidRDefault="000D3635" w:rsidP="008722F3">
            <w:pPr>
              <w:jc w:val="center"/>
              <w:rPr>
                <w:rFonts w:eastAsia="Times New Roman" w:cs="Arial"/>
                <w:lang w:eastAsia="en-GB"/>
              </w:rPr>
            </w:pPr>
            <w:r w:rsidRPr="004A34D8">
              <w:rPr>
                <w:rFonts w:eastAsia="Times New Roman" w:cs="Arial"/>
                <w:b/>
                <w:bCs/>
                <w:lang w:eastAsia="en-GB"/>
              </w:rPr>
              <w:t>Contraception</w:t>
            </w:r>
          </w:p>
        </w:tc>
      </w:tr>
      <w:tr w:rsidR="000D3635" w:rsidRPr="00976ECE" w:rsidTr="004A34D8">
        <w:trPr>
          <w:trHeight w:val="944"/>
        </w:trPr>
        <w:tc>
          <w:tcPr>
            <w:tcW w:w="442" w:type="pct"/>
            <w:hideMark/>
          </w:tcPr>
          <w:p w:rsidR="000D3635" w:rsidRPr="004A34D8" w:rsidRDefault="00682EAA" w:rsidP="00650D4B">
            <w:pPr>
              <w:jc w:val="center"/>
              <w:rPr>
                <w:rFonts w:eastAsia="Times New Roman" w:cs="Arial"/>
                <w:b/>
                <w:bCs/>
                <w:lang w:eastAsia="en-GB"/>
              </w:rPr>
            </w:pPr>
            <w:r>
              <w:rPr>
                <w:rFonts w:eastAsia="Times New Roman" w:cs="Arial"/>
                <w:b/>
                <w:bCs/>
                <w:lang w:eastAsia="en-GB"/>
              </w:rPr>
              <w:t>16</w:t>
            </w:r>
          </w:p>
        </w:tc>
        <w:tc>
          <w:tcPr>
            <w:tcW w:w="2913" w:type="pct"/>
            <w:gridSpan w:val="2"/>
            <w:hideMark/>
          </w:tcPr>
          <w:p w:rsidR="000D3635" w:rsidRPr="004A34D8" w:rsidRDefault="000D3635" w:rsidP="00976ECE">
            <w:pPr>
              <w:rPr>
                <w:rFonts w:eastAsia="Times New Roman" w:cs="Arial"/>
                <w:lang w:eastAsia="en-GB"/>
              </w:rPr>
            </w:pPr>
            <w:r w:rsidRPr="004A34D8">
              <w:rPr>
                <w:rFonts w:eastAsia="Times New Roman" w:cs="Arial"/>
                <w:lang w:eastAsia="en-GB"/>
              </w:rPr>
              <w:t xml:space="preserve">Percentage of </w:t>
            </w:r>
            <w:r w:rsidR="00CF1C63">
              <w:rPr>
                <w:rFonts w:eastAsia="Times New Roman" w:cs="Arial"/>
                <w:lang w:eastAsia="en-GB"/>
              </w:rPr>
              <w:t>LARC</w:t>
            </w:r>
            <w:r w:rsidRPr="004A34D8">
              <w:rPr>
                <w:rFonts w:eastAsia="Times New Roman" w:cs="Arial"/>
                <w:lang w:eastAsia="en-GB"/>
              </w:rPr>
              <w:t xml:space="preserve"> prescribed as a proportion of all contraceptives by age (&lt;20, 20+ years of age)</w:t>
            </w:r>
          </w:p>
        </w:tc>
        <w:tc>
          <w:tcPr>
            <w:tcW w:w="844" w:type="pct"/>
            <w:gridSpan w:val="3"/>
            <w:hideMark/>
          </w:tcPr>
          <w:p w:rsidR="000D3635" w:rsidRPr="004A34D8" w:rsidRDefault="000D3635" w:rsidP="0070105B">
            <w:pPr>
              <w:jc w:val="center"/>
              <w:rPr>
                <w:rFonts w:eastAsia="Times New Roman" w:cs="Arial"/>
                <w:lang w:eastAsia="en-GB"/>
              </w:rPr>
            </w:pPr>
            <w:r w:rsidRPr="004A34D8">
              <w:rPr>
                <w:rFonts w:eastAsia="Times New Roman" w:cs="Arial"/>
                <w:lang w:eastAsia="en-GB"/>
              </w:rPr>
              <w:t>&lt;20 years:</w:t>
            </w:r>
            <w:r w:rsidR="00AF2B2D">
              <w:rPr>
                <w:rFonts w:eastAsia="Times New Roman" w:cs="Arial"/>
                <w:lang w:eastAsia="en-GB"/>
              </w:rPr>
              <w:t xml:space="preserve"> </w:t>
            </w:r>
            <w:r w:rsidRPr="004A34D8">
              <w:rPr>
                <w:rFonts w:eastAsia="Times New Roman" w:cs="Arial"/>
                <w:lang w:eastAsia="en-GB"/>
              </w:rPr>
              <w:t>30%</w:t>
            </w:r>
            <w:r w:rsidRPr="004A34D8">
              <w:rPr>
                <w:rFonts w:eastAsia="Times New Roman" w:cs="Arial"/>
                <w:lang w:eastAsia="en-GB"/>
              </w:rPr>
              <w:br/>
            </w:r>
            <w:r w:rsidRPr="004A34D8">
              <w:rPr>
                <w:rFonts w:eastAsia="Times New Roman" w:cs="Arial"/>
                <w:lang w:eastAsia="en-GB"/>
              </w:rPr>
              <w:br/>
              <w:t>Over 20</w:t>
            </w:r>
            <w:r w:rsidR="0070105B" w:rsidRPr="004A34D8">
              <w:rPr>
                <w:rFonts w:eastAsia="Times New Roman" w:cs="Arial"/>
                <w:lang w:eastAsia="en-GB"/>
              </w:rPr>
              <w:t xml:space="preserve"> years</w:t>
            </w:r>
            <w:r w:rsidRPr="004A34D8">
              <w:rPr>
                <w:rFonts w:eastAsia="Times New Roman" w:cs="Arial"/>
                <w:lang w:eastAsia="en-GB"/>
              </w:rPr>
              <w:t>:</w:t>
            </w:r>
            <w:r w:rsidR="00AF2B2D">
              <w:rPr>
                <w:rFonts w:eastAsia="Times New Roman" w:cs="Arial"/>
                <w:lang w:eastAsia="en-GB"/>
              </w:rPr>
              <w:t xml:space="preserve"> </w:t>
            </w:r>
            <w:r w:rsidR="0070105B" w:rsidRPr="004A34D8">
              <w:rPr>
                <w:rFonts w:eastAsia="Times New Roman" w:cs="Arial"/>
                <w:lang w:eastAsia="en-GB"/>
              </w:rPr>
              <w:t>38</w:t>
            </w:r>
            <w:r w:rsidRPr="004A34D8">
              <w:rPr>
                <w:rFonts w:eastAsia="Times New Roman" w:cs="Arial"/>
                <w:lang w:eastAsia="en-GB"/>
              </w:rPr>
              <w:t>%</w:t>
            </w:r>
          </w:p>
        </w:tc>
        <w:tc>
          <w:tcPr>
            <w:tcW w:w="801" w:type="pct"/>
            <w:hideMark/>
          </w:tcPr>
          <w:p w:rsidR="000D3635" w:rsidRPr="004A34D8" w:rsidRDefault="000D3635" w:rsidP="004A34D8">
            <w:pPr>
              <w:jc w:val="center"/>
              <w:rPr>
                <w:rFonts w:eastAsia="Times New Roman" w:cs="Arial"/>
                <w:lang w:eastAsia="en-GB"/>
              </w:rPr>
            </w:pPr>
            <w:r w:rsidRPr="004A34D8">
              <w:rPr>
                <w:rFonts w:eastAsia="Times New Roman" w:cs="Arial"/>
                <w:lang w:eastAsia="en-GB"/>
              </w:rPr>
              <w:t xml:space="preserve"> Quarterly </w:t>
            </w:r>
          </w:p>
        </w:tc>
      </w:tr>
      <w:tr w:rsidR="000D3635" w:rsidRPr="00976ECE" w:rsidTr="000D3635">
        <w:trPr>
          <w:trHeight w:val="765"/>
        </w:trPr>
        <w:tc>
          <w:tcPr>
            <w:tcW w:w="442" w:type="pct"/>
          </w:tcPr>
          <w:p w:rsidR="000D3635" w:rsidRPr="004A34D8" w:rsidRDefault="00682EAA" w:rsidP="008722F3">
            <w:pPr>
              <w:jc w:val="center"/>
              <w:rPr>
                <w:rFonts w:eastAsia="Times New Roman" w:cs="Arial"/>
                <w:b/>
                <w:bCs/>
                <w:lang w:eastAsia="en-GB"/>
              </w:rPr>
            </w:pPr>
            <w:r>
              <w:rPr>
                <w:rFonts w:eastAsia="Times New Roman" w:cs="Arial"/>
                <w:b/>
                <w:bCs/>
                <w:lang w:eastAsia="en-GB"/>
              </w:rPr>
              <w:t>17</w:t>
            </w:r>
          </w:p>
        </w:tc>
        <w:tc>
          <w:tcPr>
            <w:tcW w:w="2913" w:type="pct"/>
            <w:gridSpan w:val="2"/>
          </w:tcPr>
          <w:p w:rsidR="000D3635" w:rsidRPr="004A34D8" w:rsidRDefault="000D3635" w:rsidP="00140ED5">
            <w:pPr>
              <w:rPr>
                <w:rFonts w:cs="Arial"/>
              </w:rPr>
            </w:pPr>
            <w:r w:rsidRPr="004A34D8">
              <w:rPr>
                <w:rFonts w:cs="Arial"/>
              </w:rPr>
              <w:t xml:space="preserve">Proportion (number) of women seeking emergency contraception accepting offer of: </w:t>
            </w:r>
          </w:p>
          <w:p w:rsidR="000D3635" w:rsidRPr="004A34D8" w:rsidRDefault="000D3635" w:rsidP="002A30E5">
            <w:pPr>
              <w:pStyle w:val="ListParagraph"/>
              <w:numPr>
                <w:ilvl w:val="0"/>
                <w:numId w:val="21"/>
              </w:numPr>
              <w:rPr>
                <w:rFonts w:ascii="Arial" w:hAnsi="Arial" w:cs="Arial"/>
              </w:rPr>
            </w:pPr>
            <w:r w:rsidRPr="004A34D8">
              <w:rPr>
                <w:rFonts w:ascii="Arial" w:hAnsi="Arial" w:cs="Arial"/>
              </w:rPr>
              <w:t xml:space="preserve">LARC, including IUDs fitted as the emergency contraception option; </w:t>
            </w:r>
          </w:p>
          <w:p w:rsidR="000D3635" w:rsidRPr="004A34D8" w:rsidRDefault="000D3635" w:rsidP="002A30E5">
            <w:pPr>
              <w:pStyle w:val="ListParagraph"/>
              <w:numPr>
                <w:ilvl w:val="0"/>
                <w:numId w:val="21"/>
              </w:numPr>
              <w:rPr>
                <w:rFonts w:ascii="Arial" w:eastAsia="Times New Roman" w:hAnsi="Arial" w:cs="Arial"/>
                <w:lang w:eastAsia="en-GB"/>
              </w:rPr>
            </w:pPr>
            <w:r w:rsidRPr="004A34D8">
              <w:rPr>
                <w:rFonts w:ascii="Arial" w:hAnsi="Arial" w:cs="Arial"/>
              </w:rPr>
              <w:t xml:space="preserve">EHC  </w:t>
            </w:r>
          </w:p>
        </w:tc>
        <w:tc>
          <w:tcPr>
            <w:tcW w:w="844" w:type="pct"/>
            <w:gridSpan w:val="3"/>
          </w:tcPr>
          <w:p w:rsidR="000D3635" w:rsidRPr="004A34D8" w:rsidRDefault="0070105B" w:rsidP="008722F3">
            <w:pPr>
              <w:jc w:val="center"/>
              <w:rPr>
                <w:rFonts w:eastAsia="Times New Roman" w:cs="Arial"/>
                <w:lang w:eastAsia="en-GB"/>
              </w:rPr>
            </w:pPr>
            <w:r w:rsidRPr="004A34D8">
              <w:rPr>
                <w:rFonts w:eastAsia="Times New Roman" w:cs="Arial"/>
                <w:lang w:eastAsia="en-GB"/>
              </w:rPr>
              <w:t>Target to be agreed after review of Q1</w:t>
            </w:r>
          </w:p>
        </w:tc>
        <w:tc>
          <w:tcPr>
            <w:tcW w:w="801" w:type="pct"/>
          </w:tcPr>
          <w:p w:rsidR="000D3635" w:rsidRPr="004A34D8" w:rsidRDefault="004A34D8" w:rsidP="008722F3">
            <w:pPr>
              <w:jc w:val="center"/>
              <w:rPr>
                <w:rFonts w:eastAsia="Times New Roman" w:cs="Arial"/>
                <w:lang w:eastAsia="en-GB"/>
              </w:rPr>
            </w:pPr>
            <w:r w:rsidRPr="004A34D8">
              <w:rPr>
                <w:rFonts w:eastAsia="Times New Roman" w:cs="Arial"/>
                <w:lang w:eastAsia="en-GB"/>
              </w:rPr>
              <w:t>Quarterly</w:t>
            </w:r>
          </w:p>
        </w:tc>
      </w:tr>
      <w:tr w:rsidR="000D3635" w:rsidRPr="00976ECE" w:rsidTr="000D3635">
        <w:trPr>
          <w:trHeight w:val="765"/>
        </w:trPr>
        <w:tc>
          <w:tcPr>
            <w:tcW w:w="442" w:type="pct"/>
            <w:hideMark/>
          </w:tcPr>
          <w:p w:rsidR="000D3635" w:rsidRPr="00976ECE" w:rsidRDefault="00682EAA" w:rsidP="00650D4B">
            <w:pPr>
              <w:jc w:val="center"/>
              <w:rPr>
                <w:rFonts w:eastAsia="Times New Roman" w:cs="Arial"/>
                <w:b/>
                <w:bCs/>
                <w:color w:val="000000"/>
                <w:lang w:eastAsia="en-GB"/>
              </w:rPr>
            </w:pPr>
            <w:r>
              <w:rPr>
                <w:rFonts w:eastAsia="Times New Roman" w:cs="Arial"/>
                <w:b/>
                <w:bCs/>
                <w:color w:val="000000"/>
                <w:lang w:eastAsia="en-GB"/>
              </w:rPr>
              <w:t>18</w:t>
            </w:r>
          </w:p>
        </w:tc>
        <w:tc>
          <w:tcPr>
            <w:tcW w:w="2913" w:type="pct"/>
            <w:gridSpan w:val="2"/>
            <w:hideMark/>
          </w:tcPr>
          <w:p w:rsidR="000D3635" w:rsidRPr="00976ECE" w:rsidRDefault="000D3635" w:rsidP="00AF2B2D">
            <w:pPr>
              <w:rPr>
                <w:rFonts w:eastAsia="Times New Roman" w:cs="Arial"/>
                <w:color w:val="000000"/>
                <w:lang w:eastAsia="en-GB"/>
              </w:rPr>
            </w:pPr>
            <w:r w:rsidRPr="00976ECE">
              <w:rPr>
                <w:rFonts w:eastAsia="Times New Roman" w:cs="Arial"/>
                <w:color w:val="000000"/>
                <w:lang w:eastAsia="en-GB"/>
              </w:rPr>
              <w:t xml:space="preserve">Percentage of women who have access to urgent contraceptive advice and services (including emergency contraception) within 2 hours of accessing the </w:t>
            </w:r>
            <w:r w:rsidR="00AF2B2D">
              <w:rPr>
                <w:rFonts w:eastAsia="Times New Roman" w:cs="Arial"/>
                <w:color w:val="000000"/>
                <w:lang w:eastAsia="en-GB"/>
              </w:rPr>
              <w:t>S</w:t>
            </w:r>
            <w:r w:rsidR="00AF2B2D" w:rsidRPr="00976ECE">
              <w:rPr>
                <w:rFonts w:eastAsia="Times New Roman" w:cs="Arial"/>
                <w:color w:val="000000"/>
                <w:lang w:eastAsia="en-GB"/>
              </w:rPr>
              <w:t>ervice</w:t>
            </w:r>
          </w:p>
        </w:tc>
        <w:tc>
          <w:tcPr>
            <w:tcW w:w="844" w:type="pct"/>
            <w:gridSpan w:val="3"/>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95%</w:t>
            </w:r>
          </w:p>
        </w:tc>
        <w:tc>
          <w:tcPr>
            <w:tcW w:w="801" w:type="pct"/>
            <w:hideMark/>
          </w:tcPr>
          <w:p w:rsidR="000D3635" w:rsidRPr="00976ECE" w:rsidRDefault="000D3635" w:rsidP="004A34D8">
            <w:pPr>
              <w:jc w:val="center"/>
              <w:rPr>
                <w:rFonts w:eastAsia="Times New Roman" w:cs="Arial"/>
                <w:color w:val="000000"/>
                <w:lang w:eastAsia="en-GB"/>
              </w:rPr>
            </w:pPr>
            <w:r w:rsidRPr="00976ECE">
              <w:rPr>
                <w:rFonts w:eastAsia="Times New Roman" w:cs="Arial"/>
                <w:color w:val="000000"/>
                <w:lang w:eastAsia="en-GB"/>
              </w:rPr>
              <w:t xml:space="preserve">Quarterly </w:t>
            </w:r>
          </w:p>
        </w:tc>
      </w:tr>
      <w:tr w:rsidR="000D3635" w:rsidRPr="00976ECE" w:rsidTr="00650D4B">
        <w:trPr>
          <w:trHeight w:val="699"/>
        </w:trPr>
        <w:tc>
          <w:tcPr>
            <w:tcW w:w="5000" w:type="pct"/>
            <w:gridSpan w:val="7"/>
            <w:shd w:val="clear" w:color="auto" w:fill="548DD4" w:themeFill="text2" w:themeFillTint="99"/>
          </w:tcPr>
          <w:p w:rsidR="000D3635" w:rsidRPr="00140ED5" w:rsidRDefault="000D3635" w:rsidP="008722F3">
            <w:pPr>
              <w:jc w:val="center"/>
              <w:rPr>
                <w:rFonts w:eastAsia="Times New Roman" w:cs="Arial"/>
                <w:b/>
                <w:color w:val="000000"/>
                <w:lang w:eastAsia="en-GB"/>
              </w:rPr>
            </w:pPr>
            <w:r w:rsidRPr="00140ED5">
              <w:rPr>
                <w:rFonts w:eastAsia="Times New Roman" w:cs="Arial"/>
                <w:b/>
                <w:color w:val="000000"/>
                <w:lang w:eastAsia="en-GB"/>
              </w:rPr>
              <w:t>Workforce</w:t>
            </w:r>
          </w:p>
        </w:tc>
      </w:tr>
      <w:tr w:rsidR="000D3635" w:rsidRPr="00976ECE" w:rsidTr="00A12C17">
        <w:trPr>
          <w:trHeight w:val="1315"/>
        </w:trPr>
        <w:tc>
          <w:tcPr>
            <w:tcW w:w="442" w:type="pct"/>
            <w:hideMark/>
          </w:tcPr>
          <w:p w:rsidR="000D3635" w:rsidRPr="00976ECE" w:rsidRDefault="00682EAA" w:rsidP="008722F3">
            <w:pPr>
              <w:jc w:val="center"/>
              <w:rPr>
                <w:rFonts w:eastAsia="Times New Roman" w:cs="Arial"/>
                <w:b/>
                <w:bCs/>
                <w:color w:val="000000"/>
                <w:lang w:eastAsia="en-GB"/>
              </w:rPr>
            </w:pPr>
            <w:r>
              <w:rPr>
                <w:rFonts w:eastAsia="Times New Roman" w:cs="Arial"/>
                <w:b/>
                <w:bCs/>
                <w:color w:val="000000"/>
                <w:lang w:eastAsia="en-GB"/>
              </w:rPr>
              <w:t>19</w:t>
            </w:r>
          </w:p>
        </w:tc>
        <w:tc>
          <w:tcPr>
            <w:tcW w:w="2913" w:type="pct"/>
            <w:gridSpan w:val="2"/>
            <w:hideMark/>
          </w:tcPr>
          <w:p w:rsidR="000D3635" w:rsidRPr="00976ECE" w:rsidRDefault="000D3635" w:rsidP="00976ECE">
            <w:pPr>
              <w:rPr>
                <w:rFonts w:eastAsia="Times New Roman" w:cs="Arial"/>
                <w:color w:val="000000"/>
                <w:lang w:eastAsia="en-GB"/>
              </w:rPr>
            </w:pPr>
            <w:r w:rsidRPr="00976ECE">
              <w:rPr>
                <w:rFonts w:eastAsia="Times New Roman" w:cs="Arial"/>
                <w:color w:val="000000"/>
                <w:lang w:eastAsia="en-GB"/>
              </w:rPr>
              <w:t>Percentage of staff delivering contraceptive and STI services who have successfully completed nationally accredited training, according to their scope of practice, and fulfilled relevant update requirements</w:t>
            </w:r>
          </w:p>
        </w:tc>
        <w:tc>
          <w:tcPr>
            <w:tcW w:w="844" w:type="pct"/>
            <w:gridSpan w:val="3"/>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100%</w:t>
            </w:r>
          </w:p>
        </w:tc>
        <w:tc>
          <w:tcPr>
            <w:tcW w:w="801" w:type="pct"/>
            <w:hideMark/>
          </w:tcPr>
          <w:p w:rsidR="000D3635" w:rsidRPr="00976ECE" w:rsidRDefault="000D3635" w:rsidP="00DB5F49">
            <w:pPr>
              <w:jc w:val="center"/>
              <w:rPr>
                <w:rFonts w:eastAsia="Times New Roman" w:cs="Arial"/>
                <w:color w:val="000000"/>
                <w:lang w:eastAsia="en-GB"/>
              </w:rPr>
            </w:pPr>
            <w:r w:rsidRPr="00976ECE">
              <w:rPr>
                <w:rFonts w:eastAsia="Times New Roman" w:cs="Arial"/>
                <w:color w:val="000000"/>
                <w:lang w:eastAsia="en-GB"/>
              </w:rPr>
              <w:t>Annual</w:t>
            </w:r>
            <w:r w:rsidR="004A34D8">
              <w:rPr>
                <w:rFonts w:eastAsia="Times New Roman" w:cs="Arial"/>
                <w:color w:val="000000"/>
                <w:lang w:eastAsia="en-GB"/>
              </w:rPr>
              <w:t>ly</w:t>
            </w:r>
            <w:r w:rsidRPr="00976ECE">
              <w:rPr>
                <w:rFonts w:eastAsia="Times New Roman" w:cs="Arial"/>
                <w:color w:val="000000"/>
                <w:lang w:eastAsia="en-GB"/>
              </w:rPr>
              <w:br/>
            </w:r>
          </w:p>
        </w:tc>
      </w:tr>
      <w:tr w:rsidR="000D3635" w:rsidRPr="00976ECE" w:rsidTr="00A12C17">
        <w:trPr>
          <w:trHeight w:val="1323"/>
        </w:trPr>
        <w:tc>
          <w:tcPr>
            <w:tcW w:w="442" w:type="pct"/>
            <w:hideMark/>
          </w:tcPr>
          <w:p w:rsidR="000D3635" w:rsidRPr="00976ECE" w:rsidRDefault="000D3635" w:rsidP="00682EAA">
            <w:pPr>
              <w:jc w:val="center"/>
              <w:rPr>
                <w:rFonts w:eastAsia="Times New Roman" w:cs="Arial"/>
                <w:b/>
                <w:bCs/>
                <w:color w:val="000000"/>
                <w:lang w:eastAsia="en-GB"/>
              </w:rPr>
            </w:pPr>
            <w:r w:rsidRPr="00976ECE">
              <w:rPr>
                <w:rFonts w:eastAsia="Times New Roman" w:cs="Arial"/>
                <w:b/>
                <w:bCs/>
                <w:color w:val="000000"/>
                <w:lang w:eastAsia="en-GB"/>
              </w:rPr>
              <w:t> </w:t>
            </w:r>
            <w:r w:rsidR="00682EAA">
              <w:rPr>
                <w:rFonts w:eastAsia="Times New Roman" w:cs="Arial"/>
                <w:b/>
                <w:bCs/>
                <w:color w:val="000000"/>
                <w:lang w:eastAsia="en-GB"/>
              </w:rPr>
              <w:t>20</w:t>
            </w:r>
          </w:p>
        </w:tc>
        <w:tc>
          <w:tcPr>
            <w:tcW w:w="2913" w:type="pct"/>
            <w:gridSpan w:val="2"/>
            <w:hideMark/>
          </w:tcPr>
          <w:p w:rsidR="000D3635" w:rsidRPr="00976ECE" w:rsidRDefault="000D3635" w:rsidP="00976ECE">
            <w:pPr>
              <w:rPr>
                <w:rFonts w:eastAsia="Times New Roman" w:cs="Arial"/>
                <w:color w:val="000000"/>
                <w:lang w:eastAsia="en-GB"/>
              </w:rPr>
            </w:pPr>
            <w:r w:rsidRPr="00976ECE">
              <w:rPr>
                <w:rFonts w:eastAsia="Times New Roman" w:cs="Arial"/>
                <w:color w:val="000000"/>
                <w:lang w:eastAsia="en-GB"/>
              </w:rPr>
              <w:t>Percentage of nurses dual trained to deliver contraceptive and GUM services</w:t>
            </w:r>
          </w:p>
        </w:tc>
        <w:tc>
          <w:tcPr>
            <w:tcW w:w="844" w:type="pct"/>
            <w:gridSpan w:val="3"/>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90%</w:t>
            </w:r>
          </w:p>
        </w:tc>
        <w:tc>
          <w:tcPr>
            <w:tcW w:w="801" w:type="pct"/>
            <w:hideMark/>
          </w:tcPr>
          <w:p w:rsidR="000D3635" w:rsidRPr="00976ECE" w:rsidRDefault="000D3635" w:rsidP="004A34D8">
            <w:pPr>
              <w:jc w:val="center"/>
              <w:rPr>
                <w:rFonts w:eastAsia="Times New Roman" w:cs="Arial"/>
                <w:color w:val="000000"/>
                <w:lang w:eastAsia="en-GB"/>
              </w:rPr>
            </w:pPr>
            <w:r w:rsidRPr="00976ECE">
              <w:rPr>
                <w:rFonts w:eastAsia="Times New Roman" w:cs="Arial"/>
                <w:color w:val="000000"/>
                <w:lang w:eastAsia="en-GB"/>
              </w:rPr>
              <w:t>Annual</w:t>
            </w:r>
            <w:r w:rsidR="004A34D8">
              <w:rPr>
                <w:rFonts w:eastAsia="Times New Roman" w:cs="Arial"/>
                <w:color w:val="000000"/>
                <w:lang w:eastAsia="en-GB"/>
              </w:rPr>
              <w:t>ly</w:t>
            </w:r>
          </w:p>
        </w:tc>
      </w:tr>
      <w:tr w:rsidR="000D3635" w:rsidRPr="00976ECE" w:rsidTr="00650D4B">
        <w:trPr>
          <w:trHeight w:val="465"/>
        </w:trPr>
        <w:tc>
          <w:tcPr>
            <w:tcW w:w="5000" w:type="pct"/>
            <w:gridSpan w:val="7"/>
            <w:shd w:val="clear" w:color="auto" w:fill="548DD4" w:themeFill="text2" w:themeFillTint="99"/>
          </w:tcPr>
          <w:p w:rsidR="000D3635" w:rsidRPr="00140ED5" w:rsidRDefault="00D83004" w:rsidP="008722F3">
            <w:pPr>
              <w:jc w:val="center"/>
              <w:rPr>
                <w:rFonts w:eastAsia="Times New Roman" w:cs="Arial"/>
                <w:b/>
                <w:color w:val="000000"/>
                <w:lang w:eastAsia="en-GB"/>
              </w:rPr>
            </w:pPr>
            <w:r>
              <w:rPr>
                <w:rFonts w:eastAsia="Times New Roman" w:cs="Arial"/>
                <w:b/>
                <w:color w:val="000000"/>
                <w:lang w:eastAsia="en-GB"/>
              </w:rPr>
              <w:t>Service User</w:t>
            </w:r>
            <w:r w:rsidR="000D3635" w:rsidRPr="00140ED5">
              <w:rPr>
                <w:rFonts w:eastAsia="Times New Roman" w:cs="Arial"/>
                <w:b/>
                <w:color w:val="000000"/>
                <w:lang w:eastAsia="en-GB"/>
              </w:rPr>
              <w:t xml:space="preserve"> Experience</w:t>
            </w:r>
          </w:p>
        </w:tc>
      </w:tr>
      <w:tr w:rsidR="000D3635" w:rsidRPr="00976ECE" w:rsidTr="00DB5F49">
        <w:trPr>
          <w:trHeight w:val="1500"/>
        </w:trPr>
        <w:tc>
          <w:tcPr>
            <w:tcW w:w="442" w:type="pct"/>
            <w:hideMark/>
          </w:tcPr>
          <w:p w:rsidR="000D3635" w:rsidRPr="00976ECE" w:rsidRDefault="00682EAA" w:rsidP="00650D4B">
            <w:pPr>
              <w:jc w:val="center"/>
              <w:rPr>
                <w:rFonts w:eastAsia="Times New Roman" w:cs="Arial"/>
                <w:b/>
                <w:bCs/>
                <w:color w:val="000000"/>
                <w:lang w:eastAsia="en-GB"/>
              </w:rPr>
            </w:pPr>
            <w:r>
              <w:rPr>
                <w:rFonts w:eastAsia="Times New Roman" w:cs="Arial"/>
                <w:b/>
                <w:bCs/>
                <w:color w:val="000000"/>
                <w:lang w:eastAsia="en-GB"/>
              </w:rPr>
              <w:t>21</w:t>
            </w:r>
          </w:p>
        </w:tc>
        <w:tc>
          <w:tcPr>
            <w:tcW w:w="2913" w:type="pct"/>
            <w:gridSpan w:val="2"/>
            <w:hideMark/>
          </w:tcPr>
          <w:p w:rsidR="000D3635" w:rsidRPr="00976ECE" w:rsidRDefault="000D3635" w:rsidP="0070105B">
            <w:pPr>
              <w:rPr>
                <w:rFonts w:eastAsia="Times New Roman" w:cs="Arial"/>
                <w:color w:val="000000"/>
                <w:lang w:eastAsia="en-GB"/>
              </w:rPr>
            </w:pPr>
            <w:r w:rsidRPr="0070105B">
              <w:rPr>
                <w:rFonts w:eastAsia="Times New Roman" w:cs="Arial"/>
                <w:lang w:eastAsia="en-GB"/>
              </w:rPr>
              <w:t>Evidence of at least one</w:t>
            </w:r>
            <w:r w:rsidR="004A34D8">
              <w:rPr>
                <w:rFonts w:eastAsia="Times New Roman" w:cs="Arial"/>
                <w:lang w:eastAsia="en-GB"/>
              </w:rPr>
              <w:t xml:space="preserve"> </w:t>
            </w:r>
            <w:r w:rsidR="00D83004">
              <w:rPr>
                <w:rFonts w:eastAsia="Times New Roman" w:cs="Arial"/>
                <w:lang w:eastAsia="en-GB"/>
              </w:rPr>
              <w:t>Service User</w:t>
            </w:r>
            <w:r w:rsidRPr="0070105B">
              <w:rPr>
                <w:rFonts w:eastAsia="Times New Roman" w:cs="Arial"/>
                <w:lang w:eastAsia="en-GB"/>
              </w:rPr>
              <w:t xml:space="preserve"> experience survey annually in addition to Friends and Family</w:t>
            </w:r>
            <w:r w:rsidR="0070105B" w:rsidRPr="0070105B">
              <w:rPr>
                <w:rFonts w:eastAsia="Times New Roman" w:cs="Arial"/>
                <w:lang w:eastAsia="en-GB"/>
              </w:rPr>
              <w:t>.</w:t>
            </w:r>
            <w:r w:rsidRPr="00976ECE">
              <w:rPr>
                <w:rFonts w:eastAsia="Times New Roman" w:cs="Arial"/>
                <w:color w:val="000000"/>
                <w:lang w:eastAsia="en-GB"/>
              </w:rPr>
              <w:br/>
            </w:r>
          </w:p>
        </w:tc>
        <w:tc>
          <w:tcPr>
            <w:tcW w:w="767" w:type="pct"/>
            <w:gridSpan w:val="2"/>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100%</w:t>
            </w:r>
          </w:p>
        </w:tc>
        <w:tc>
          <w:tcPr>
            <w:tcW w:w="878" w:type="pct"/>
            <w:gridSpan w:val="2"/>
            <w:hideMark/>
          </w:tcPr>
          <w:p w:rsidR="000D3635" w:rsidRPr="00976ECE" w:rsidRDefault="000D3635" w:rsidP="004A34D8">
            <w:pPr>
              <w:jc w:val="center"/>
              <w:rPr>
                <w:rFonts w:eastAsia="Times New Roman" w:cs="Arial"/>
                <w:color w:val="000000"/>
                <w:lang w:eastAsia="en-GB"/>
              </w:rPr>
            </w:pPr>
            <w:r w:rsidRPr="00976ECE">
              <w:rPr>
                <w:rFonts w:eastAsia="Times New Roman" w:cs="Arial"/>
                <w:color w:val="000000"/>
                <w:lang w:eastAsia="en-GB"/>
              </w:rPr>
              <w:t xml:space="preserve">Annually </w:t>
            </w:r>
            <w:r w:rsidRPr="00976ECE">
              <w:rPr>
                <w:rFonts w:eastAsia="Times New Roman" w:cs="Arial"/>
                <w:color w:val="000000"/>
                <w:lang w:eastAsia="en-GB"/>
              </w:rPr>
              <w:br/>
            </w:r>
            <w:r w:rsidRPr="00976ECE">
              <w:rPr>
                <w:rFonts w:eastAsia="Times New Roman" w:cs="Arial"/>
                <w:color w:val="000000"/>
                <w:lang w:eastAsia="en-GB"/>
              </w:rPr>
              <w:br/>
            </w:r>
          </w:p>
        </w:tc>
      </w:tr>
      <w:tr w:rsidR="000D3635" w:rsidRPr="00976ECE" w:rsidTr="00DB5F49">
        <w:trPr>
          <w:trHeight w:val="2166"/>
        </w:trPr>
        <w:tc>
          <w:tcPr>
            <w:tcW w:w="442" w:type="pct"/>
            <w:hideMark/>
          </w:tcPr>
          <w:p w:rsidR="000D3635" w:rsidRPr="00976ECE" w:rsidRDefault="00682EAA" w:rsidP="008722F3">
            <w:pPr>
              <w:jc w:val="center"/>
              <w:rPr>
                <w:rFonts w:eastAsia="Times New Roman" w:cs="Arial"/>
                <w:b/>
                <w:bCs/>
                <w:color w:val="000000"/>
                <w:lang w:eastAsia="en-GB"/>
              </w:rPr>
            </w:pPr>
            <w:r>
              <w:rPr>
                <w:rFonts w:eastAsia="Times New Roman" w:cs="Arial"/>
                <w:b/>
                <w:bCs/>
                <w:color w:val="000000"/>
                <w:lang w:eastAsia="en-GB"/>
              </w:rPr>
              <w:lastRenderedPageBreak/>
              <w:t>22</w:t>
            </w:r>
          </w:p>
        </w:tc>
        <w:tc>
          <w:tcPr>
            <w:tcW w:w="2913" w:type="pct"/>
            <w:gridSpan w:val="2"/>
            <w:hideMark/>
          </w:tcPr>
          <w:p w:rsidR="000D3635" w:rsidRPr="00976ECE" w:rsidRDefault="000D3635" w:rsidP="00976ECE">
            <w:pPr>
              <w:rPr>
                <w:rFonts w:eastAsia="Times New Roman" w:cs="Arial"/>
                <w:color w:val="000000"/>
                <w:lang w:eastAsia="en-GB"/>
              </w:rPr>
            </w:pPr>
            <w:r w:rsidRPr="00976ECE">
              <w:rPr>
                <w:rFonts w:eastAsia="Times New Roman" w:cs="Arial"/>
                <w:color w:val="000000"/>
                <w:lang w:eastAsia="en-GB"/>
              </w:rPr>
              <w:t xml:space="preserve">Percentage of </w:t>
            </w:r>
            <w:r w:rsidR="00D83004">
              <w:rPr>
                <w:rFonts w:eastAsia="Times New Roman" w:cs="Arial"/>
                <w:color w:val="000000"/>
                <w:lang w:eastAsia="en-GB"/>
              </w:rPr>
              <w:t>Service User</w:t>
            </w:r>
            <w:r w:rsidRPr="00976ECE">
              <w:rPr>
                <w:rFonts w:eastAsia="Times New Roman" w:cs="Arial"/>
                <w:color w:val="000000"/>
                <w:lang w:eastAsia="en-GB"/>
              </w:rPr>
              <w:t xml:space="preserve"> feedback on surveys that rates satisfaction as good or excellent </w:t>
            </w:r>
          </w:p>
        </w:tc>
        <w:tc>
          <w:tcPr>
            <w:tcW w:w="767" w:type="pct"/>
            <w:gridSpan w:val="2"/>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90%</w:t>
            </w:r>
            <w:r w:rsidRPr="00976ECE">
              <w:rPr>
                <w:rFonts w:eastAsia="Times New Roman" w:cs="Arial"/>
                <w:color w:val="000000"/>
                <w:lang w:eastAsia="en-GB"/>
              </w:rPr>
              <w:br/>
            </w:r>
            <w:r w:rsidRPr="00976ECE">
              <w:rPr>
                <w:rFonts w:eastAsia="Times New Roman" w:cs="Arial"/>
                <w:color w:val="000000"/>
                <w:lang w:eastAsia="en-GB"/>
              </w:rPr>
              <w:br/>
              <w:t>(&lt;70%</w:t>
            </w:r>
            <w:r w:rsidR="004A34D8">
              <w:rPr>
                <w:rFonts w:eastAsia="Times New Roman" w:cs="Arial"/>
                <w:color w:val="000000"/>
                <w:lang w:eastAsia="en-GB"/>
              </w:rPr>
              <w:t xml:space="preserve"> </w:t>
            </w:r>
            <w:r w:rsidRPr="00976ECE">
              <w:rPr>
                <w:rFonts w:eastAsia="Times New Roman" w:cs="Arial"/>
                <w:color w:val="000000"/>
                <w:lang w:eastAsia="en-GB"/>
              </w:rPr>
              <w:t>indicate</w:t>
            </w:r>
            <w:r w:rsidR="004A34D8">
              <w:rPr>
                <w:rFonts w:eastAsia="Times New Roman" w:cs="Arial"/>
                <w:color w:val="000000"/>
                <w:lang w:eastAsia="en-GB"/>
              </w:rPr>
              <w:t>s</w:t>
            </w:r>
            <w:r w:rsidRPr="00976ECE">
              <w:rPr>
                <w:rFonts w:eastAsia="Times New Roman" w:cs="Arial"/>
                <w:color w:val="000000"/>
                <w:lang w:eastAsia="en-GB"/>
              </w:rPr>
              <w:t xml:space="preserve"> poor service delivery)</w:t>
            </w:r>
          </w:p>
        </w:tc>
        <w:tc>
          <w:tcPr>
            <w:tcW w:w="878" w:type="pct"/>
            <w:gridSpan w:val="2"/>
            <w:hideMark/>
          </w:tcPr>
          <w:p w:rsidR="000D3635" w:rsidRPr="00976ECE" w:rsidRDefault="000D3635" w:rsidP="004A34D8">
            <w:pPr>
              <w:jc w:val="center"/>
              <w:rPr>
                <w:rFonts w:eastAsia="Times New Roman" w:cs="Arial"/>
                <w:color w:val="000000"/>
                <w:lang w:eastAsia="en-GB"/>
              </w:rPr>
            </w:pPr>
            <w:r w:rsidRPr="00976ECE">
              <w:rPr>
                <w:rFonts w:eastAsia="Times New Roman" w:cs="Arial"/>
                <w:color w:val="000000"/>
                <w:lang w:eastAsia="en-GB"/>
              </w:rPr>
              <w:t xml:space="preserve">Annually </w:t>
            </w:r>
            <w:r w:rsidRPr="00976ECE">
              <w:rPr>
                <w:rFonts w:eastAsia="Times New Roman" w:cs="Arial"/>
                <w:color w:val="000000"/>
                <w:lang w:eastAsia="en-GB"/>
              </w:rPr>
              <w:br/>
            </w:r>
            <w:r w:rsidRPr="00976ECE">
              <w:rPr>
                <w:rFonts w:eastAsia="Times New Roman" w:cs="Arial"/>
                <w:color w:val="000000"/>
                <w:lang w:eastAsia="en-GB"/>
              </w:rPr>
              <w:br/>
            </w:r>
          </w:p>
        </w:tc>
      </w:tr>
      <w:tr w:rsidR="000D3635" w:rsidRPr="00976ECE" w:rsidTr="00DB5F49">
        <w:trPr>
          <w:trHeight w:val="1500"/>
        </w:trPr>
        <w:tc>
          <w:tcPr>
            <w:tcW w:w="442" w:type="pct"/>
            <w:hideMark/>
          </w:tcPr>
          <w:p w:rsidR="000D3635" w:rsidRPr="00976ECE" w:rsidRDefault="00682EAA" w:rsidP="00682EAA">
            <w:pPr>
              <w:jc w:val="center"/>
              <w:rPr>
                <w:rFonts w:eastAsia="Times New Roman" w:cs="Arial"/>
                <w:b/>
                <w:bCs/>
                <w:color w:val="000000"/>
                <w:lang w:eastAsia="en-GB"/>
              </w:rPr>
            </w:pPr>
            <w:r>
              <w:rPr>
                <w:rFonts w:eastAsia="Times New Roman" w:cs="Arial"/>
                <w:b/>
                <w:bCs/>
                <w:color w:val="000000"/>
                <w:lang w:eastAsia="en-GB"/>
              </w:rPr>
              <w:t>23</w:t>
            </w:r>
            <w:r w:rsidRPr="00976ECE">
              <w:rPr>
                <w:rFonts w:eastAsia="Times New Roman" w:cs="Arial"/>
                <w:b/>
                <w:bCs/>
                <w:color w:val="000000"/>
                <w:lang w:eastAsia="en-GB"/>
              </w:rPr>
              <w:t> </w:t>
            </w:r>
          </w:p>
        </w:tc>
        <w:tc>
          <w:tcPr>
            <w:tcW w:w="2913" w:type="pct"/>
            <w:gridSpan w:val="2"/>
            <w:hideMark/>
          </w:tcPr>
          <w:p w:rsidR="000D3635" w:rsidRPr="00976ECE" w:rsidRDefault="000D3635" w:rsidP="00140ED5">
            <w:pPr>
              <w:rPr>
                <w:rFonts w:eastAsia="Times New Roman" w:cs="Arial"/>
                <w:color w:val="000000"/>
                <w:lang w:eastAsia="en-GB"/>
              </w:rPr>
            </w:pPr>
            <w:r w:rsidRPr="00976ECE">
              <w:rPr>
                <w:rFonts w:eastAsia="Times New Roman" w:cs="Arial"/>
                <w:color w:val="000000"/>
                <w:lang w:eastAsia="en-GB"/>
              </w:rPr>
              <w:t>Evidence of innovative ways</w:t>
            </w:r>
            <w:r>
              <w:rPr>
                <w:rFonts w:eastAsia="Times New Roman" w:cs="Arial"/>
                <w:color w:val="000000"/>
                <w:lang w:eastAsia="en-GB"/>
              </w:rPr>
              <w:t xml:space="preserve"> of</w:t>
            </w:r>
            <w:r w:rsidRPr="00976ECE">
              <w:rPr>
                <w:rFonts w:eastAsia="Times New Roman" w:cs="Arial"/>
                <w:color w:val="000000"/>
                <w:lang w:eastAsia="en-GB"/>
              </w:rPr>
              <w:t xml:space="preserve"> user and public involvement.</w:t>
            </w:r>
            <w:r w:rsidRPr="00976ECE">
              <w:rPr>
                <w:rFonts w:eastAsia="Times New Roman" w:cs="Arial"/>
                <w:color w:val="000000"/>
                <w:lang w:eastAsia="en-GB"/>
              </w:rPr>
              <w:br/>
            </w:r>
            <w:r w:rsidRPr="00976ECE">
              <w:rPr>
                <w:rFonts w:eastAsia="Times New Roman" w:cs="Arial"/>
                <w:color w:val="000000"/>
                <w:lang w:eastAsia="en-GB"/>
              </w:rPr>
              <w:br/>
              <w:t>Demonstrable evidence of improvements / changes made to service delivery in response to negative feedback as appropriate</w:t>
            </w:r>
          </w:p>
        </w:tc>
        <w:tc>
          <w:tcPr>
            <w:tcW w:w="767" w:type="pct"/>
            <w:gridSpan w:val="2"/>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Demonstrable evidence</w:t>
            </w:r>
          </w:p>
        </w:tc>
        <w:tc>
          <w:tcPr>
            <w:tcW w:w="878" w:type="pct"/>
            <w:gridSpan w:val="2"/>
            <w:hideMark/>
          </w:tcPr>
          <w:p w:rsidR="000D3635" w:rsidRPr="00976ECE" w:rsidRDefault="000D3635" w:rsidP="00DB5F49">
            <w:pPr>
              <w:jc w:val="center"/>
              <w:rPr>
                <w:rFonts w:eastAsia="Times New Roman" w:cs="Arial"/>
                <w:color w:val="000000"/>
                <w:lang w:eastAsia="en-GB"/>
              </w:rPr>
            </w:pPr>
            <w:r w:rsidRPr="00976ECE">
              <w:rPr>
                <w:rFonts w:eastAsia="Times New Roman" w:cs="Arial"/>
                <w:color w:val="000000"/>
                <w:lang w:eastAsia="en-GB"/>
              </w:rPr>
              <w:t>Annual</w:t>
            </w:r>
            <w:r w:rsidR="00DB5F49">
              <w:rPr>
                <w:rFonts w:eastAsia="Times New Roman" w:cs="Arial"/>
                <w:color w:val="000000"/>
                <w:lang w:eastAsia="en-GB"/>
              </w:rPr>
              <w:t>ly</w:t>
            </w:r>
          </w:p>
        </w:tc>
      </w:tr>
      <w:tr w:rsidR="000D3635" w:rsidRPr="00976ECE" w:rsidTr="00650D4B">
        <w:trPr>
          <w:trHeight w:val="572"/>
        </w:trPr>
        <w:tc>
          <w:tcPr>
            <w:tcW w:w="5000" w:type="pct"/>
            <w:gridSpan w:val="7"/>
            <w:shd w:val="clear" w:color="auto" w:fill="548DD4" w:themeFill="text2" w:themeFillTint="99"/>
          </w:tcPr>
          <w:p w:rsidR="000D3635" w:rsidRPr="00976ECE" w:rsidRDefault="000D3635" w:rsidP="008722F3">
            <w:pPr>
              <w:jc w:val="center"/>
              <w:rPr>
                <w:rFonts w:eastAsia="Times New Roman" w:cs="Arial"/>
                <w:color w:val="000000"/>
                <w:lang w:eastAsia="en-GB"/>
              </w:rPr>
            </w:pPr>
            <w:r w:rsidRPr="00976ECE">
              <w:rPr>
                <w:rFonts w:eastAsia="Times New Roman" w:cs="Arial"/>
                <w:b/>
                <w:color w:val="000000"/>
                <w:lang w:eastAsia="en-GB"/>
              </w:rPr>
              <w:t>Reducing inequalities</w:t>
            </w:r>
          </w:p>
        </w:tc>
      </w:tr>
      <w:tr w:rsidR="000D3635" w:rsidRPr="00976ECE" w:rsidTr="000D3635">
        <w:trPr>
          <w:trHeight w:val="1020"/>
        </w:trPr>
        <w:tc>
          <w:tcPr>
            <w:tcW w:w="442" w:type="pct"/>
          </w:tcPr>
          <w:p w:rsidR="000D3635" w:rsidRPr="00976ECE" w:rsidRDefault="00682EAA" w:rsidP="00682EAA">
            <w:pPr>
              <w:jc w:val="center"/>
              <w:rPr>
                <w:rFonts w:eastAsia="Times New Roman" w:cs="Arial"/>
                <w:b/>
                <w:bCs/>
                <w:color w:val="000000"/>
                <w:lang w:eastAsia="en-GB"/>
              </w:rPr>
            </w:pPr>
            <w:r>
              <w:rPr>
                <w:rFonts w:eastAsia="Times New Roman" w:cs="Arial"/>
                <w:b/>
                <w:bCs/>
                <w:color w:val="000000"/>
                <w:lang w:eastAsia="en-GB"/>
              </w:rPr>
              <w:tab/>
              <w:t>24</w:t>
            </w:r>
          </w:p>
        </w:tc>
        <w:tc>
          <w:tcPr>
            <w:tcW w:w="2838" w:type="pct"/>
          </w:tcPr>
          <w:p w:rsidR="000D3635" w:rsidRPr="00976ECE" w:rsidRDefault="000D3635" w:rsidP="0079593D">
            <w:pPr>
              <w:rPr>
                <w:rFonts w:eastAsia="Times New Roman" w:cs="Arial"/>
                <w:color w:val="000000"/>
                <w:lang w:eastAsia="en-GB"/>
              </w:rPr>
            </w:pPr>
            <w:r w:rsidRPr="00976ECE">
              <w:rPr>
                <w:rFonts w:eastAsia="Times New Roman" w:cs="Arial"/>
                <w:color w:val="000000"/>
                <w:lang w:eastAsia="en-GB"/>
              </w:rPr>
              <w:t>Increase in the number</w:t>
            </w:r>
            <w:r w:rsidR="0079593D">
              <w:rPr>
                <w:rFonts w:eastAsia="Times New Roman" w:cs="Arial"/>
                <w:color w:val="000000"/>
                <w:lang w:eastAsia="en-GB"/>
              </w:rPr>
              <w:t xml:space="preserve"> and proportion</w:t>
            </w:r>
            <w:r w:rsidRPr="00976ECE">
              <w:rPr>
                <w:rFonts w:eastAsia="Times New Roman" w:cs="Arial"/>
                <w:color w:val="000000"/>
                <w:lang w:eastAsia="en-GB"/>
              </w:rPr>
              <w:t xml:space="preserve"> of men accessing services</w:t>
            </w:r>
            <w:r w:rsidR="0079593D">
              <w:rPr>
                <w:rFonts w:eastAsia="Times New Roman" w:cs="Arial"/>
                <w:color w:val="000000"/>
                <w:lang w:eastAsia="en-GB"/>
              </w:rPr>
              <w:t>, including online STI testing services.</w:t>
            </w:r>
          </w:p>
        </w:tc>
        <w:tc>
          <w:tcPr>
            <w:tcW w:w="834" w:type="pct"/>
            <w:gridSpan w:val="2"/>
          </w:tcPr>
          <w:p w:rsidR="000D3635" w:rsidRPr="00976ECE" w:rsidRDefault="000D3635" w:rsidP="007F0D3D">
            <w:pPr>
              <w:rPr>
                <w:rFonts w:eastAsia="Times New Roman" w:cs="Arial"/>
                <w:color w:val="000000"/>
                <w:lang w:eastAsia="en-GB"/>
              </w:rPr>
            </w:pPr>
            <w:r w:rsidRPr="00976ECE">
              <w:rPr>
                <w:rFonts w:eastAsia="Times New Roman" w:cs="Arial"/>
                <w:color w:val="000000"/>
                <w:lang w:eastAsia="en-GB"/>
              </w:rPr>
              <w:t>Incremental year on year increase</w:t>
            </w:r>
            <w:r w:rsidR="0079593D">
              <w:rPr>
                <w:rFonts w:eastAsia="Times New Roman" w:cs="Arial"/>
                <w:color w:val="000000"/>
                <w:lang w:eastAsia="en-GB"/>
              </w:rPr>
              <w:t xml:space="preserve"> from baseline</w:t>
            </w:r>
          </w:p>
        </w:tc>
        <w:tc>
          <w:tcPr>
            <w:tcW w:w="886" w:type="pct"/>
            <w:gridSpan w:val="3"/>
          </w:tcPr>
          <w:p w:rsidR="000D3635" w:rsidRPr="00976ECE" w:rsidRDefault="00DB5F49" w:rsidP="007F0D3D">
            <w:pPr>
              <w:jc w:val="center"/>
              <w:rPr>
                <w:rFonts w:eastAsia="Times New Roman" w:cs="Arial"/>
                <w:color w:val="000000"/>
                <w:lang w:eastAsia="en-GB"/>
              </w:rPr>
            </w:pPr>
            <w:r>
              <w:rPr>
                <w:rFonts w:eastAsia="Times New Roman" w:cs="Arial"/>
                <w:color w:val="000000"/>
                <w:lang w:eastAsia="en-GB"/>
              </w:rPr>
              <w:t>Annually</w:t>
            </w:r>
            <w:r w:rsidRPr="00976ECE">
              <w:rPr>
                <w:rFonts w:eastAsia="Times New Roman" w:cs="Arial"/>
                <w:color w:val="000000"/>
                <w:lang w:eastAsia="en-GB"/>
              </w:rPr>
              <w:t xml:space="preserve"> </w:t>
            </w:r>
          </w:p>
        </w:tc>
      </w:tr>
      <w:tr w:rsidR="0079593D" w:rsidRPr="00976ECE" w:rsidTr="00DB5F49">
        <w:trPr>
          <w:trHeight w:val="1020"/>
        </w:trPr>
        <w:tc>
          <w:tcPr>
            <w:tcW w:w="442" w:type="pct"/>
            <w:shd w:val="clear" w:color="auto" w:fill="auto"/>
          </w:tcPr>
          <w:p w:rsidR="0079593D" w:rsidRDefault="00682EAA" w:rsidP="007F0D3D">
            <w:pPr>
              <w:jc w:val="center"/>
              <w:rPr>
                <w:rFonts w:eastAsia="Times New Roman" w:cs="Arial"/>
                <w:b/>
                <w:bCs/>
                <w:color w:val="000000"/>
                <w:lang w:eastAsia="en-GB"/>
              </w:rPr>
            </w:pPr>
            <w:r>
              <w:rPr>
                <w:rFonts w:eastAsia="Times New Roman" w:cs="Arial"/>
                <w:b/>
                <w:bCs/>
                <w:color w:val="000000"/>
                <w:lang w:eastAsia="en-GB"/>
              </w:rPr>
              <w:t>25</w:t>
            </w:r>
          </w:p>
        </w:tc>
        <w:tc>
          <w:tcPr>
            <w:tcW w:w="2838" w:type="pct"/>
            <w:shd w:val="clear" w:color="auto" w:fill="auto"/>
          </w:tcPr>
          <w:p w:rsidR="0079593D" w:rsidRPr="00976ECE" w:rsidRDefault="0079593D" w:rsidP="0079593D">
            <w:pPr>
              <w:rPr>
                <w:rFonts w:eastAsia="Times New Roman" w:cs="Arial"/>
                <w:color w:val="000000"/>
                <w:lang w:eastAsia="en-GB"/>
              </w:rPr>
            </w:pPr>
            <w:r>
              <w:rPr>
                <w:rFonts w:eastAsia="Times New Roman" w:cs="Arial"/>
                <w:color w:val="000000"/>
                <w:lang w:eastAsia="en-GB"/>
              </w:rPr>
              <w:t>Increase in the number and proportion of BAME clients accessing services, including online STI testing.</w:t>
            </w:r>
          </w:p>
        </w:tc>
        <w:tc>
          <w:tcPr>
            <w:tcW w:w="834" w:type="pct"/>
            <w:gridSpan w:val="2"/>
            <w:shd w:val="clear" w:color="auto" w:fill="auto"/>
          </w:tcPr>
          <w:p w:rsidR="0079593D" w:rsidRPr="00976ECE" w:rsidRDefault="0079593D" w:rsidP="007F0D3D">
            <w:pPr>
              <w:rPr>
                <w:rFonts w:eastAsia="Times New Roman" w:cs="Arial"/>
                <w:color w:val="000000"/>
                <w:lang w:eastAsia="en-GB"/>
              </w:rPr>
            </w:pPr>
            <w:r w:rsidRPr="00976ECE">
              <w:rPr>
                <w:rFonts w:eastAsia="Times New Roman" w:cs="Arial"/>
                <w:color w:val="000000"/>
                <w:lang w:eastAsia="en-GB"/>
              </w:rPr>
              <w:t>Incremental year on year increase</w:t>
            </w:r>
            <w:r>
              <w:rPr>
                <w:rFonts w:eastAsia="Times New Roman" w:cs="Arial"/>
                <w:color w:val="000000"/>
                <w:lang w:eastAsia="en-GB"/>
              </w:rPr>
              <w:t xml:space="preserve"> from baseline</w:t>
            </w:r>
          </w:p>
        </w:tc>
        <w:tc>
          <w:tcPr>
            <w:tcW w:w="886" w:type="pct"/>
            <w:gridSpan w:val="3"/>
            <w:shd w:val="clear" w:color="auto" w:fill="auto"/>
          </w:tcPr>
          <w:p w:rsidR="0079593D" w:rsidRPr="00976ECE" w:rsidRDefault="00DB5F49" w:rsidP="007F0D3D">
            <w:pPr>
              <w:jc w:val="center"/>
              <w:rPr>
                <w:rFonts w:eastAsia="Times New Roman" w:cs="Arial"/>
                <w:color w:val="000000"/>
                <w:lang w:eastAsia="en-GB"/>
              </w:rPr>
            </w:pPr>
            <w:r>
              <w:rPr>
                <w:rFonts w:eastAsia="Times New Roman" w:cs="Arial"/>
                <w:color w:val="000000"/>
                <w:lang w:eastAsia="en-GB"/>
              </w:rPr>
              <w:t>Annually</w:t>
            </w:r>
          </w:p>
        </w:tc>
      </w:tr>
      <w:tr w:rsidR="000D3635" w:rsidRPr="00976ECE" w:rsidTr="000D3635">
        <w:trPr>
          <w:trHeight w:val="1125"/>
        </w:trPr>
        <w:tc>
          <w:tcPr>
            <w:tcW w:w="442" w:type="pct"/>
            <w:hideMark/>
          </w:tcPr>
          <w:p w:rsidR="000D3635" w:rsidRPr="00976ECE" w:rsidRDefault="00682EAA" w:rsidP="008722F3">
            <w:pPr>
              <w:jc w:val="center"/>
              <w:rPr>
                <w:rFonts w:eastAsia="Times New Roman" w:cs="Arial"/>
                <w:b/>
                <w:bCs/>
                <w:color w:val="000000"/>
                <w:lang w:eastAsia="en-GB"/>
              </w:rPr>
            </w:pPr>
            <w:r>
              <w:rPr>
                <w:rFonts w:eastAsia="Times New Roman" w:cs="Arial"/>
                <w:b/>
                <w:bCs/>
                <w:color w:val="000000"/>
                <w:lang w:eastAsia="en-GB"/>
              </w:rPr>
              <w:t>26</w:t>
            </w:r>
          </w:p>
        </w:tc>
        <w:tc>
          <w:tcPr>
            <w:tcW w:w="2838" w:type="pct"/>
            <w:hideMark/>
          </w:tcPr>
          <w:p w:rsidR="000D3635" w:rsidRPr="00976ECE" w:rsidRDefault="000D3635" w:rsidP="00747DCF">
            <w:pPr>
              <w:rPr>
                <w:rFonts w:eastAsia="Times New Roman" w:cs="Arial"/>
                <w:color w:val="000000"/>
                <w:lang w:eastAsia="en-GB"/>
              </w:rPr>
            </w:pPr>
            <w:r w:rsidRPr="00976ECE">
              <w:rPr>
                <w:rFonts w:eastAsia="Times New Roman" w:cs="Arial"/>
                <w:color w:val="000000"/>
                <w:lang w:eastAsia="en-GB"/>
              </w:rPr>
              <w:t>Provider to demonstrate that all functions and policies are assessed</w:t>
            </w:r>
            <w:r w:rsidR="0079593D">
              <w:rPr>
                <w:rFonts w:eastAsia="Times New Roman" w:cs="Arial"/>
                <w:color w:val="000000"/>
                <w:lang w:eastAsia="en-GB"/>
              </w:rPr>
              <w:t xml:space="preserve"> against protected characteristics as set out in </w:t>
            </w:r>
            <w:r w:rsidR="00747DCF">
              <w:rPr>
                <w:rFonts w:eastAsia="Times New Roman" w:cs="Arial"/>
                <w:color w:val="000000"/>
                <w:lang w:eastAsia="en-GB"/>
              </w:rPr>
              <w:t xml:space="preserve">Appendix </w:t>
            </w:r>
            <w:r w:rsidR="002F31EE">
              <w:rPr>
                <w:rFonts w:eastAsia="Times New Roman" w:cs="Arial"/>
                <w:color w:val="000000"/>
                <w:lang w:eastAsia="en-GB"/>
              </w:rPr>
              <w:t>2</w:t>
            </w:r>
            <w:r w:rsidR="0079593D">
              <w:rPr>
                <w:rFonts w:eastAsia="Times New Roman" w:cs="Arial"/>
                <w:color w:val="000000"/>
                <w:lang w:eastAsia="en-GB"/>
              </w:rPr>
              <w:t>.</w:t>
            </w:r>
          </w:p>
        </w:tc>
        <w:tc>
          <w:tcPr>
            <w:tcW w:w="834" w:type="pct"/>
            <w:gridSpan w:val="2"/>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Agreed plan to achieve compliance</w:t>
            </w:r>
          </w:p>
        </w:tc>
        <w:tc>
          <w:tcPr>
            <w:tcW w:w="886" w:type="pct"/>
            <w:gridSpan w:val="3"/>
            <w:hideMark/>
          </w:tcPr>
          <w:p w:rsidR="000D3635" w:rsidRPr="00976ECE" w:rsidRDefault="000D3635" w:rsidP="0079593D">
            <w:pPr>
              <w:jc w:val="center"/>
              <w:rPr>
                <w:rFonts w:eastAsia="Times New Roman" w:cs="Arial"/>
                <w:color w:val="000000"/>
                <w:lang w:eastAsia="en-GB"/>
              </w:rPr>
            </w:pPr>
            <w:r w:rsidRPr="00976ECE">
              <w:rPr>
                <w:rFonts w:eastAsia="Times New Roman" w:cs="Arial"/>
                <w:color w:val="000000"/>
                <w:lang w:eastAsia="en-GB"/>
              </w:rPr>
              <w:t>Annual</w:t>
            </w:r>
            <w:r w:rsidR="0079593D">
              <w:rPr>
                <w:rFonts w:eastAsia="Times New Roman" w:cs="Arial"/>
                <w:color w:val="000000"/>
                <w:lang w:eastAsia="en-GB"/>
              </w:rPr>
              <w:t>ly</w:t>
            </w:r>
            <w:r w:rsidRPr="00976ECE">
              <w:rPr>
                <w:rFonts w:eastAsia="Times New Roman" w:cs="Arial"/>
                <w:color w:val="000000"/>
                <w:lang w:eastAsia="en-GB"/>
              </w:rPr>
              <w:br/>
            </w:r>
            <w:r w:rsidRPr="00976ECE">
              <w:rPr>
                <w:rFonts w:eastAsia="Times New Roman" w:cs="Arial"/>
                <w:color w:val="000000"/>
                <w:lang w:eastAsia="en-GB"/>
              </w:rPr>
              <w:br/>
            </w:r>
          </w:p>
        </w:tc>
      </w:tr>
      <w:tr w:rsidR="000D3635" w:rsidRPr="00976ECE" w:rsidTr="00650D4B">
        <w:trPr>
          <w:trHeight w:val="442"/>
        </w:trPr>
        <w:tc>
          <w:tcPr>
            <w:tcW w:w="5000" w:type="pct"/>
            <w:gridSpan w:val="7"/>
            <w:shd w:val="clear" w:color="auto" w:fill="548DD4" w:themeFill="text2" w:themeFillTint="99"/>
          </w:tcPr>
          <w:p w:rsidR="000D3635" w:rsidRPr="00A12C17" w:rsidRDefault="00A12C17" w:rsidP="008722F3">
            <w:pPr>
              <w:jc w:val="center"/>
              <w:rPr>
                <w:rFonts w:eastAsia="Times New Roman" w:cs="Arial"/>
                <w:b/>
                <w:color w:val="000000"/>
                <w:lang w:eastAsia="en-GB"/>
              </w:rPr>
            </w:pPr>
            <w:r w:rsidRPr="00A12C17">
              <w:rPr>
                <w:rFonts w:eastAsia="Times New Roman" w:cs="Arial"/>
                <w:b/>
                <w:color w:val="000000"/>
                <w:lang w:eastAsia="en-GB"/>
              </w:rPr>
              <w:t>System-wide working</w:t>
            </w:r>
          </w:p>
        </w:tc>
      </w:tr>
      <w:tr w:rsidR="000D3635" w:rsidRPr="00976ECE" w:rsidTr="0079593D">
        <w:trPr>
          <w:trHeight w:val="2715"/>
        </w:trPr>
        <w:tc>
          <w:tcPr>
            <w:tcW w:w="442" w:type="pct"/>
            <w:hideMark/>
          </w:tcPr>
          <w:p w:rsidR="000D3635" w:rsidRPr="00976ECE" w:rsidRDefault="00682EAA" w:rsidP="008722F3">
            <w:pPr>
              <w:jc w:val="center"/>
              <w:rPr>
                <w:rFonts w:eastAsia="Times New Roman" w:cs="Arial"/>
                <w:b/>
                <w:bCs/>
                <w:color w:val="000000"/>
                <w:lang w:eastAsia="en-GB"/>
              </w:rPr>
            </w:pPr>
            <w:r>
              <w:rPr>
                <w:rFonts w:eastAsia="Times New Roman" w:cs="Arial"/>
                <w:b/>
                <w:bCs/>
                <w:color w:val="000000"/>
                <w:lang w:eastAsia="en-GB"/>
              </w:rPr>
              <w:t>27</w:t>
            </w:r>
            <w:r w:rsidRPr="00976ECE">
              <w:rPr>
                <w:rFonts w:eastAsia="Times New Roman" w:cs="Arial"/>
                <w:b/>
                <w:bCs/>
                <w:color w:val="000000"/>
                <w:lang w:eastAsia="en-GB"/>
              </w:rPr>
              <w:t> </w:t>
            </w:r>
          </w:p>
        </w:tc>
        <w:tc>
          <w:tcPr>
            <w:tcW w:w="2838" w:type="pct"/>
            <w:hideMark/>
          </w:tcPr>
          <w:p w:rsidR="000D3635" w:rsidRPr="00976ECE" w:rsidRDefault="000D3635" w:rsidP="00F66DDD">
            <w:pPr>
              <w:rPr>
                <w:rFonts w:eastAsia="Times New Roman" w:cs="Arial"/>
                <w:color w:val="000000"/>
                <w:lang w:eastAsia="en-GB"/>
              </w:rPr>
            </w:pPr>
            <w:r w:rsidRPr="00976ECE">
              <w:rPr>
                <w:rFonts w:eastAsia="Times New Roman" w:cs="Arial"/>
                <w:color w:val="000000"/>
                <w:lang w:eastAsia="en-GB"/>
              </w:rPr>
              <w:t>Care pathways with all other / relevant  organisations to include partner notification and/or linked services and for referral in/out (e.g. SARC, HIV, T</w:t>
            </w:r>
            <w:r w:rsidR="00F66DDD">
              <w:rPr>
                <w:rFonts w:eastAsia="Times New Roman" w:cs="Arial"/>
                <w:color w:val="000000"/>
                <w:lang w:eastAsia="en-GB"/>
              </w:rPr>
              <w:t>ermination of Pregnancy</w:t>
            </w:r>
            <w:r w:rsidRPr="00976ECE">
              <w:rPr>
                <w:rFonts w:eastAsia="Times New Roman" w:cs="Arial"/>
                <w:color w:val="000000"/>
                <w:lang w:eastAsia="en-GB"/>
              </w:rPr>
              <w:t xml:space="preserve">, </w:t>
            </w:r>
            <w:r w:rsidR="00F66DDD">
              <w:rPr>
                <w:rFonts w:eastAsia="Times New Roman" w:cs="Arial"/>
                <w:color w:val="000000"/>
                <w:lang w:eastAsia="en-GB"/>
              </w:rPr>
              <w:t>S</w:t>
            </w:r>
            <w:r w:rsidR="00F66DDD" w:rsidRPr="00976ECE">
              <w:rPr>
                <w:rFonts w:eastAsia="Times New Roman" w:cs="Arial"/>
                <w:color w:val="000000"/>
                <w:lang w:eastAsia="en-GB"/>
              </w:rPr>
              <w:t xml:space="preserve">ubstance </w:t>
            </w:r>
            <w:r w:rsidR="00F66DDD">
              <w:rPr>
                <w:rFonts w:eastAsia="Times New Roman" w:cs="Arial"/>
                <w:color w:val="000000"/>
                <w:lang w:eastAsia="en-GB"/>
              </w:rPr>
              <w:t>M</w:t>
            </w:r>
            <w:r w:rsidR="00F66DDD" w:rsidRPr="00976ECE">
              <w:rPr>
                <w:rFonts w:eastAsia="Times New Roman" w:cs="Arial"/>
                <w:color w:val="000000"/>
                <w:lang w:eastAsia="en-GB"/>
              </w:rPr>
              <w:t xml:space="preserve">isuse </w:t>
            </w:r>
            <w:r w:rsidR="00F66DDD">
              <w:rPr>
                <w:rFonts w:eastAsia="Times New Roman" w:cs="Arial"/>
                <w:color w:val="000000"/>
                <w:lang w:eastAsia="en-GB"/>
              </w:rPr>
              <w:t>M</w:t>
            </w:r>
            <w:r w:rsidRPr="00976ECE">
              <w:rPr>
                <w:rFonts w:eastAsia="Times New Roman" w:cs="Arial"/>
                <w:color w:val="000000"/>
                <w:lang w:eastAsia="en-GB"/>
              </w:rPr>
              <w:t xml:space="preserve">ental </w:t>
            </w:r>
            <w:r w:rsidR="00F66DDD">
              <w:rPr>
                <w:rFonts w:eastAsia="Times New Roman" w:cs="Arial"/>
                <w:color w:val="000000"/>
                <w:lang w:eastAsia="en-GB"/>
              </w:rPr>
              <w:t>H</w:t>
            </w:r>
            <w:r w:rsidRPr="00976ECE">
              <w:rPr>
                <w:rFonts w:eastAsia="Times New Roman" w:cs="Arial"/>
                <w:color w:val="000000"/>
                <w:lang w:eastAsia="en-GB"/>
              </w:rPr>
              <w:t>ealth, Y</w:t>
            </w:r>
            <w:r w:rsidR="00F66DDD">
              <w:rPr>
                <w:rFonts w:eastAsia="Times New Roman" w:cs="Arial"/>
                <w:color w:val="000000"/>
                <w:lang w:eastAsia="en-GB"/>
              </w:rPr>
              <w:t xml:space="preserve">outh </w:t>
            </w:r>
            <w:r w:rsidRPr="00976ECE">
              <w:rPr>
                <w:rFonts w:eastAsia="Times New Roman" w:cs="Arial"/>
                <w:color w:val="000000"/>
                <w:lang w:eastAsia="en-GB"/>
              </w:rPr>
              <w:t>O</w:t>
            </w:r>
            <w:r w:rsidR="00F66DDD">
              <w:rPr>
                <w:rFonts w:eastAsia="Times New Roman" w:cs="Arial"/>
                <w:color w:val="000000"/>
                <w:lang w:eastAsia="en-GB"/>
              </w:rPr>
              <w:t xml:space="preserve">ffending </w:t>
            </w:r>
            <w:r w:rsidRPr="00976ECE">
              <w:rPr>
                <w:rFonts w:eastAsia="Times New Roman" w:cs="Arial"/>
                <w:color w:val="000000"/>
                <w:lang w:eastAsia="en-GB"/>
              </w:rPr>
              <w:t>T</w:t>
            </w:r>
            <w:r w:rsidR="00F66DDD">
              <w:rPr>
                <w:rFonts w:eastAsia="Times New Roman" w:cs="Arial"/>
                <w:color w:val="000000"/>
                <w:lang w:eastAsia="en-GB"/>
              </w:rPr>
              <w:t>eams</w:t>
            </w:r>
            <w:r w:rsidRPr="00976ECE">
              <w:rPr>
                <w:rFonts w:eastAsia="Times New Roman" w:cs="Arial"/>
                <w:color w:val="000000"/>
                <w:lang w:eastAsia="en-GB"/>
              </w:rPr>
              <w:t xml:space="preserve">, etc.) are clearly defined and documented to </w:t>
            </w:r>
            <w:r w:rsidR="007479A2">
              <w:rPr>
                <w:rFonts w:eastAsia="Times New Roman" w:cs="Arial"/>
                <w:color w:val="000000"/>
                <w:lang w:eastAsia="en-GB"/>
              </w:rPr>
              <w:t>Commissioner</w:t>
            </w:r>
            <w:r w:rsidRPr="00976ECE">
              <w:rPr>
                <w:rFonts w:eastAsia="Times New Roman" w:cs="Arial"/>
                <w:color w:val="000000"/>
                <w:lang w:eastAsia="en-GB"/>
              </w:rPr>
              <w:t xml:space="preserve">s </w:t>
            </w:r>
          </w:p>
        </w:tc>
        <w:tc>
          <w:tcPr>
            <w:tcW w:w="842" w:type="pct"/>
            <w:gridSpan w:val="3"/>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Establish a transparent and integrated care</w:t>
            </w:r>
            <w:r w:rsidR="0079593D">
              <w:rPr>
                <w:rFonts w:eastAsia="Times New Roman" w:cs="Arial"/>
                <w:color w:val="000000"/>
                <w:lang w:eastAsia="en-GB"/>
              </w:rPr>
              <w:t xml:space="preserve"> </w:t>
            </w:r>
            <w:r w:rsidRPr="00976ECE">
              <w:rPr>
                <w:rFonts w:eastAsia="Times New Roman" w:cs="Arial"/>
                <w:color w:val="000000"/>
                <w:lang w:eastAsia="en-GB"/>
              </w:rPr>
              <w:t>pathway(s)</w:t>
            </w:r>
          </w:p>
        </w:tc>
        <w:tc>
          <w:tcPr>
            <w:tcW w:w="878" w:type="pct"/>
            <w:gridSpan w:val="2"/>
            <w:hideMark/>
          </w:tcPr>
          <w:p w:rsidR="0079593D" w:rsidRDefault="0079593D" w:rsidP="008722F3">
            <w:pPr>
              <w:jc w:val="center"/>
              <w:rPr>
                <w:rFonts w:eastAsia="Times New Roman" w:cs="Arial"/>
                <w:color w:val="000000"/>
                <w:lang w:eastAsia="en-GB"/>
              </w:rPr>
            </w:pPr>
            <w:r>
              <w:rPr>
                <w:rFonts w:eastAsia="Times New Roman" w:cs="Arial"/>
                <w:color w:val="000000"/>
                <w:lang w:eastAsia="en-GB"/>
              </w:rPr>
              <w:t>Care pathways should be documented at end of Q1 and further developed in-year</w:t>
            </w:r>
          </w:p>
          <w:p w:rsidR="0079593D" w:rsidRDefault="0079593D" w:rsidP="008722F3">
            <w:pPr>
              <w:jc w:val="center"/>
              <w:rPr>
                <w:rFonts w:eastAsia="Times New Roman" w:cs="Arial"/>
                <w:color w:val="000000"/>
                <w:lang w:eastAsia="en-GB"/>
              </w:rPr>
            </w:pPr>
          </w:p>
          <w:p w:rsidR="000D3635" w:rsidRPr="00976ECE" w:rsidRDefault="000D3635" w:rsidP="0079593D">
            <w:pPr>
              <w:jc w:val="center"/>
              <w:rPr>
                <w:rFonts w:eastAsia="Times New Roman" w:cs="Arial"/>
                <w:color w:val="000000"/>
                <w:lang w:eastAsia="en-GB"/>
              </w:rPr>
            </w:pPr>
            <w:r w:rsidRPr="00976ECE">
              <w:rPr>
                <w:rFonts w:eastAsia="Times New Roman" w:cs="Arial"/>
                <w:color w:val="000000"/>
                <w:lang w:eastAsia="en-GB"/>
              </w:rPr>
              <w:t>Annual</w:t>
            </w:r>
            <w:r w:rsidR="0079593D">
              <w:rPr>
                <w:rFonts w:eastAsia="Times New Roman" w:cs="Arial"/>
                <w:color w:val="000000"/>
                <w:lang w:eastAsia="en-GB"/>
              </w:rPr>
              <w:t>ly</w:t>
            </w:r>
            <w:r w:rsidRPr="00976ECE">
              <w:rPr>
                <w:rFonts w:eastAsia="Times New Roman" w:cs="Arial"/>
                <w:color w:val="000000"/>
                <w:lang w:eastAsia="en-GB"/>
              </w:rPr>
              <w:br/>
            </w:r>
            <w:r w:rsidRPr="00976ECE">
              <w:rPr>
                <w:rFonts w:eastAsia="Times New Roman" w:cs="Arial"/>
                <w:color w:val="000000"/>
                <w:lang w:eastAsia="en-GB"/>
              </w:rPr>
              <w:br/>
            </w:r>
          </w:p>
        </w:tc>
      </w:tr>
      <w:tr w:rsidR="000D3635" w:rsidRPr="00976ECE" w:rsidTr="0079593D">
        <w:trPr>
          <w:trHeight w:val="510"/>
        </w:trPr>
        <w:tc>
          <w:tcPr>
            <w:tcW w:w="442" w:type="pct"/>
            <w:hideMark/>
          </w:tcPr>
          <w:p w:rsidR="000D3635" w:rsidRPr="00976ECE" w:rsidRDefault="00682EAA" w:rsidP="008722F3">
            <w:pPr>
              <w:jc w:val="center"/>
              <w:rPr>
                <w:rFonts w:eastAsia="Times New Roman" w:cs="Arial"/>
                <w:b/>
                <w:bCs/>
                <w:color w:val="000000"/>
                <w:lang w:eastAsia="en-GB"/>
              </w:rPr>
            </w:pPr>
            <w:r>
              <w:rPr>
                <w:rFonts w:eastAsia="Times New Roman" w:cs="Arial"/>
                <w:b/>
                <w:bCs/>
                <w:color w:val="000000"/>
                <w:lang w:eastAsia="en-GB"/>
              </w:rPr>
              <w:t>28</w:t>
            </w:r>
          </w:p>
        </w:tc>
        <w:tc>
          <w:tcPr>
            <w:tcW w:w="2838" w:type="pct"/>
            <w:hideMark/>
          </w:tcPr>
          <w:p w:rsidR="000D3635" w:rsidRPr="00976ECE" w:rsidRDefault="000D3635" w:rsidP="00976ECE">
            <w:pPr>
              <w:rPr>
                <w:rFonts w:eastAsia="Times New Roman" w:cs="Arial"/>
                <w:color w:val="000000"/>
                <w:lang w:eastAsia="en-GB"/>
              </w:rPr>
            </w:pPr>
            <w:r w:rsidRPr="00976ECE">
              <w:rPr>
                <w:rFonts w:eastAsia="Times New Roman" w:cs="Arial"/>
                <w:color w:val="000000"/>
                <w:lang w:eastAsia="en-GB"/>
              </w:rPr>
              <w:t xml:space="preserve">Percentage of specialist SRH referrals from general practice seen within 18 weeks of referral  </w:t>
            </w:r>
          </w:p>
        </w:tc>
        <w:tc>
          <w:tcPr>
            <w:tcW w:w="842" w:type="pct"/>
            <w:gridSpan w:val="3"/>
            <w:hideMark/>
          </w:tcPr>
          <w:p w:rsidR="000D3635" w:rsidRPr="00976ECE" w:rsidRDefault="000D3635" w:rsidP="008722F3">
            <w:pPr>
              <w:jc w:val="center"/>
              <w:rPr>
                <w:rFonts w:eastAsia="Times New Roman" w:cs="Arial"/>
                <w:color w:val="000000"/>
                <w:lang w:eastAsia="en-GB"/>
              </w:rPr>
            </w:pPr>
            <w:r w:rsidRPr="00976ECE">
              <w:rPr>
                <w:rFonts w:eastAsia="Times New Roman" w:cs="Arial"/>
                <w:color w:val="000000"/>
                <w:lang w:eastAsia="en-GB"/>
              </w:rPr>
              <w:t>97%</w:t>
            </w:r>
          </w:p>
        </w:tc>
        <w:tc>
          <w:tcPr>
            <w:tcW w:w="878" w:type="pct"/>
            <w:gridSpan w:val="2"/>
            <w:hideMark/>
          </w:tcPr>
          <w:p w:rsidR="000D3635" w:rsidRPr="00976ECE" w:rsidRDefault="000D3635" w:rsidP="0079593D">
            <w:pPr>
              <w:jc w:val="center"/>
              <w:rPr>
                <w:rFonts w:eastAsia="Times New Roman" w:cs="Arial"/>
                <w:color w:val="000000"/>
                <w:lang w:eastAsia="en-GB"/>
              </w:rPr>
            </w:pPr>
            <w:r w:rsidRPr="00976ECE">
              <w:rPr>
                <w:rFonts w:eastAsia="Times New Roman" w:cs="Arial"/>
                <w:color w:val="000000"/>
                <w:lang w:eastAsia="en-GB"/>
              </w:rPr>
              <w:t xml:space="preserve">Quarterly </w:t>
            </w:r>
          </w:p>
        </w:tc>
      </w:tr>
    </w:tbl>
    <w:p w:rsidR="00984B3D" w:rsidRDefault="00984B3D">
      <w:pPr>
        <w:rPr>
          <w:rFonts w:eastAsia="Arial" w:cs="Arial"/>
          <w:b/>
          <w:bCs/>
        </w:rPr>
      </w:pPr>
      <w:r>
        <w:rPr>
          <w:rFonts w:eastAsia="Arial" w:cs="Arial"/>
          <w:b/>
          <w:bCs/>
        </w:rPr>
        <w:br w:type="page"/>
      </w:r>
    </w:p>
    <w:p w:rsidR="00FF34EA" w:rsidRDefault="00FF34EA" w:rsidP="00F66DDD">
      <w:pPr>
        <w:pStyle w:val="NoSpacing"/>
        <w:numPr>
          <w:ilvl w:val="0"/>
          <w:numId w:val="37"/>
        </w:numPr>
        <w:rPr>
          <w:rFonts w:cs="Arial"/>
          <w:b/>
        </w:rPr>
      </w:pPr>
      <w:bookmarkStart w:id="2" w:name="_Ref510531983"/>
      <w:r w:rsidRPr="0035725E">
        <w:rPr>
          <w:rFonts w:cs="Arial"/>
          <w:b/>
        </w:rPr>
        <w:lastRenderedPageBreak/>
        <w:t xml:space="preserve">Information </w:t>
      </w:r>
      <w:r>
        <w:rPr>
          <w:rFonts w:cs="Arial"/>
          <w:b/>
        </w:rPr>
        <w:t xml:space="preserve">provision </w:t>
      </w:r>
      <w:r w:rsidR="00F66DDD">
        <w:rPr>
          <w:rFonts w:cs="Arial"/>
          <w:b/>
        </w:rPr>
        <w:t>for the Service</w:t>
      </w:r>
      <w:r w:rsidRPr="0035725E">
        <w:rPr>
          <w:rFonts w:cs="Arial"/>
          <w:b/>
        </w:rPr>
        <w:t xml:space="preserve"> </w:t>
      </w:r>
      <w:bookmarkEnd w:id="2"/>
    </w:p>
    <w:p w:rsidR="00FF34EA" w:rsidRDefault="00FF34EA" w:rsidP="00FF34EA">
      <w:pPr>
        <w:pStyle w:val="NoSpacing"/>
        <w:rPr>
          <w:rFonts w:cs="Arial"/>
          <w:b/>
        </w:rPr>
      </w:pPr>
    </w:p>
    <w:p w:rsidR="00FF34EA" w:rsidRPr="004810B8" w:rsidRDefault="00FF34EA" w:rsidP="00FF34EA">
      <w:pPr>
        <w:pStyle w:val="NoSpacing"/>
        <w:rPr>
          <w:rFonts w:cs="Arial"/>
        </w:rPr>
      </w:pPr>
      <w:r>
        <w:rPr>
          <w:rFonts w:cs="Arial"/>
        </w:rPr>
        <w:t xml:space="preserve">Note that </w:t>
      </w:r>
      <w:r w:rsidR="00AF2B2D">
        <w:rPr>
          <w:rFonts w:cs="Arial"/>
        </w:rPr>
        <w:t>i</w:t>
      </w:r>
      <w:r w:rsidR="00AF2B2D" w:rsidRPr="004810B8">
        <w:rPr>
          <w:rFonts w:cs="Arial"/>
        </w:rPr>
        <w:t xml:space="preserve">nformation </w:t>
      </w:r>
      <w:r w:rsidRPr="004810B8">
        <w:rPr>
          <w:rFonts w:cs="Arial"/>
        </w:rPr>
        <w:t xml:space="preserve">items should be provided by </w:t>
      </w:r>
      <w:r w:rsidR="00AF2B2D">
        <w:rPr>
          <w:rFonts w:cs="Arial"/>
        </w:rPr>
        <w:t>Local Authority</w:t>
      </w:r>
      <w:r w:rsidR="00AF2B2D" w:rsidRPr="004810B8">
        <w:rPr>
          <w:rFonts w:cs="Arial"/>
        </w:rPr>
        <w:t xml:space="preserve"> </w:t>
      </w:r>
      <w:r w:rsidRPr="004810B8">
        <w:rPr>
          <w:rFonts w:cs="Arial"/>
        </w:rPr>
        <w:t>of residence unless otherwise stated</w:t>
      </w:r>
      <w:r w:rsidR="00AF2B2D">
        <w:rPr>
          <w:rFonts w:cs="Arial"/>
        </w:rPr>
        <w:t>.</w:t>
      </w:r>
    </w:p>
    <w:p w:rsidR="00FF34EA" w:rsidRDefault="00FF34EA" w:rsidP="00FF34EA">
      <w:pPr>
        <w:pStyle w:val="NoSpacing"/>
        <w:rPr>
          <w:rFonts w:cs="Arial"/>
          <w:b/>
        </w:rPr>
      </w:pPr>
    </w:p>
    <w:tbl>
      <w:tblPr>
        <w:tblStyle w:val="TableGrid"/>
        <w:tblW w:w="5001" w:type="pct"/>
        <w:tblLayout w:type="fixed"/>
        <w:tblLook w:val="04A0" w:firstRow="1" w:lastRow="0" w:firstColumn="1" w:lastColumn="0" w:noHBand="0" w:noVBand="1"/>
      </w:tblPr>
      <w:tblGrid>
        <w:gridCol w:w="817"/>
        <w:gridCol w:w="5245"/>
        <w:gridCol w:w="1416"/>
        <w:gridCol w:w="1766"/>
      </w:tblGrid>
      <w:tr w:rsidR="00FF34EA" w:rsidRPr="00976ECE" w:rsidTr="00056CD9">
        <w:trPr>
          <w:trHeight w:val="1155"/>
        </w:trPr>
        <w:tc>
          <w:tcPr>
            <w:tcW w:w="442" w:type="pct"/>
            <w:shd w:val="clear" w:color="auto" w:fill="C6D9F1" w:themeFill="text2" w:themeFillTint="33"/>
            <w:hideMark/>
          </w:tcPr>
          <w:p w:rsidR="00FF34EA" w:rsidRPr="00976ECE" w:rsidRDefault="00FF34EA" w:rsidP="00056CD9">
            <w:pPr>
              <w:jc w:val="center"/>
              <w:rPr>
                <w:rFonts w:eastAsia="Times New Roman" w:cs="Arial"/>
                <w:b/>
                <w:bCs/>
                <w:color w:val="000000"/>
                <w:lang w:eastAsia="en-GB"/>
              </w:rPr>
            </w:pPr>
          </w:p>
        </w:tc>
        <w:tc>
          <w:tcPr>
            <w:tcW w:w="2837" w:type="pct"/>
            <w:shd w:val="clear" w:color="auto" w:fill="C6D9F1" w:themeFill="text2" w:themeFillTint="33"/>
            <w:hideMark/>
          </w:tcPr>
          <w:p w:rsidR="00FF34EA" w:rsidRPr="00976ECE" w:rsidRDefault="00FF34EA" w:rsidP="00056CD9">
            <w:pPr>
              <w:jc w:val="center"/>
              <w:rPr>
                <w:rFonts w:eastAsia="Times New Roman" w:cs="Arial"/>
                <w:b/>
                <w:bCs/>
                <w:color w:val="000000"/>
                <w:lang w:eastAsia="en-GB"/>
              </w:rPr>
            </w:pPr>
            <w:r w:rsidRPr="00976ECE">
              <w:rPr>
                <w:rFonts w:eastAsia="Times New Roman" w:cs="Arial"/>
                <w:b/>
                <w:bCs/>
                <w:color w:val="000000"/>
                <w:lang w:eastAsia="en-GB"/>
              </w:rPr>
              <w:t xml:space="preserve">Indicator </w:t>
            </w:r>
          </w:p>
        </w:tc>
        <w:tc>
          <w:tcPr>
            <w:tcW w:w="766" w:type="pct"/>
            <w:shd w:val="clear" w:color="auto" w:fill="C6D9F1" w:themeFill="text2" w:themeFillTint="33"/>
            <w:hideMark/>
          </w:tcPr>
          <w:p w:rsidR="00FF34EA" w:rsidRPr="00976ECE" w:rsidRDefault="00FF34EA" w:rsidP="00056CD9">
            <w:pPr>
              <w:jc w:val="center"/>
              <w:rPr>
                <w:rFonts w:eastAsia="Times New Roman" w:cs="Arial"/>
                <w:b/>
                <w:bCs/>
                <w:color w:val="000000"/>
                <w:lang w:eastAsia="en-GB"/>
              </w:rPr>
            </w:pPr>
            <w:r>
              <w:rPr>
                <w:rFonts w:eastAsia="Times New Roman" w:cs="Arial"/>
                <w:b/>
                <w:bCs/>
                <w:color w:val="000000"/>
                <w:lang w:eastAsia="en-GB"/>
              </w:rPr>
              <w:t>Rationale</w:t>
            </w:r>
          </w:p>
        </w:tc>
        <w:tc>
          <w:tcPr>
            <w:tcW w:w="955" w:type="pct"/>
            <w:shd w:val="clear" w:color="auto" w:fill="C6D9F1" w:themeFill="text2" w:themeFillTint="33"/>
            <w:hideMark/>
          </w:tcPr>
          <w:p w:rsidR="00FF34EA" w:rsidRPr="00976ECE" w:rsidRDefault="00FF34EA" w:rsidP="00056CD9">
            <w:pPr>
              <w:jc w:val="center"/>
              <w:rPr>
                <w:rFonts w:eastAsia="Times New Roman" w:cs="Arial"/>
                <w:b/>
                <w:bCs/>
                <w:color w:val="000000"/>
                <w:lang w:eastAsia="en-GB"/>
              </w:rPr>
            </w:pPr>
            <w:r>
              <w:rPr>
                <w:rFonts w:eastAsia="Times New Roman" w:cs="Arial"/>
                <w:b/>
                <w:bCs/>
                <w:color w:val="000000"/>
                <w:lang w:eastAsia="en-GB"/>
              </w:rPr>
              <w:t>Frequency of provision</w:t>
            </w:r>
            <w:r w:rsidRPr="00976ECE">
              <w:rPr>
                <w:rFonts w:eastAsia="Times New Roman" w:cs="Arial"/>
                <w:b/>
                <w:bCs/>
                <w:color w:val="000000"/>
                <w:lang w:eastAsia="en-GB"/>
              </w:rPr>
              <w:t xml:space="preserve"> </w:t>
            </w:r>
            <w:r w:rsidRPr="00976ECE">
              <w:rPr>
                <w:rFonts w:eastAsia="Times New Roman" w:cs="Arial"/>
                <w:b/>
                <w:bCs/>
                <w:color w:val="000000"/>
                <w:lang w:eastAsia="en-GB"/>
              </w:rPr>
              <w:br/>
            </w:r>
          </w:p>
        </w:tc>
      </w:tr>
      <w:tr w:rsidR="00FF34EA" w:rsidRPr="002410AF" w:rsidTr="00056CD9">
        <w:trPr>
          <w:trHeight w:val="630"/>
        </w:trPr>
        <w:tc>
          <w:tcPr>
            <w:tcW w:w="442" w:type="pct"/>
            <w:vMerge w:val="restart"/>
          </w:tcPr>
          <w:p w:rsidR="00FF34EA" w:rsidRPr="002410AF" w:rsidRDefault="00FF34EA" w:rsidP="00056CD9">
            <w:pPr>
              <w:jc w:val="center"/>
              <w:rPr>
                <w:rFonts w:eastAsia="Times New Roman" w:cs="Arial"/>
                <w:b/>
                <w:bCs/>
                <w:lang w:eastAsia="en-GB"/>
              </w:rPr>
            </w:pPr>
            <w:r>
              <w:rPr>
                <w:rFonts w:eastAsia="Times New Roman" w:cs="Arial"/>
                <w:b/>
                <w:bCs/>
                <w:lang w:eastAsia="en-GB"/>
              </w:rPr>
              <w:t>1</w:t>
            </w:r>
          </w:p>
        </w:tc>
        <w:tc>
          <w:tcPr>
            <w:tcW w:w="2837" w:type="pct"/>
            <w:vMerge w:val="restart"/>
          </w:tcPr>
          <w:p w:rsidR="00FF34EA" w:rsidRPr="002410AF" w:rsidRDefault="00FF34EA" w:rsidP="00056CD9">
            <w:pPr>
              <w:autoSpaceDE w:val="0"/>
              <w:autoSpaceDN w:val="0"/>
              <w:adjustRightInd w:val="0"/>
              <w:spacing w:before="120" w:after="120"/>
              <w:rPr>
                <w:rFonts w:cs="Arial"/>
              </w:rPr>
            </w:pPr>
            <w:r w:rsidRPr="002410AF">
              <w:rPr>
                <w:rFonts w:cs="Arial"/>
              </w:rPr>
              <w:t xml:space="preserve">Proportion (and number) of booked appointments where the </w:t>
            </w:r>
            <w:r w:rsidR="00D83004">
              <w:rPr>
                <w:rFonts w:cs="Arial"/>
              </w:rPr>
              <w:t>Service User</w:t>
            </w:r>
            <w:r w:rsidRPr="002410AF">
              <w:rPr>
                <w:rFonts w:cs="Arial"/>
              </w:rPr>
              <w:t xml:space="preserve"> did not attend, by clinic location / type (general or targeted clinic) and LA of residence</w:t>
            </w:r>
          </w:p>
          <w:p w:rsidR="00FF34EA" w:rsidRPr="002410AF" w:rsidRDefault="00FF34EA" w:rsidP="00056CD9">
            <w:pPr>
              <w:rPr>
                <w:rFonts w:eastAsia="Times New Roman" w:cs="Arial"/>
                <w:lang w:eastAsia="en-GB"/>
              </w:rPr>
            </w:pPr>
          </w:p>
        </w:tc>
        <w:tc>
          <w:tcPr>
            <w:tcW w:w="766" w:type="pct"/>
            <w:vMerge w:val="restart"/>
          </w:tcPr>
          <w:p w:rsidR="00FF34EA" w:rsidRPr="002410AF" w:rsidRDefault="00FF34EA" w:rsidP="00056CD9">
            <w:pPr>
              <w:jc w:val="center"/>
              <w:rPr>
                <w:rFonts w:eastAsia="Times New Roman" w:cs="Arial"/>
                <w:lang w:eastAsia="en-GB"/>
              </w:rPr>
            </w:pPr>
          </w:p>
          <w:p w:rsidR="00FF34EA" w:rsidRPr="002410AF" w:rsidRDefault="00FF34EA" w:rsidP="00056CD9">
            <w:pPr>
              <w:jc w:val="center"/>
              <w:rPr>
                <w:rFonts w:eastAsia="Times New Roman" w:cs="Arial"/>
                <w:lang w:eastAsia="en-GB"/>
              </w:rPr>
            </w:pPr>
            <w:r w:rsidRPr="002410AF">
              <w:rPr>
                <w:rFonts w:eastAsia="Times New Roman" w:cs="Arial"/>
                <w:lang w:eastAsia="en-GB"/>
              </w:rPr>
              <w:t>Service use information, support action to manage demand</w:t>
            </w:r>
          </w:p>
        </w:tc>
        <w:tc>
          <w:tcPr>
            <w:tcW w:w="955" w:type="pct"/>
            <w:vMerge w:val="restart"/>
          </w:tcPr>
          <w:p w:rsidR="00FF34EA" w:rsidRPr="002410AF" w:rsidRDefault="00FF34EA" w:rsidP="00056CD9">
            <w:pPr>
              <w:jc w:val="center"/>
              <w:rPr>
                <w:rFonts w:eastAsia="Times New Roman" w:cs="Arial"/>
                <w:lang w:eastAsia="en-GB"/>
              </w:rPr>
            </w:pPr>
            <w:r w:rsidRPr="002410AF">
              <w:rPr>
                <w:rFonts w:eastAsia="Times New Roman" w:cs="Arial"/>
                <w:lang w:eastAsia="en-GB"/>
              </w:rPr>
              <w:t>Quarterly</w:t>
            </w:r>
          </w:p>
        </w:tc>
      </w:tr>
      <w:tr w:rsidR="00FF34EA" w:rsidRPr="002410AF" w:rsidTr="00056CD9">
        <w:trPr>
          <w:trHeight w:val="630"/>
        </w:trPr>
        <w:tc>
          <w:tcPr>
            <w:tcW w:w="442" w:type="pct"/>
            <w:vMerge/>
          </w:tcPr>
          <w:p w:rsidR="00FF34EA" w:rsidRPr="002410AF" w:rsidRDefault="00FF34EA" w:rsidP="00056CD9">
            <w:pPr>
              <w:jc w:val="center"/>
              <w:rPr>
                <w:rFonts w:eastAsia="Times New Roman" w:cs="Arial"/>
                <w:b/>
                <w:bCs/>
                <w:lang w:eastAsia="en-GB"/>
              </w:rPr>
            </w:pPr>
          </w:p>
        </w:tc>
        <w:tc>
          <w:tcPr>
            <w:tcW w:w="2837" w:type="pct"/>
            <w:vMerge/>
          </w:tcPr>
          <w:p w:rsidR="00FF34EA" w:rsidRPr="002410AF" w:rsidRDefault="00FF34EA" w:rsidP="00056CD9">
            <w:pPr>
              <w:autoSpaceDE w:val="0"/>
              <w:autoSpaceDN w:val="0"/>
              <w:adjustRightInd w:val="0"/>
              <w:spacing w:before="120" w:after="120"/>
              <w:rPr>
                <w:rFonts w:cs="Arial"/>
              </w:rPr>
            </w:pPr>
          </w:p>
        </w:tc>
        <w:tc>
          <w:tcPr>
            <w:tcW w:w="766" w:type="pct"/>
            <w:vMerge/>
          </w:tcPr>
          <w:p w:rsidR="00FF34EA" w:rsidRPr="002410AF" w:rsidRDefault="00FF34EA" w:rsidP="00056CD9">
            <w:pPr>
              <w:jc w:val="center"/>
              <w:rPr>
                <w:rFonts w:eastAsia="Times New Roman" w:cs="Arial"/>
                <w:lang w:eastAsia="en-GB"/>
              </w:rPr>
            </w:pPr>
          </w:p>
        </w:tc>
        <w:tc>
          <w:tcPr>
            <w:tcW w:w="955" w:type="pct"/>
            <w:vMerge/>
          </w:tcPr>
          <w:p w:rsidR="00FF34EA" w:rsidRPr="002410AF" w:rsidRDefault="00FF34EA" w:rsidP="00056CD9">
            <w:pPr>
              <w:jc w:val="center"/>
              <w:rPr>
                <w:rFonts w:eastAsia="Times New Roman" w:cs="Arial"/>
                <w:lang w:eastAsia="en-GB"/>
              </w:rPr>
            </w:pPr>
          </w:p>
        </w:tc>
      </w:tr>
      <w:tr w:rsidR="00FF34EA" w:rsidRPr="002410AF" w:rsidTr="00056CD9">
        <w:trPr>
          <w:trHeight w:val="300"/>
        </w:trPr>
        <w:tc>
          <w:tcPr>
            <w:tcW w:w="442" w:type="pct"/>
            <w:vMerge/>
          </w:tcPr>
          <w:p w:rsidR="00FF34EA" w:rsidRPr="002410AF" w:rsidRDefault="00FF34EA" w:rsidP="00056CD9">
            <w:pPr>
              <w:rPr>
                <w:rFonts w:eastAsia="Times New Roman" w:cs="Arial"/>
                <w:b/>
                <w:bCs/>
                <w:lang w:eastAsia="en-GB"/>
              </w:rPr>
            </w:pPr>
          </w:p>
        </w:tc>
        <w:tc>
          <w:tcPr>
            <w:tcW w:w="2837" w:type="pct"/>
            <w:vMerge/>
          </w:tcPr>
          <w:p w:rsidR="00FF34EA" w:rsidRPr="002410AF" w:rsidRDefault="00FF34EA" w:rsidP="00056CD9">
            <w:pPr>
              <w:rPr>
                <w:rFonts w:eastAsia="Times New Roman" w:cs="Arial"/>
                <w:lang w:eastAsia="en-GB"/>
              </w:rPr>
            </w:pPr>
          </w:p>
        </w:tc>
        <w:tc>
          <w:tcPr>
            <w:tcW w:w="766" w:type="pct"/>
            <w:vMerge/>
          </w:tcPr>
          <w:p w:rsidR="00FF34EA" w:rsidRPr="002410AF" w:rsidRDefault="00FF34EA" w:rsidP="00056CD9">
            <w:pPr>
              <w:rPr>
                <w:rFonts w:eastAsia="Times New Roman" w:cs="Arial"/>
                <w:lang w:eastAsia="en-GB"/>
              </w:rPr>
            </w:pPr>
          </w:p>
        </w:tc>
        <w:tc>
          <w:tcPr>
            <w:tcW w:w="955" w:type="pct"/>
            <w:vMerge/>
          </w:tcPr>
          <w:p w:rsidR="00FF34EA" w:rsidRPr="002410AF" w:rsidRDefault="00FF34EA" w:rsidP="00056CD9">
            <w:pPr>
              <w:rPr>
                <w:rFonts w:eastAsia="Times New Roman" w:cs="Arial"/>
                <w:lang w:eastAsia="en-GB"/>
              </w:rPr>
            </w:pPr>
          </w:p>
        </w:tc>
      </w:tr>
      <w:tr w:rsidR="00FF34EA" w:rsidRPr="002410AF" w:rsidTr="00056CD9">
        <w:trPr>
          <w:trHeight w:val="300"/>
        </w:trPr>
        <w:tc>
          <w:tcPr>
            <w:tcW w:w="442" w:type="pct"/>
            <w:vMerge/>
          </w:tcPr>
          <w:p w:rsidR="00FF34EA" w:rsidRPr="002410AF" w:rsidRDefault="00FF34EA" w:rsidP="00056CD9">
            <w:pPr>
              <w:rPr>
                <w:rFonts w:eastAsia="Times New Roman" w:cs="Arial"/>
                <w:b/>
                <w:bCs/>
                <w:lang w:eastAsia="en-GB"/>
              </w:rPr>
            </w:pPr>
          </w:p>
        </w:tc>
        <w:tc>
          <w:tcPr>
            <w:tcW w:w="2837" w:type="pct"/>
            <w:vMerge/>
          </w:tcPr>
          <w:p w:rsidR="00FF34EA" w:rsidRPr="002410AF" w:rsidRDefault="00FF34EA" w:rsidP="00056CD9">
            <w:pPr>
              <w:rPr>
                <w:rFonts w:eastAsia="Times New Roman" w:cs="Arial"/>
                <w:lang w:eastAsia="en-GB"/>
              </w:rPr>
            </w:pPr>
          </w:p>
        </w:tc>
        <w:tc>
          <w:tcPr>
            <w:tcW w:w="766" w:type="pct"/>
            <w:vMerge/>
          </w:tcPr>
          <w:p w:rsidR="00FF34EA" w:rsidRPr="002410AF" w:rsidRDefault="00FF34EA" w:rsidP="00056CD9">
            <w:pPr>
              <w:rPr>
                <w:rFonts w:eastAsia="Times New Roman" w:cs="Arial"/>
                <w:lang w:eastAsia="en-GB"/>
              </w:rPr>
            </w:pPr>
          </w:p>
        </w:tc>
        <w:tc>
          <w:tcPr>
            <w:tcW w:w="955" w:type="pct"/>
            <w:vMerge/>
          </w:tcPr>
          <w:p w:rsidR="00FF34EA" w:rsidRPr="002410AF" w:rsidRDefault="00FF34EA" w:rsidP="00056CD9">
            <w:pPr>
              <w:rPr>
                <w:rFonts w:eastAsia="Times New Roman" w:cs="Arial"/>
                <w:lang w:eastAsia="en-GB"/>
              </w:rPr>
            </w:pPr>
          </w:p>
        </w:tc>
      </w:tr>
      <w:tr w:rsidR="00FF34EA" w:rsidRPr="002410AF" w:rsidTr="00056CD9">
        <w:trPr>
          <w:trHeight w:val="253"/>
        </w:trPr>
        <w:tc>
          <w:tcPr>
            <w:tcW w:w="442" w:type="pct"/>
            <w:vMerge/>
          </w:tcPr>
          <w:p w:rsidR="00FF34EA" w:rsidRPr="002410AF" w:rsidRDefault="00FF34EA" w:rsidP="00056CD9">
            <w:pPr>
              <w:rPr>
                <w:rFonts w:eastAsia="Times New Roman" w:cs="Arial"/>
                <w:b/>
                <w:bCs/>
                <w:lang w:eastAsia="en-GB"/>
              </w:rPr>
            </w:pPr>
          </w:p>
        </w:tc>
        <w:tc>
          <w:tcPr>
            <w:tcW w:w="2837" w:type="pct"/>
            <w:vMerge/>
          </w:tcPr>
          <w:p w:rsidR="00FF34EA" w:rsidRPr="002410AF" w:rsidRDefault="00FF34EA" w:rsidP="00056CD9">
            <w:pPr>
              <w:rPr>
                <w:rFonts w:eastAsia="Times New Roman" w:cs="Arial"/>
                <w:lang w:eastAsia="en-GB"/>
              </w:rPr>
            </w:pPr>
          </w:p>
        </w:tc>
        <w:tc>
          <w:tcPr>
            <w:tcW w:w="766" w:type="pct"/>
            <w:vMerge/>
          </w:tcPr>
          <w:p w:rsidR="00FF34EA" w:rsidRPr="002410AF" w:rsidRDefault="00FF34EA" w:rsidP="00056CD9">
            <w:pPr>
              <w:rPr>
                <w:rFonts w:eastAsia="Times New Roman" w:cs="Arial"/>
                <w:lang w:eastAsia="en-GB"/>
              </w:rPr>
            </w:pPr>
          </w:p>
        </w:tc>
        <w:tc>
          <w:tcPr>
            <w:tcW w:w="955" w:type="pct"/>
            <w:vMerge/>
          </w:tcPr>
          <w:p w:rsidR="00FF34EA" w:rsidRPr="002410AF" w:rsidRDefault="00FF34EA" w:rsidP="00056CD9">
            <w:pPr>
              <w:rPr>
                <w:rFonts w:eastAsia="Times New Roman" w:cs="Arial"/>
                <w:lang w:eastAsia="en-GB"/>
              </w:rPr>
            </w:pPr>
          </w:p>
        </w:tc>
      </w:tr>
    </w:tbl>
    <w:tbl>
      <w:tblPr>
        <w:tblStyle w:val="TableGrid1"/>
        <w:tblW w:w="5001" w:type="pct"/>
        <w:tblLayout w:type="fixed"/>
        <w:tblLook w:val="04A0" w:firstRow="1" w:lastRow="0" w:firstColumn="1" w:lastColumn="0" w:noHBand="0" w:noVBand="1"/>
      </w:tblPr>
      <w:tblGrid>
        <w:gridCol w:w="817"/>
        <w:gridCol w:w="5245"/>
        <w:gridCol w:w="1416"/>
        <w:gridCol w:w="1766"/>
      </w:tblGrid>
      <w:tr w:rsidR="00FF34EA" w:rsidRPr="002410AF" w:rsidTr="00056CD9">
        <w:trPr>
          <w:trHeight w:val="1170"/>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2</w:t>
            </w:r>
          </w:p>
        </w:tc>
        <w:tc>
          <w:tcPr>
            <w:tcW w:w="2837" w:type="pct"/>
          </w:tcPr>
          <w:p w:rsidR="00FF34EA" w:rsidRPr="002410AF" w:rsidRDefault="00FF34EA" w:rsidP="00056CD9">
            <w:pPr>
              <w:autoSpaceDE w:val="0"/>
              <w:autoSpaceDN w:val="0"/>
              <w:adjustRightInd w:val="0"/>
              <w:spacing w:before="120" w:after="120"/>
              <w:rPr>
                <w:rFonts w:cs="Arial"/>
              </w:rPr>
            </w:pPr>
            <w:r w:rsidRPr="002410AF">
              <w:rPr>
                <w:rFonts w:cs="Arial"/>
              </w:rPr>
              <w:t>Percentage of users who are walk-ins (i.e. without a booked appointment) experience waiting times in clinics of:</w:t>
            </w:r>
          </w:p>
          <w:p w:rsidR="00FF34EA" w:rsidRPr="002410AF" w:rsidRDefault="00FF34EA" w:rsidP="00056CD9">
            <w:pPr>
              <w:autoSpaceDE w:val="0"/>
              <w:autoSpaceDN w:val="0"/>
              <w:adjustRightInd w:val="0"/>
              <w:spacing w:before="120" w:after="120"/>
              <w:rPr>
                <w:rFonts w:cs="Arial"/>
              </w:rPr>
            </w:pPr>
            <w:r w:rsidRPr="002410AF">
              <w:rPr>
                <w:rFonts w:cs="Arial"/>
              </w:rPr>
              <w:t>&lt; 60 minutes</w:t>
            </w:r>
          </w:p>
          <w:p w:rsidR="00FF34EA" w:rsidRPr="002410AF" w:rsidRDefault="00FF34EA" w:rsidP="00056CD9">
            <w:pPr>
              <w:autoSpaceDE w:val="0"/>
              <w:autoSpaceDN w:val="0"/>
              <w:adjustRightInd w:val="0"/>
              <w:spacing w:before="120" w:after="120"/>
              <w:rPr>
                <w:rFonts w:cs="Arial"/>
              </w:rPr>
            </w:pPr>
            <w:r w:rsidRPr="002410AF">
              <w:rPr>
                <w:rFonts w:cs="Arial"/>
              </w:rPr>
              <w:t>&lt; 90 minutes</w:t>
            </w:r>
          </w:p>
          <w:p w:rsidR="00FF34EA" w:rsidRPr="002410AF" w:rsidRDefault="00FF34EA" w:rsidP="00056CD9">
            <w:pPr>
              <w:autoSpaceDE w:val="0"/>
              <w:autoSpaceDN w:val="0"/>
              <w:adjustRightInd w:val="0"/>
              <w:spacing w:before="120" w:after="120"/>
              <w:rPr>
                <w:rFonts w:cs="Arial"/>
              </w:rPr>
            </w:pPr>
            <w:r w:rsidRPr="002410AF">
              <w:rPr>
                <w:rFonts w:cs="Arial"/>
              </w:rPr>
              <w:t>&lt; 120 minutes</w:t>
            </w:r>
          </w:p>
          <w:p w:rsidR="00FF34EA" w:rsidRPr="002410AF" w:rsidRDefault="00FF34EA" w:rsidP="00056CD9">
            <w:pPr>
              <w:rPr>
                <w:rFonts w:eastAsia="Times New Roman" w:cs="Arial"/>
                <w:lang w:eastAsia="en-GB"/>
              </w:rPr>
            </w:pPr>
          </w:p>
        </w:tc>
        <w:tc>
          <w:tcPr>
            <w:tcW w:w="766" w:type="pct"/>
          </w:tcPr>
          <w:p w:rsidR="00FF34EA" w:rsidRPr="002410AF" w:rsidRDefault="00FF34EA" w:rsidP="00056CD9">
            <w:pPr>
              <w:rPr>
                <w:rFonts w:cs="Arial"/>
              </w:rPr>
            </w:pPr>
          </w:p>
          <w:p w:rsidR="00FF34EA" w:rsidRPr="002410AF" w:rsidRDefault="00FF34EA" w:rsidP="00056CD9">
            <w:pPr>
              <w:rPr>
                <w:rFonts w:cs="Arial"/>
              </w:rPr>
            </w:pPr>
          </w:p>
          <w:p w:rsidR="00FF34EA" w:rsidRPr="002410AF" w:rsidRDefault="00FF34EA" w:rsidP="00056CD9">
            <w:pPr>
              <w:rPr>
                <w:rFonts w:cs="Arial"/>
              </w:rPr>
            </w:pPr>
          </w:p>
          <w:p w:rsidR="00FF34EA" w:rsidRPr="002410AF" w:rsidRDefault="00FF34EA" w:rsidP="00056CD9">
            <w:pPr>
              <w:rPr>
                <w:rFonts w:cs="Arial"/>
              </w:rPr>
            </w:pPr>
            <w:r w:rsidRPr="002410AF">
              <w:rPr>
                <w:rFonts w:cs="Arial"/>
              </w:rPr>
              <w:t>&gt;85%</w:t>
            </w:r>
          </w:p>
          <w:p w:rsidR="00FF34EA" w:rsidRPr="002410AF" w:rsidRDefault="00FF34EA" w:rsidP="00056CD9">
            <w:pPr>
              <w:rPr>
                <w:rFonts w:cs="Arial"/>
              </w:rPr>
            </w:pPr>
          </w:p>
          <w:p w:rsidR="00FF34EA" w:rsidRPr="002410AF" w:rsidRDefault="00FF34EA" w:rsidP="00056CD9">
            <w:pPr>
              <w:rPr>
                <w:rFonts w:cs="Arial"/>
              </w:rPr>
            </w:pPr>
            <w:r w:rsidRPr="002410AF">
              <w:rPr>
                <w:rFonts w:cs="Arial"/>
              </w:rPr>
              <w:t>&gt;95%</w:t>
            </w:r>
          </w:p>
          <w:p w:rsidR="00FF34EA" w:rsidRPr="002410AF" w:rsidRDefault="00FF34EA" w:rsidP="00056CD9">
            <w:pPr>
              <w:rPr>
                <w:rFonts w:cs="Arial"/>
              </w:rPr>
            </w:pPr>
          </w:p>
          <w:p w:rsidR="00FF34EA" w:rsidRPr="002410AF" w:rsidRDefault="00FF34EA" w:rsidP="00056CD9">
            <w:pPr>
              <w:rPr>
                <w:rFonts w:eastAsia="Times New Roman" w:cs="Arial"/>
                <w:lang w:eastAsia="en-GB"/>
              </w:rPr>
            </w:pPr>
            <w:r w:rsidRPr="002410AF">
              <w:rPr>
                <w:rFonts w:cs="Arial"/>
              </w:rPr>
              <w:t>100%</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Quarterly</w:t>
            </w:r>
          </w:p>
        </w:tc>
      </w:tr>
      <w:tr w:rsidR="00FF34EA" w:rsidRPr="002410AF" w:rsidTr="00056CD9">
        <w:trPr>
          <w:trHeight w:val="1170"/>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3</w:t>
            </w:r>
          </w:p>
        </w:tc>
        <w:tc>
          <w:tcPr>
            <w:tcW w:w="2837" w:type="pct"/>
          </w:tcPr>
          <w:p w:rsidR="00FF34EA" w:rsidRPr="002410AF" w:rsidRDefault="00FF34EA" w:rsidP="00056CD9">
            <w:pPr>
              <w:rPr>
                <w:rFonts w:cs="Arial"/>
              </w:rPr>
            </w:pPr>
            <w:r w:rsidRPr="002410AF">
              <w:rPr>
                <w:rFonts w:cs="Arial"/>
              </w:rPr>
              <w:t xml:space="preserve">Number of </w:t>
            </w:r>
            <w:r w:rsidR="00D83004">
              <w:rPr>
                <w:rFonts w:cs="Arial"/>
              </w:rPr>
              <w:t>Service User</w:t>
            </w:r>
            <w:r w:rsidRPr="002410AF">
              <w:rPr>
                <w:rFonts w:cs="Arial"/>
              </w:rPr>
              <w:t xml:space="preserve">s with </w:t>
            </w:r>
            <w:r w:rsidRPr="002410AF">
              <w:rPr>
                <w:rFonts w:cs="Arial"/>
                <w:b/>
              </w:rPr>
              <w:t>more than</w:t>
            </w:r>
            <w:r w:rsidRPr="002410AF">
              <w:rPr>
                <w:rFonts w:cs="Arial"/>
              </w:rPr>
              <w:t xml:space="preserve"> four episodes of care over the previous 12 months for STI/HIV risk</w:t>
            </w:r>
          </w:p>
          <w:p w:rsidR="00FF34EA" w:rsidRPr="002410AF" w:rsidRDefault="00FF34EA" w:rsidP="00056CD9">
            <w:pPr>
              <w:rPr>
                <w:rFonts w:eastAsia="Times New Roman" w:cs="Arial"/>
              </w:rPr>
            </w:pPr>
          </w:p>
        </w:tc>
        <w:tc>
          <w:tcPr>
            <w:tcW w:w="766" w:type="pct"/>
          </w:tcPr>
          <w:p w:rsidR="00FF34EA" w:rsidRPr="002410AF" w:rsidRDefault="00FF34EA" w:rsidP="00056CD9">
            <w:pPr>
              <w:jc w:val="center"/>
              <w:rPr>
                <w:rFonts w:eastAsia="Times New Roman" w:cs="Arial"/>
                <w:lang w:eastAsia="en-GB"/>
              </w:rPr>
            </w:pPr>
            <w:r w:rsidRPr="002410AF">
              <w:rPr>
                <w:rFonts w:cs="Arial"/>
              </w:rPr>
              <w:t>Support action to reduce risks and improve outcomes.</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Annually</w:t>
            </w:r>
          </w:p>
        </w:tc>
      </w:tr>
      <w:tr w:rsidR="00FF34EA" w:rsidRPr="002410AF" w:rsidTr="00056CD9">
        <w:trPr>
          <w:trHeight w:val="1170"/>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4</w:t>
            </w:r>
          </w:p>
        </w:tc>
        <w:tc>
          <w:tcPr>
            <w:tcW w:w="2837" w:type="pct"/>
          </w:tcPr>
          <w:p w:rsidR="00FF34EA" w:rsidRPr="002410AF" w:rsidRDefault="00FF34EA" w:rsidP="00056CD9">
            <w:pPr>
              <w:rPr>
                <w:rFonts w:cs="Arial"/>
              </w:rPr>
            </w:pPr>
            <w:r w:rsidRPr="002410AF">
              <w:rPr>
                <w:rFonts w:cs="Arial"/>
              </w:rPr>
              <w:t xml:space="preserve">Number of </w:t>
            </w:r>
            <w:r w:rsidR="00D83004">
              <w:rPr>
                <w:rFonts w:cs="Arial"/>
              </w:rPr>
              <w:t>Service User</w:t>
            </w:r>
            <w:r w:rsidRPr="002410AF">
              <w:rPr>
                <w:rFonts w:cs="Arial"/>
              </w:rPr>
              <w:t xml:space="preserve">s with </w:t>
            </w:r>
            <w:r w:rsidRPr="002410AF">
              <w:rPr>
                <w:rFonts w:cs="Arial"/>
                <w:b/>
              </w:rPr>
              <w:t>two or more</w:t>
            </w:r>
            <w:r w:rsidRPr="002410AF">
              <w:rPr>
                <w:rFonts w:cs="Arial"/>
              </w:rPr>
              <w:t xml:space="preserve"> attendances for emergency contraception over the previous 12 months</w:t>
            </w:r>
          </w:p>
          <w:p w:rsidR="00FF34EA" w:rsidRPr="002410AF" w:rsidRDefault="00FF34EA" w:rsidP="00056CD9">
            <w:pPr>
              <w:rPr>
                <w:rFonts w:eastAsia="Times New Roman" w:cs="Arial"/>
                <w:lang w:eastAsia="en-GB"/>
              </w:rPr>
            </w:pPr>
          </w:p>
        </w:tc>
        <w:tc>
          <w:tcPr>
            <w:tcW w:w="766" w:type="pct"/>
          </w:tcPr>
          <w:p w:rsidR="00FF34EA" w:rsidRPr="002410AF" w:rsidRDefault="00FF34EA" w:rsidP="00056CD9">
            <w:pPr>
              <w:jc w:val="center"/>
              <w:rPr>
                <w:rFonts w:eastAsia="Times New Roman" w:cs="Arial"/>
                <w:lang w:eastAsia="en-GB"/>
              </w:rPr>
            </w:pPr>
            <w:r w:rsidRPr="002410AF">
              <w:rPr>
                <w:rFonts w:cs="Arial"/>
              </w:rPr>
              <w:t>Support action to reduce risks and improve outcomes</w:t>
            </w:r>
          </w:p>
        </w:tc>
        <w:tc>
          <w:tcPr>
            <w:tcW w:w="955" w:type="pct"/>
          </w:tcPr>
          <w:p w:rsidR="00FF34EA" w:rsidRPr="002410AF" w:rsidRDefault="00FF34EA" w:rsidP="00056CD9">
            <w:pPr>
              <w:jc w:val="center"/>
              <w:rPr>
                <w:rFonts w:eastAsia="Times New Roman" w:cs="Arial"/>
                <w:lang w:eastAsia="en-GB"/>
              </w:rPr>
            </w:pPr>
            <w:r w:rsidRPr="002410AF">
              <w:rPr>
                <w:rFonts w:cs="Arial"/>
              </w:rPr>
              <w:t>Annually</w:t>
            </w:r>
          </w:p>
        </w:tc>
      </w:tr>
      <w:tr w:rsidR="00FF34EA" w:rsidRPr="002410AF" w:rsidTr="00056CD9">
        <w:trPr>
          <w:trHeight w:val="1052"/>
        </w:trPr>
        <w:tc>
          <w:tcPr>
            <w:tcW w:w="442" w:type="pct"/>
          </w:tcPr>
          <w:p w:rsidR="00FF34EA" w:rsidRPr="003C3A27" w:rsidRDefault="00FF34EA" w:rsidP="00056CD9">
            <w:pPr>
              <w:jc w:val="center"/>
              <w:rPr>
                <w:rFonts w:eastAsia="Times New Roman" w:cs="Arial"/>
                <w:b/>
                <w:bCs/>
                <w:lang w:eastAsia="en-GB"/>
              </w:rPr>
            </w:pPr>
            <w:r>
              <w:rPr>
                <w:rFonts w:eastAsia="Times New Roman" w:cs="Arial"/>
                <w:b/>
                <w:bCs/>
                <w:lang w:eastAsia="en-GB"/>
              </w:rPr>
              <w:t>5</w:t>
            </w:r>
          </w:p>
        </w:tc>
        <w:tc>
          <w:tcPr>
            <w:tcW w:w="2837" w:type="pct"/>
          </w:tcPr>
          <w:p w:rsidR="00FF34EA" w:rsidRPr="003C3A27" w:rsidRDefault="00FF34EA" w:rsidP="00056CD9">
            <w:pPr>
              <w:rPr>
                <w:rFonts w:cs="Arial"/>
              </w:rPr>
            </w:pPr>
            <w:r w:rsidRPr="003C3A27">
              <w:rPr>
                <w:rFonts w:cs="Arial"/>
              </w:rPr>
              <w:t xml:space="preserve">Number (percentage) of </w:t>
            </w:r>
            <w:r>
              <w:rPr>
                <w:rFonts w:cs="Arial"/>
              </w:rPr>
              <w:t xml:space="preserve"> online STI</w:t>
            </w:r>
            <w:r w:rsidRPr="003C3A27">
              <w:rPr>
                <w:rFonts w:cs="Arial"/>
              </w:rPr>
              <w:t xml:space="preserve"> kit users who used other services at the Service during the episode of care</w:t>
            </w:r>
          </w:p>
          <w:p w:rsidR="00FF34EA" w:rsidRPr="003C3A27" w:rsidRDefault="00FF34EA" w:rsidP="00056CD9">
            <w:pPr>
              <w:jc w:val="both"/>
              <w:rPr>
                <w:rFonts w:eastAsia="Arial" w:cs="Arial"/>
                <w:bCs/>
              </w:rPr>
            </w:pPr>
          </w:p>
        </w:tc>
        <w:tc>
          <w:tcPr>
            <w:tcW w:w="766" w:type="pct"/>
          </w:tcPr>
          <w:p w:rsidR="00FF34EA" w:rsidRPr="00976ECE" w:rsidRDefault="00FF34EA" w:rsidP="00056CD9">
            <w:pPr>
              <w:jc w:val="center"/>
              <w:rPr>
                <w:rFonts w:eastAsia="Times New Roman" w:cs="Arial"/>
                <w:color w:val="000000"/>
                <w:lang w:eastAsia="en-GB"/>
              </w:rPr>
            </w:pPr>
            <w:r w:rsidRPr="002410AF">
              <w:rPr>
                <w:rFonts w:eastAsia="Times New Roman" w:cs="Arial"/>
                <w:lang w:eastAsia="en-GB"/>
              </w:rPr>
              <w:t>Service use information, support action to manage demand</w:t>
            </w:r>
          </w:p>
        </w:tc>
        <w:tc>
          <w:tcPr>
            <w:tcW w:w="955" w:type="pct"/>
          </w:tcPr>
          <w:p w:rsidR="00FF34EA" w:rsidRPr="00976ECE" w:rsidRDefault="00FF34EA" w:rsidP="00056CD9">
            <w:pPr>
              <w:jc w:val="center"/>
              <w:rPr>
                <w:rFonts w:eastAsia="Times New Roman" w:cs="Arial"/>
                <w:color w:val="000000"/>
                <w:lang w:eastAsia="en-GB"/>
              </w:rPr>
            </w:pPr>
            <w:r>
              <w:rPr>
                <w:rFonts w:eastAsia="Times New Roman" w:cs="Arial"/>
                <w:color w:val="000000"/>
                <w:lang w:eastAsia="en-GB"/>
              </w:rPr>
              <w:t>Quarterly</w:t>
            </w:r>
          </w:p>
        </w:tc>
      </w:tr>
      <w:tr w:rsidR="00FF34EA" w:rsidRPr="002410AF" w:rsidTr="00056CD9">
        <w:trPr>
          <w:trHeight w:val="1052"/>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6</w:t>
            </w:r>
          </w:p>
        </w:tc>
        <w:tc>
          <w:tcPr>
            <w:tcW w:w="2837" w:type="pct"/>
          </w:tcPr>
          <w:p w:rsidR="00FF34EA" w:rsidRPr="002410AF" w:rsidRDefault="00FF34EA" w:rsidP="00056CD9">
            <w:pPr>
              <w:rPr>
                <w:rFonts w:cs="Arial"/>
              </w:rPr>
            </w:pPr>
            <w:r w:rsidRPr="002410AF">
              <w:rPr>
                <w:rFonts w:cs="Arial"/>
              </w:rPr>
              <w:t>Percentage (and number) of eligible people in risk groups</w:t>
            </w:r>
          </w:p>
          <w:p w:rsidR="00FF34EA" w:rsidRPr="002410AF" w:rsidRDefault="00FF34EA" w:rsidP="00FF34EA">
            <w:pPr>
              <w:pStyle w:val="ListParagraph"/>
              <w:numPr>
                <w:ilvl w:val="0"/>
                <w:numId w:val="21"/>
              </w:numPr>
              <w:rPr>
                <w:rFonts w:ascii="Arial" w:hAnsi="Arial" w:cs="Arial"/>
              </w:rPr>
            </w:pPr>
            <w:r w:rsidRPr="002410AF">
              <w:rPr>
                <w:rFonts w:ascii="Arial" w:hAnsi="Arial" w:cs="Arial"/>
              </w:rPr>
              <w:t>assessed for Hepatitis B immunisation status</w:t>
            </w:r>
          </w:p>
          <w:p w:rsidR="00FF34EA" w:rsidRPr="002410AF" w:rsidRDefault="00FF34EA" w:rsidP="00FF34EA">
            <w:pPr>
              <w:pStyle w:val="ListParagraph"/>
              <w:numPr>
                <w:ilvl w:val="0"/>
                <w:numId w:val="21"/>
              </w:numPr>
              <w:rPr>
                <w:rFonts w:ascii="Arial" w:hAnsi="Arial" w:cs="Arial"/>
              </w:rPr>
            </w:pPr>
            <w:r w:rsidRPr="002410AF">
              <w:rPr>
                <w:rFonts w:ascii="Arial" w:hAnsi="Arial" w:cs="Arial"/>
              </w:rPr>
              <w:t>offered Hepatitis B test</w:t>
            </w:r>
          </w:p>
          <w:p w:rsidR="00FF34EA" w:rsidRPr="002410AF" w:rsidRDefault="00FF34EA" w:rsidP="00FF34EA">
            <w:pPr>
              <w:pStyle w:val="ListParagraph"/>
              <w:numPr>
                <w:ilvl w:val="0"/>
                <w:numId w:val="21"/>
              </w:numPr>
              <w:rPr>
                <w:rFonts w:ascii="Arial" w:hAnsi="Arial" w:cs="Arial"/>
              </w:rPr>
            </w:pPr>
            <w:r w:rsidRPr="002410AF">
              <w:rPr>
                <w:rFonts w:ascii="Arial" w:hAnsi="Arial" w:cs="Arial"/>
              </w:rPr>
              <w:t>accepting Hepatitis B test</w:t>
            </w:r>
          </w:p>
          <w:p w:rsidR="00FF34EA" w:rsidRPr="002410AF" w:rsidRDefault="00FF34EA" w:rsidP="00FF34EA">
            <w:pPr>
              <w:pStyle w:val="ListParagraph"/>
              <w:numPr>
                <w:ilvl w:val="0"/>
                <w:numId w:val="21"/>
              </w:numPr>
              <w:rPr>
                <w:rFonts w:ascii="Arial" w:hAnsi="Arial" w:cs="Arial"/>
              </w:rPr>
            </w:pPr>
            <w:r w:rsidRPr="002410AF">
              <w:rPr>
                <w:rFonts w:ascii="Arial" w:hAnsi="Arial" w:cs="Arial"/>
              </w:rPr>
              <w:t xml:space="preserve">diagnosed with </w:t>
            </w:r>
            <w:r w:rsidR="00306C20" w:rsidRPr="002410AF">
              <w:rPr>
                <w:rFonts w:ascii="Arial" w:hAnsi="Arial" w:cs="Arial"/>
              </w:rPr>
              <w:t>Hepatitis B</w:t>
            </w:r>
            <w:r w:rsidRPr="002410AF">
              <w:rPr>
                <w:rFonts w:ascii="Arial" w:hAnsi="Arial" w:cs="Arial"/>
              </w:rPr>
              <w:t xml:space="preserve"> (numbers &lt;5 suppressed)</w:t>
            </w:r>
          </w:p>
          <w:p w:rsidR="00FF34EA" w:rsidRPr="002410AF" w:rsidRDefault="00FF34EA" w:rsidP="00FF34EA">
            <w:pPr>
              <w:pStyle w:val="ListParagraph"/>
              <w:numPr>
                <w:ilvl w:val="0"/>
                <w:numId w:val="21"/>
              </w:numPr>
              <w:rPr>
                <w:rFonts w:ascii="Arial" w:hAnsi="Arial" w:cs="Arial"/>
              </w:rPr>
            </w:pPr>
            <w:r w:rsidRPr="002410AF">
              <w:rPr>
                <w:rFonts w:ascii="Arial" w:hAnsi="Arial" w:cs="Arial"/>
              </w:rPr>
              <w:lastRenderedPageBreak/>
              <w:t xml:space="preserve">accepting 1/2/3 doses of </w:t>
            </w:r>
            <w:r w:rsidR="00306C20" w:rsidRPr="002410AF">
              <w:rPr>
                <w:rFonts w:ascii="Arial" w:hAnsi="Arial" w:cs="Arial"/>
              </w:rPr>
              <w:t>Hepatitis B</w:t>
            </w:r>
            <w:r w:rsidRPr="002410AF">
              <w:rPr>
                <w:rFonts w:ascii="Arial" w:hAnsi="Arial" w:cs="Arial"/>
              </w:rPr>
              <w:t xml:space="preserve"> vaccine where appropriate</w:t>
            </w:r>
          </w:p>
        </w:tc>
        <w:tc>
          <w:tcPr>
            <w:tcW w:w="766" w:type="pct"/>
          </w:tcPr>
          <w:p w:rsidR="00FF34EA" w:rsidRPr="002410AF" w:rsidRDefault="00FF34EA" w:rsidP="00056CD9">
            <w:pPr>
              <w:jc w:val="center"/>
              <w:rPr>
                <w:rFonts w:eastAsia="Times New Roman" w:cs="Arial"/>
                <w:lang w:eastAsia="en-GB"/>
              </w:rPr>
            </w:pPr>
            <w:r w:rsidRPr="002410AF">
              <w:rPr>
                <w:rFonts w:cs="Arial"/>
              </w:rPr>
              <w:lastRenderedPageBreak/>
              <w:t>Support action to reduce risks and improve outcomes</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Annually</w:t>
            </w:r>
          </w:p>
        </w:tc>
      </w:tr>
      <w:tr w:rsidR="00FF34EA" w:rsidRPr="002410AF" w:rsidTr="00056CD9">
        <w:trPr>
          <w:trHeight w:val="1052"/>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lastRenderedPageBreak/>
              <w:t>7</w:t>
            </w:r>
          </w:p>
        </w:tc>
        <w:tc>
          <w:tcPr>
            <w:tcW w:w="2837" w:type="pct"/>
          </w:tcPr>
          <w:p w:rsidR="00FF34EA" w:rsidRPr="002410AF" w:rsidRDefault="00FF34EA" w:rsidP="00056CD9">
            <w:pPr>
              <w:rPr>
                <w:rFonts w:cs="Arial"/>
              </w:rPr>
            </w:pPr>
            <w:r w:rsidRPr="002410AF">
              <w:rPr>
                <w:rFonts w:cs="Arial"/>
              </w:rPr>
              <w:t xml:space="preserve">Percentage (and number) of eligible people in risk groups </w:t>
            </w:r>
          </w:p>
          <w:p w:rsidR="00FF34EA" w:rsidRPr="002410AF" w:rsidRDefault="00FF34EA" w:rsidP="00FF34EA">
            <w:pPr>
              <w:pStyle w:val="ListParagraph"/>
              <w:numPr>
                <w:ilvl w:val="0"/>
                <w:numId w:val="24"/>
              </w:numPr>
              <w:rPr>
                <w:rFonts w:ascii="Arial" w:hAnsi="Arial" w:cs="Arial"/>
              </w:rPr>
            </w:pPr>
            <w:r w:rsidRPr="002410AF">
              <w:rPr>
                <w:rFonts w:ascii="Arial" w:hAnsi="Arial" w:cs="Arial"/>
              </w:rPr>
              <w:t>offered  Hepatitis C test</w:t>
            </w:r>
          </w:p>
          <w:p w:rsidR="00FF34EA" w:rsidRPr="002410AF" w:rsidRDefault="00FF34EA" w:rsidP="00FF34EA">
            <w:pPr>
              <w:pStyle w:val="ListParagraph"/>
              <w:numPr>
                <w:ilvl w:val="0"/>
                <w:numId w:val="24"/>
              </w:numPr>
              <w:rPr>
                <w:rFonts w:ascii="Arial" w:hAnsi="Arial" w:cs="Arial"/>
              </w:rPr>
            </w:pPr>
            <w:r w:rsidRPr="002410AF">
              <w:rPr>
                <w:rFonts w:ascii="Arial" w:hAnsi="Arial" w:cs="Arial"/>
              </w:rPr>
              <w:t>accepting Hepatitis C test</w:t>
            </w:r>
          </w:p>
          <w:p w:rsidR="00FF34EA" w:rsidRPr="002410AF" w:rsidRDefault="00FF34EA" w:rsidP="00FF34EA">
            <w:pPr>
              <w:pStyle w:val="ListParagraph"/>
              <w:numPr>
                <w:ilvl w:val="0"/>
                <w:numId w:val="21"/>
              </w:numPr>
              <w:rPr>
                <w:rFonts w:ascii="Arial" w:hAnsi="Arial" w:cs="Arial"/>
              </w:rPr>
            </w:pPr>
            <w:r w:rsidRPr="002410AF">
              <w:rPr>
                <w:rFonts w:ascii="Arial" w:hAnsi="Arial" w:cs="Arial"/>
              </w:rPr>
              <w:t xml:space="preserve">diagnosed with </w:t>
            </w:r>
            <w:r w:rsidR="00AF2B2D" w:rsidRPr="002410AF">
              <w:rPr>
                <w:rFonts w:ascii="Arial" w:hAnsi="Arial" w:cs="Arial"/>
              </w:rPr>
              <w:t>Hepatitis C</w:t>
            </w:r>
            <w:r w:rsidRPr="002410AF">
              <w:rPr>
                <w:rFonts w:ascii="Arial" w:hAnsi="Arial" w:cs="Arial"/>
              </w:rPr>
              <w:t xml:space="preserve"> (numbers &lt;5 suppressed)</w:t>
            </w:r>
          </w:p>
        </w:tc>
        <w:tc>
          <w:tcPr>
            <w:tcW w:w="766" w:type="pct"/>
          </w:tcPr>
          <w:p w:rsidR="00FF34EA" w:rsidRPr="002410AF" w:rsidRDefault="00FF34EA" w:rsidP="00056CD9">
            <w:pPr>
              <w:jc w:val="center"/>
              <w:rPr>
                <w:rFonts w:eastAsia="Times New Roman" w:cs="Arial"/>
                <w:lang w:eastAsia="en-GB"/>
              </w:rPr>
            </w:pPr>
            <w:r w:rsidRPr="002410AF">
              <w:rPr>
                <w:rFonts w:cs="Arial"/>
              </w:rPr>
              <w:t>Support action to reduce risks and improve outcomes</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Annually</w:t>
            </w:r>
          </w:p>
        </w:tc>
      </w:tr>
      <w:tr w:rsidR="00FF34EA" w:rsidRPr="002410AF" w:rsidTr="00056CD9">
        <w:trPr>
          <w:trHeight w:val="765"/>
        </w:trPr>
        <w:tc>
          <w:tcPr>
            <w:tcW w:w="442" w:type="pct"/>
          </w:tcPr>
          <w:p w:rsidR="00FF34EA" w:rsidRDefault="00FF34EA" w:rsidP="00056CD9">
            <w:pPr>
              <w:jc w:val="center"/>
              <w:rPr>
                <w:rFonts w:eastAsia="Times New Roman" w:cs="Arial"/>
                <w:b/>
                <w:bCs/>
                <w:lang w:eastAsia="en-GB"/>
              </w:rPr>
            </w:pPr>
            <w:r>
              <w:rPr>
                <w:rFonts w:eastAsia="Times New Roman" w:cs="Arial"/>
                <w:b/>
                <w:bCs/>
                <w:lang w:eastAsia="en-GB"/>
              </w:rPr>
              <w:t>8</w:t>
            </w:r>
          </w:p>
        </w:tc>
        <w:tc>
          <w:tcPr>
            <w:tcW w:w="2837" w:type="pct"/>
          </w:tcPr>
          <w:p w:rsidR="00FF34EA" w:rsidRDefault="00FF34EA" w:rsidP="00FF34EA">
            <w:pPr>
              <w:rPr>
                <w:rFonts w:cs="Arial"/>
                <w:b/>
                <w:bCs/>
              </w:rPr>
            </w:pPr>
            <w:r>
              <w:rPr>
                <w:rFonts w:cs="Arial"/>
                <w:bCs/>
              </w:rPr>
              <w:t>N</w:t>
            </w:r>
            <w:r w:rsidRPr="0056686F">
              <w:rPr>
                <w:rFonts w:cs="Arial"/>
                <w:bCs/>
              </w:rPr>
              <w:t>umber of new</w:t>
            </w:r>
            <w:r>
              <w:rPr>
                <w:rFonts w:cs="Arial"/>
                <w:bCs/>
              </w:rPr>
              <w:t>, chlamydia, gonorrhoea, syphilis and HIV</w:t>
            </w:r>
            <w:r w:rsidRPr="0056686F">
              <w:rPr>
                <w:rFonts w:cs="Arial"/>
                <w:bCs/>
              </w:rPr>
              <w:t xml:space="preserve"> diagnoses </w:t>
            </w:r>
            <w:r>
              <w:rPr>
                <w:rFonts w:cs="Arial"/>
                <w:bCs/>
              </w:rPr>
              <w:t xml:space="preserve">(using SHAPPT codes </w:t>
            </w:r>
            <w:r w:rsidRPr="0056686F">
              <w:rPr>
                <w:rFonts w:cs="Arial"/>
                <w:bCs/>
              </w:rPr>
              <w:t>as per GUMCAD requirements</w:t>
            </w:r>
            <w:r>
              <w:rPr>
                <w:rFonts w:cs="Arial"/>
                <w:bCs/>
              </w:rPr>
              <w:t>)</w:t>
            </w:r>
            <w:r w:rsidRPr="0056686F">
              <w:rPr>
                <w:rFonts w:cs="Arial"/>
                <w:bCs/>
              </w:rPr>
              <w:t xml:space="preserve"> </w:t>
            </w:r>
            <w:r w:rsidR="00CF71BC">
              <w:rPr>
                <w:rFonts w:cs="Arial"/>
                <w:bCs/>
              </w:rPr>
              <w:t>.</w:t>
            </w:r>
          </w:p>
          <w:p w:rsidR="00FF34EA" w:rsidRDefault="00FF34EA" w:rsidP="00FF34EA">
            <w:pPr>
              <w:rPr>
                <w:rFonts w:cs="Arial"/>
                <w:b/>
                <w:bCs/>
              </w:rPr>
            </w:pPr>
          </w:p>
          <w:p w:rsidR="00FF34EA" w:rsidRDefault="00CF71BC" w:rsidP="00FF34EA">
            <w:pPr>
              <w:rPr>
                <w:rFonts w:cs="Arial"/>
                <w:b/>
                <w:bCs/>
              </w:rPr>
            </w:pPr>
            <w:r>
              <w:rPr>
                <w:rFonts w:cs="Arial"/>
                <w:b/>
                <w:bCs/>
              </w:rPr>
              <w:t>Number</w:t>
            </w:r>
            <w:r w:rsidR="00FF34EA">
              <w:rPr>
                <w:rFonts w:cs="Arial"/>
                <w:b/>
                <w:bCs/>
              </w:rPr>
              <w:t>s of diagnoses &lt;5 should be suppressed in reports to prevent deductive disclosure</w:t>
            </w:r>
          </w:p>
          <w:p w:rsidR="00FF34EA" w:rsidRPr="0056686F" w:rsidRDefault="00FF34EA" w:rsidP="00FF34EA">
            <w:pPr>
              <w:rPr>
                <w:rFonts w:cs="Arial"/>
                <w:bCs/>
              </w:rPr>
            </w:pPr>
            <w:r>
              <w:rPr>
                <w:rFonts w:cs="Arial"/>
                <w:b/>
                <w:bCs/>
              </w:rPr>
              <w:t xml:space="preserve"> </w:t>
            </w:r>
          </w:p>
          <w:p w:rsidR="00FF34EA" w:rsidRPr="002410AF" w:rsidRDefault="00FF34EA" w:rsidP="00056CD9">
            <w:pPr>
              <w:spacing w:before="120" w:after="120"/>
              <w:rPr>
                <w:rFonts w:eastAsia="Times New Roman" w:cs="Arial"/>
                <w:bCs/>
              </w:rPr>
            </w:pPr>
          </w:p>
        </w:tc>
        <w:tc>
          <w:tcPr>
            <w:tcW w:w="766" w:type="pct"/>
          </w:tcPr>
          <w:p w:rsidR="00FF34EA" w:rsidRPr="002410AF" w:rsidRDefault="00FF34EA" w:rsidP="00056CD9">
            <w:pPr>
              <w:jc w:val="center"/>
              <w:rPr>
                <w:rFonts w:eastAsia="Times New Roman" w:cs="Arial"/>
                <w:lang w:eastAsia="en-GB"/>
              </w:rPr>
            </w:pPr>
            <w:r w:rsidRPr="002410AF">
              <w:rPr>
                <w:rFonts w:cs="Arial"/>
              </w:rPr>
              <w:t>Support action to reduce risks and improve outcomes</w:t>
            </w:r>
          </w:p>
        </w:tc>
        <w:tc>
          <w:tcPr>
            <w:tcW w:w="955" w:type="pct"/>
          </w:tcPr>
          <w:p w:rsidR="00FF34EA" w:rsidRPr="002410AF" w:rsidRDefault="00FF34EA" w:rsidP="00056CD9">
            <w:pPr>
              <w:jc w:val="center"/>
              <w:rPr>
                <w:rFonts w:eastAsia="Times New Roman" w:cs="Arial"/>
                <w:lang w:eastAsia="en-GB"/>
              </w:rPr>
            </w:pPr>
            <w:r>
              <w:rPr>
                <w:rFonts w:eastAsia="Times New Roman" w:cs="Arial"/>
                <w:lang w:eastAsia="en-GB"/>
              </w:rPr>
              <w:t>Quarterly</w:t>
            </w:r>
          </w:p>
        </w:tc>
      </w:tr>
      <w:tr w:rsidR="00FF34EA" w:rsidRPr="002410AF" w:rsidTr="00056CD9">
        <w:trPr>
          <w:trHeight w:val="765"/>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9</w:t>
            </w:r>
          </w:p>
        </w:tc>
        <w:tc>
          <w:tcPr>
            <w:tcW w:w="2837" w:type="pct"/>
          </w:tcPr>
          <w:p w:rsidR="00FF34EA" w:rsidRPr="002410AF" w:rsidRDefault="00FF34EA" w:rsidP="00056CD9">
            <w:pPr>
              <w:spacing w:before="120" w:after="120"/>
              <w:rPr>
                <w:rFonts w:eastAsia="Times New Roman" w:cs="Arial"/>
                <w:bCs/>
              </w:rPr>
            </w:pPr>
            <w:r w:rsidRPr="002410AF">
              <w:rPr>
                <w:rFonts w:eastAsia="Times New Roman" w:cs="Arial"/>
                <w:bCs/>
              </w:rPr>
              <w:t>Breakdown of number of contraceptive methods supplied, by type – new, maintained and change</w:t>
            </w:r>
            <w:r w:rsidR="00CF71BC">
              <w:rPr>
                <w:rFonts w:eastAsia="Times New Roman" w:cs="Arial"/>
                <w:bCs/>
              </w:rPr>
              <w:t xml:space="preserve"> as (using codes as per SRHAD requirements).</w:t>
            </w:r>
          </w:p>
          <w:p w:rsidR="00FF34EA" w:rsidRPr="002410AF" w:rsidRDefault="00FF34EA" w:rsidP="00056CD9">
            <w:pPr>
              <w:rPr>
                <w:rFonts w:eastAsia="Times New Roman" w:cs="Arial"/>
                <w:lang w:eastAsia="en-GB"/>
              </w:rPr>
            </w:pPr>
          </w:p>
        </w:tc>
        <w:tc>
          <w:tcPr>
            <w:tcW w:w="766" w:type="pct"/>
          </w:tcPr>
          <w:p w:rsidR="00FF34EA" w:rsidRPr="002410AF" w:rsidRDefault="00FF34EA" w:rsidP="00056CD9">
            <w:pPr>
              <w:jc w:val="center"/>
              <w:rPr>
                <w:rFonts w:eastAsia="Times New Roman" w:cs="Arial"/>
                <w:lang w:eastAsia="en-GB"/>
              </w:rPr>
            </w:pPr>
            <w:r w:rsidRPr="002410AF">
              <w:rPr>
                <w:rFonts w:eastAsia="Times New Roman" w:cs="Arial"/>
                <w:lang w:eastAsia="en-GB"/>
              </w:rPr>
              <w:t>Service use information, support action to manage demand</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Quarterly</w:t>
            </w:r>
          </w:p>
        </w:tc>
      </w:tr>
      <w:tr w:rsidR="00FF34EA" w:rsidRPr="002410AF" w:rsidTr="00056CD9">
        <w:trPr>
          <w:trHeight w:val="765"/>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10</w:t>
            </w:r>
          </w:p>
        </w:tc>
        <w:tc>
          <w:tcPr>
            <w:tcW w:w="2837" w:type="pct"/>
          </w:tcPr>
          <w:p w:rsidR="00FF34EA" w:rsidRPr="002410AF" w:rsidRDefault="00FF34EA" w:rsidP="00056CD9">
            <w:pPr>
              <w:spacing w:before="120" w:after="120"/>
              <w:rPr>
                <w:rFonts w:eastAsia="Times New Roman" w:cs="Arial"/>
                <w:bCs/>
              </w:rPr>
            </w:pPr>
            <w:r w:rsidRPr="002410AF">
              <w:rPr>
                <w:rFonts w:eastAsia="Times New Roman" w:cs="Arial"/>
                <w:bCs/>
              </w:rPr>
              <w:t>Number of clients referred for LARC by GPs where reason for referral is stated as due to GP capacity, by GP practice</w:t>
            </w:r>
          </w:p>
        </w:tc>
        <w:tc>
          <w:tcPr>
            <w:tcW w:w="766" w:type="pct"/>
          </w:tcPr>
          <w:p w:rsidR="00FF34EA" w:rsidRPr="002410AF" w:rsidRDefault="00FF34EA" w:rsidP="00056CD9">
            <w:pPr>
              <w:jc w:val="center"/>
              <w:rPr>
                <w:rFonts w:eastAsia="Times New Roman" w:cs="Arial"/>
                <w:lang w:eastAsia="en-GB"/>
              </w:rPr>
            </w:pPr>
            <w:r w:rsidRPr="002410AF">
              <w:rPr>
                <w:rFonts w:eastAsia="Times New Roman" w:cs="Arial"/>
                <w:lang w:eastAsia="en-GB"/>
              </w:rPr>
              <w:t>Service use information, support action to manage demand</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Quarterly</w:t>
            </w:r>
          </w:p>
        </w:tc>
      </w:tr>
      <w:tr w:rsidR="00FF34EA" w:rsidRPr="002410AF" w:rsidTr="00056CD9">
        <w:trPr>
          <w:trHeight w:val="765"/>
        </w:trPr>
        <w:tc>
          <w:tcPr>
            <w:tcW w:w="442" w:type="pct"/>
          </w:tcPr>
          <w:p w:rsidR="00FF34EA" w:rsidRPr="002410AF" w:rsidRDefault="00FF34EA" w:rsidP="00FF34EA">
            <w:pPr>
              <w:jc w:val="center"/>
              <w:rPr>
                <w:rFonts w:eastAsia="Times New Roman" w:cs="Arial"/>
                <w:b/>
                <w:bCs/>
                <w:lang w:eastAsia="en-GB"/>
              </w:rPr>
            </w:pPr>
            <w:r>
              <w:rPr>
                <w:rFonts w:eastAsia="Times New Roman" w:cs="Arial"/>
                <w:b/>
                <w:bCs/>
                <w:lang w:eastAsia="en-GB"/>
              </w:rPr>
              <w:t>11</w:t>
            </w:r>
          </w:p>
        </w:tc>
        <w:tc>
          <w:tcPr>
            <w:tcW w:w="2837" w:type="pct"/>
          </w:tcPr>
          <w:p w:rsidR="00FF34EA" w:rsidRPr="002410AF" w:rsidRDefault="00FF34EA" w:rsidP="00056CD9">
            <w:pPr>
              <w:spacing w:before="120" w:after="120"/>
              <w:rPr>
                <w:rFonts w:eastAsia="Times New Roman" w:cs="Arial"/>
                <w:bCs/>
              </w:rPr>
            </w:pPr>
            <w:r w:rsidRPr="002410AF">
              <w:rPr>
                <w:rFonts w:eastAsia="Times New Roman" w:cs="Arial"/>
                <w:bCs/>
              </w:rPr>
              <w:t>Number of clients accessing services broken down by each of the protected characteristics;</w:t>
            </w:r>
          </w:p>
          <w:p w:rsidR="00FF34EA" w:rsidRPr="002410AF" w:rsidRDefault="00FF34EA" w:rsidP="00056CD9">
            <w:pPr>
              <w:spacing w:before="120" w:after="120"/>
              <w:rPr>
                <w:rFonts w:eastAsia="Times New Roman" w:cs="Arial"/>
                <w:bCs/>
              </w:rPr>
            </w:pPr>
          </w:p>
          <w:p w:rsidR="00FF34EA" w:rsidRPr="002410AF" w:rsidRDefault="00FF34EA" w:rsidP="00056CD9">
            <w:pPr>
              <w:spacing w:before="120" w:after="120"/>
              <w:rPr>
                <w:rFonts w:eastAsia="Times New Roman" w:cs="Arial"/>
                <w:bCs/>
              </w:rPr>
            </w:pPr>
          </w:p>
        </w:tc>
        <w:tc>
          <w:tcPr>
            <w:tcW w:w="766" w:type="pct"/>
          </w:tcPr>
          <w:p w:rsidR="00FF34EA" w:rsidRPr="002410AF" w:rsidRDefault="00FF34EA" w:rsidP="00056CD9">
            <w:pPr>
              <w:jc w:val="center"/>
              <w:rPr>
                <w:rFonts w:eastAsia="Times New Roman" w:cs="Arial"/>
                <w:lang w:eastAsia="en-GB"/>
              </w:rPr>
            </w:pPr>
            <w:r w:rsidRPr="002410AF">
              <w:rPr>
                <w:rFonts w:eastAsia="Times New Roman" w:cs="Arial"/>
                <w:lang w:eastAsia="en-GB"/>
              </w:rPr>
              <w:t xml:space="preserve">Service use information, support action to reduce inequalities </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Annually</w:t>
            </w:r>
          </w:p>
        </w:tc>
      </w:tr>
      <w:tr w:rsidR="00FF34EA" w:rsidRPr="002410AF" w:rsidTr="00056CD9">
        <w:trPr>
          <w:trHeight w:val="1302"/>
        </w:trPr>
        <w:tc>
          <w:tcPr>
            <w:tcW w:w="442" w:type="pct"/>
          </w:tcPr>
          <w:p w:rsidR="00FF34EA" w:rsidRPr="002410AF" w:rsidRDefault="00FF34EA" w:rsidP="00FF34EA">
            <w:pPr>
              <w:jc w:val="center"/>
              <w:rPr>
                <w:rFonts w:eastAsia="Times New Roman" w:cs="Arial"/>
                <w:b/>
                <w:bCs/>
                <w:lang w:eastAsia="en-GB"/>
              </w:rPr>
            </w:pPr>
            <w:r>
              <w:rPr>
                <w:rFonts w:eastAsia="Times New Roman" w:cs="Arial"/>
                <w:b/>
                <w:bCs/>
                <w:lang w:eastAsia="en-GB"/>
              </w:rPr>
              <w:t>12</w:t>
            </w:r>
          </w:p>
        </w:tc>
        <w:tc>
          <w:tcPr>
            <w:tcW w:w="2837" w:type="pct"/>
          </w:tcPr>
          <w:p w:rsidR="00FF34EA" w:rsidRPr="002410AF" w:rsidRDefault="00FF34EA" w:rsidP="00056CD9">
            <w:pPr>
              <w:rPr>
                <w:rFonts w:eastAsia="Times New Roman" w:cs="Arial"/>
                <w:lang w:eastAsia="en-GB"/>
              </w:rPr>
            </w:pPr>
            <w:r w:rsidRPr="002410AF">
              <w:rPr>
                <w:rFonts w:eastAsia="Times New Roman" w:cs="Arial"/>
                <w:lang w:eastAsia="en-GB"/>
              </w:rPr>
              <w:t xml:space="preserve">Number of </w:t>
            </w:r>
            <w:r w:rsidR="00D83004">
              <w:rPr>
                <w:rFonts w:eastAsia="Times New Roman" w:cs="Arial"/>
                <w:lang w:eastAsia="en-GB"/>
              </w:rPr>
              <w:t>Service User</w:t>
            </w:r>
            <w:r w:rsidRPr="002410AF">
              <w:rPr>
                <w:rFonts w:eastAsia="Times New Roman" w:cs="Arial"/>
                <w:lang w:eastAsia="en-GB"/>
              </w:rPr>
              <w:t>s making formal complaints about the service (verbal or written).</w:t>
            </w:r>
          </w:p>
          <w:p w:rsidR="00FF34EA" w:rsidRPr="002410AF" w:rsidRDefault="00FF34EA" w:rsidP="00056CD9">
            <w:pPr>
              <w:rPr>
                <w:rFonts w:eastAsia="Times New Roman" w:cs="Arial"/>
                <w:lang w:eastAsia="en-GB"/>
              </w:rPr>
            </w:pPr>
          </w:p>
          <w:p w:rsidR="00FF34EA" w:rsidRPr="002410AF" w:rsidRDefault="00FF34EA" w:rsidP="00056CD9">
            <w:pPr>
              <w:rPr>
                <w:rFonts w:eastAsia="Times New Roman" w:cs="Arial"/>
                <w:lang w:eastAsia="en-GB"/>
              </w:rPr>
            </w:pPr>
            <w:r w:rsidRPr="002410AF">
              <w:rPr>
                <w:rFonts w:eastAsia="Times New Roman" w:cs="Arial"/>
                <w:lang w:eastAsia="en-GB"/>
              </w:rPr>
              <w:t>Provider to notify Commissioner in accordance with Incidents Requiring Reporting Procedure Section</w:t>
            </w:r>
          </w:p>
        </w:tc>
        <w:tc>
          <w:tcPr>
            <w:tcW w:w="766" w:type="pct"/>
          </w:tcPr>
          <w:p w:rsidR="00FF34EA" w:rsidRPr="002410AF" w:rsidRDefault="00FF34EA" w:rsidP="00056CD9">
            <w:pPr>
              <w:jc w:val="center"/>
              <w:rPr>
                <w:rFonts w:eastAsia="Times New Roman" w:cs="Arial"/>
                <w:lang w:eastAsia="en-GB"/>
              </w:rPr>
            </w:pPr>
            <w:r w:rsidRPr="002410AF">
              <w:rPr>
                <w:rFonts w:eastAsia="Times New Roman" w:cs="Arial"/>
                <w:lang w:eastAsia="en-GB"/>
              </w:rPr>
              <w:t>Governance information, support action to improve quality and safety</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Quarterly</w:t>
            </w:r>
          </w:p>
        </w:tc>
      </w:tr>
      <w:tr w:rsidR="00FF34EA" w:rsidRPr="002410AF" w:rsidTr="00056CD9">
        <w:trPr>
          <w:trHeight w:val="1500"/>
        </w:trPr>
        <w:tc>
          <w:tcPr>
            <w:tcW w:w="442" w:type="pct"/>
          </w:tcPr>
          <w:p w:rsidR="00FF34EA" w:rsidRPr="002410AF" w:rsidRDefault="00FF34EA" w:rsidP="00FF34EA">
            <w:pPr>
              <w:jc w:val="center"/>
              <w:rPr>
                <w:rFonts w:eastAsia="Times New Roman" w:cs="Arial"/>
                <w:b/>
                <w:bCs/>
                <w:lang w:eastAsia="en-GB"/>
              </w:rPr>
            </w:pPr>
            <w:r>
              <w:rPr>
                <w:rFonts w:eastAsia="Times New Roman" w:cs="Arial"/>
                <w:b/>
                <w:bCs/>
                <w:lang w:eastAsia="en-GB"/>
              </w:rPr>
              <w:t>13</w:t>
            </w:r>
          </w:p>
        </w:tc>
        <w:tc>
          <w:tcPr>
            <w:tcW w:w="2837" w:type="pct"/>
          </w:tcPr>
          <w:p w:rsidR="00FF34EA" w:rsidRPr="002410AF" w:rsidRDefault="00FF34EA" w:rsidP="00056CD9">
            <w:pPr>
              <w:rPr>
                <w:rFonts w:eastAsia="Times New Roman" w:cs="Arial"/>
                <w:lang w:eastAsia="en-GB"/>
              </w:rPr>
            </w:pPr>
            <w:r w:rsidRPr="002410AF">
              <w:rPr>
                <w:rFonts w:eastAsia="Times New Roman" w:cs="Arial"/>
                <w:lang w:eastAsia="en-GB"/>
              </w:rPr>
              <w:t xml:space="preserve">Number of </w:t>
            </w:r>
            <w:r w:rsidR="00D83004">
              <w:rPr>
                <w:rFonts w:eastAsia="Times New Roman" w:cs="Arial"/>
                <w:lang w:eastAsia="en-GB"/>
              </w:rPr>
              <w:t>Service User</w:t>
            </w:r>
            <w:r w:rsidRPr="002410AF">
              <w:rPr>
                <w:rFonts w:eastAsia="Times New Roman" w:cs="Arial"/>
                <w:lang w:eastAsia="en-GB"/>
              </w:rPr>
              <w:t>s complimenting the service</w:t>
            </w:r>
          </w:p>
        </w:tc>
        <w:tc>
          <w:tcPr>
            <w:tcW w:w="766" w:type="pct"/>
          </w:tcPr>
          <w:p w:rsidR="00FF34EA" w:rsidRPr="002410AF" w:rsidRDefault="00FF34EA" w:rsidP="00056CD9">
            <w:pPr>
              <w:jc w:val="center"/>
              <w:rPr>
                <w:rFonts w:eastAsia="Times New Roman" w:cs="Arial"/>
                <w:lang w:eastAsia="en-GB"/>
              </w:rPr>
            </w:pPr>
            <w:r w:rsidRPr="002410AF">
              <w:rPr>
                <w:rFonts w:eastAsia="Times New Roman" w:cs="Arial"/>
                <w:lang w:eastAsia="en-GB"/>
              </w:rPr>
              <w:t>Governance information, support action to improve quality and safety</w:t>
            </w:r>
          </w:p>
        </w:tc>
        <w:tc>
          <w:tcPr>
            <w:tcW w:w="955" w:type="pct"/>
          </w:tcPr>
          <w:p w:rsidR="00FF34EA" w:rsidRPr="002410AF" w:rsidRDefault="00FF34EA" w:rsidP="00056CD9">
            <w:pPr>
              <w:jc w:val="center"/>
              <w:rPr>
                <w:rFonts w:eastAsia="Times New Roman" w:cs="Arial"/>
                <w:lang w:eastAsia="en-GB"/>
              </w:rPr>
            </w:pPr>
            <w:r w:rsidRPr="002410AF">
              <w:rPr>
                <w:rFonts w:eastAsia="Times New Roman" w:cs="Arial"/>
                <w:lang w:eastAsia="en-GB"/>
              </w:rPr>
              <w:t>Quarterly</w:t>
            </w:r>
          </w:p>
        </w:tc>
      </w:tr>
    </w:tbl>
    <w:p w:rsidR="00FF34EA" w:rsidRPr="002410AF" w:rsidRDefault="00FF34EA" w:rsidP="00FF34EA">
      <w:pPr>
        <w:pStyle w:val="NoSpacing"/>
        <w:rPr>
          <w:rFonts w:cs="Arial"/>
          <w:b/>
        </w:rPr>
      </w:pPr>
    </w:p>
    <w:p w:rsidR="00FF34EA" w:rsidRPr="002410AF" w:rsidRDefault="00FF34EA" w:rsidP="00FF34EA">
      <w:pPr>
        <w:pStyle w:val="NoSpacing"/>
        <w:rPr>
          <w:rFonts w:cs="Arial"/>
          <w:b/>
        </w:rPr>
      </w:pPr>
    </w:p>
    <w:p w:rsidR="00FF34EA" w:rsidRPr="002410AF" w:rsidRDefault="00FF34EA" w:rsidP="00FF34EA">
      <w:pPr>
        <w:pStyle w:val="NoSpacing"/>
        <w:rPr>
          <w:rFonts w:cs="Arial"/>
          <w:b/>
        </w:rPr>
      </w:pPr>
      <w:r w:rsidRPr="002410AF">
        <w:rPr>
          <w:rFonts w:cs="Arial"/>
          <w:b/>
        </w:rPr>
        <w:t>Laboratory performance</w:t>
      </w:r>
    </w:p>
    <w:tbl>
      <w:tblPr>
        <w:tblStyle w:val="TableGrid"/>
        <w:tblW w:w="5001" w:type="pct"/>
        <w:tblLayout w:type="fixed"/>
        <w:tblLook w:val="04A0" w:firstRow="1" w:lastRow="0" w:firstColumn="1" w:lastColumn="0" w:noHBand="0" w:noVBand="1"/>
      </w:tblPr>
      <w:tblGrid>
        <w:gridCol w:w="817"/>
        <w:gridCol w:w="5245"/>
        <w:gridCol w:w="1416"/>
        <w:gridCol w:w="1766"/>
      </w:tblGrid>
      <w:tr w:rsidR="00FF34EA" w:rsidRPr="002410AF" w:rsidTr="00056CD9">
        <w:trPr>
          <w:trHeight w:val="765"/>
        </w:trPr>
        <w:tc>
          <w:tcPr>
            <w:tcW w:w="442" w:type="pct"/>
          </w:tcPr>
          <w:p w:rsidR="00FF34EA" w:rsidRPr="002410AF" w:rsidRDefault="00FF34EA" w:rsidP="00056CD9">
            <w:pPr>
              <w:jc w:val="center"/>
              <w:rPr>
                <w:rFonts w:eastAsia="Times New Roman" w:cs="Arial"/>
                <w:b/>
                <w:bCs/>
                <w:lang w:eastAsia="en-GB"/>
              </w:rPr>
            </w:pPr>
            <w:r>
              <w:rPr>
                <w:rFonts w:eastAsia="Times New Roman" w:cs="Arial"/>
                <w:b/>
                <w:bCs/>
                <w:lang w:eastAsia="en-GB"/>
              </w:rPr>
              <w:t>1</w:t>
            </w:r>
          </w:p>
        </w:tc>
        <w:tc>
          <w:tcPr>
            <w:tcW w:w="2837" w:type="pct"/>
          </w:tcPr>
          <w:p w:rsidR="00FF34EA" w:rsidRPr="002410AF" w:rsidRDefault="00FF34EA" w:rsidP="00056CD9">
            <w:pPr>
              <w:rPr>
                <w:rFonts w:eastAsia="Times New Roman" w:cs="Arial"/>
                <w:lang w:eastAsia="en-GB"/>
              </w:rPr>
            </w:pPr>
            <w:r w:rsidRPr="002410AF">
              <w:rPr>
                <w:rFonts w:eastAsia="Times New Roman" w:cs="Arial"/>
                <w:lang w:eastAsia="en-GB"/>
              </w:rPr>
              <w:t xml:space="preserve">Percentage of routine STI laboratory reports of results (or preliminary reports) which are received by clinicians within 7 working days of a specimen being taken </w:t>
            </w:r>
          </w:p>
        </w:tc>
        <w:tc>
          <w:tcPr>
            <w:tcW w:w="766" w:type="pct"/>
          </w:tcPr>
          <w:p w:rsidR="00FF34EA" w:rsidRPr="002410AF" w:rsidRDefault="00FF34EA" w:rsidP="00056CD9">
            <w:pPr>
              <w:jc w:val="center"/>
              <w:rPr>
                <w:rFonts w:eastAsia="Times New Roman" w:cs="Arial"/>
                <w:lang w:eastAsia="en-GB"/>
              </w:rPr>
            </w:pPr>
            <w:r w:rsidRPr="002410AF">
              <w:rPr>
                <w:rFonts w:eastAsia="Times New Roman" w:cs="Arial"/>
                <w:lang w:eastAsia="en-GB"/>
              </w:rPr>
              <w:t>100%</w:t>
            </w:r>
          </w:p>
        </w:tc>
        <w:tc>
          <w:tcPr>
            <w:tcW w:w="955" w:type="pct"/>
            <w:vMerge w:val="restart"/>
            <w:vAlign w:val="center"/>
          </w:tcPr>
          <w:p w:rsidR="00FF34EA" w:rsidRPr="002410AF" w:rsidRDefault="00FF34EA" w:rsidP="00056CD9">
            <w:pPr>
              <w:jc w:val="center"/>
              <w:rPr>
                <w:rFonts w:eastAsia="Times New Roman" w:cs="Arial"/>
                <w:lang w:eastAsia="en-GB"/>
              </w:rPr>
            </w:pPr>
            <w:r w:rsidRPr="002410AF">
              <w:rPr>
                <w:rFonts w:eastAsia="Times New Roman" w:cs="Arial"/>
                <w:lang w:eastAsia="en-GB"/>
              </w:rPr>
              <w:t xml:space="preserve">Provider to notify </w:t>
            </w:r>
            <w:r w:rsidR="007479A2">
              <w:rPr>
                <w:rFonts w:eastAsia="Times New Roman" w:cs="Arial"/>
                <w:lang w:eastAsia="en-GB"/>
              </w:rPr>
              <w:t>Commissioner</w:t>
            </w:r>
            <w:r w:rsidRPr="002410AF">
              <w:rPr>
                <w:rFonts w:eastAsia="Times New Roman" w:cs="Arial"/>
                <w:lang w:eastAsia="en-GB"/>
              </w:rPr>
              <w:t>s if targets are not being reached</w:t>
            </w:r>
          </w:p>
        </w:tc>
      </w:tr>
      <w:tr w:rsidR="00FF34EA" w:rsidRPr="00976ECE" w:rsidTr="00056CD9">
        <w:trPr>
          <w:trHeight w:val="765"/>
        </w:trPr>
        <w:tc>
          <w:tcPr>
            <w:tcW w:w="442" w:type="pct"/>
          </w:tcPr>
          <w:p w:rsidR="00FF34EA" w:rsidRPr="00976ECE" w:rsidRDefault="00FF34EA" w:rsidP="00056CD9">
            <w:pPr>
              <w:jc w:val="center"/>
              <w:rPr>
                <w:rFonts w:eastAsia="Times New Roman" w:cs="Arial"/>
                <w:b/>
                <w:bCs/>
                <w:color w:val="000000"/>
                <w:lang w:eastAsia="en-GB"/>
              </w:rPr>
            </w:pPr>
            <w:r>
              <w:rPr>
                <w:rFonts w:eastAsia="Times New Roman" w:cs="Arial"/>
                <w:b/>
                <w:bCs/>
                <w:color w:val="000000"/>
                <w:lang w:eastAsia="en-GB"/>
              </w:rPr>
              <w:t>2</w:t>
            </w:r>
          </w:p>
        </w:tc>
        <w:tc>
          <w:tcPr>
            <w:tcW w:w="2837" w:type="pct"/>
          </w:tcPr>
          <w:p w:rsidR="00FF34EA" w:rsidRPr="00976ECE" w:rsidRDefault="00FF34EA" w:rsidP="00056CD9">
            <w:pPr>
              <w:rPr>
                <w:rFonts w:eastAsia="Times New Roman" w:cs="Arial"/>
                <w:color w:val="000000"/>
                <w:lang w:eastAsia="en-GB"/>
              </w:rPr>
            </w:pPr>
            <w:r w:rsidRPr="00976ECE">
              <w:rPr>
                <w:rFonts w:eastAsia="Times New Roman" w:cs="Arial"/>
                <w:color w:val="000000"/>
                <w:lang w:eastAsia="en-GB"/>
              </w:rPr>
              <w:t xml:space="preserve">Percentage of people who are NAAT positive for </w:t>
            </w:r>
            <w:r w:rsidRPr="00173769">
              <w:rPr>
                <w:rFonts w:eastAsia="Times New Roman" w:cs="Arial"/>
                <w:i/>
                <w:color w:val="000000"/>
                <w:lang w:eastAsia="en-GB"/>
              </w:rPr>
              <w:t xml:space="preserve">N. gonorrhoea </w:t>
            </w:r>
            <w:r w:rsidRPr="00976ECE">
              <w:rPr>
                <w:rFonts w:eastAsia="Times New Roman" w:cs="Arial"/>
                <w:color w:val="000000"/>
                <w:lang w:eastAsia="en-GB"/>
              </w:rPr>
              <w:t xml:space="preserve">who have a culture performed </w:t>
            </w:r>
          </w:p>
        </w:tc>
        <w:tc>
          <w:tcPr>
            <w:tcW w:w="766" w:type="pct"/>
          </w:tcPr>
          <w:p w:rsidR="00FF34EA" w:rsidRPr="00976ECE" w:rsidRDefault="00FF34EA" w:rsidP="00056CD9">
            <w:pPr>
              <w:jc w:val="center"/>
              <w:rPr>
                <w:rFonts w:eastAsia="Times New Roman" w:cs="Arial"/>
                <w:color w:val="000000"/>
                <w:lang w:eastAsia="en-GB"/>
              </w:rPr>
            </w:pPr>
            <w:r w:rsidRPr="00976ECE">
              <w:rPr>
                <w:rFonts w:eastAsia="Times New Roman" w:cs="Arial"/>
                <w:color w:val="000000"/>
                <w:lang w:eastAsia="en-GB"/>
              </w:rPr>
              <w:t>90%</w:t>
            </w:r>
          </w:p>
        </w:tc>
        <w:tc>
          <w:tcPr>
            <w:tcW w:w="955" w:type="pct"/>
            <w:vMerge/>
          </w:tcPr>
          <w:p w:rsidR="00FF34EA" w:rsidRDefault="00FF34EA" w:rsidP="00056CD9">
            <w:pPr>
              <w:jc w:val="center"/>
              <w:rPr>
                <w:rFonts w:eastAsia="Times New Roman" w:cs="Arial"/>
                <w:color w:val="000000"/>
                <w:lang w:eastAsia="en-GB"/>
              </w:rPr>
            </w:pPr>
          </w:p>
        </w:tc>
      </w:tr>
      <w:tr w:rsidR="00FF34EA" w:rsidRPr="00976ECE" w:rsidTr="00056CD9">
        <w:trPr>
          <w:trHeight w:val="765"/>
        </w:trPr>
        <w:tc>
          <w:tcPr>
            <w:tcW w:w="442" w:type="pct"/>
          </w:tcPr>
          <w:p w:rsidR="00FF34EA" w:rsidRPr="00976ECE" w:rsidRDefault="00FF34EA" w:rsidP="00056CD9">
            <w:pPr>
              <w:jc w:val="center"/>
              <w:rPr>
                <w:rFonts w:eastAsia="Times New Roman" w:cs="Arial"/>
                <w:b/>
                <w:bCs/>
                <w:color w:val="000000"/>
                <w:lang w:eastAsia="en-GB"/>
              </w:rPr>
            </w:pPr>
            <w:r>
              <w:rPr>
                <w:rFonts w:eastAsia="Times New Roman" w:cs="Arial"/>
                <w:b/>
                <w:bCs/>
                <w:color w:val="000000"/>
                <w:lang w:eastAsia="en-GB"/>
              </w:rPr>
              <w:t>3</w:t>
            </w:r>
          </w:p>
        </w:tc>
        <w:tc>
          <w:tcPr>
            <w:tcW w:w="2837" w:type="pct"/>
            <w:hideMark/>
          </w:tcPr>
          <w:p w:rsidR="00FF34EA" w:rsidRPr="00976ECE" w:rsidRDefault="00FF34EA" w:rsidP="00056CD9">
            <w:pPr>
              <w:rPr>
                <w:rFonts w:eastAsia="Times New Roman" w:cs="Arial"/>
                <w:color w:val="000000"/>
                <w:lang w:eastAsia="en-GB"/>
              </w:rPr>
            </w:pPr>
            <w:r>
              <w:rPr>
                <w:rFonts w:eastAsia="Times New Roman" w:cs="Arial"/>
                <w:color w:val="000000"/>
                <w:lang w:eastAsia="en-GB"/>
              </w:rPr>
              <w:t xml:space="preserve">Percentage of </w:t>
            </w:r>
            <w:r w:rsidRPr="00173769">
              <w:rPr>
                <w:rFonts w:eastAsia="Times New Roman" w:cs="Arial"/>
                <w:i/>
                <w:color w:val="000000"/>
                <w:lang w:eastAsia="en-GB"/>
              </w:rPr>
              <w:t>N. gonorrhoea</w:t>
            </w:r>
            <w:r>
              <w:rPr>
                <w:rFonts w:eastAsia="Times New Roman" w:cs="Arial"/>
                <w:color w:val="000000"/>
                <w:lang w:eastAsia="en-GB"/>
              </w:rPr>
              <w:t xml:space="preserve"> cultures that have sensitivity tests performed</w:t>
            </w:r>
          </w:p>
        </w:tc>
        <w:tc>
          <w:tcPr>
            <w:tcW w:w="766" w:type="pct"/>
            <w:hideMark/>
          </w:tcPr>
          <w:p w:rsidR="00FF34EA" w:rsidRPr="00976ECE" w:rsidRDefault="00FF34EA" w:rsidP="00056CD9">
            <w:pPr>
              <w:jc w:val="center"/>
              <w:rPr>
                <w:rFonts w:eastAsia="Times New Roman" w:cs="Arial"/>
                <w:color w:val="000000"/>
                <w:lang w:eastAsia="en-GB"/>
              </w:rPr>
            </w:pPr>
            <w:r>
              <w:rPr>
                <w:rFonts w:eastAsia="Times New Roman" w:cs="Arial"/>
                <w:color w:val="000000"/>
                <w:lang w:eastAsia="en-GB"/>
              </w:rPr>
              <w:t>90%</w:t>
            </w:r>
          </w:p>
        </w:tc>
        <w:tc>
          <w:tcPr>
            <w:tcW w:w="955" w:type="pct"/>
            <w:vMerge/>
            <w:hideMark/>
          </w:tcPr>
          <w:p w:rsidR="00FF34EA" w:rsidRPr="00976ECE" w:rsidRDefault="00FF34EA" w:rsidP="00056CD9">
            <w:pPr>
              <w:jc w:val="center"/>
              <w:rPr>
                <w:rFonts w:eastAsia="Times New Roman" w:cs="Arial"/>
                <w:color w:val="000000"/>
                <w:lang w:eastAsia="en-GB"/>
              </w:rPr>
            </w:pPr>
          </w:p>
        </w:tc>
      </w:tr>
      <w:tr w:rsidR="00FF34EA" w:rsidRPr="00976ECE" w:rsidTr="00056CD9">
        <w:trPr>
          <w:trHeight w:val="765"/>
        </w:trPr>
        <w:tc>
          <w:tcPr>
            <w:tcW w:w="442" w:type="pct"/>
          </w:tcPr>
          <w:p w:rsidR="00FF34EA" w:rsidRPr="00976ECE" w:rsidRDefault="00FF34EA" w:rsidP="00056CD9">
            <w:pPr>
              <w:jc w:val="center"/>
              <w:rPr>
                <w:rFonts w:eastAsia="Times New Roman" w:cs="Arial"/>
                <w:b/>
                <w:bCs/>
                <w:color w:val="000000"/>
                <w:lang w:eastAsia="en-GB"/>
              </w:rPr>
            </w:pPr>
            <w:r>
              <w:rPr>
                <w:rFonts w:eastAsia="Times New Roman" w:cs="Arial"/>
                <w:b/>
                <w:bCs/>
                <w:color w:val="000000"/>
                <w:lang w:eastAsia="en-GB"/>
              </w:rPr>
              <w:t>4</w:t>
            </w:r>
          </w:p>
        </w:tc>
        <w:tc>
          <w:tcPr>
            <w:tcW w:w="2837" w:type="pct"/>
          </w:tcPr>
          <w:p w:rsidR="00FF34EA" w:rsidRPr="00976ECE" w:rsidRDefault="00FF34EA" w:rsidP="00056CD9">
            <w:pPr>
              <w:rPr>
                <w:rFonts w:eastAsia="Times New Roman" w:cs="Arial"/>
                <w:color w:val="000000"/>
                <w:lang w:eastAsia="en-GB"/>
              </w:rPr>
            </w:pPr>
            <w:r w:rsidRPr="00976ECE">
              <w:rPr>
                <w:rFonts w:eastAsia="Times New Roman" w:cs="Arial"/>
                <w:color w:val="000000"/>
                <w:lang w:eastAsia="en-GB"/>
              </w:rPr>
              <w:t>Percentage of final reports on supplementary testing or following referral to the reference laboratory, which are issued by the lab within 10 working days of the specimen being received by the lab</w:t>
            </w:r>
          </w:p>
        </w:tc>
        <w:tc>
          <w:tcPr>
            <w:tcW w:w="766" w:type="pct"/>
          </w:tcPr>
          <w:p w:rsidR="00FF34EA" w:rsidRPr="00976ECE" w:rsidRDefault="00FF34EA" w:rsidP="00056CD9">
            <w:pPr>
              <w:jc w:val="center"/>
              <w:rPr>
                <w:rFonts w:eastAsia="Times New Roman" w:cs="Arial"/>
                <w:color w:val="000000"/>
                <w:lang w:eastAsia="en-GB"/>
              </w:rPr>
            </w:pPr>
            <w:r>
              <w:rPr>
                <w:rFonts w:eastAsia="Times New Roman" w:cs="Arial"/>
                <w:color w:val="000000"/>
                <w:lang w:eastAsia="en-GB"/>
              </w:rPr>
              <w:t>90%</w:t>
            </w:r>
          </w:p>
        </w:tc>
        <w:tc>
          <w:tcPr>
            <w:tcW w:w="955" w:type="pct"/>
            <w:vMerge/>
            <w:hideMark/>
          </w:tcPr>
          <w:p w:rsidR="00FF34EA" w:rsidRPr="00976ECE" w:rsidRDefault="00FF34EA" w:rsidP="00056CD9">
            <w:pPr>
              <w:jc w:val="center"/>
              <w:rPr>
                <w:rFonts w:eastAsia="Times New Roman" w:cs="Arial"/>
                <w:color w:val="000000"/>
                <w:lang w:eastAsia="en-GB"/>
              </w:rPr>
            </w:pPr>
          </w:p>
        </w:tc>
      </w:tr>
    </w:tbl>
    <w:p w:rsidR="00FF34EA" w:rsidRDefault="00FF34EA" w:rsidP="00FF34EA">
      <w:pPr>
        <w:pStyle w:val="NoSpacing"/>
        <w:rPr>
          <w:rFonts w:cs="Arial"/>
          <w:b/>
        </w:rPr>
      </w:pPr>
    </w:p>
    <w:p w:rsidR="00FF34EA" w:rsidRDefault="00FF34EA">
      <w:pPr>
        <w:rPr>
          <w:rFonts w:cs="Arial"/>
          <w:b/>
        </w:rPr>
      </w:pPr>
      <w:r>
        <w:rPr>
          <w:rFonts w:cs="Arial"/>
          <w:b/>
        </w:rPr>
        <w:br w:type="page"/>
      </w:r>
    </w:p>
    <w:p w:rsidR="00984B3D" w:rsidRDefault="00984B3D" w:rsidP="00530EED">
      <w:pPr>
        <w:ind w:left="-360"/>
        <w:jc w:val="both"/>
        <w:rPr>
          <w:rFonts w:eastAsia="Arial" w:cs="Arial"/>
          <w:b/>
          <w:bCs/>
        </w:rPr>
      </w:pPr>
      <w:r>
        <w:rPr>
          <w:rFonts w:eastAsia="Arial" w:cs="Arial"/>
          <w:b/>
          <w:bCs/>
        </w:rPr>
        <w:lastRenderedPageBreak/>
        <w:t>Appendix 1:</w:t>
      </w:r>
    </w:p>
    <w:p w:rsidR="00984B3D" w:rsidRDefault="00984B3D" w:rsidP="00530EED">
      <w:pPr>
        <w:ind w:left="-360"/>
        <w:jc w:val="both"/>
        <w:rPr>
          <w:rFonts w:eastAsia="Arial" w:cs="Arial"/>
          <w:b/>
          <w:bCs/>
        </w:rPr>
      </w:pPr>
      <w:r>
        <w:rPr>
          <w:rFonts w:eastAsia="Arial" w:cs="Arial"/>
          <w:b/>
          <w:bCs/>
        </w:rPr>
        <w:t>Bracknell Forest Targeted Outreach Nurse – reporting requirements</w:t>
      </w:r>
    </w:p>
    <w:p w:rsidR="00984B3D" w:rsidRDefault="00984B3D" w:rsidP="00530EED">
      <w:pPr>
        <w:ind w:left="-360"/>
        <w:jc w:val="both"/>
        <w:rPr>
          <w:rFonts w:eastAsia="Arial" w:cs="Arial"/>
          <w:b/>
          <w:bCs/>
        </w:rPr>
      </w:pPr>
    </w:p>
    <w:p w:rsidR="00056CD9" w:rsidRDefault="00056CD9" w:rsidP="00530EED">
      <w:pPr>
        <w:ind w:left="-360"/>
        <w:jc w:val="both"/>
        <w:rPr>
          <w:rFonts w:eastAsia="Arial" w:cs="Arial"/>
          <w:b/>
          <w:bCs/>
        </w:rPr>
      </w:pPr>
      <w:r>
        <w:rPr>
          <w:rFonts w:eastAsia="Arial" w:cs="Arial"/>
          <w:b/>
          <w:bCs/>
        </w:rPr>
        <w:t>KPIs</w:t>
      </w:r>
    </w:p>
    <w:p w:rsidR="00465A3B" w:rsidRDefault="00465A3B" w:rsidP="00530EED">
      <w:pPr>
        <w:ind w:left="-360"/>
        <w:jc w:val="both"/>
        <w:rPr>
          <w:rFonts w:eastAsia="Arial" w:cs="Arial"/>
          <w:b/>
          <w:bCs/>
        </w:rPr>
      </w:pPr>
    </w:p>
    <w:tbl>
      <w:tblPr>
        <w:tblStyle w:val="TableGrid"/>
        <w:tblW w:w="5001" w:type="pct"/>
        <w:tblLayout w:type="fixed"/>
        <w:tblLook w:val="04A0" w:firstRow="1" w:lastRow="0" w:firstColumn="1" w:lastColumn="0" w:noHBand="0" w:noVBand="1"/>
      </w:tblPr>
      <w:tblGrid>
        <w:gridCol w:w="817"/>
        <w:gridCol w:w="5386"/>
        <w:gridCol w:w="1403"/>
        <w:gridCol w:w="1638"/>
      </w:tblGrid>
      <w:tr w:rsidR="00465A3B" w:rsidRPr="00976ECE" w:rsidTr="00532828">
        <w:trPr>
          <w:trHeight w:val="1155"/>
        </w:trPr>
        <w:tc>
          <w:tcPr>
            <w:tcW w:w="442" w:type="pct"/>
            <w:shd w:val="clear" w:color="auto" w:fill="C6D9F1" w:themeFill="text2" w:themeFillTint="33"/>
            <w:hideMark/>
          </w:tcPr>
          <w:p w:rsidR="00465A3B" w:rsidRPr="00976ECE" w:rsidRDefault="00465A3B" w:rsidP="00532828">
            <w:pPr>
              <w:jc w:val="center"/>
              <w:rPr>
                <w:rFonts w:eastAsia="Times New Roman" w:cs="Arial"/>
                <w:b/>
                <w:bCs/>
                <w:color w:val="000000"/>
                <w:lang w:eastAsia="en-GB"/>
              </w:rPr>
            </w:pPr>
          </w:p>
        </w:tc>
        <w:tc>
          <w:tcPr>
            <w:tcW w:w="2913" w:type="pct"/>
            <w:shd w:val="clear" w:color="auto" w:fill="C6D9F1" w:themeFill="text2" w:themeFillTint="33"/>
            <w:hideMark/>
          </w:tcPr>
          <w:p w:rsidR="00465A3B" w:rsidRPr="00976ECE" w:rsidRDefault="00465A3B" w:rsidP="00532828">
            <w:pPr>
              <w:jc w:val="center"/>
              <w:rPr>
                <w:rFonts w:eastAsia="Times New Roman" w:cs="Arial"/>
                <w:b/>
                <w:bCs/>
                <w:color w:val="000000"/>
                <w:lang w:eastAsia="en-GB"/>
              </w:rPr>
            </w:pPr>
            <w:r w:rsidRPr="00976ECE">
              <w:rPr>
                <w:rFonts w:eastAsia="Times New Roman" w:cs="Arial"/>
                <w:b/>
                <w:bCs/>
                <w:color w:val="000000"/>
                <w:lang w:eastAsia="en-GB"/>
              </w:rPr>
              <w:t xml:space="preserve">Indicator </w:t>
            </w:r>
          </w:p>
        </w:tc>
        <w:tc>
          <w:tcPr>
            <w:tcW w:w="759" w:type="pct"/>
            <w:shd w:val="clear" w:color="auto" w:fill="C6D9F1" w:themeFill="text2" w:themeFillTint="33"/>
            <w:hideMark/>
          </w:tcPr>
          <w:p w:rsidR="00465A3B" w:rsidRPr="00976ECE" w:rsidRDefault="00465A3B" w:rsidP="00532828">
            <w:pPr>
              <w:jc w:val="center"/>
              <w:rPr>
                <w:rFonts w:eastAsia="Times New Roman" w:cs="Arial"/>
                <w:b/>
                <w:bCs/>
                <w:color w:val="000000"/>
                <w:lang w:eastAsia="en-GB"/>
              </w:rPr>
            </w:pPr>
            <w:r w:rsidRPr="00976ECE">
              <w:rPr>
                <w:rFonts w:eastAsia="Times New Roman" w:cs="Arial"/>
                <w:b/>
                <w:bCs/>
                <w:color w:val="000000"/>
                <w:lang w:eastAsia="en-GB"/>
              </w:rPr>
              <w:t>Threshold</w:t>
            </w:r>
          </w:p>
        </w:tc>
        <w:tc>
          <w:tcPr>
            <w:tcW w:w="886" w:type="pct"/>
            <w:shd w:val="clear" w:color="auto" w:fill="C6D9F1" w:themeFill="text2" w:themeFillTint="33"/>
            <w:hideMark/>
          </w:tcPr>
          <w:p w:rsidR="00465A3B" w:rsidRPr="00976ECE" w:rsidRDefault="00465A3B" w:rsidP="00532828">
            <w:pPr>
              <w:jc w:val="center"/>
              <w:rPr>
                <w:rFonts w:eastAsia="Times New Roman" w:cs="Arial"/>
                <w:b/>
                <w:bCs/>
                <w:color w:val="000000"/>
                <w:lang w:eastAsia="en-GB"/>
              </w:rPr>
            </w:pPr>
            <w:r w:rsidRPr="00976ECE">
              <w:rPr>
                <w:rFonts w:eastAsia="Times New Roman" w:cs="Arial"/>
                <w:b/>
                <w:bCs/>
                <w:color w:val="000000"/>
                <w:lang w:eastAsia="en-GB"/>
              </w:rPr>
              <w:t xml:space="preserve">Frequency / </w:t>
            </w:r>
            <w:r w:rsidRPr="00976ECE">
              <w:rPr>
                <w:rFonts w:eastAsia="Times New Roman" w:cs="Arial"/>
                <w:b/>
                <w:bCs/>
                <w:color w:val="000000"/>
                <w:lang w:eastAsia="en-GB"/>
              </w:rPr>
              <w:br/>
              <w:t>Method of Measurement</w:t>
            </w:r>
          </w:p>
        </w:tc>
      </w:tr>
      <w:tr w:rsidR="00465A3B" w:rsidRPr="00976ECE" w:rsidTr="00532828">
        <w:trPr>
          <w:trHeight w:val="630"/>
        </w:trPr>
        <w:tc>
          <w:tcPr>
            <w:tcW w:w="442" w:type="pct"/>
            <w:vMerge w:val="restart"/>
            <w:hideMark/>
          </w:tcPr>
          <w:p w:rsidR="00465A3B" w:rsidRPr="00976ECE" w:rsidRDefault="00465A3B" w:rsidP="00532828">
            <w:pPr>
              <w:jc w:val="center"/>
              <w:rPr>
                <w:rFonts w:eastAsia="Times New Roman" w:cs="Arial"/>
                <w:b/>
                <w:bCs/>
                <w:color w:val="000000"/>
                <w:lang w:eastAsia="en-GB"/>
              </w:rPr>
            </w:pPr>
            <w:r w:rsidRPr="00976ECE">
              <w:rPr>
                <w:rFonts w:eastAsia="Times New Roman" w:cs="Arial"/>
                <w:b/>
                <w:bCs/>
                <w:color w:val="000000"/>
                <w:lang w:eastAsia="en-GB"/>
              </w:rPr>
              <w:t>1</w:t>
            </w:r>
          </w:p>
        </w:tc>
        <w:tc>
          <w:tcPr>
            <w:tcW w:w="2913" w:type="pct"/>
            <w:vMerge w:val="restart"/>
            <w:hideMark/>
          </w:tcPr>
          <w:p w:rsidR="00465A3B" w:rsidRPr="00DB5F49" w:rsidRDefault="00465A3B" w:rsidP="00747DCF">
            <w:pPr>
              <w:rPr>
                <w:rFonts w:eastAsia="Times New Roman" w:cs="Arial"/>
                <w:lang w:eastAsia="en-GB"/>
              </w:rPr>
            </w:pPr>
            <w:r w:rsidRPr="00465A3B">
              <w:rPr>
                <w:rFonts w:eastAsia="Arial" w:cs="Arial"/>
                <w:bCs/>
              </w:rPr>
              <w:t xml:space="preserve">Proportion of </w:t>
            </w:r>
            <w:r w:rsidRPr="00747DCF">
              <w:rPr>
                <w:rFonts w:eastAsia="Arial" w:cs="Arial"/>
                <w:bCs/>
              </w:rPr>
              <w:t xml:space="preserve">women who have been referred to the service waiting more than </w:t>
            </w:r>
            <w:r w:rsidR="00747DCF" w:rsidRPr="00747DCF">
              <w:rPr>
                <w:rFonts w:eastAsia="Arial" w:cs="Arial"/>
                <w:bCs/>
              </w:rPr>
              <w:t>1 week</w:t>
            </w:r>
            <w:r w:rsidRPr="00747DCF">
              <w:rPr>
                <w:rFonts w:eastAsia="Arial" w:cs="Arial"/>
                <w:bCs/>
              </w:rPr>
              <w:t xml:space="preserve"> to receive initial contact from the service.</w:t>
            </w:r>
            <w:r w:rsidRPr="00465A3B">
              <w:rPr>
                <w:rFonts w:eastAsia="Arial" w:cs="Arial"/>
                <w:bCs/>
              </w:rPr>
              <w:t xml:space="preserve">  </w:t>
            </w:r>
          </w:p>
        </w:tc>
        <w:tc>
          <w:tcPr>
            <w:tcW w:w="759" w:type="pct"/>
            <w:vMerge w:val="restart"/>
            <w:hideMark/>
          </w:tcPr>
          <w:p w:rsidR="00465A3B" w:rsidRPr="00976ECE" w:rsidRDefault="00465A3B" w:rsidP="00532828">
            <w:pPr>
              <w:jc w:val="center"/>
              <w:rPr>
                <w:rFonts w:eastAsia="Times New Roman" w:cs="Arial"/>
                <w:color w:val="000000"/>
                <w:lang w:eastAsia="en-GB"/>
              </w:rPr>
            </w:pPr>
            <w:r w:rsidRPr="00747DCF">
              <w:rPr>
                <w:rFonts w:eastAsia="Times New Roman" w:cs="Arial"/>
                <w:color w:val="000000"/>
                <w:lang w:eastAsia="en-GB"/>
              </w:rPr>
              <w:t>&lt;5%</w:t>
            </w:r>
          </w:p>
        </w:tc>
        <w:tc>
          <w:tcPr>
            <w:tcW w:w="886" w:type="pct"/>
            <w:vMerge w:val="restart"/>
            <w:hideMark/>
          </w:tcPr>
          <w:p w:rsidR="00465A3B" w:rsidRPr="00976ECE" w:rsidRDefault="00465A3B" w:rsidP="00532828">
            <w:pPr>
              <w:jc w:val="center"/>
              <w:rPr>
                <w:rFonts w:eastAsia="Times New Roman" w:cs="Arial"/>
                <w:lang w:eastAsia="en-GB"/>
              </w:rPr>
            </w:pPr>
            <w:r w:rsidRPr="00976ECE">
              <w:rPr>
                <w:rFonts w:eastAsia="Times New Roman" w:cs="Arial"/>
                <w:lang w:eastAsia="en-GB"/>
              </w:rPr>
              <w:t>Quarterly</w:t>
            </w:r>
          </w:p>
        </w:tc>
      </w:tr>
      <w:tr w:rsidR="00465A3B" w:rsidRPr="00976ECE" w:rsidTr="00532828">
        <w:trPr>
          <w:trHeight w:val="300"/>
        </w:trPr>
        <w:tc>
          <w:tcPr>
            <w:tcW w:w="442" w:type="pct"/>
            <w:vMerge/>
            <w:hideMark/>
          </w:tcPr>
          <w:p w:rsidR="00465A3B" w:rsidRPr="00976ECE" w:rsidRDefault="00465A3B" w:rsidP="00532828">
            <w:pPr>
              <w:rPr>
                <w:rFonts w:eastAsia="Times New Roman" w:cs="Arial"/>
                <w:b/>
                <w:bCs/>
                <w:color w:val="000000"/>
                <w:lang w:eastAsia="en-GB"/>
              </w:rPr>
            </w:pPr>
          </w:p>
        </w:tc>
        <w:tc>
          <w:tcPr>
            <w:tcW w:w="2913" w:type="pct"/>
            <w:vMerge/>
            <w:hideMark/>
          </w:tcPr>
          <w:p w:rsidR="00465A3B" w:rsidRPr="00976ECE" w:rsidRDefault="00465A3B" w:rsidP="00532828">
            <w:pPr>
              <w:rPr>
                <w:rFonts w:eastAsia="Times New Roman" w:cs="Arial"/>
                <w:color w:val="000000"/>
                <w:lang w:eastAsia="en-GB"/>
              </w:rPr>
            </w:pPr>
          </w:p>
        </w:tc>
        <w:tc>
          <w:tcPr>
            <w:tcW w:w="759" w:type="pct"/>
            <w:vMerge/>
            <w:hideMark/>
          </w:tcPr>
          <w:p w:rsidR="00465A3B" w:rsidRPr="00976ECE" w:rsidRDefault="00465A3B" w:rsidP="00532828">
            <w:pPr>
              <w:rPr>
                <w:rFonts w:eastAsia="Times New Roman" w:cs="Arial"/>
                <w:color w:val="000000"/>
                <w:lang w:eastAsia="en-GB"/>
              </w:rPr>
            </w:pPr>
          </w:p>
        </w:tc>
        <w:tc>
          <w:tcPr>
            <w:tcW w:w="886" w:type="pct"/>
            <w:vMerge/>
            <w:hideMark/>
          </w:tcPr>
          <w:p w:rsidR="00465A3B" w:rsidRPr="00976ECE" w:rsidRDefault="00465A3B" w:rsidP="00532828">
            <w:pPr>
              <w:rPr>
                <w:rFonts w:eastAsia="Times New Roman" w:cs="Arial"/>
                <w:lang w:eastAsia="en-GB"/>
              </w:rPr>
            </w:pPr>
          </w:p>
        </w:tc>
      </w:tr>
      <w:tr w:rsidR="00465A3B" w:rsidRPr="00976ECE" w:rsidTr="00532828">
        <w:trPr>
          <w:trHeight w:val="300"/>
        </w:trPr>
        <w:tc>
          <w:tcPr>
            <w:tcW w:w="442" w:type="pct"/>
            <w:vMerge/>
            <w:hideMark/>
          </w:tcPr>
          <w:p w:rsidR="00465A3B" w:rsidRPr="00976ECE" w:rsidRDefault="00465A3B" w:rsidP="00532828">
            <w:pPr>
              <w:rPr>
                <w:rFonts w:eastAsia="Times New Roman" w:cs="Arial"/>
                <w:b/>
                <w:bCs/>
                <w:color w:val="000000"/>
                <w:lang w:eastAsia="en-GB"/>
              </w:rPr>
            </w:pPr>
          </w:p>
        </w:tc>
        <w:tc>
          <w:tcPr>
            <w:tcW w:w="2913" w:type="pct"/>
            <w:vMerge/>
            <w:hideMark/>
          </w:tcPr>
          <w:p w:rsidR="00465A3B" w:rsidRPr="00976ECE" w:rsidRDefault="00465A3B" w:rsidP="00532828">
            <w:pPr>
              <w:rPr>
                <w:rFonts w:eastAsia="Times New Roman" w:cs="Arial"/>
                <w:color w:val="000000"/>
                <w:lang w:eastAsia="en-GB"/>
              </w:rPr>
            </w:pPr>
          </w:p>
        </w:tc>
        <w:tc>
          <w:tcPr>
            <w:tcW w:w="759" w:type="pct"/>
            <w:vMerge/>
            <w:hideMark/>
          </w:tcPr>
          <w:p w:rsidR="00465A3B" w:rsidRPr="00976ECE" w:rsidRDefault="00465A3B" w:rsidP="00532828">
            <w:pPr>
              <w:rPr>
                <w:rFonts w:eastAsia="Times New Roman" w:cs="Arial"/>
                <w:color w:val="000000"/>
                <w:lang w:eastAsia="en-GB"/>
              </w:rPr>
            </w:pPr>
          </w:p>
        </w:tc>
        <w:tc>
          <w:tcPr>
            <w:tcW w:w="886" w:type="pct"/>
            <w:vMerge/>
            <w:hideMark/>
          </w:tcPr>
          <w:p w:rsidR="00465A3B" w:rsidRPr="00976ECE" w:rsidRDefault="00465A3B" w:rsidP="00532828">
            <w:pPr>
              <w:rPr>
                <w:rFonts w:eastAsia="Times New Roman" w:cs="Arial"/>
                <w:lang w:eastAsia="en-GB"/>
              </w:rPr>
            </w:pPr>
          </w:p>
        </w:tc>
      </w:tr>
      <w:tr w:rsidR="00465A3B" w:rsidRPr="00976ECE" w:rsidTr="00532828">
        <w:trPr>
          <w:trHeight w:val="253"/>
        </w:trPr>
        <w:tc>
          <w:tcPr>
            <w:tcW w:w="442" w:type="pct"/>
            <w:vMerge/>
            <w:hideMark/>
          </w:tcPr>
          <w:p w:rsidR="00465A3B" w:rsidRPr="00976ECE" w:rsidRDefault="00465A3B" w:rsidP="00532828">
            <w:pPr>
              <w:rPr>
                <w:rFonts w:eastAsia="Times New Roman" w:cs="Arial"/>
                <w:b/>
                <w:bCs/>
                <w:color w:val="000000"/>
                <w:lang w:eastAsia="en-GB"/>
              </w:rPr>
            </w:pPr>
          </w:p>
        </w:tc>
        <w:tc>
          <w:tcPr>
            <w:tcW w:w="2913" w:type="pct"/>
            <w:vMerge/>
            <w:hideMark/>
          </w:tcPr>
          <w:p w:rsidR="00465A3B" w:rsidRPr="00976ECE" w:rsidRDefault="00465A3B" w:rsidP="00532828">
            <w:pPr>
              <w:rPr>
                <w:rFonts w:eastAsia="Times New Roman" w:cs="Arial"/>
                <w:color w:val="000000"/>
                <w:lang w:eastAsia="en-GB"/>
              </w:rPr>
            </w:pPr>
          </w:p>
        </w:tc>
        <w:tc>
          <w:tcPr>
            <w:tcW w:w="759" w:type="pct"/>
            <w:vMerge/>
            <w:hideMark/>
          </w:tcPr>
          <w:p w:rsidR="00465A3B" w:rsidRPr="00976ECE" w:rsidRDefault="00465A3B" w:rsidP="00532828">
            <w:pPr>
              <w:rPr>
                <w:rFonts w:eastAsia="Times New Roman" w:cs="Arial"/>
                <w:color w:val="000000"/>
                <w:lang w:eastAsia="en-GB"/>
              </w:rPr>
            </w:pPr>
          </w:p>
        </w:tc>
        <w:tc>
          <w:tcPr>
            <w:tcW w:w="886" w:type="pct"/>
            <w:vMerge/>
            <w:hideMark/>
          </w:tcPr>
          <w:p w:rsidR="00465A3B" w:rsidRPr="00976ECE" w:rsidRDefault="00465A3B" w:rsidP="00532828">
            <w:pPr>
              <w:rPr>
                <w:rFonts w:eastAsia="Times New Roman" w:cs="Arial"/>
                <w:lang w:eastAsia="en-GB"/>
              </w:rPr>
            </w:pPr>
          </w:p>
        </w:tc>
      </w:tr>
      <w:tr w:rsidR="00465A3B" w:rsidRPr="00976ECE" w:rsidTr="00532828">
        <w:trPr>
          <w:trHeight w:val="255"/>
        </w:trPr>
        <w:tc>
          <w:tcPr>
            <w:tcW w:w="442" w:type="pct"/>
            <w:vMerge w:val="restart"/>
            <w:hideMark/>
          </w:tcPr>
          <w:p w:rsidR="00465A3B" w:rsidRPr="00976ECE" w:rsidRDefault="00465A3B" w:rsidP="00532828">
            <w:pPr>
              <w:jc w:val="center"/>
              <w:rPr>
                <w:rFonts w:eastAsia="Times New Roman" w:cs="Arial"/>
                <w:b/>
                <w:bCs/>
                <w:color w:val="000000"/>
                <w:lang w:eastAsia="en-GB"/>
              </w:rPr>
            </w:pPr>
            <w:r w:rsidRPr="00976ECE">
              <w:rPr>
                <w:rFonts w:eastAsia="Times New Roman" w:cs="Arial"/>
                <w:b/>
                <w:bCs/>
                <w:color w:val="000000"/>
                <w:lang w:eastAsia="en-GB"/>
              </w:rPr>
              <w:t>2</w:t>
            </w:r>
          </w:p>
        </w:tc>
        <w:tc>
          <w:tcPr>
            <w:tcW w:w="2913" w:type="pct"/>
            <w:vMerge w:val="restart"/>
            <w:hideMark/>
          </w:tcPr>
          <w:p w:rsidR="00465A3B" w:rsidRPr="00407403" w:rsidRDefault="00465A3B" w:rsidP="00532828">
            <w:pPr>
              <w:rPr>
                <w:rFonts w:cs="Arial"/>
              </w:rPr>
            </w:pPr>
            <w:r w:rsidRPr="00465A3B">
              <w:rPr>
                <w:rFonts w:eastAsia="Arial" w:cs="Arial"/>
                <w:bCs/>
              </w:rPr>
              <w:t>Proportion of women who are satisfied with the service (measured 6 monthly and annually)</w:t>
            </w:r>
          </w:p>
        </w:tc>
        <w:tc>
          <w:tcPr>
            <w:tcW w:w="759" w:type="pct"/>
            <w:vMerge w:val="restart"/>
            <w:hideMark/>
          </w:tcPr>
          <w:p w:rsidR="00465A3B" w:rsidRPr="00976ECE" w:rsidRDefault="00465A3B" w:rsidP="00532828">
            <w:pPr>
              <w:jc w:val="center"/>
              <w:rPr>
                <w:rFonts w:eastAsia="Times New Roman" w:cs="Arial"/>
                <w:color w:val="000000"/>
                <w:lang w:eastAsia="en-GB"/>
              </w:rPr>
            </w:pPr>
            <w:r>
              <w:rPr>
                <w:rFonts w:eastAsia="Times New Roman" w:cs="Arial"/>
                <w:color w:val="000000"/>
                <w:lang w:eastAsia="en-GB"/>
              </w:rPr>
              <w:t>70%</w:t>
            </w:r>
          </w:p>
        </w:tc>
        <w:tc>
          <w:tcPr>
            <w:tcW w:w="886" w:type="pct"/>
            <w:vMerge w:val="restart"/>
            <w:hideMark/>
          </w:tcPr>
          <w:p w:rsidR="00465A3B" w:rsidRPr="00976ECE" w:rsidRDefault="00465A3B" w:rsidP="00532828">
            <w:pPr>
              <w:jc w:val="center"/>
              <w:rPr>
                <w:rFonts w:eastAsia="Times New Roman" w:cs="Arial"/>
                <w:lang w:eastAsia="en-GB"/>
              </w:rPr>
            </w:pPr>
            <w:r>
              <w:rPr>
                <w:rFonts w:eastAsia="Times New Roman" w:cs="Arial"/>
                <w:lang w:eastAsia="en-GB"/>
              </w:rPr>
              <w:t>6 monthly</w:t>
            </w:r>
          </w:p>
        </w:tc>
      </w:tr>
      <w:tr w:rsidR="00465A3B" w:rsidRPr="00976ECE" w:rsidTr="00532828">
        <w:trPr>
          <w:trHeight w:val="255"/>
        </w:trPr>
        <w:tc>
          <w:tcPr>
            <w:tcW w:w="442" w:type="pct"/>
            <w:vMerge/>
            <w:hideMark/>
          </w:tcPr>
          <w:p w:rsidR="00465A3B" w:rsidRPr="00976ECE" w:rsidRDefault="00465A3B" w:rsidP="00532828">
            <w:pPr>
              <w:rPr>
                <w:rFonts w:eastAsia="Times New Roman" w:cs="Arial"/>
                <w:b/>
                <w:bCs/>
                <w:color w:val="000000"/>
                <w:lang w:eastAsia="en-GB"/>
              </w:rPr>
            </w:pPr>
          </w:p>
        </w:tc>
        <w:tc>
          <w:tcPr>
            <w:tcW w:w="2913" w:type="pct"/>
            <w:vMerge/>
            <w:hideMark/>
          </w:tcPr>
          <w:p w:rsidR="00465A3B" w:rsidRPr="00976ECE" w:rsidRDefault="00465A3B" w:rsidP="00532828">
            <w:pPr>
              <w:rPr>
                <w:rFonts w:eastAsia="Times New Roman" w:cs="Arial"/>
                <w:color w:val="000000"/>
                <w:lang w:eastAsia="en-GB"/>
              </w:rPr>
            </w:pPr>
          </w:p>
        </w:tc>
        <w:tc>
          <w:tcPr>
            <w:tcW w:w="759" w:type="pct"/>
            <w:vMerge/>
            <w:hideMark/>
          </w:tcPr>
          <w:p w:rsidR="00465A3B" w:rsidRPr="00976ECE" w:rsidRDefault="00465A3B" w:rsidP="00532828">
            <w:pPr>
              <w:rPr>
                <w:rFonts w:eastAsia="Times New Roman" w:cs="Arial"/>
                <w:color w:val="000000"/>
                <w:lang w:eastAsia="en-GB"/>
              </w:rPr>
            </w:pPr>
          </w:p>
        </w:tc>
        <w:tc>
          <w:tcPr>
            <w:tcW w:w="886" w:type="pct"/>
            <w:vMerge/>
            <w:hideMark/>
          </w:tcPr>
          <w:p w:rsidR="00465A3B" w:rsidRPr="00976ECE" w:rsidRDefault="00465A3B" w:rsidP="00532828">
            <w:pPr>
              <w:rPr>
                <w:rFonts w:eastAsia="Times New Roman" w:cs="Arial"/>
                <w:lang w:eastAsia="en-GB"/>
              </w:rPr>
            </w:pPr>
          </w:p>
        </w:tc>
      </w:tr>
      <w:tr w:rsidR="00465A3B" w:rsidRPr="00976ECE" w:rsidTr="00532828">
        <w:trPr>
          <w:trHeight w:val="255"/>
        </w:trPr>
        <w:tc>
          <w:tcPr>
            <w:tcW w:w="442" w:type="pct"/>
            <w:vMerge/>
            <w:hideMark/>
          </w:tcPr>
          <w:p w:rsidR="00465A3B" w:rsidRPr="00976ECE" w:rsidRDefault="00465A3B" w:rsidP="00532828">
            <w:pPr>
              <w:rPr>
                <w:rFonts w:eastAsia="Times New Roman" w:cs="Arial"/>
                <w:b/>
                <w:bCs/>
                <w:color w:val="000000"/>
                <w:lang w:eastAsia="en-GB"/>
              </w:rPr>
            </w:pPr>
          </w:p>
        </w:tc>
        <w:tc>
          <w:tcPr>
            <w:tcW w:w="2913" w:type="pct"/>
            <w:vMerge/>
            <w:hideMark/>
          </w:tcPr>
          <w:p w:rsidR="00465A3B" w:rsidRPr="00976ECE" w:rsidRDefault="00465A3B" w:rsidP="00532828">
            <w:pPr>
              <w:rPr>
                <w:rFonts w:eastAsia="Times New Roman" w:cs="Arial"/>
                <w:color w:val="000000"/>
                <w:lang w:eastAsia="en-GB"/>
              </w:rPr>
            </w:pPr>
          </w:p>
        </w:tc>
        <w:tc>
          <w:tcPr>
            <w:tcW w:w="759" w:type="pct"/>
            <w:vMerge/>
            <w:hideMark/>
          </w:tcPr>
          <w:p w:rsidR="00465A3B" w:rsidRPr="00976ECE" w:rsidRDefault="00465A3B" w:rsidP="00532828">
            <w:pPr>
              <w:rPr>
                <w:rFonts w:eastAsia="Times New Roman" w:cs="Arial"/>
                <w:color w:val="000000"/>
                <w:lang w:eastAsia="en-GB"/>
              </w:rPr>
            </w:pPr>
          </w:p>
        </w:tc>
        <w:tc>
          <w:tcPr>
            <w:tcW w:w="886" w:type="pct"/>
            <w:vMerge/>
            <w:hideMark/>
          </w:tcPr>
          <w:p w:rsidR="00465A3B" w:rsidRPr="00976ECE" w:rsidRDefault="00465A3B" w:rsidP="00532828">
            <w:pPr>
              <w:rPr>
                <w:rFonts w:eastAsia="Times New Roman" w:cs="Arial"/>
                <w:lang w:eastAsia="en-GB"/>
              </w:rPr>
            </w:pPr>
          </w:p>
        </w:tc>
      </w:tr>
      <w:tr w:rsidR="00465A3B" w:rsidRPr="00976ECE" w:rsidTr="00532828">
        <w:trPr>
          <w:trHeight w:val="255"/>
        </w:trPr>
        <w:tc>
          <w:tcPr>
            <w:tcW w:w="442" w:type="pct"/>
            <w:vMerge/>
            <w:hideMark/>
          </w:tcPr>
          <w:p w:rsidR="00465A3B" w:rsidRPr="00976ECE" w:rsidRDefault="00465A3B" w:rsidP="00532828">
            <w:pPr>
              <w:rPr>
                <w:rFonts w:eastAsia="Times New Roman" w:cs="Arial"/>
                <w:b/>
                <w:bCs/>
                <w:color w:val="000000"/>
                <w:lang w:eastAsia="en-GB"/>
              </w:rPr>
            </w:pPr>
          </w:p>
        </w:tc>
        <w:tc>
          <w:tcPr>
            <w:tcW w:w="2913" w:type="pct"/>
            <w:vMerge/>
            <w:hideMark/>
          </w:tcPr>
          <w:p w:rsidR="00465A3B" w:rsidRPr="00976ECE" w:rsidRDefault="00465A3B" w:rsidP="00532828">
            <w:pPr>
              <w:rPr>
                <w:rFonts w:eastAsia="Times New Roman" w:cs="Arial"/>
                <w:color w:val="000000"/>
                <w:lang w:eastAsia="en-GB"/>
              </w:rPr>
            </w:pPr>
          </w:p>
        </w:tc>
        <w:tc>
          <w:tcPr>
            <w:tcW w:w="759" w:type="pct"/>
            <w:vMerge/>
            <w:hideMark/>
          </w:tcPr>
          <w:p w:rsidR="00465A3B" w:rsidRPr="00976ECE" w:rsidRDefault="00465A3B" w:rsidP="00532828">
            <w:pPr>
              <w:rPr>
                <w:rFonts w:eastAsia="Times New Roman" w:cs="Arial"/>
                <w:color w:val="000000"/>
                <w:lang w:eastAsia="en-GB"/>
              </w:rPr>
            </w:pPr>
          </w:p>
        </w:tc>
        <w:tc>
          <w:tcPr>
            <w:tcW w:w="886" w:type="pct"/>
            <w:vMerge/>
            <w:hideMark/>
          </w:tcPr>
          <w:p w:rsidR="00465A3B" w:rsidRPr="00976ECE" w:rsidRDefault="00465A3B" w:rsidP="00532828">
            <w:pPr>
              <w:rPr>
                <w:rFonts w:eastAsia="Times New Roman" w:cs="Arial"/>
                <w:lang w:eastAsia="en-GB"/>
              </w:rPr>
            </w:pPr>
          </w:p>
        </w:tc>
      </w:tr>
    </w:tbl>
    <w:p w:rsidR="00962D27" w:rsidRDefault="00962D27" w:rsidP="00465A3B">
      <w:pPr>
        <w:jc w:val="both"/>
        <w:rPr>
          <w:rFonts w:eastAsia="Arial" w:cs="Arial"/>
          <w:b/>
          <w:bCs/>
        </w:rPr>
      </w:pPr>
    </w:p>
    <w:p w:rsidR="00984B3D" w:rsidRDefault="00984B3D" w:rsidP="007C0BEF">
      <w:pPr>
        <w:rPr>
          <w:rFonts w:cs="Arial"/>
          <w:b/>
          <w:bCs/>
          <w:color w:val="000000"/>
        </w:rPr>
      </w:pPr>
      <w:r w:rsidRPr="007C0BEF">
        <w:rPr>
          <w:rFonts w:cs="Arial"/>
          <w:b/>
          <w:bCs/>
          <w:color w:val="000000"/>
        </w:rPr>
        <w:t>Performance Data</w:t>
      </w:r>
    </w:p>
    <w:p w:rsidR="00AF2B2D" w:rsidRPr="00F66DDD" w:rsidRDefault="00AF2B2D" w:rsidP="00F66DDD">
      <w:pPr>
        <w:pStyle w:val="NoSpacing"/>
        <w:rPr>
          <w:rFonts w:cs="Arial"/>
        </w:rPr>
      </w:pPr>
      <w:r w:rsidRPr="00F66DDD">
        <w:rPr>
          <w:rFonts w:cs="Arial"/>
        </w:rPr>
        <w:t xml:space="preserve">With the exception of </w:t>
      </w:r>
      <w:r>
        <w:rPr>
          <w:rFonts w:cs="Arial"/>
        </w:rPr>
        <w:t>Data Reference D, E, F and G, all data should be broken down by priority group as defined in 2.2.1.1.</w:t>
      </w:r>
    </w:p>
    <w:p w:rsidR="007C0BEF" w:rsidRPr="007C0BEF" w:rsidRDefault="007C0BEF" w:rsidP="00984B3D">
      <w:pPr>
        <w:rPr>
          <w:rFonts w:cs="Arial"/>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384"/>
        <w:gridCol w:w="1418"/>
        <w:gridCol w:w="1560"/>
        <w:gridCol w:w="2187"/>
      </w:tblGrid>
      <w:tr w:rsidR="007C0BEF" w:rsidRPr="004E422F" w:rsidTr="002F31EE">
        <w:trPr>
          <w:trHeight w:val="637"/>
          <w:tblHeader/>
        </w:trPr>
        <w:tc>
          <w:tcPr>
            <w:tcW w:w="375" w:type="pct"/>
            <w:shd w:val="clear" w:color="auto" w:fill="B3B3B3"/>
          </w:tcPr>
          <w:p w:rsidR="007C0BEF" w:rsidRPr="002F31EE" w:rsidRDefault="007C0BEF" w:rsidP="00821B08">
            <w:pPr>
              <w:rPr>
                <w:rFonts w:cs="Arial"/>
                <w:b/>
              </w:rPr>
            </w:pPr>
            <w:r w:rsidRPr="002F31EE">
              <w:rPr>
                <w:rFonts w:cs="Arial"/>
                <w:b/>
              </w:rPr>
              <w:t xml:space="preserve">Data </w:t>
            </w:r>
          </w:p>
          <w:p w:rsidR="007C0BEF" w:rsidRPr="002F31EE" w:rsidRDefault="007C0BEF" w:rsidP="00821B08">
            <w:pPr>
              <w:rPr>
                <w:rFonts w:cs="Arial"/>
                <w:b/>
              </w:rPr>
            </w:pPr>
            <w:r w:rsidRPr="002F31EE">
              <w:rPr>
                <w:rFonts w:cs="Arial"/>
                <w:b/>
              </w:rPr>
              <w:t xml:space="preserve">Ref. </w:t>
            </w:r>
          </w:p>
          <w:p w:rsidR="007C0BEF" w:rsidRPr="002F31EE" w:rsidRDefault="007C0BEF" w:rsidP="00821B08">
            <w:pPr>
              <w:rPr>
                <w:rFonts w:cs="Arial"/>
                <w:b/>
              </w:rPr>
            </w:pPr>
          </w:p>
        </w:tc>
        <w:tc>
          <w:tcPr>
            <w:tcW w:w="1831" w:type="pct"/>
            <w:shd w:val="clear" w:color="auto" w:fill="B3B3B3"/>
          </w:tcPr>
          <w:p w:rsidR="007C0BEF" w:rsidRPr="002F31EE" w:rsidRDefault="007C0BEF" w:rsidP="00821B08">
            <w:pPr>
              <w:rPr>
                <w:rFonts w:cs="Arial"/>
                <w:b/>
              </w:rPr>
            </w:pPr>
            <w:r w:rsidRPr="002F31EE">
              <w:rPr>
                <w:rFonts w:cs="Arial"/>
                <w:b/>
              </w:rPr>
              <w:t>Information Required</w:t>
            </w:r>
          </w:p>
        </w:tc>
        <w:tc>
          <w:tcPr>
            <w:tcW w:w="767" w:type="pct"/>
            <w:shd w:val="clear" w:color="auto" w:fill="B3B3B3"/>
          </w:tcPr>
          <w:p w:rsidR="007C0BEF" w:rsidRPr="002F31EE" w:rsidRDefault="007C0BEF" w:rsidP="00821B08">
            <w:pPr>
              <w:rPr>
                <w:rFonts w:cs="Arial"/>
                <w:b/>
              </w:rPr>
            </w:pPr>
            <w:r w:rsidRPr="002F31EE">
              <w:rPr>
                <w:rFonts w:cs="Arial"/>
                <w:b/>
              </w:rPr>
              <w:t>Quarter</w:t>
            </w:r>
          </w:p>
          <w:p w:rsidR="007C0BEF" w:rsidRPr="002F31EE" w:rsidRDefault="007C0BEF" w:rsidP="00821B08">
            <w:pPr>
              <w:rPr>
                <w:rFonts w:cs="Arial"/>
                <w:b/>
              </w:rPr>
            </w:pPr>
          </w:p>
        </w:tc>
        <w:tc>
          <w:tcPr>
            <w:tcW w:w="844" w:type="pct"/>
            <w:shd w:val="clear" w:color="auto" w:fill="B3B3B3"/>
          </w:tcPr>
          <w:p w:rsidR="007C0BEF" w:rsidRPr="002F31EE" w:rsidRDefault="007C0BEF" w:rsidP="00821B08">
            <w:pPr>
              <w:jc w:val="center"/>
              <w:rPr>
                <w:rFonts w:cs="Arial"/>
                <w:b/>
              </w:rPr>
            </w:pPr>
            <w:r w:rsidRPr="002F31EE">
              <w:rPr>
                <w:rFonts w:cs="Arial"/>
                <w:b/>
              </w:rPr>
              <w:t>Year-to-Date</w:t>
            </w:r>
          </w:p>
          <w:p w:rsidR="007C0BEF" w:rsidRPr="002F31EE" w:rsidRDefault="007C0BEF" w:rsidP="00821B08">
            <w:pPr>
              <w:jc w:val="center"/>
              <w:rPr>
                <w:rFonts w:cs="Arial"/>
                <w:b/>
              </w:rPr>
            </w:pPr>
            <w:r w:rsidRPr="002F31EE">
              <w:rPr>
                <w:rFonts w:cs="Arial"/>
                <w:b/>
              </w:rPr>
              <w:t>20**/20**</w:t>
            </w:r>
          </w:p>
        </w:tc>
        <w:tc>
          <w:tcPr>
            <w:tcW w:w="1183" w:type="pct"/>
            <w:shd w:val="clear" w:color="auto" w:fill="B3B3B3"/>
          </w:tcPr>
          <w:p w:rsidR="007C0BEF" w:rsidRPr="002F31EE" w:rsidRDefault="007C0BEF" w:rsidP="00821B08">
            <w:pPr>
              <w:jc w:val="center"/>
              <w:rPr>
                <w:rFonts w:cs="Arial"/>
                <w:b/>
              </w:rPr>
            </w:pPr>
            <w:r w:rsidRPr="002F31EE">
              <w:rPr>
                <w:rFonts w:cs="Arial"/>
                <w:b/>
              </w:rPr>
              <w:t>Comments</w:t>
            </w:r>
          </w:p>
        </w:tc>
      </w:tr>
      <w:tr w:rsidR="007C0BEF" w:rsidRPr="004E422F" w:rsidTr="002F31EE">
        <w:trPr>
          <w:trHeight w:val="763"/>
          <w:tblHeader/>
        </w:trPr>
        <w:tc>
          <w:tcPr>
            <w:tcW w:w="375" w:type="pct"/>
          </w:tcPr>
          <w:p w:rsidR="007C0BEF" w:rsidRPr="00E63DEA" w:rsidRDefault="007C0BEF" w:rsidP="00821B08">
            <w:pPr>
              <w:rPr>
                <w:rFonts w:cs="Arial"/>
              </w:rPr>
            </w:pPr>
            <w:r w:rsidRPr="00E63DEA">
              <w:rPr>
                <w:rFonts w:cs="Arial"/>
              </w:rPr>
              <w:t>Ai)</w:t>
            </w:r>
          </w:p>
        </w:tc>
        <w:tc>
          <w:tcPr>
            <w:tcW w:w="1831" w:type="pct"/>
          </w:tcPr>
          <w:p w:rsidR="007C0BEF" w:rsidRPr="00E63DEA" w:rsidRDefault="007C0BEF" w:rsidP="00F66DDD">
            <w:pPr>
              <w:rPr>
                <w:rFonts w:cs="Arial"/>
              </w:rPr>
            </w:pPr>
            <w:r w:rsidRPr="00E63DEA">
              <w:rPr>
                <w:rFonts w:cs="Arial"/>
              </w:rPr>
              <w:t>No. of women who have had 1:1 engagement with the service (regardless of no. of contacts each)</w:t>
            </w:r>
          </w:p>
        </w:tc>
        <w:tc>
          <w:tcPr>
            <w:tcW w:w="767" w:type="pct"/>
          </w:tcPr>
          <w:p w:rsidR="007C0BEF" w:rsidRPr="00E63DEA" w:rsidRDefault="007C0BEF" w:rsidP="00821B08">
            <w:pPr>
              <w:rPr>
                <w:rFonts w:cs="Arial"/>
              </w:rPr>
            </w:pPr>
          </w:p>
        </w:tc>
        <w:tc>
          <w:tcPr>
            <w:tcW w:w="844" w:type="pct"/>
          </w:tcPr>
          <w:p w:rsidR="007C0BEF" w:rsidRPr="00E63DEA" w:rsidRDefault="007C0BEF" w:rsidP="00821B08">
            <w:pPr>
              <w:rPr>
                <w:rFonts w:cs="Arial"/>
              </w:rPr>
            </w:pPr>
          </w:p>
        </w:tc>
        <w:tc>
          <w:tcPr>
            <w:tcW w:w="1183" w:type="pct"/>
          </w:tcPr>
          <w:p w:rsidR="007C0BEF" w:rsidRPr="00E63DEA" w:rsidRDefault="007C0BEF" w:rsidP="00821B08">
            <w:pPr>
              <w:rPr>
                <w:rFonts w:cs="Arial"/>
              </w:rPr>
            </w:pPr>
          </w:p>
        </w:tc>
      </w:tr>
      <w:tr w:rsidR="007C0BEF" w:rsidRPr="004E422F" w:rsidTr="002F31EE">
        <w:trPr>
          <w:tblHeader/>
        </w:trPr>
        <w:tc>
          <w:tcPr>
            <w:tcW w:w="375" w:type="pct"/>
          </w:tcPr>
          <w:p w:rsidR="007C0BEF" w:rsidRPr="00E63DEA" w:rsidRDefault="00747DCF" w:rsidP="00821B08">
            <w:pPr>
              <w:rPr>
                <w:rFonts w:cs="Arial"/>
              </w:rPr>
            </w:pPr>
            <w:r>
              <w:rPr>
                <w:rFonts w:cs="Arial"/>
              </w:rPr>
              <w:t>Aii</w:t>
            </w:r>
            <w:r w:rsidR="007C0BEF" w:rsidRPr="00E63DEA">
              <w:rPr>
                <w:rFonts w:cs="Arial"/>
              </w:rPr>
              <w:t>)</w:t>
            </w:r>
          </w:p>
        </w:tc>
        <w:tc>
          <w:tcPr>
            <w:tcW w:w="1831" w:type="pct"/>
          </w:tcPr>
          <w:p w:rsidR="007C0BEF" w:rsidRPr="00E63DEA" w:rsidRDefault="007C0BEF" w:rsidP="00F66DDD">
            <w:pPr>
              <w:rPr>
                <w:rFonts w:cs="Arial"/>
              </w:rPr>
            </w:pPr>
            <w:r w:rsidRPr="00E63DEA">
              <w:rPr>
                <w:rFonts w:cs="Arial"/>
              </w:rPr>
              <w:t>Average no. of contacts with women</w:t>
            </w:r>
          </w:p>
        </w:tc>
        <w:tc>
          <w:tcPr>
            <w:tcW w:w="767" w:type="pct"/>
          </w:tcPr>
          <w:p w:rsidR="007C0BEF" w:rsidRPr="00E63DEA" w:rsidRDefault="007C0BEF" w:rsidP="00821B08">
            <w:pPr>
              <w:rPr>
                <w:rFonts w:cs="Arial"/>
              </w:rPr>
            </w:pPr>
          </w:p>
        </w:tc>
        <w:tc>
          <w:tcPr>
            <w:tcW w:w="844" w:type="pct"/>
          </w:tcPr>
          <w:p w:rsidR="007C0BEF" w:rsidRPr="00E63DEA" w:rsidRDefault="007C0BEF" w:rsidP="00821B08">
            <w:pPr>
              <w:rPr>
                <w:rFonts w:cs="Arial"/>
              </w:rPr>
            </w:pPr>
            <w:r w:rsidRPr="00E63DEA">
              <w:rPr>
                <w:rFonts w:cs="Arial"/>
              </w:rPr>
              <w:t xml:space="preserve"> </w:t>
            </w:r>
          </w:p>
        </w:tc>
        <w:tc>
          <w:tcPr>
            <w:tcW w:w="1183" w:type="pct"/>
          </w:tcPr>
          <w:p w:rsidR="007C0BEF" w:rsidRPr="00E63DEA" w:rsidRDefault="007C0BEF" w:rsidP="00821B08">
            <w:pPr>
              <w:rPr>
                <w:rFonts w:cs="Arial"/>
              </w:rPr>
            </w:pPr>
          </w:p>
        </w:tc>
      </w:tr>
      <w:tr w:rsidR="007C0BEF" w:rsidRPr="004E422F" w:rsidTr="002F31EE">
        <w:trPr>
          <w:tblHeader/>
        </w:trPr>
        <w:tc>
          <w:tcPr>
            <w:tcW w:w="375" w:type="pct"/>
          </w:tcPr>
          <w:p w:rsidR="007C0BEF" w:rsidRPr="00E63DEA" w:rsidRDefault="007C0BEF" w:rsidP="00821B08">
            <w:pPr>
              <w:rPr>
                <w:rFonts w:cs="Arial"/>
              </w:rPr>
            </w:pPr>
            <w:r w:rsidRPr="00E63DEA">
              <w:rPr>
                <w:rFonts w:cs="Arial"/>
              </w:rPr>
              <w:t>A</w:t>
            </w:r>
            <w:r w:rsidR="00747DCF">
              <w:rPr>
                <w:rFonts w:cs="Arial"/>
              </w:rPr>
              <w:t>iii</w:t>
            </w:r>
            <w:r w:rsidRPr="00E63DEA">
              <w:rPr>
                <w:rFonts w:cs="Arial"/>
              </w:rPr>
              <w:t>)</w:t>
            </w:r>
          </w:p>
        </w:tc>
        <w:tc>
          <w:tcPr>
            <w:tcW w:w="1831" w:type="pct"/>
          </w:tcPr>
          <w:p w:rsidR="007C0BEF" w:rsidRPr="00E63DEA" w:rsidRDefault="007C0BEF" w:rsidP="00F66DDD">
            <w:pPr>
              <w:rPr>
                <w:rFonts w:cs="Arial"/>
              </w:rPr>
            </w:pPr>
            <w:r w:rsidRPr="00E63DEA">
              <w:rPr>
                <w:rFonts w:cs="Arial"/>
              </w:rPr>
              <w:t>No. of women unable to be contacted by service after 4 attempts (with reason, if known)</w:t>
            </w:r>
          </w:p>
        </w:tc>
        <w:tc>
          <w:tcPr>
            <w:tcW w:w="767" w:type="pct"/>
          </w:tcPr>
          <w:p w:rsidR="007C0BEF" w:rsidRPr="00E63DEA" w:rsidRDefault="007C0BEF" w:rsidP="00821B08">
            <w:pPr>
              <w:rPr>
                <w:rFonts w:cs="Arial"/>
              </w:rPr>
            </w:pPr>
          </w:p>
        </w:tc>
        <w:tc>
          <w:tcPr>
            <w:tcW w:w="844" w:type="pct"/>
          </w:tcPr>
          <w:p w:rsidR="007C0BEF" w:rsidRPr="00E63DEA" w:rsidRDefault="007C0BEF" w:rsidP="00821B08">
            <w:pPr>
              <w:rPr>
                <w:rFonts w:cs="Arial"/>
              </w:rPr>
            </w:pPr>
          </w:p>
        </w:tc>
        <w:tc>
          <w:tcPr>
            <w:tcW w:w="1183" w:type="pct"/>
          </w:tcPr>
          <w:p w:rsidR="007C0BEF" w:rsidRPr="00E63DEA" w:rsidRDefault="007C0BEF" w:rsidP="00821B08">
            <w:pPr>
              <w:rPr>
                <w:rFonts w:cs="Arial"/>
              </w:rPr>
            </w:pPr>
          </w:p>
        </w:tc>
      </w:tr>
      <w:tr w:rsidR="007C0BEF" w:rsidRPr="004E422F" w:rsidTr="002F31EE">
        <w:trPr>
          <w:tblHeader/>
        </w:trPr>
        <w:tc>
          <w:tcPr>
            <w:tcW w:w="375" w:type="pct"/>
          </w:tcPr>
          <w:p w:rsidR="007C0BEF" w:rsidRPr="00E63DEA" w:rsidRDefault="007C0BEF" w:rsidP="00821B08">
            <w:pPr>
              <w:rPr>
                <w:rFonts w:cs="Arial"/>
              </w:rPr>
            </w:pPr>
            <w:r>
              <w:rPr>
                <w:rFonts w:cs="Arial"/>
              </w:rPr>
              <w:t>B</w:t>
            </w:r>
            <w:r w:rsidRPr="00E63DEA">
              <w:rPr>
                <w:rFonts w:cs="Arial"/>
              </w:rPr>
              <w:t>i)</w:t>
            </w:r>
          </w:p>
        </w:tc>
        <w:tc>
          <w:tcPr>
            <w:tcW w:w="1831" w:type="pct"/>
          </w:tcPr>
          <w:p w:rsidR="007C0BEF" w:rsidRPr="00E63DEA" w:rsidRDefault="007C0BEF" w:rsidP="00F66DDD">
            <w:pPr>
              <w:rPr>
                <w:rFonts w:cs="Arial"/>
              </w:rPr>
            </w:pPr>
            <w:r w:rsidRPr="00E63DEA">
              <w:rPr>
                <w:rFonts w:cs="Arial"/>
              </w:rPr>
              <w:t>No. of women who have had a LARC method fitted (by type)</w:t>
            </w:r>
          </w:p>
        </w:tc>
        <w:tc>
          <w:tcPr>
            <w:tcW w:w="767" w:type="pct"/>
          </w:tcPr>
          <w:p w:rsidR="007C0BEF" w:rsidRPr="00E63DEA" w:rsidRDefault="007C0BEF" w:rsidP="00821B08">
            <w:pPr>
              <w:rPr>
                <w:rFonts w:cs="Arial"/>
              </w:rPr>
            </w:pPr>
          </w:p>
          <w:p w:rsidR="007C0BEF" w:rsidRPr="00E63DEA" w:rsidRDefault="007C0BEF" w:rsidP="00821B08">
            <w:pPr>
              <w:rPr>
                <w:rFonts w:cs="Arial"/>
              </w:rPr>
            </w:pPr>
          </w:p>
        </w:tc>
        <w:tc>
          <w:tcPr>
            <w:tcW w:w="844" w:type="pct"/>
          </w:tcPr>
          <w:p w:rsidR="007C0BEF" w:rsidRPr="00E63DEA" w:rsidRDefault="007C0BEF" w:rsidP="00821B08">
            <w:pPr>
              <w:rPr>
                <w:rFonts w:cs="Arial"/>
              </w:rPr>
            </w:pPr>
          </w:p>
          <w:p w:rsidR="007C0BEF" w:rsidRPr="00E63DEA" w:rsidRDefault="007C0BEF" w:rsidP="00821B08">
            <w:pPr>
              <w:rPr>
                <w:rFonts w:cs="Arial"/>
              </w:rPr>
            </w:pPr>
          </w:p>
        </w:tc>
        <w:tc>
          <w:tcPr>
            <w:tcW w:w="1183" w:type="pct"/>
          </w:tcPr>
          <w:p w:rsidR="007C0BEF" w:rsidRPr="00E63DEA" w:rsidRDefault="007C0BEF" w:rsidP="00821B08">
            <w:pPr>
              <w:rPr>
                <w:rFonts w:cs="Arial"/>
              </w:rPr>
            </w:pPr>
          </w:p>
        </w:tc>
      </w:tr>
      <w:tr w:rsidR="007C0BEF" w:rsidRPr="004E422F" w:rsidTr="002F31EE">
        <w:trPr>
          <w:tblHeader/>
        </w:trPr>
        <w:tc>
          <w:tcPr>
            <w:tcW w:w="375" w:type="pct"/>
          </w:tcPr>
          <w:p w:rsidR="007C0BEF" w:rsidRPr="00E63DEA" w:rsidRDefault="007C0BEF" w:rsidP="00821B08">
            <w:pPr>
              <w:rPr>
                <w:rFonts w:cs="Arial"/>
              </w:rPr>
            </w:pPr>
            <w:r>
              <w:rPr>
                <w:rFonts w:cs="Arial"/>
              </w:rPr>
              <w:t>B</w:t>
            </w:r>
            <w:r w:rsidRPr="00E63DEA">
              <w:rPr>
                <w:rFonts w:cs="Arial"/>
              </w:rPr>
              <w:t>ii)</w:t>
            </w:r>
          </w:p>
        </w:tc>
        <w:tc>
          <w:tcPr>
            <w:tcW w:w="1831" w:type="pct"/>
          </w:tcPr>
          <w:p w:rsidR="007C0BEF" w:rsidRPr="00E63DEA" w:rsidRDefault="007C0BEF" w:rsidP="00F66DDD">
            <w:pPr>
              <w:rPr>
                <w:rFonts w:cs="Arial"/>
              </w:rPr>
            </w:pPr>
            <w:r w:rsidRPr="00E63DEA">
              <w:rPr>
                <w:rFonts w:cs="Arial"/>
              </w:rPr>
              <w:t xml:space="preserve">No. of women who are awaiting LARC fit.  Interim contraception initiated, as appropriate.  </w:t>
            </w:r>
          </w:p>
        </w:tc>
        <w:tc>
          <w:tcPr>
            <w:tcW w:w="767" w:type="pct"/>
          </w:tcPr>
          <w:p w:rsidR="007C0BEF" w:rsidRPr="00E63DEA" w:rsidRDefault="007C0BEF" w:rsidP="00821B08">
            <w:pPr>
              <w:rPr>
                <w:rFonts w:cs="Arial"/>
              </w:rPr>
            </w:pPr>
          </w:p>
        </w:tc>
        <w:tc>
          <w:tcPr>
            <w:tcW w:w="844" w:type="pct"/>
          </w:tcPr>
          <w:p w:rsidR="007C0BEF" w:rsidRPr="00E63DEA" w:rsidRDefault="007C0BEF" w:rsidP="00821B08">
            <w:pPr>
              <w:rPr>
                <w:rFonts w:cs="Arial"/>
              </w:rPr>
            </w:pPr>
          </w:p>
        </w:tc>
        <w:tc>
          <w:tcPr>
            <w:tcW w:w="1183" w:type="pct"/>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821B08">
            <w:pPr>
              <w:rPr>
                <w:rFonts w:cs="Arial"/>
              </w:rPr>
            </w:pPr>
            <w:r>
              <w:rPr>
                <w:rFonts w:cs="Arial"/>
              </w:rPr>
              <w:t>B</w:t>
            </w:r>
            <w:r w:rsidR="00747DCF">
              <w:rPr>
                <w:rFonts w:cs="Arial"/>
              </w:rPr>
              <w:t>iii</w:t>
            </w:r>
            <w:r w:rsidRPr="00E63DEA">
              <w:rPr>
                <w:rFonts w:cs="Arial"/>
              </w:rPr>
              <w:t>)</w:t>
            </w:r>
          </w:p>
        </w:tc>
        <w:tc>
          <w:tcPr>
            <w:tcW w:w="1831" w:type="pct"/>
            <w:tcBorders>
              <w:bottom w:val="single" w:sz="4" w:space="0" w:color="auto"/>
            </w:tcBorders>
          </w:tcPr>
          <w:p w:rsidR="007C0BEF" w:rsidRPr="00E63DEA" w:rsidRDefault="007C0BEF" w:rsidP="00F66DDD">
            <w:pPr>
              <w:rPr>
                <w:rFonts w:cs="Arial"/>
              </w:rPr>
            </w:pPr>
            <w:r w:rsidRPr="00E63DEA">
              <w:rPr>
                <w:rFonts w:cs="Arial"/>
              </w:rPr>
              <w:t>No. of women where LARC removed or discontinued (and reason)</w:t>
            </w:r>
          </w:p>
        </w:tc>
        <w:tc>
          <w:tcPr>
            <w:tcW w:w="767" w:type="pct"/>
            <w:tcBorders>
              <w:bottom w:val="single" w:sz="4" w:space="0" w:color="auto"/>
            </w:tcBorders>
          </w:tcPr>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747DCF">
            <w:pPr>
              <w:rPr>
                <w:rFonts w:cs="Arial"/>
              </w:rPr>
            </w:pPr>
            <w:r>
              <w:rPr>
                <w:rFonts w:cs="Arial"/>
              </w:rPr>
              <w:t>B</w:t>
            </w:r>
            <w:r w:rsidR="00747DCF">
              <w:rPr>
                <w:rFonts w:cs="Arial"/>
              </w:rPr>
              <w:t>iv</w:t>
            </w:r>
            <w:r w:rsidRPr="00E63DEA">
              <w:rPr>
                <w:rFonts w:cs="Arial"/>
              </w:rPr>
              <w:t>)</w:t>
            </w:r>
          </w:p>
        </w:tc>
        <w:tc>
          <w:tcPr>
            <w:tcW w:w="1831" w:type="pct"/>
            <w:tcBorders>
              <w:bottom w:val="single" w:sz="4" w:space="0" w:color="auto"/>
            </w:tcBorders>
          </w:tcPr>
          <w:p w:rsidR="007C0BEF" w:rsidRPr="00E63DEA" w:rsidRDefault="007C0BEF" w:rsidP="00F66DDD">
            <w:pPr>
              <w:rPr>
                <w:rFonts w:cs="Arial"/>
              </w:rPr>
            </w:pPr>
            <w:r w:rsidRPr="00E63DEA">
              <w:rPr>
                <w:rFonts w:cs="Arial"/>
              </w:rPr>
              <w:t xml:space="preserve">No. of women where contraception, other than condoms, was initiated (by type).  LARC was declined at this time.  </w:t>
            </w:r>
          </w:p>
        </w:tc>
        <w:tc>
          <w:tcPr>
            <w:tcW w:w="767" w:type="pct"/>
            <w:tcBorders>
              <w:bottom w:val="single" w:sz="4" w:space="0" w:color="auto"/>
            </w:tcBorders>
          </w:tcPr>
          <w:p w:rsidR="007C0BEF" w:rsidRPr="00E63DEA" w:rsidRDefault="007C0BEF" w:rsidP="00821B08">
            <w:pPr>
              <w:rPr>
                <w:rFonts w:cs="Arial"/>
              </w:rPr>
            </w:pPr>
          </w:p>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821B08">
            <w:pPr>
              <w:rPr>
                <w:rFonts w:cs="Arial"/>
              </w:rPr>
            </w:pPr>
            <w:r>
              <w:rPr>
                <w:rFonts w:cs="Arial"/>
              </w:rPr>
              <w:t>B</w:t>
            </w:r>
            <w:r w:rsidR="00747DCF">
              <w:rPr>
                <w:rFonts w:cs="Arial"/>
              </w:rPr>
              <w:t>v</w:t>
            </w:r>
            <w:r w:rsidRPr="00E63DEA">
              <w:rPr>
                <w:rFonts w:cs="Arial"/>
              </w:rPr>
              <w:t>)</w:t>
            </w:r>
          </w:p>
        </w:tc>
        <w:tc>
          <w:tcPr>
            <w:tcW w:w="1831" w:type="pct"/>
            <w:tcBorders>
              <w:bottom w:val="single" w:sz="4" w:space="0" w:color="auto"/>
            </w:tcBorders>
          </w:tcPr>
          <w:p w:rsidR="007C0BEF" w:rsidRPr="00E63DEA" w:rsidRDefault="007C0BEF" w:rsidP="00F66DDD">
            <w:pPr>
              <w:rPr>
                <w:rFonts w:cs="Arial"/>
              </w:rPr>
            </w:pPr>
            <w:r w:rsidRPr="00E63DEA">
              <w:rPr>
                <w:rFonts w:cs="Arial"/>
              </w:rPr>
              <w:t>No. of women with newly reported pregnancy following completion of LARC assessment by service</w:t>
            </w:r>
            <w:r w:rsidR="00F66DDD">
              <w:rPr>
                <w:rFonts w:cs="Arial"/>
              </w:rPr>
              <w:t>.</w:t>
            </w:r>
            <w:r w:rsidRPr="00E63DEA">
              <w:rPr>
                <w:rFonts w:cs="Arial"/>
              </w:rPr>
              <w:t xml:space="preserve"> </w:t>
            </w:r>
          </w:p>
        </w:tc>
        <w:tc>
          <w:tcPr>
            <w:tcW w:w="767" w:type="pct"/>
            <w:tcBorders>
              <w:bottom w:val="single" w:sz="4" w:space="0" w:color="auto"/>
            </w:tcBorders>
          </w:tcPr>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821B08">
            <w:pPr>
              <w:rPr>
                <w:rFonts w:cs="Arial"/>
              </w:rPr>
            </w:pPr>
            <w:r>
              <w:rPr>
                <w:rFonts w:cs="Arial"/>
              </w:rPr>
              <w:lastRenderedPageBreak/>
              <w:t>Ci</w:t>
            </w:r>
            <w:r w:rsidRPr="00E63DEA">
              <w:rPr>
                <w:rFonts w:cs="Arial"/>
              </w:rPr>
              <w:t>)</w:t>
            </w:r>
          </w:p>
        </w:tc>
        <w:tc>
          <w:tcPr>
            <w:tcW w:w="1831" w:type="pct"/>
            <w:tcBorders>
              <w:bottom w:val="single" w:sz="4" w:space="0" w:color="auto"/>
            </w:tcBorders>
          </w:tcPr>
          <w:p w:rsidR="007C0BEF" w:rsidRPr="00E63DEA" w:rsidRDefault="007C0BEF" w:rsidP="00F66DDD">
            <w:pPr>
              <w:rPr>
                <w:rFonts w:cs="Arial"/>
              </w:rPr>
            </w:pPr>
            <w:r w:rsidRPr="00E63DEA">
              <w:rPr>
                <w:rFonts w:cs="Arial"/>
              </w:rPr>
              <w:t>No. of women referred to Slimming World</w:t>
            </w:r>
            <w:r w:rsidR="00F66DDD">
              <w:rPr>
                <w:rFonts w:cs="Arial"/>
              </w:rPr>
              <w:t>.</w:t>
            </w:r>
          </w:p>
        </w:tc>
        <w:tc>
          <w:tcPr>
            <w:tcW w:w="767" w:type="pct"/>
            <w:tcBorders>
              <w:bottom w:val="single" w:sz="4" w:space="0" w:color="auto"/>
            </w:tcBorders>
          </w:tcPr>
          <w:p w:rsidR="007C0BEF" w:rsidRPr="00E63DEA" w:rsidRDefault="007C0BEF" w:rsidP="00821B08">
            <w:pPr>
              <w:rPr>
                <w:rFonts w:cs="Arial"/>
              </w:rPr>
            </w:pPr>
          </w:p>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821B08">
            <w:pPr>
              <w:rPr>
                <w:rFonts w:cs="Arial"/>
              </w:rPr>
            </w:pPr>
            <w:r>
              <w:rPr>
                <w:rFonts w:cs="Arial"/>
              </w:rPr>
              <w:t>Cii</w:t>
            </w:r>
            <w:r w:rsidRPr="00E63DEA">
              <w:rPr>
                <w:rFonts w:cs="Arial"/>
              </w:rPr>
              <w:t>)</w:t>
            </w:r>
          </w:p>
        </w:tc>
        <w:tc>
          <w:tcPr>
            <w:tcW w:w="1831" w:type="pct"/>
            <w:tcBorders>
              <w:bottom w:val="single" w:sz="4" w:space="0" w:color="auto"/>
            </w:tcBorders>
          </w:tcPr>
          <w:p w:rsidR="007C0BEF" w:rsidRPr="00E63DEA" w:rsidRDefault="007C0BEF" w:rsidP="00F66DDD">
            <w:pPr>
              <w:rPr>
                <w:rFonts w:cs="Arial"/>
              </w:rPr>
            </w:pPr>
            <w:r w:rsidRPr="00E63DEA">
              <w:rPr>
                <w:rFonts w:cs="Arial"/>
              </w:rPr>
              <w:t xml:space="preserve">No. of women referred to </w:t>
            </w:r>
            <w:r>
              <w:rPr>
                <w:rFonts w:cs="Arial"/>
              </w:rPr>
              <w:t xml:space="preserve">the Bracknell Forest </w:t>
            </w:r>
            <w:r w:rsidRPr="00E63DEA">
              <w:rPr>
                <w:rFonts w:cs="Arial"/>
              </w:rPr>
              <w:t>Stop Smoking Service</w:t>
            </w:r>
            <w:r w:rsidR="00F66DDD">
              <w:rPr>
                <w:rFonts w:cs="Arial"/>
              </w:rPr>
              <w:t>.</w:t>
            </w:r>
          </w:p>
        </w:tc>
        <w:tc>
          <w:tcPr>
            <w:tcW w:w="767" w:type="pct"/>
            <w:tcBorders>
              <w:bottom w:val="single" w:sz="4" w:space="0" w:color="auto"/>
            </w:tcBorders>
          </w:tcPr>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821B08">
            <w:pPr>
              <w:rPr>
                <w:rFonts w:cs="Arial"/>
              </w:rPr>
            </w:pPr>
            <w:r>
              <w:rPr>
                <w:rFonts w:cs="Arial"/>
              </w:rPr>
              <w:t>Ciii</w:t>
            </w:r>
            <w:r w:rsidRPr="00E63DEA">
              <w:rPr>
                <w:rFonts w:cs="Arial"/>
              </w:rPr>
              <w:t>)</w:t>
            </w:r>
          </w:p>
        </w:tc>
        <w:tc>
          <w:tcPr>
            <w:tcW w:w="1831" w:type="pct"/>
            <w:tcBorders>
              <w:bottom w:val="single" w:sz="4" w:space="0" w:color="auto"/>
            </w:tcBorders>
          </w:tcPr>
          <w:p w:rsidR="007C0BEF" w:rsidRPr="00E63DEA" w:rsidRDefault="007C0BEF" w:rsidP="00F66DDD">
            <w:pPr>
              <w:rPr>
                <w:rFonts w:cs="Arial"/>
              </w:rPr>
            </w:pPr>
            <w:r w:rsidRPr="00E63DEA">
              <w:rPr>
                <w:rFonts w:cs="Arial"/>
              </w:rPr>
              <w:t>No. of women referred to other specialist services</w:t>
            </w:r>
            <w:r>
              <w:rPr>
                <w:rFonts w:cs="Arial"/>
              </w:rPr>
              <w:t xml:space="preserve"> (e.g. substance misuse, Berkshire Women’s Aid, BPAS etc)</w:t>
            </w:r>
            <w:r w:rsidR="00F66DDD">
              <w:rPr>
                <w:rFonts w:cs="Arial"/>
              </w:rPr>
              <w:t>.</w:t>
            </w:r>
          </w:p>
        </w:tc>
        <w:tc>
          <w:tcPr>
            <w:tcW w:w="767" w:type="pct"/>
            <w:tcBorders>
              <w:bottom w:val="single" w:sz="4" w:space="0" w:color="auto"/>
            </w:tcBorders>
          </w:tcPr>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Borders>
              <w:bottom w:val="single" w:sz="4" w:space="0" w:color="auto"/>
            </w:tcBorders>
          </w:tcPr>
          <w:p w:rsidR="007C0BEF" w:rsidRPr="00E63DEA" w:rsidRDefault="007C0BEF" w:rsidP="00821B08">
            <w:pPr>
              <w:rPr>
                <w:rFonts w:cs="Arial"/>
              </w:rPr>
            </w:pPr>
            <w:r>
              <w:rPr>
                <w:rFonts w:cs="Arial"/>
              </w:rPr>
              <w:t>D</w:t>
            </w:r>
            <w:r w:rsidR="00747DCF">
              <w:rPr>
                <w:rFonts w:cs="Arial"/>
              </w:rPr>
              <w:t>)</w:t>
            </w:r>
          </w:p>
        </w:tc>
        <w:tc>
          <w:tcPr>
            <w:tcW w:w="1831" w:type="pct"/>
            <w:tcBorders>
              <w:bottom w:val="single" w:sz="4" w:space="0" w:color="auto"/>
            </w:tcBorders>
          </w:tcPr>
          <w:p w:rsidR="007C0BEF" w:rsidRPr="00E63DEA" w:rsidRDefault="007C0BEF" w:rsidP="00821B08">
            <w:pPr>
              <w:rPr>
                <w:rFonts w:cs="Arial"/>
              </w:rPr>
            </w:pPr>
            <w:r w:rsidRPr="00E63DEA">
              <w:rPr>
                <w:rFonts w:cs="Arial"/>
              </w:rPr>
              <w:t>Overall no. of complaints received</w:t>
            </w:r>
          </w:p>
        </w:tc>
        <w:tc>
          <w:tcPr>
            <w:tcW w:w="767" w:type="pct"/>
            <w:tcBorders>
              <w:bottom w:val="single" w:sz="4" w:space="0" w:color="auto"/>
            </w:tcBorders>
          </w:tcPr>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rHeight w:val="637"/>
          <w:tblHeader/>
        </w:trPr>
        <w:tc>
          <w:tcPr>
            <w:tcW w:w="375" w:type="pct"/>
            <w:tcBorders>
              <w:bottom w:val="single" w:sz="4" w:space="0" w:color="auto"/>
            </w:tcBorders>
          </w:tcPr>
          <w:p w:rsidR="007C0BEF" w:rsidRPr="00E63DEA" w:rsidRDefault="00747DCF" w:rsidP="00821B08">
            <w:pPr>
              <w:rPr>
                <w:rFonts w:cs="Arial"/>
              </w:rPr>
            </w:pPr>
            <w:r>
              <w:rPr>
                <w:rFonts w:cs="Arial"/>
              </w:rPr>
              <w:t>E</w:t>
            </w:r>
            <w:r w:rsidR="007C0BEF" w:rsidRPr="00E63DEA">
              <w:rPr>
                <w:rFonts w:cs="Arial"/>
              </w:rPr>
              <w:t>)</w:t>
            </w:r>
          </w:p>
        </w:tc>
        <w:tc>
          <w:tcPr>
            <w:tcW w:w="1831" w:type="pct"/>
            <w:tcBorders>
              <w:bottom w:val="single" w:sz="4" w:space="0" w:color="auto"/>
            </w:tcBorders>
          </w:tcPr>
          <w:p w:rsidR="007C0BEF" w:rsidRPr="00E63DEA" w:rsidRDefault="007C0BEF" w:rsidP="00821B08">
            <w:pPr>
              <w:rPr>
                <w:rFonts w:cs="Arial"/>
              </w:rPr>
            </w:pPr>
            <w:r w:rsidRPr="00E63DEA">
              <w:rPr>
                <w:rFonts w:cs="Arial"/>
              </w:rPr>
              <w:t>Overall no. of complaints responded to within 48 hrs</w:t>
            </w:r>
          </w:p>
        </w:tc>
        <w:tc>
          <w:tcPr>
            <w:tcW w:w="767" w:type="pct"/>
            <w:tcBorders>
              <w:bottom w:val="single" w:sz="4" w:space="0" w:color="auto"/>
            </w:tcBorders>
          </w:tcPr>
          <w:p w:rsidR="007C0BEF" w:rsidRPr="00E63DEA" w:rsidRDefault="007C0BEF" w:rsidP="00821B08">
            <w:pPr>
              <w:rPr>
                <w:rFonts w:cs="Arial"/>
              </w:rPr>
            </w:pPr>
          </w:p>
        </w:tc>
        <w:tc>
          <w:tcPr>
            <w:tcW w:w="844" w:type="pct"/>
            <w:tcBorders>
              <w:bottom w:val="single" w:sz="4" w:space="0" w:color="auto"/>
            </w:tcBorders>
          </w:tcPr>
          <w:p w:rsidR="007C0BEF" w:rsidRPr="00E63DEA" w:rsidRDefault="007C0BEF" w:rsidP="00821B08">
            <w:pPr>
              <w:rPr>
                <w:rFonts w:cs="Arial"/>
              </w:rPr>
            </w:pPr>
          </w:p>
        </w:tc>
        <w:tc>
          <w:tcPr>
            <w:tcW w:w="1183" w:type="pct"/>
            <w:tcBorders>
              <w:bottom w:val="single" w:sz="4" w:space="0" w:color="auto"/>
            </w:tcBorders>
          </w:tcPr>
          <w:p w:rsidR="007C0BEF" w:rsidRPr="00E63DEA" w:rsidRDefault="007C0BEF" w:rsidP="00821B08">
            <w:pPr>
              <w:rPr>
                <w:rFonts w:cs="Arial"/>
              </w:rPr>
            </w:pPr>
          </w:p>
        </w:tc>
      </w:tr>
      <w:tr w:rsidR="007C0BEF" w:rsidRPr="004E422F" w:rsidTr="002F31EE">
        <w:trPr>
          <w:tblHeader/>
        </w:trPr>
        <w:tc>
          <w:tcPr>
            <w:tcW w:w="375" w:type="pct"/>
          </w:tcPr>
          <w:p w:rsidR="007C0BEF" w:rsidRPr="00E63DEA" w:rsidRDefault="007C0BEF" w:rsidP="00821B08">
            <w:pPr>
              <w:rPr>
                <w:rFonts w:cs="Arial"/>
              </w:rPr>
            </w:pPr>
            <w:r>
              <w:rPr>
                <w:rFonts w:cs="Arial"/>
              </w:rPr>
              <w:t>F</w:t>
            </w:r>
            <w:r w:rsidR="00747DCF">
              <w:rPr>
                <w:rFonts w:cs="Arial"/>
              </w:rPr>
              <w:t>)</w:t>
            </w:r>
          </w:p>
        </w:tc>
        <w:tc>
          <w:tcPr>
            <w:tcW w:w="1831" w:type="pct"/>
          </w:tcPr>
          <w:p w:rsidR="007C0BEF" w:rsidRPr="00E63DEA" w:rsidRDefault="007C0BEF" w:rsidP="00821B08">
            <w:pPr>
              <w:rPr>
                <w:rFonts w:cs="Arial"/>
              </w:rPr>
            </w:pPr>
            <w:r w:rsidRPr="00E63DEA">
              <w:rPr>
                <w:rFonts w:cs="Arial"/>
              </w:rPr>
              <w:t>Overall no. of safeguarding referrals</w:t>
            </w:r>
          </w:p>
        </w:tc>
        <w:tc>
          <w:tcPr>
            <w:tcW w:w="767" w:type="pct"/>
          </w:tcPr>
          <w:p w:rsidR="007C0BEF" w:rsidRPr="00E63DEA" w:rsidRDefault="007C0BEF" w:rsidP="00821B08">
            <w:pPr>
              <w:rPr>
                <w:rFonts w:cs="Arial"/>
              </w:rPr>
            </w:pPr>
          </w:p>
        </w:tc>
        <w:tc>
          <w:tcPr>
            <w:tcW w:w="844" w:type="pct"/>
          </w:tcPr>
          <w:p w:rsidR="007C0BEF" w:rsidRPr="00E63DEA" w:rsidRDefault="007C0BEF" w:rsidP="00821B08">
            <w:pPr>
              <w:rPr>
                <w:rFonts w:cs="Arial"/>
              </w:rPr>
            </w:pPr>
          </w:p>
        </w:tc>
        <w:tc>
          <w:tcPr>
            <w:tcW w:w="1183" w:type="pct"/>
          </w:tcPr>
          <w:p w:rsidR="007C0BEF" w:rsidRPr="00E63DEA" w:rsidRDefault="007C0BEF" w:rsidP="00821B08">
            <w:pPr>
              <w:rPr>
                <w:rFonts w:cs="Arial"/>
              </w:rPr>
            </w:pPr>
          </w:p>
        </w:tc>
      </w:tr>
      <w:tr w:rsidR="007C0BEF" w:rsidRPr="004E422F" w:rsidTr="002F31EE">
        <w:trPr>
          <w:tblHeader/>
        </w:trPr>
        <w:tc>
          <w:tcPr>
            <w:tcW w:w="375" w:type="pct"/>
          </w:tcPr>
          <w:p w:rsidR="007C0BEF" w:rsidRPr="00E63DEA" w:rsidRDefault="007C0BEF" w:rsidP="00821B08">
            <w:pPr>
              <w:rPr>
                <w:rFonts w:cs="Arial"/>
              </w:rPr>
            </w:pPr>
            <w:r>
              <w:rPr>
                <w:rFonts w:cs="Arial"/>
              </w:rPr>
              <w:t>G</w:t>
            </w:r>
            <w:r w:rsidR="00747DCF">
              <w:rPr>
                <w:rFonts w:cs="Arial"/>
              </w:rPr>
              <w:t>)</w:t>
            </w:r>
          </w:p>
        </w:tc>
        <w:tc>
          <w:tcPr>
            <w:tcW w:w="1831" w:type="pct"/>
          </w:tcPr>
          <w:p w:rsidR="007C0BEF" w:rsidRPr="00E63DEA" w:rsidRDefault="007C0BEF" w:rsidP="00821B08">
            <w:pPr>
              <w:rPr>
                <w:rFonts w:cs="Arial"/>
              </w:rPr>
            </w:pPr>
            <w:r w:rsidRPr="00D9432C">
              <w:rPr>
                <w:rFonts w:cs="Arial"/>
              </w:rPr>
              <w:t xml:space="preserve">Sources of referral </w:t>
            </w:r>
            <w:r>
              <w:rPr>
                <w:rFonts w:cs="Arial"/>
              </w:rPr>
              <w:t>to the service</w:t>
            </w:r>
          </w:p>
        </w:tc>
        <w:tc>
          <w:tcPr>
            <w:tcW w:w="767" w:type="pct"/>
          </w:tcPr>
          <w:p w:rsidR="007C0BEF" w:rsidRPr="00E63DEA" w:rsidRDefault="007C0BEF" w:rsidP="00821B08">
            <w:pPr>
              <w:rPr>
                <w:rFonts w:cs="Arial"/>
              </w:rPr>
            </w:pPr>
          </w:p>
        </w:tc>
        <w:tc>
          <w:tcPr>
            <w:tcW w:w="844" w:type="pct"/>
          </w:tcPr>
          <w:p w:rsidR="007C0BEF" w:rsidRPr="00E63DEA" w:rsidRDefault="007C0BEF" w:rsidP="00821B08">
            <w:pPr>
              <w:rPr>
                <w:rFonts w:cs="Arial"/>
              </w:rPr>
            </w:pPr>
          </w:p>
        </w:tc>
        <w:tc>
          <w:tcPr>
            <w:tcW w:w="1183" w:type="pct"/>
          </w:tcPr>
          <w:p w:rsidR="007C0BEF" w:rsidRPr="00E63DEA" w:rsidRDefault="007C0BEF" w:rsidP="00821B08">
            <w:pPr>
              <w:rPr>
                <w:rFonts w:cs="Arial"/>
              </w:rPr>
            </w:pPr>
          </w:p>
        </w:tc>
      </w:tr>
    </w:tbl>
    <w:p w:rsidR="002F31EE" w:rsidRDefault="002F31EE" w:rsidP="002F31EE">
      <w:pPr>
        <w:jc w:val="both"/>
        <w:rPr>
          <w:rFonts w:cs="Arial"/>
          <w:bCs/>
        </w:rPr>
      </w:pPr>
    </w:p>
    <w:p w:rsidR="002F31EE" w:rsidRDefault="002F31EE">
      <w:pPr>
        <w:rPr>
          <w:rFonts w:cs="Arial"/>
          <w:bCs/>
        </w:rPr>
      </w:pPr>
      <w:r>
        <w:rPr>
          <w:rFonts w:cs="Arial"/>
          <w:bCs/>
        </w:rPr>
        <w:br w:type="page"/>
      </w:r>
    </w:p>
    <w:p w:rsidR="007C0BEF" w:rsidRDefault="007C0BEF" w:rsidP="002F31EE">
      <w:pPr>
        <w:jc w:val="both"/>
        <w:rPr>
          <w:rFonts w:cs="Arial"/>
          <w:bCs/>
        </w:rPr>
      </w:pPr>
    </w:p>
    <w:p w:rsidR="00747DCF" w:rsidRPr="00747DCF" w:rsidRDefault="00747DCF" w:rsidP="00530EED">
      <w:pPr>
        <w:ind w:left="-360"/>
        <w:jc w:val="both"/>
        <w:rPr>
          <w:rFonts w:cs="Arial"/>
          <w:b/>
          <w:bCs/>
        </w:rPr>
      </w:pPr>
      <w:r w:rsidRPr="00747DCF">
        <w:rPr>
          <w:rFonts w:cs="Arial"/>
          <w:b/>
          <w:bCs/>
        </w:rPr>
        <w:t xml:space="preserve">Appendix </w:t>
      </w:r>
      <w:r w:rsidR="002F31EE">
        <w:rPr>
          <w:rFonts w:cs="Arial"/>
          <w:b/>
          <w:bCs/>
        </w:rPr>
        <w:t>2</w:t>
      </w:r>
    </w:p>
    <w:p w:rsidR="00747DCF" w:rsidRPr="00747DCF" w:rsidRDefault="00747DCF" w:rsidP="00530EED">
      <w:pPr>
        <w:ind w:left="-360"/>
        <w:jc w:val="both"/>
        <w:rPr>
          <w:rFonts w:cs="Arial"/>
          <w:b/>
          <w:bCs/>
        </w:rPr>
      </w:pPr>
    </w:p>
    <w:p w:rsidR="00241458" w:rsidRPr="00747DCF" w:rsidRDefault="007C0BEF" w:rsidP="00530EED">
      <w:pPr>
        <w:ind w:left="-360"/>
        <w:jc w:val="both"/>
        <w:rPr>
          <w:rFonts w:cs="Arial"/>
          <w:b/>
          <w:bCs/>
        </w:rPr>
      </w:pPr>
      <w:r w:rsidRPr="00747DCF">
        <w:rPr>
          <w:rFonts w:cs="Arial"/>
          <w:b/>
          <w:bCs/>
        </w:rPr>
        <w:t>Equalities monitoring</w:t>
      </w:r>
      <w:r w:rsidR="00747DCF" w:rsidRPr="00747DCF">
        <w:rPr>
          <w:rFonts w:cs="Arial"/>
          <w:b/>
          <w:bCs/>
        </w:rPr>
        <w:t xml:space="preserve"> information</w:t>
      </w:r>
    </w:p>
    <w:p w:rsidR="007C0BEF" w:rsidRPr="00747DCF" w:rsidRDefault="007C0BEF" w:rsidP="00530EED">
      <w:pPr>
        <w:ind w:left="-360"/>
        <w:jc w:val="both"/>
        <w:rPr>
          <w:rFonts w:cs="Arial"/>
          <w:bCs/>
        </w:rPr>
      </w:pPr>
    </w:p>
    <w:p w:rsidR="007C0BEF" w:rsidRPr="00747DCF" w:rsidRDefault="007C0BEF" w:rsidP="00530EED">
      <w:pPr>
        <w:ind w:left="-360"/>
        <w:jc w:val="both"/>
        <w:rPr>
          <w:rFonts w:cs="Arial"/>
          <w:bCs/>
        </w:rPr>
      </w:pPr>
      <w:r w:rsidRPr="00747DCF">
        <w:rPr>
          <w:rFonts w:cs="Arial"/>
          <w:bCs/>
        </w:rPr>
        <w:t xml:space="preserve">We require annual reporting of the following equalities monitoring data, to be reported separately for the integrated sexual health service and the </w:t>
      </w:r>
      <w:r w:rsidR="00747DCF" w:rsidRPr="00747DCF">
        <w:rPr>
          <w:rFonts w:cs="Arial"/>
          <w:bCs/>
        </w:rPr>
        <w:t xml:space="preserve">Bracknell Forest </w:t>
      </w:r>
      <w:r w:rsidRPr="00747DCF">
        <w:rPr>
          <w:rFonts w:cs="Arial"/>
          <w:bCs/>
        </w:rPr>
        <w:t>specialist outreach nurse service. This is to be provided during the first week of September</w:t>
      </w:r>
      <w:r w:rsidR="00747DCF" w:rsidRPr="00747DCF">
        <w:rPr>
          <w:rFonts w:cs="Arial"/>
          <w:bCs/>
        </w:rPr>
        <w:t xml:space="preserve"> each year</w:t>
      </w:r>
      <w:r w:rsidRPr="00747DCF">
        <w:rPr>
          <w:rFonts w:cs="Arial"/>
          <w:bCs/>
        </w:rPr>
        <w:t xml:space="preserve">. </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Age</w:t>
      </w:r>
    </w:p>
    <w:p w:rsidR="007C0BEF" w:rsidRPr="00747DCF" w:rsidRDefault="007C0BEF" w:rsidP="00530EED">
      <w:pPr>
        <w:ind w:left="-360"/>
        <w:jc w:val="both"/>
        <w:rPr>
          <w:rFonts w:cs="Arial"/>
          <w:bCs/>
        </w:rPr>
      </w:pPr>
    </w:p>
    <w:p w:rsidR="007C0BEF" w:rsidRDefault="007C0BEF" w:rsidP="007C0BEF">
      <w:pPr>
        <w:pStyle w:val="ListParagraph"/>
        <w:numPr>
          <w:ilvl w:val="0"/>
          <w:numId w:val="21"/>
        </w:numPr>
        <w:jc w:val="both"/>
        <w:rPr>
          <w:rFonts w:ascii="Arial" w:hAnsi="Arial" w:cs="Arial"/>
          <w:bCs/>
        </w:rPr>
      </w:pPr>
      <w:r w:rsidRPr="00747DCF">
        <w:rPr>
          <w:rFonts w:ascii="Arial" w:hAnsi="Arial" w:cs="Arial"/>
          <w:bCs/>
        </w:rPr>
        <w:t>Sex</w:t>
      </w:r>
    </w:p>
    <w:p w:rsidR="00AF2B2D" w:rsidRPr="00F66DDD" w:rsidRDefault="00AF2B2D" w:rsidP="00F66DDD">
      <w:pPr>
        <w:pStyle w:val="ListParagraph"/>
        <w:rPr>
          <w:rFonts w:ascii="Arial" w:hAnsi="Arial" w:cs="Arial"/>
          <w:bCs/>
        </w:rPr>
      </w:pPr>
    </w:p>
    <w:p w:rsidR="00AF2B2D" w:rsidRPr="00747DCF" w:rsidRDefault="00AF2B2D" w:rsidP="007C0BEF">
      <w:pPr>
        <w:pStyle w:val="ListParagraph"/>
        <w:numPr>
          <w:ilvl w:val="0"/>
          <w:numId w:val="21"/>
        </w:numPr>
        <w:jc w:val="both"/>
        <w:rPr>
          <w:rFonts w:ascii="Arial" w:hAnsi="Arial" w:cs="Arial"/>
          <w:bCs/>
        </w:rPr>
      </w:pPr>
      <w:r>
        <w:rPr>
          <w:rFonts w:ascii="Arial" w:hAnsi="Arial" w:cs="Arial"/>
          <w:bCs/>
        </w:rPr>
        <w:t>Gender Assignment</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Race/ethnicity</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Disability</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Pregnancy/maternity</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Marriage/civil partnership</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Religion/belief</w:t>
      </w:r>
    </w:p>
    <w:p w:rsidR="007C0BEF" w:rsidRPr="00747DCF" w:rsidRDefault="007C0BEF" w:rsidP="00530EED">
      <w:pPr>
        <w:ind w:left="-360"/>
        <w:jc w:val="both"/>
        <w:rPr>
          <w:rFonts w:cs="Arial"/>
          <w:bCs/>
        </w:rPr>
      </w:pPr>
    </w:p>
    <w:p w:rsidR="007C0BEF" w:rsidRPr="00747DCF" w:rsidRDefault="007C0BEF" w:rsidP="007C0BEF">
      <w:pPr>
        <w:pStyle w:val="ListParagraph"/>
        <w:numPr>
          <w:ilvl w:val="0"/>
          <w:numId w:val="21"/>
        </w:numPr>
        <w:jc w:val="both"/>
        <w:rPr>
          <w:rFonts w:ascii="Arial" w:hAnsi="Arial" w:cs="Arial"/>
          <w:bCs/>
        </w:rPr>
      </w:pPr>
      <w:r w:rsidRPr="00747DCF">
        <w:rPr>
          <w:rFonts w:ascii="Arial" w:hAnsi="Arial" w:cs="Arial"/>
          <w:bCs/>
        </w:rPr>
        <w:t>Sexual orientation</w:t>
      </w:r>
    </w:p>
    <w:p w:rsidR="007C0BEF" w:rsidRDefault="007C0BEF" w:rsidP="00530EED">
      <w:pPr>
        <w:ind w:left="-360"/>
        <w:jc w:val="both"/>
        <w:rPr>
          <w:rFonts w:cs="Arial"/>
          <w:bCs/>
        </w:rPr>
      </w:pPr>
    </w:p>
    <w:p w:rsidR="007C0BEF" w:rsidRPr="007259CD" w:rsidRDefault="007C0BEF" w:rsidP="00530EED">
      <w:pPr>
        <w:ind w:left="-360"/>
        <w:jc w:val="both"/>
        <w:rPr>
          <w:rFonts w:cs="Arial"/>
          <w:bCs/>
        </w:rPr>
      </w:pPr>
    </w:p>
    <w:sectPr w:rsidR="007C0BEF" w:rsidRPr="007259CD">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56B3A1" w15:done="0"/>
  <w15:commentEx w15:paraId="3A33A0CC" w15:done="0"/>
  <w15:commentEx w15:paraId="23EBAF35" w15:done="0"/>
  <w15:commentEx w15:paraId="0A3CE7CF" w15:done="0"/>
  <w15:commentEx w15:paraId="63497A04" w15:done="0"/>
  <w15:commentEx w15:paraId="71135A36" w15:done="0"/>
  <w15:commentEx w15:paraId="2181E84E" w15:done="0"/>
  <w15:commentEx w15:paraId="61A5461C" w15:done="0"/>
  <w15:commentEx w15:paraId="72614334" w15:done="0"/>
  <w15:commentEx w15:paraId="265FB715" w15:done="0"/>
  <w15:commentEx w15:paraId="7DD3C18C" w15:done="0"/>
  <w15:commentEx w15:paraId="44E3C7BF" w15:done="0"/>
  <w15:commentEx w15:paraId="38CA1D18" w15:done="0"/>
  <w15:commentEx w15:paraId="3E22716B" w15:done="0"/>
  <w15:commentEx w15:paraId="12D9839D" w15:done="0"/>
  <w15:commentEx w15:paraId="47F9C715" w15:done="0"/>
  <w15:commentEx w15:paraId="7CD50388" w15:done="0"/>
  <w15:commentEx w15:paraId="14D9EE28" w15:done="0"/>
  <w15:commentEx w15:paraId="12C544E6" w15:done="0"/>
  <w15:commentEx w15:paraId="290253F0" w15:done="0"/>
  <w15:commentEx w15:paraId="59819D90" w15:paraIdParent="290253F0" w15:done="0"/>
  <w15:commentEx w15:paraId="397E171F" w15:done="0"/>
  <w15:commentEx w15:paraId="1749E50F" w15:done="0"/>
  <w15:commentEx w15:paraId="69702895" w15:done="0"/>
  <w15:commentEx w15:paraId="5CD59B18" w15:done="0"/>
  <w15:commentEx w15:paraId="161D77AA" w15:done="0"/>
  <w15:commentEx w15:paraId="6C75E740" w15:done="0"/>
  <w15:commentEx w15:paraId="48474A6C" w15:done="0"/>
  <w15:commentEx w15:paraId="75DCFE33" w15:done="0"/>
  <w15:commentEx w15:paraId="24B8E878" w15:done="0"/>
  <w15:commentEx w15:paraId="0B3C8046" w15:done="0"/>
  <w15:commentEx w15:paraId="5482A72E" w15:done="0"/>
  <w15:commentEx w15:paraId="0A4EE175" w15:done="0"/>
  <w15:commentEx w15:paraId="67B4147E" w15:done="0"/>
  <w15:commentEx w15:paraId="402FA7CC" w15:paraIdParent="67B4147E" w15:done="0"/>
  <w15:commentEx w15:paraId="7E8F36BA" w15:done="0"/>
  <w15:commentEx w15:paraId="2268EABB" w15:done="0"/>
  <w15:commentEx w15:paraId="55D90B24" w15:done="0"/>
  <w15:commentEx w15:paraId="2B425160" w15:done="0"/>
  <w15:commentEx w15:paraId="612207B8" w15:done="0"/>
  <w15:commentEx w15:paraId="7CFD6FDB" w15:done="0"/>
  <w15:commentEx w15:paraId="2088FB38" w15:done="0"/>
  <w15:commentEx w15:paraId="2E096F9C" w15:done="0"/>
  <w15:commentEx w15:paraId="2BEF8938" w15:done="0"/>
  <w15:commentEx w15:paraId="1DEA3EA3" w15:done="0"/>
  <w15:commentEx w15:paraId="6A33BB52" w15:done="0"/>
  <w15:commentEx w15:paraId="26F8E333" w15:done="0"/>
  <w15:commentEx w15:paraId="2E6D181E" w15:done="0"/>
  <w15:commentEx w15:paraId="2B7F52E5" w15:done="0"/>
  <w15:commentEx w15:paraId="52D29656" w15:done="0"/>
  <w15:commentEx w15:paraId="2CF88113" w15:done="0"/>
  <w15:commentEx w15:paraId="4F5B0429" w15:done="0"/>
  <w15:commentEx w15:paraId="733B62D4" w15:done="0"/>
  <w15:commentEx w15:paraId="0D3D63DA" w15:done="0"/>
  <w15:commentEx w15:paraId="5EF39289" w15:done="0"/>
  <w15:commentEx w15:paraId="2E707DE3" w15:done="0"/>
  <w15:commentEx w15:paraId="48B32F70" w15:done="0"/>
  <w15:commentEx w15:paraId="301C8C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32" w:rsidRDefault="00604332" w:rsidP="003F1105">
      <w:r>
        <w:separator/>
      </w:r>
    </w:p>
  </w:endnote>
  <w:endnote w:type="continuationSeparator" w:id="0">
    <w:p w:rsidR="00604332" w:rsidRDefault="00604332" w:rsidP="003F1105">
      <w:r>
        <w:continuationSeparator/>
      </w:r>
    </w:p>
  </w:endnote>
  <w:endnote w:type="continuationNotice" w:id="1">
    <w:p w:rsidR="00604332" w:rsidRDefault="0060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56352"/>
      <w:docPartObj>
        <w:docPartGallery w:val="Page Numbers (Bottom of Page)"/>
        <w:docPartUnique/>
      </w:docPartObj>
    </w:sdtPr>
    <w:sdtEndPr>
      <w:rPr>
        <w:noProof/>
      </w:rPr>
    </w:sdtEndPr>
    <w:sdtContent>
      <w:p w:rsidR="00E061B8" w:rsidRDefault="00E061B8">
        <w:pPr>
          <w:pStyle w:val="Footer"/>
          <w:jc w:val="right"/>
        </w:pPr>
        <w:r>
          <w:fldChar w:fldCharType="begin"/>
        </w:r>
        <w:r>
          <w:instrText xml:space="preserve"> PAGE   \* MERGEFORMAT </w:instrText>
        </w:r>
        <w:r>
          <w:fldChar w:fldCharType="separate"/>
        </w:r>
        <w:r w:rsidR="00004789">
          <w:rPr>
            <w:noProof/>
          </w:rPr>
          <w:t>6</w:t>
        </w:r>
        <w:r>
          <w:rPr>
            <w:noProof/>
          </w:rPr>
          <w:fldChar w:fldCharType="end"/>
        </w:r>
      </w:p>
    </w:sdtContent>
  </w:sdt>
  <w:p w:rsidR="00E061B8" w:rsidRDefault="00E06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32" w:rsidRDefault="00604332" w:rsidP="003F1105">
      <w:r>
        <w:separator/>
      </w:r>
    </w:p>
  </w:footnote>
  <w:footnote w:type="continuationSeparator" w:id="0">
    <w:p w:rsidR="00604332" w:rsidRDefault="00604332" w:rsidP="003F1105">
      <w:r>
        <w:continuationSeparator/>
      </w:r>
    </w:p>
  </w:footnote>
  <w:footnote w:type="continuationNotice" w:id="1">
    <w:p w:rsidR="00604332" w:rsidRDefault="00604332"/>
  </w:footnote>
  <w:footnote w:id="2">
    <w:p w:rsidR="00E061B8" w:rsidRPr="00E061B8" w:rsidRDefault="00E061B8">
      <w:pPr>
        <w:pStyle w:val="FootnoteText"/>
        <w:rPr>
          <w:rFonts w:ascii="Arial" w:hAnsi="Arial" w:cs="Arial"/>
        </w:rPr>
      </w:pPr>
      <w:r w:rsidRPr="00E061B8">
        <w:rPr>
          <w:rStyle w:val="FootnoteReference"/>
          <w:rFonts w:ascii="Arial" w:hAnsi="Arial" w:cs="Arial"/>
        </w:rPr>
        <w:footnoteRef/>
      </w:r>
      <w:r w:rsidRPr="00E061B8">
        <w:rPr>
          <w:rFonts w:ascii="Arial" w:hAnsi="Arial" w:cs="Arial"/>
        </w:rPr>
        <w:t xml:space="preserve"> Berkshire East is defined as the areas of Bracknell Forest Council, The Royal Borough of Windsor and Maidenhead and Slough Borough Council</w:t>
      </w:r>
    </w:p>
  </w:footnote>
  <w:footnote w:id="3">
    <w:p w:rsidR="00C63DF2" w:rsidRPr="00C63DF2" w:rsidRDefault="00C63DF2">
      <w:pPr>
        <w:pStyle w:val="FootnoteText"/>
        <w:rPr>
          <w:rFonts w:ascii="Arial" w:hAnsi="Arial" w:cs="Arial"/>
        </w:rPr>
      </w:pPr>
      <w:r w:rsidRPr="00C63DF2">
        <w:rPr>
          <w:rStyle w:val="FootnoteReference"/>
          <w:rFonts w:ascii="Arial" w:hAnsi="Arial" w:cs="Arial"/>
        </w:rPr>
        <w:footnoteRef/>
      </w:r>
      <w:r w:rsidRPr="00C63DF2">
        <w:rPr>
          <w:rFonts w:ascii="Arial" w:hAnsi="Arial" w:cs="Arial"/>
        </w:rPr>
        <w:t xml:space="preserve"> </w:t>
      </w:r>
      <w:r>
        <w:rPr>
          <w:rFonts w:ascii="Arial" w:hAnsi="Arial" w:cs="Arial"/>
        </w:rPr>
        <w:t>In the context of sexual and reproductive health services, v</w:t>
      </w:r>
      <w:r w:rsidRPr="00C63DF2">
        <w:rPr>
          <w:rFonts w:ascii="Arial" w:hAnsi="Arial" w:cs="Arial"/>
        </w:rPr>
        <w:t>ulnerabili</w:t>
      </w:r>
      <w:r>
        <w:rPr>
          <w:rFonts w:ascii="Arial" w:hAnsi="Arial" w:cs="Arial"/>
        </w:rPr>
        <w:t>ties</w:t>
      </w:r>
      <w:r w:rsidRPr="00C63DF2">
        <w:rPr>
          <w:rFonts w:ascii="Arial" w:hAnsi="Arial" w:cs="Arial"/>
        </w:rPr>
        <w:t xml:space="preserve"> include but </w:t>
      </w:r>
      <w:r>
        <w:rPr>
          <w:rFonts w:ascii="Arial" w:hAnsi="Arial" w:cs="Arial"/>
        </w:rPr>
        <w:t>are</w:t>
      </w:r>
      <w:r w:rsidRPr="00C63DF2">
        <w:rPr>
          <w:rFonts w:ascii="Arial" w:hAnsi="Arial" w:cs="Arial"/>
        </w:rPr>
        <w:t xml:space="preserve"> not limited to, substance misuse, having had a child taken into care</w:t>
      </w:r>
      <w:r w:rsidRPr="00C63DF2">
        <w:rPr>
          <w:rFonts w:ascii="Arial" w:hAnsi="Arial" w:cs="Arial"/>
          <w:bCs/>
        </w:rPr>
        <w:t xml:space="preserve">, </w:t>
      </w:r>
      <w:r w:rsidRPr="00C63DF2">
        <w:rPr>
          <w:rFonts w:ascii="Arial" w:eastAsia="Times New Roman" w:hAnsi="Arial" w:cs="Arial"/>
          <w:lang w:eastAsia="en-GB"/>
        </w:rPr>
        <w:t>mental illness or learning disability, physical disability, currently or previously having been in care, having been in the armed forces, having been in custody, fleeing violence or threats of violence or some other special reason.</w:t>
      </w:r>
    </w:p>
  </w:footnote>
  <w:footnote w:id="4">
    <w:p w:rsidR="00E061B8" w:rsidRPr="00A461EE" w:rsidRDefault="00E061B8" w:rsidP="003F1105">
      <w:pPr>
        <w:pStyle w:val="FootnoteText"/>
        <w:rPr>
          <w:rFonts w:ascii="Arial" w:hAnsi="Arial" w:cs="Arial"/>
          <w:sz w:val="18"/>
          <w:szCs w:val="18"/>
        </w:rPr>
      </w:pPr>
      <w:r w:rsidRPr="00A461EE">
        <w:rPr>
          <w:rStyle w:val="FootnoteReference"/>
          <w:rFonts w:ascii="Arial" w:hAnsi="Arial" w:cs="Arial"/>
          <w:sz w:val="18"/>
          <w:szCs w:val="18"/>
        </w:rPr>
        <w:footnoteRef/>
      </w:r>
      <w:r w:rsidRPr="00A461EE">
        <w:rPr>
          <w:rFonts w:ascii="Arial" w:hAnsi="Arial" w:cs="Arial"/>
          <w:sz w:val="18"/>
          <w:szCs w:val="18"/>
        </w:rPr>
        <w:t xml:space="preserve"> Through the </w:t>
      </w:r>
      <w:r w:rsidR="00D83004">
        <w:rPr>
          <w:rFonts w:ascii="Arial" w:hAnsi="Arial" w:cs="Arial"/>
          <w:sz w:val="18"/>
          <w:szCs w:val="18"/>
        </w:rPr>
        <w:t>Service User</w:t>
      </w:r>
      <w:r w:rsidRPr="00A461EE">
        <w:rPr>
          <w:rFonts w:ascii="Arial" w:hAnsi="Arial" w:cs="Arial"/>
          <w:sz w:val="18"/>
          <w:szCs w:val="18"/>
        </w:rPr>
        <w:t xml:space="preserve">’s preferred method of contact including </w:t>
      </w:r>
      <w:r>
        <w:rPr>
          <w:rFonts w:ascii="Arial" w:hAnsi="Arial" w:cs="Arial"/>
          <w:sz w:val="18"/>
          <w:szCs w:val="18"/>
        </w:rPr>
        <w:t xml:space="preserve">SMS </w:t>
      </w:r>
      <w:r w:rsidRPr="00A461EE">
        <w:rPr>
          <w:rFonts w:ascii="Arial" w:hAnsi="Arial" w:cs="Arial"/>
          <w:sz w:val="18"/>
          <w:szCs w:val="18"/>
        </w:rPr>
        <w:t xml:space="preserve">text and/or email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B8" w:rsidRDefault="00E06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8DD"/>
    <w:multiLevelType w:val="hybridMultilevel"/>
    <w:tmpl w:val="CF6A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D5315"/>
    <w:multiLevelType w:val="hybridMultilevel"/>
    <w:tmpl w:val="3FECB610"/>
    <w:lvl w:ilvl="0" w:tplc="08090003">
      <w:start w:val="1"/>
      <w:numFmt w:val="bullet"/>
      <w:lvlText w:val="o"/>
      <w:lvlJc w:val="left"/>
      <w:pPr>
        <w:ind w:left="1080" w:hanging="360"/>
      </w:pPr>
      <w:rPr>
        <w:rFonts w:ascii="Courier New" w:hAnsi="Courier New" w:cs="Courier New"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99689A"/>
    <w:multiLevelType w:val="hybridMultilevel"/>
    <w:tmpl w:val="366A0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72097B"/>
    <w:multiLevelType w:val="hybridMultilevel"/>
    <w:tmpl w:val="BD641B5E"/>
    <w:lvl w:ilvl="0" w:tplc="A3880034">
      <w:start w:val="1"/>
      <w:numFmt w:val="bullet"/>
      <w:lvlText w:val=""/>
      <w:lvlJc w:val="left"/>
      <w:pPr>
        <w:ind w:left="720" w:hanging="720"/>
      </w:pPr>
      <w:rPr>
        <w:rFonts w:ascii="Symbol" w:hAnsi="Symbol" w:hint="default"/>
      </w:rPr>
    </w:lvl>
    <w:lvl w:ilvl="1" w:tplc="08090003">
      <w:start w:val="1"/>
      <w:numFmt w:val="bullet"/>
      <w:lvlText w:val="o"/>
      <w:lvlJc w:val="left"/>
      <w:pPr>
        <w:ind w:left="-5518" w:hanging="360"/>
      </w:pPr>
      <w:rPr>
        <w:rFonts w:ascii="Courier New" w:hAnsi="Courier New" w:cs="Courier New" w:hint="default"/>
      </w:rPr>
    </w:lvl>
    <w:lvl w:ilvl="2" w:tplc="08090005">
      <w:start w:val="1"/>
      <w:numFmt w:val="bullet"/>
      <w:lvlText w:val=""/>
      <w:lvlJc w:val="left"/>
      <w:pPr>
        <w:ind w:left="-4798" w:hanging="360"/>
      </w:pPr>
      <w:rPr>
        <w:rFonts w:ascii="Wingdings" w:hAnsi="Wingdings" w:hint="default"/>
      </w:rPr>
    </w:lvl>
    <w:lvl w:ilvl="3" w:tplc="08090001">
      <w:start w:val="1"/>
      <w:numFmt w:val="bullet"/>
      <w:lvlText w:val=""/>
      <w:lvlJc w:val="left"/>
      <w:pPr>
        <w:ind w:left="-4078" w:hanging="360"/>
      </w:pPr>
      <w:rPr>
        <w:rFonts w:ascii="Symbol" w:hAnsi="Symbol" w:hint="default"/>
      </w:rPr>
    </w:lvl>
    <w:lvl w:ilvl="4" w:tplc="08090003">
      <w:start w:val="1"/>
      <w:numFmt w:val="bullet"/>
      <w:lvlText w:val="o"/>
      <w:lvlJc w:val="left"/>
      <w:pPr>
        <w:ind w:left="-3358" w:hanging="360"/>
      </w:pPr>
      <w:rPr>
        <w:rFonts w:ascii="Courier New" w:hAnsi="Courier New" w:cs="Courier New" w:hint="default"/>
      </w:rPr>
    </w:lvl>
    <w:lvl w:ilvl="5" w:tplc="08090005">
      <w:start w:val="1"/>
      <w:numFmt w:val="bullet"/>
      <w:lvlText w:val=""/>
      <w:lvlJc w:val="left"/>
      <w:pPr>
        <w:ind w:left="-2638" w:hanging="360"/>
      </w:pPr>
      <w:rPr>
        <w:rFonts w:ascii="Wingdings" w:hAnsi="Wingdings" w:hint="default"/>
      </w:rPr>
    </w:lvl>
    <w:lvl w:ilvl="6" w:tplc="08090001">
      <w:start w:val="1"/>
      <w:numFmt w:val="bullet"/>
      <w:lvlText w:val=""/>
      <w:lvlJc w:val="left"/>
      <w:pPr>
        <w:ind w:left="-1918" w:hanging="360"/>
      </w:pPr>
      <w:rPr>
        <w:rFonts w:ascii="Symbol" w:hAnsi="Symbol" w:hint="default"/>
      </w:rPr>
    </w:lvl>
    <w:lvl w:ilvl="7" w:tplc="08090003">
      <w:start w:val="1"/>
      <w:numFmt w:val="bullet"/>
      <w:lvlText w:val="o"/>
      <w:lvlJc w:val="left"/>
      <w:pPr>
        <w:ind w:left="-1198" w:hanging="360"/>
      </w:pPr>
      <w:rPr>
        <w:rFonts w:ascii="Courier New" w:hAnsi="Courier New" w:cs="Courier New" w:hint="default"/>
      </w:rPr>
    </w:lvl>
    <w:lvl w:ilvl="8" w:tplc="08090005">
      <w:start w:val="1"/>
      <w:numFmt w:val="bullet"/>
      <w:lvlText w:val=""/>
      <w:lvlJc w:val="left"/>
      <w:pPr>
        <w:ind w:left="-478" w:hanging="360"/>
      </w:pPr>
      <w:rPr>
        <w:rFonts w:ascii="Wingdings" w:hAnsi="Wingdings" w:hint="default"/>
      </w:rPr>
    </w:lvl>
  </w:abstractNum>
  <w:abstractNum w:abstractNumId="4">
    <w:nsid w:val="06203BDA"/>
    <w:multiLevelType w:val="hybridMultilevel"/>
    <w:tmpl w:val="2F2E55D6"/>
    <w:lvl w:ilvl="0" w:tplc="413C20F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950EA3"/>
    <w:multiLevelType w:val="hybridMultilevel"/>
    <w:tmpl w:val="69BE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E258B"/>
    <w:multiLevelType w:val="hybridMultilevel"/>
    <w:tmpl w:val="607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D686D"/>
    <w:multiLevelType w:val="hybridMultilevel"/>
    <w:tmpl w:val="CA5E2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060CD"/>
    <w:multiLevelType w:val="hybridMultilevel"/>
    <w:tmpl w:val="B17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B09AC"/>
    <w:multiLevelType w:val="multilevel"/>
    <w:tmpl w:val="56E0476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2A46D6"/>
    <w:multiLevelType w:val="hybridMultilevel"/>
    <w:tmpl w:val="BD1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D37C96"/>
    <w:multiLevelType w:val="multilevel"/>
    <w:tmpl w:val="E6260196"/>
    <w:lvl w:ilvl="0">
      <w:start w:val="1"/>
      <w:numFmt w:val="bullet"/>
      <w:lvlText w:val=""/>
      <w:lvlJc w:val="left"/>
      <w:pPr>
        <w:ind w:left="720" w:hanging="360"/>
      </w:pPr>
      <w:rPr>
        <w:rFonts w:ascii="Symbol" w:hAnsi="Symbol"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2160" w:hanging="1800"/>
      </w:pPr>
      <w:rPr>
        <w:rFonts w:hint="default"/>
        <w:b/>
      </w:rPr>
    </w:lvl>
  </w:abstractNum>
  <w:abstractNum w:abstractNumId="12">
    <w:nsid w:val="1CF64D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B34B97"/>
    <w:multiLevelType w:val="multilevel"/>
    <w:tmpl w:val="C756C2D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B770B1"/>
    <w:multiLevelType w:val="hybridMultilevel"/>
    <w:tmpl w:val="B5AE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3147B2"/>
    <w:multiLevelType w:val="hybridMultilevel"/>
    <w:tmpl w:val="5F6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9343D3"/>
    <w:multiLevelType w:val="hybridMultilevel"/>
    <w:tmpl w:val="4AC2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D44A07"/>
    <w:multiLevelType w:val="hybridMultilevel"/>
    <w:tmpl w:val="7D0A60F8"/>
    <w:lvl w:ilvl="0" w:tplc="DC1813D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12D5B44"/>
    <w:multiLevelType w:val="hybridMultilevel"/>
    <w:tmpl w:val="34AAE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2E7DF5"/>
    <w:multiLevelType w:val="hybridMultilevel"/>
    <w:tmpl w:val="C57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CE240A"/>
    <w:multiLevelType w:val="hybridMultilevel"/>
    <w:tmpl w:val="72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80048"/>
    <w:multiLevelType w:val="hybridMultilevel"/>
    <w:tmpl w:val="6378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606917"/>
    <w:multiLevelType w:val="hybridMultilevel"/>
    <w:tmpl w:val="BD7E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E5EF2"/>
    <w:multiLevelType w:val="hybridMultilevel"/>
    <w:tmpl w:val="32B2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DD1942"/>
    <w:multiLevelType w:val="hybridMultilevel"/>
    <w:tmpl w:val="42E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1A6649"/>
    <w:multiLevelType w:val="hybridMultilevel"/>
    <w:tmpl w:val="9D6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C3F0A"/>
    <w:multiLevelType w:val="multilevel"/>
    <w:tmpl w:val="4F444F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F970A44"/>
    <w:multiLevelType w:val="multilevel"/>
    <w:tmpl w:val="E6260196"/>
    <w:lvl w:ilvl="0">
      <w:start w:val="1"/>
      <w:numFmt w:val="bullet"/>
      <w:lvlText w:val=""/>
      <w:lvlJc w:val="left"/>
      <w:pPr>
        <w:ind w:left="720" w:hanging="360"/>
      </w:pPr>
      <w:rPr>
        <w:rFonts w:ascii="Symbol" w:hAnsi="Symbol"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2160" w:hanging="1800"/>
      </w:pPr>
      <w:rPr>
        <w:rFonts w:hint="default"/>
        <w:b/>
      </w:rPr>
    </w:lvl>
  </w:abstractNum>
  <w:abstractNum w:abstractNumId="28">
    <w:nsid w:val="55347FA1"/>
    <w:multiLevelType w:val="hybridMultilevel"/>
    <w:tmpl w:val="1102B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8C06C8"/>
    <w:multiLevelType w:val="hybridMultilevel"/>
    <w:tmpl w:val="CCC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370D0D"/>
    <w:multiLevelType w:val="hybridMultilevel"/>
    <w:tmpl w:val="DAC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41D4B"/>
    <w:multiLevelType w:val="multilevel"/>
    <w:tmpl w:val="56E0476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0D644F3"/>
    <w:multiLevelType w:val="hybridMultilevel"/>
    <w:tmpl w:val="C92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E3626E"/>
    <w:multiLevelType w:val="multilevel"/>
    <w:tmpl w:val="E6260196"/>
    <w:lvl w:ilvl="0">
      <w:start w:val="1"/>
      <w:numFmt w:val="bullet"/>
      <w:lvlText w:val=""/>
      <w:lvlJc w:val="left"/>
      <w:pPr>
        <w:ind w:left="1080" w:hanging="360"/>
      </w:pPr>
      <w:rPr>
        <w:rFonts w:ascii="Symbol" w:hAnsi="Symbol"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34">
    <w:nsid w:val="6E8A6A2B"/>
    <w:multiLevelType w:val="multilevel"/>
    <w:tmpl w:val="08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F9914B1"/>
    <w:multiLevelType w:val="multilevel"/>
    <w:tmpl w:val="F428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B6744"/>
    <w:multiLevelType w:val="hybridMultilevel"/>
    <w:tmpl w:val="EEAE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5B44FC"/>
    <w:multiLevelType w:val="hybridMultilevel"/>
    <w:tmpl w:val="B2A288A0"/>
    <w:lvl w:ilvl="0" w:tplc="40B27A20">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0"/>
  </w:num>
  <w:num w:numId="4">
    <w:abstractNumId w:val="20"/>
  </w:num>
  <w:num w:numId="5">
    <w:abstractNumId w:val="15"/>
  </w:num>
  <w:num w:numId="6">
    <w:abstractNumId w:val="23"/>
  </w:num>
  <w:num w:numId="7">
    <w:abstractNumId w:val="25"/>
  </w:num>
  <w:num w:numId="8">
    <w:abstractNumId w:val="1"/>
  </w:num>
  <w:num w:numId="9">
    <w:abstractNumId w:val="8"/>
  </w:num>
  <w:num w:numId="10">
    <w:abstractNumId w:val="3"/>
  </w:num>
  <w:num w:numId="11">
    <w:abstractNumId w:val="17"/>
  </w:num>
  <w:num w:numId="12">
    <w:abstractNumId w:val="34"/>
  </w:num>
  <w:num w:numId="13">
    <w:abstractNumId w:val="32"/>
  </w:num>
  <w:num w:numId="14">
    <w:abstractNumId w:val="5"/>
  </w:num>
  <w:num w:numId="15">
    <w:abstractNumId w:val="16"/>
  </w:num>
  <w:num w:numId="16">
    <w:abstractNumId w:val="28"/>
  </w:num>
  <w:num w:numId="17">
    <w:abstractNumId w:val="4"/>
  </w:num>
  <w:num w:numId="18">
    <w:abstractNumId w:val="33"/>
  </w:num>
  <w:num w:numId="19">
    <w:abstractNumId w:val="27"/>
  </w:num>
  <w:num w:numId="20">
    <w:abstractNumId w:val="11"/>
  </w:num>
  <w:num w:numId="21">
    <w:abstractNumId w:val="6"/>
  </w:num>
  <w:num w:numId="22">
    <w:abstractNumId w:val="12"/>
  </w:num>
  <w:num w:numId="23">
    <w:abstractNumId w:val="9"/>
  </w:num>
  <w:num w:numId="24">
    <w:abstractNumId w:val="29"/>
  </w:num>
  <w:num w:numId="25">
    <w:abstractNumId w:val="19"/>
  </w:num>
  <w:num w:numId="26">
    <w:abstractNumId w:val="21"/>
  </w:num>
  <w:num w:numId="27">
    <w:abstractNumId w:val="36"/>
  </w:num>
  <w:num w:numId="28">
    <w:abstractNumId w:val="18"/>
  </w:num>
  <w:num w:numId="29">
    <w:abstractNumId w:val="30"/>
  </w:num>
  <w:num w:numId="30">
    <w:abstractNumId w:val="0"/>
  </w:num>
  <w:num w:numId="31">
    <w:abstractNumId w:val="14"/>
  </w:num>
  <w:num w:numId="32">
    <w:abstractNumId w:val="7"/>
  </w:num>
  <w:num w:numId="33">
    <w:abstractNumId w:val="2"/>
  </w:num>
  <w:num w:numId="34">
    <w:abstractNumId w:val="37"/>
  </w:num>
  <w:num w:numId="35">
    <w:abstractNumId w:val="26"/>
  </w:num>
  <w:num w:numId="36">
    <w:abstractNumId w:val="13"/>
  </w:num>
  <w:num w:numId="37">
    <w:abstractNumId w:val="31"/>
  </w:num>
  <w:num w:numId="38">
    <w:abstractNumId w:val="3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tal Tanna">
    <w15:presenceInfo w15:providerId="AD" w15:userId="S-1-5-21-1998078932-967772157-1221738049-29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9C"/>
    <w:rsid w:val="00004789"/>
    <w:rsid w:val="00056CD9"/>
    <w:rsid w:val="000750B0"/>
    <w:rsid w:val="000773BF"/>
    <w:rsid w:val="00087959"/>
    <w:rsid w:val="0009660C"/>
    <w:rsid w:val="000A6849"/>
    <w:rsid w:val="000A6989"/>
    <w:rsid w:val="000C091F"/>
    <w:rsid w:val="000D2E7D"/>
    <w:rsid w:val="000D3635"/>
    <w:rsid w:val="0011679C"/>
    <w:rsid w:val="00124F92"/>
    <w:rsid w:val="0012566B"/>
    <w:rsid w:val="00140ED5"/>
    <w:rsid w:val="001679E0"/>
    <w:rsid w:val="001706E1"/>
    <w:rsid w:val="00175DF1"/>
    <w:rsid w:val="0019185F"/>
    <w:rsid w:val="00222A91"/>
    <w:rsid w:val="00227D13"/>
    <w:rsid w:val="00237B12"/>
    <w:rsid w:val="00241458"/>
    <w:rsid w:val="00255AFB"/>
    <w:rsid w:val="0025794F"/>
    <w:rsid w:val="002627A6"/>
    <w:rsid w:val="00270DF3"/>
    <w:rsid w:val="00283252"/>
    <w:rsid w:val="002A30E5"/>
    <w:rsid w:val="002C6EF7"/>
    <w:rsid w:val="002F31EE"/>
    <w:rsid w:val="0030377A"/>
    <w:rsid w:val="0030386D"/>
    <w:rsid w:val="00304286"/>
    <w:rsid w:val="00304835"/>
    <w:rsid w:val="00306122"/>
    <w:rsid w:val="00306C20"/>
    <w:rsid w:val="003402A8"/>
    <w:rsid w:val="00341AEC"/>
    <w:rsid w:val="00353DCC"/>
    <w:rsid w:val="00354188"/>
    <w:rsid w:val="00377B3D"/>
    <w:rsid w:val="00386C01"/>
    <w:rsid w:val="003A2EF7"/>
    <w:rsid w:val="003C3A27"/>
    <w:rsid w:val="003E7C26"/>
    <w:rsid w:val="003F1105"/>
    <w:rsid w:val="00407403"/>
    <w:rsid w:val="004148C1"/>
    <w:rsid w:val="0041605E"/>
    <w:rsid w:val="004203AE"/>
    <w:rsid w:val="0044080C"/>
    <w:rsid w:val="0044670A"/>
    <w:rsid w:val="0045295D"/>
    <w:rsid w:val="00455088"/>
    <w:rsid w:val="004617F1"/>
    <w:rsid w:val="00465A3B"/>
    <w:rsid w:val="004A34D8"/>
    <w:rsid w:val="004A5C99"/>
    <w:rsid w:val="004A63D0"/>
    <w:rsid w:val="005203E1"/>
    <w:rsid w:val="00527767"/>
    <w:rsid w:val="00530EED"/>
    <w:rsid w:val="00532828"/>
    <w:rsid w:val="00552970"/>
    <w:rsid w:val="00562245"/>
    <w:rsid w:val="0056686F"/>
    <w:rsid w:val="00573845"/>
    <w:rsid w:val="0057555B"/>
    <w:rsid w:val="00577971"/>
    <w:rsid w:val="005F3902"/>
    <w:rsid w:val="00604332"/>
    <w:rsid w:val="00607220"/>
    <w:rsid w:val="00632766"/>
    <w:rsid w:val="0064779E"/>
    <w:rsid w:val="00650D4B"/>
    <w:rsid w:val="00680B2A"/>
    <w:rsid w:val="006812D2"/>
    <w:rsid w:val="00682EAA"/>
    <w:rsid w:val="006B397B"/>
    <w:rsid w:val="006B4592"/>
    <w:rsid w:val="006C1348"/>
    <w:rsid w:val="006E5E52"/>
    <w:rsid w:val="0070105B"/>
    <w:rsid w:val="00711631"/>
    <w:rsid w:val="007166BD"/>
    <w:rsid w:val="007259CD"/>
    <w:rsid w:val="00741F66"/>
    <w:rsid w:val="00746585"/>
    <w:rsid w:val="007479A2"/>
    <w:rsid w:val="00747DCF"/>
    <w:rsid w:val="00750BDD"/>
    <w:rsid w:val="00756180"/>
    <w:rsid w:val="0077510F"/>
    <w:rsid w:val="007850F0"/>
    <w:rsid w:val="0079593D"/>
    <w:rsid w:val="007A618E"/>
    <w:rsid w:val="007C05B7"/>
    <w:rsid w:val="007C0BEF"/>
    <w:rsid w:val="007D5A34"/>
    <w:rsid w:val="007D7952"/>
    <w:rsid w:val="007E669C"/>
    <w:rsid w:val="007F0D3D"/>
    <w:rsid w:val="00804D7E"/>
    <w:rsid w:val="00821B08"/>
    <w:rsid w:val="00830616"/>
    <w:rsid w:val="0086102E"/>
    <w:rsid w:val="008722F3"/>
    <w:rsid w:val="00885421"/>
    <w:rsid w:val="00894766"/>
    <w:rsid w:val="00897B11"/>
    <w:rsid w:val="008B2155"/>
    <w:rsid w:val="008D10D7"/>
    <w:rsid w:val="008D63B1"/>
    <w:rsid w:val="009020CD"/>
    <w:rsid w:val="0090426A"/>
    <w:rsid w:val="0090759B"/>
    <w:rsid w:val="009110F2"/>
    <w:rsid w:val="00962D27"/>
    <w:rsid w:val="00966A27"/>
    <w:rsid w:val="00976ECE"/>
    <w:rsid w:val="00981561"/>
    <w:rsid w:val="00984B3D"/>
    <w:rsid w:val="009913B2"/>
    <w:rsid w:val="0099299C"/>
    <w:rsid w:val="009A3DFD"/>
    <w:rsid w:val="009A51AE"/>
    <w:rsid w:val="009B3770"/>
    <w:rsid w:val="009D028E"/>
    <w:rsid w:val="009D748D"/>
    <w:rsid w:val="00A12C17"/>
    <w:rsid w:val="00A24A1F"/>
    <w:rsid w:val="00A379D8"/>
    <w:rsid w:val="00A40D01"/>
    <w:rsid w:val="00A461EE"/>
    <w:rsid w:val="00AA2E55"/>
    <w:rsid w:val="00AF2A8C"/>
    <w:rsid w:val="00AF2B2D"/>
    <w:rsid w:val="00AF545A"/>
    <w:rsid w:val="00B0328C"/>
    <w:rsid w:val="00B345B4"/>
    <w:rsid w:val="00B45056"/>
    <w:rsid w:val="00B65A04"/>
    <w:rsid w:val="00B70B21"/>
    <w:rsid w:val="00B733BA"/>
    <w:rsid w:val="00B8100A"/>
    <w:rsid w:val="00BA13B5"/>
    <w:rsid w:val="00BA64BA"/>
    <w:rsid w:val="00BF567C"/>
    <w:rsid w:val="00BF5CD0"/>
    <w:rsid w:val="00C03043"/>
    <w:rsid w:val="00C04504"/>
    <w:rsid w:val="00C10708"/>
    <w:rsid w:val="00C31090"/>
    <w:rsid w:val="00C318DF"/>
    <w:rsid w:val="00C34E81"/>
    <w:rsid w:val="00C40D25"/>
    <w:rsid w:val="00C434C8"/>
    <w:rsid w:val="00C44691"/>
    <w:rsid w:val="00C63DF2"/>
    <w:rsid w:val="00CA4E95"/>
    <w:rsid w:val="00CE5307"/>
    <w:rsid w:val="00CF1C63"/>
    <w:rsid w:val="00CF71BC"/>
    <w:rsid w:val="00D049C1"/>
    <w:rsid w:val="00D172F0"/>
    <w:rsid w:val="00D22550"/>
    <w:rsid w:val="00D27D7F"/>
    <w:rsid w:val="00D3453C"/>
    <w:rsid w:val="00D34A7D"/>
    <w:rsid w:val="00D43648"/>
    <w:rsid w:val="00D83004"/>
    <w:rsid w:val="00D904AE"/>
    <w:rsid w:val="00D91B63"/>
    <w:rsid w:val="00D93708"/>
    <w:rsid w:val="00D9432C"/>
    <w:rsid w:val="00DB5F49"/>
    <w:rsid w:val="00DE73D9"/>
    <w:rsid w:val="00DF09FE"/>
    <w:rsid w:val="00E061B8"/>
    <w:rsid w:val="00E10230"/>
    <w:rsid w:val="00E26C61"/>
    <w:rsid w:val="00E63DEA"/>
    <w:rsid w:val="00E76AFF"/>
    <w:rsid w:val="00E80B49"/>
    <w:rsid w:val="00EA52F0"/>
    <w:rsid w:val="00EB29A1"/>
    <w:rsid w:val="00EF3EB7"/>
    <w:rsid w:val="00F05F32"/>
    <w:rsid w:val="00F4523D"/>
    <w:rsid w:val="00F47465"/>
    <w:rsid w:val="00F646FD"/>
    <w:rsid w:val="00F66DDD"/>
    <w:rsid w:val="00F93ADD"/>
    <w:rsid w:val="00FB2523"/>
    <w:rsid w:val="00FB2C04"/>
    <w:rsid w:val="00FB3302"/>
    <w:rsid w:val="00FC51C9"/>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12"/>
  </w:style>
  <w:style w:type="paragraph" w:styleId="Heading3">
    <w:name w:val="heading 3"/>
    <w:basedOn w:val="Normal"/>
    <w:next w:val="Normal"/>
    <w:link w:val="Heading3Char"/>
    <w:qFormat/>
    <w:rsid w:val="00984B3D"/>
    <w:pPr>
      <w:suppressAutoHyphens/>
      <w:jc w:val="both"/>
      <w:outlineLvl w:val="2"/>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rsid w:val="0012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64BA"/>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locked/>
    <w:rsid w:val="00BA64BA"/>
    <w:rPr>
      <w:rFonts w:asciiTheme="minorHAnsi" w:hAnsiTheme="minorHAnsi"/>
    </w:rPr>
  </w:style>
  <w:style w:type="character" w:styleId="Hyperlink">
    <w:name w:val="Hyperlink"/>
    <w:basedOn w:val="DefaultParagraphFont"/>
    <w:uiPriority w:val="99"/>
    <w:unhideWhenUsed/>
    <w:rsid w:val="00680B2A"/>
    <w:rPr>
      <w:color w:val="0000FF" w:themeColor="hyperlink"/>
      <w:u w:val="single"/>
    </w:rPr>
  </w:style>
  <w:style w:type="paragraph" w:styleId="FootnoteText">
    <w:name w:val="footnote text"/>
    <w:basedOn w:val="Normal"/>
    <w:link w:val="FootnoteTextChar"/>
    <w:uiPriority w:val="99"/>
    <w:unhideWhenUsed/>
    <w:rsid w:val="003F1105"/>
    <w:rPr>
      <w:rFonts w:asciiTheme="minorHAnsi" w:hAnsiTheme="minorHAnsi"/>
      <w:sz w:val="20"/>
      <w:szCs w:val="20"/>
    </w:rPr>
  </w:style>
  <w:style w:type="character" w:customStyle="1" w:styleId="FootnoteTextChar">
    <w:name w:val="Footnote Text Char"/>
    <w:basedOn w:val="DefaultParagraphFont"/>
    <w:link w:val="FootnoteText"/>
    <w:uiPriority w:val="99"/>
    <w:rsid w:val="003F1105"/>
    <w:rPr>
      <w:rFonts w:asciiTheme="minorHAnsi" w:hAnsiTheme="minorHAnsi"/>
      <w:sz w:val="20"/>
      <w:szCs w:val="20"/>
    </w:rPr>
  </w:style>
  <w:style w:type="character" w:styleId="FootnoteReference">
    <w:name w:val="footnote reference"/>
    <w:basedOn w:val="DefaultParagraphFont"/>
    <w:uiPriority w:val="99"/>
    <w:semiHidden/>
    <w:rsid w:val="003F1105"/>
    <w:rPr>
      <w:rFonts w:cs="Times New Roman"/>
      <w:vertAlign w:val="superscript"/>
    </w:rPr>
  </w:style>
  <w:style w:type="paragraph" w:styleId="BalloonText">
    <w:name w:val="Balloon Text"/>
    <w:basedOn w:val="Normal"/>
    <w:link w:val="BalloonTextChar"/>
    <w:uiPriority w:val="99"/>
    <w:semiHidden/>
    <w:unhideWhenUsed/>
    <w:rsid w:val="00897B11"/>
    <w:rPr>
      <w:rFonts w:ascii="Tahoma" w:hAnsi="Tahoma" w:cs="Tahoma"/>
      <w:sz w:val="16"/>
      <w:szCs w:val="16"/>
    </w:rPr>
  </w:style>
  <w:style w:type="character" w:customStyle="1" w:styleId="BalloonTextChar">
    <w:name w:val="Balloon Text Char"/>
    <w:basedOn w:val="DefaultParagraphFont"/>
    <w:link w:val="BalloonText"/>
    <w:uiPriority w:val="99"/>
    <w:semiHidden/>
    <w:rsid w:val="00897B11"/>
    <w:rPr>
      <w:rFonts w:ascii="Tahoma" w:hAnsi="Tahoma" w:cs="Tahoma"/>
      <w:sz w:val="16"/>
      <w:szCs w:val="16"/>
    </w:rPr>
  </w:style>
  <w:style w:type="paragraph" w:customStyle="1" w:styleId="Default">
    <w:name w:val="Default"/>
    <w:rsid w:val="00976ECE"/>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650D4B"/>
    <w:pPr>
      <w:tabs>
        <w:tab w:val="center" w:pos="4513"/>
        <w:tab w:val="right" w:pos="9026"/>
      </w:tabs>
    </w:pPr>
  </w:style>
  <w:style w:type="character" w:customStyle="1" w:styleId="HeaderChar">
    <w:name w:val="Header Char"/>
    <w:basedOn w:val="DefaultParagraphFont"/>
    <w:link w:val="Header"/>
    <w:uiPriority w:val="99"/>
    <w:rsid w:val="00650D4B"/>
  </w:style>
  <w:style w:type="paragraph" w:styleId="Footer">
    <w:name w:val="footer"/>
    <w:basedOn w:val="Normal"/>
    <w:link w:val="FooterChar"/>
    <w:uiPriority w:val="99"/>
    <w:unhideWhenUsed/>
    <w:rsid w:val="00650D4B"/>
    <w:pPr>
      <w:tabs>
        <w:tab w:val="center" w:pos="4513"/>
        <w:tab w:val="right" w:pos="9026"/>
      </w:tabs>
    </w:pPr>
  </w:style>
  <w:style w:type="character" w:customStyle="1" w:styleId="FooterChar">
    <w:name w:val="Footer Char"/>
    <w:basedOn w:val="DefaultParagraphFont"/>
    <w:link w:val="Footer"/>
    <w:uiPriority w:val="99"/>
    <w:rsid w:val="00650D4B"/>
  </w:style>
  <w:style w:type="character" w:styleId="CommentReference">
    <w:name w:val="annotation reference"/>
    <w:basedOn w:val="DefaultParagraphFont"/>
    <w:uiPriority w:val="99"/>
    <w:semiHidden/>
    <w:unhideWhenUsed/>
    <w:rsid w:val="007F0D3D"/>
    <w:rPr>
      <w:sz w:val="16"/>
      <w:szCs w:val="16"/>
    </w:rPr>
  </w:style>
  <w:style w:type="paragraph" w:styleId="CommentText">
    <w:name w:val="annotation text"/>
    <w:basedOn w:val="Normal"/>
    <w:link w:val="CommentTextChar"/>
    <w:uiPriority w:val="99"/>
    <w:semiHidden/>
    <w:unhideWhenUsed/>
    <w:rsid w:val="007F0D3D"/>
    <w:rPr>
      <w:sz w:val="20"/>
      <w:szCs w:val="20"/>
    </w:rPr>
  </w:style>
  <w:style w:type="character" w:customStyle="1" w:styleId="CommentTextChar">
    <w:name w:val="Comment Text Char"/>
    <w:basedOn w:val="DefaultParagraphFont"/>
    <w:link w:val="CommentText"/>
    <w:uiPriority w:val="99"/>
    <w:semiHidden/>
    <w:rsid w:val="007F0D3D"/>
    <w:rPr>
      <w:sz w:val="20"/>
      <w:szCs w:val="20"/>
    </w:rPr>
  </w:style>
  <w:style w:type="paragraph" w:styleId="CommentSubject">
    <w:name w:val="annotation subject"/>
    <w:basedOn w:val="CommentText"/>
    <w:next w:val="CommentText"/>
    <w:link w:val="CommentSubjectChar"/>
    <w:uiPriority w:val="99"/>
    <w:semiHidden/>
    <w:unhideWhenUsed/>
    <w:rsid w:val="007F0D3D"/>
    <w:rPr>
      <w:b/>
      <w:bCs/>
    </w:rPr>
  </w:style>
  <w:style w:type="character" w:customStyle="1" w:styleId="CommentSubjectChar">
    <w:name w:val="Comment Subject Char"/>
    <w:basedOn w:val="CommentTextChar"/>
    <w:link w:val="CommentSubject"/>
    <w:uiPriority w:val="99"/>
    <w:semiHidden/>
    <w:rsid w:val="007F0D3D"/>
    <w:rPr>
      <w:b/>
      <w:bCs/>
      <w:sz w:val="20"/>
      <w:szCs w:val="20"/>
    </w:rPr>
  </w:style>
  <w:style w:type="paragraph" w:styleId="Revision">
    <w:name w:val="Revision"/>
    <w:hidden/>
    <w:uiPriority w:val="99"/>
    <w:semiHidden/>
    <w:rsid w:val="00FC51C9"/>
  </w:style>
  <w:style w:type="character" w:customStyle="1" w:styleId="Heading3Char">
    <w:name w:val="Heading 3 Char"/>
    <w:basedOn w:val="DefaultParagraphFont"/>
    <w:link w:val="Heading3"/>
    <w:rsid w:val="00984B3D"/>
    <w:rPr>
      <w:rFonts w:eastAsia="Times New Roman" w:cs="Times New Roman"/>
      <w:sz w:val="24"/>
      <w:szCs w:val="20"/>
    </w:rPr>
  </w:style>
  <w:style w:type="character" w:customStyle="1" w:styleId="tgc">
    <w:name w:val="_tgc"/>
    <w:basedOn w:val="DefaultParagraphFont"/>
    <w:rsid w:val="0056686F"/>
  </w:style>
  <w:style w:type="character" w:styleId="Emphasis">
    <w:name w:val="Emphasis"/>
    <w:basedOn w:val="DefaultParagraphFont"/>
    <w:uiPriority w:val="20"/>
    <w:qFormat/>
    <w:rsid w:val="00255AFB"/>
    <w:rPr>
      <w:b/>
      <w:bCs/>
      <w:i w:val="0"/>
      <w:iCs w:val="0"/>
    </w:rPr>
  </w:style>
  <w:style w:type="character" w:customStyle="1" w:styleId="st1">
    <w:name w:val="st1"/>
    <w:basedOn w:val="DefaultParagraphFont"/>
    <w:rsid w:val="00255AFB"/>
  </w:style>
  <w:style w:type="table" w:customStyle="1" w:styleId="TableGrid1">
    <w:name w:val="Table Grid1"/>
    <w:basedOn w:val="TableNormal"/>
    <w:next w:val="TableGrid"/>
    <w:rsid w:val="00FF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12"/>
  </w:style>
  <w:style w:type="paragraph" w:styleId="Heading3">
    <w:name w:val="heading 3"/>
    <w:basedOn w:val="Normal"/>
    <w:next w:val="Normal"/>
    <w:link w:val="Heading3Char"/>
    <w:qFormat/>
    <w:rsid w:val="00984B3D"/>
    <w:pPr>
      <w:suppressAutoHyphens/>
      <w:jc w:val="both"/>
      <w:outlineLvl w:val="2"/>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rsid w:val="0012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64BA"/>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locked/>
    <w:rsid w:val="00BA64BA"/>
    <w:rPr>
      <w:rFonts w:asciiTheme="minorHAnsi" w:hAnsiTheme="minorHAnsi"/>
    </w:rPr>
  </w:style>
  <w:style w:type="character" w:styleId="Hyperlink">
    <w:name w:val="Hyperlink"/>
    <w:basedOn w:val="DefaultParagraphFont"/>
    <w:uiPriority w:val="99"/>
    <w:unhideWhenUsed/>
    <w:rsid w:val="00680B2A"/>
    <w:rPr>
      <w:color w:val="0000FF" w:themeColor="hyperlink"/>
      <w:u w:val="single"/>
    </w:rPr>
  </w:style>
  <w:style w:type="paragraph" w:styleId="FootnoteText">
    <w:name w:val="footnote text"/>
    <w:basedOn w:val="Normal"/>
    <w:link w:val="FootnoteTextChar"/>
    <w:uiPriority w:val="99"/>
    <w:unhideWhenUsed/>
    <w:rsid w:val="003F1105"/>
    <w:rPr>
      <w:rFonts w:asciiTheme="minorHAnsi" w:hAnsiTheme="minorHAnsi"/>
      <w:sz w:val="20"/>
      <w:szCs w:val="20"/>
    </w:rPr>
  </w:style>
  <w:style w:type="character" w:customStyle="1" w:styleId="FootnoteTextChar">
    <w:name w:val="Footnote Text Char"/>
    <w:basedOn w:val="DefaultParagraphFont"/>
    <w:link w:val="FootnoteText"/>
    <w:uiPriority w:val="99"/>
    <w:rsid w:val="003F1105"/>
    <w:rPr>
      <w:rFonts w:asciiTheme="minorHAnsi" w:hAnsiTheme="minorHAnsi"/>
      <w:sz w:val="20"/>
      <w:szCs w:val="20"/>
    </w:rPr>
  </w:style>
  <w:style w:type="character" w:styleId="FootnoteReference">
    <w:name w:val="footnote reference"/>
    <w:basedOn w:val="DefaultParagraphFont"/>
    <w:uiPriority w:val="99"/>
    <w:semiHidden/>
    <w:rsid w:val="003F1105"/>
    <w:rPr>
      <w:rFonts w:cs="Times New Roman"/>
      <w:vertAlign w:val="superscript"/>
    </w:rPr>
  </w:style>
  <w:style w:type="paragraph" w:styleId="BalloonText">
    <w:name w:val="Balloon Text"/>
    <w:basedOn w:val="Normal"/>
    <w:link w:val="BalloonTextChar"/>
    <w:uiPriority w:val="99"/>
    <w:semiHidden/>
    <w:unhideWhenUsed/>
    <w:rsid w:val="00897B11"/>
    <w:rPr>
      <w:rFonts w:ascii="Tahoma" w:hAnsi="Tahoma" w:cs="Tahoma"/>
      <w:sz w:val="16"/>
      <w:szCs w:val="16"/>
    </w:rPr>
  </w:style>
  <w:style w:type="character" w:customStyle="1" w:styleId="BalloonTextChar">
    <w:name w:val="Balloon Text Char"/>
    <w:basedOn w:val="DefaultParagraphFont"/>
    <w:link w:val="BalloonText"/>
    <w:uiPriority w:val="99"/>
    <w:semiHidden/>
    <w:rsid w:val="00897B11"/>
    <w:rPr>
      <w:rFonts w:ascii="Tahoma" w:hAnsi="Tahoma" w:cs="Tahoma"/>
      <w:sz w:val="16"/>
      <w:szCs w:val="16"/>
    </w:rPr>
  </w:style>
  <w:style w:type="paragraph" w:customStyle="1" w:styleId="Default">
    <w:name w:val="Default"/>
    <w:rsid w:val="00976ECE"/>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650D4B"/>
    <w:pPr>
      <w:tabs>
        <w:tab w:val="center" w:pos="4513"/>
        <w:tab w:val="right" w:pos="9026"/>
      </w:tabs>
    </w:pPr>
  </w:style>
  <w:style w:type="character" w:customStyle="1" w:styleId="HeaderChar">
    <w:name w:val="Header Char"/>
    <w:basedOn w:val="DefaultParagraphFont"/>
    <w:link w:val="Header"/>
    <w:uiPriority w:val="99"/>
    <w:rsid w:val="00650D4B"/>
  </w:style>
  <w:style w:type="paragraph" w:styleId="Footer">
    <w:name w:val="footer"/>
    <w:basedOn w:val="Normal"/>
    <w:link w:val="FooterChar"/>
    <w:uiPriority w:val="99"/>
    <w:unhideWhenUsed/>
    <w:rsid w:val="00650D4B"/>
    <w:pPr>
      <w:tabs>
        <w:tab w:val="center" w:pos="4513"/>
        <w:tab w:val="right" w:pos="9026"/>
      </w:tabs>
    </w:pPr>
  </w:style>
  <w:style w:type="character" w:customStyle="1" w:styleId="FooterChar">
    <w:name w:val="Footer Char"/>
    <w:basedOn w:val="DefaultParagraphFont"/>
    <w:link w:val="Footer"/>
    <w:uiPriority w:val="99"/>
    <w:rsid w:val="00650D4B"/>
  </w:style>
  <w:style w:type="character" w:styleId="CommentReference">
    <w:name w:val="annotation reference"/>
    <w:basedOn w:val="DefaultParagraphFont"/>
    <w:uiPriority w:val="99"/>
    <w:semiHidden/>
    <w:unhideWhenUsed/>
    <w:rsid w:val="007F0D3D"/>
    <w:rPr>
      <w:sz w:val="16"/>
      <w:szCs w:val="16"/>
    </w:rPr>
  </w:style>
  <w:style w:type="paragraph" w:styleId="CommentText">
    <w:name w:val="annotation text"/>
    <w:basedOn w:val="Normal"/>
    <w:link w:val="CommentTextChar"/>
    <w:uiPriority w:val="99"/>
    <w:semiHidden/>
    <w:unhideWhenUsed/>
    <w:rsid w:val="007F0D3D"/>
    <w:rPr>
      <w:sz w:val="20"/>
      <w:szCs w:val="20"/>
    </w:rPr>
  </w:style>
  <w:style w:type="character" w:customStyle="1" w:styleId="CommentTextChar">
    <w:name w:val="Comment Text Char"/>
    <w:basedOn w:val="DefaultParagraphFont"/>
    <w:link w:val="CommentText"/>
    <w:uiPriority w:val="99"/>
    <w:semiHidden/>
    <w:rsid w:val="007F0D3D"/>
    <w:rPr>
      <w:sz w:val="20"/>
      <w:szCs w:val="20"/>
    </w:rPr>
  </w:style>
  <w:style w:type="paragraph" w:styleId="CommentSubject">
    <w:name w:val="annotation subject"/>
    <w:basedOn w:val="CommentText"/>
    <w:next w:val="CommentText"/>
    <w:link w:val="CommentSubjectChar"/>
    <w:uiPriority w:val="99"/>
    <w:semiHidden/>
    <w:unhideWhenUsed/>
    <w:rsid w:val="007F0D3D"/>
    <w:rPr>
      <w:b/>
      <w:bCs/>
    </w:rPr>
  </w:style>
  <w:style w:type="character" w:customStyle="1" w:styleId="CommentSubjectChar">
    <w:name w:val="Comment Subject Char"/>
    <w:basedOn w:val="CommentTextChar"/>
    <w:link w:val="CommentSubject"/>
    <w:uiPriority w:val="99"/>
    <w:semiHidden/>
    <w:rsid w:val="007F0D3D"/>
    <w:rPr>
      <w:b/>
      <w:bCs/>
      <w:sz w:val="20"/>
      <w:szCs w:val="20"/>
    </w:rPr>
  </w:style>
  <w:style w:type="paragraph" w:styleId="Revision">
    <w:name w:val="Revision"/>
    <w:hidden/>
    <w:uiPriority w:val="99"/>
    <w:semiHidden/>
    <w:rsid w:val="00FC51C9"/>
  </w:style>
  <w:style w:type="character" w:customStyle="1" w:styleId="Heading3Char">
    <w:name w:val="Heading 3 Char"/>
    <w:basedOn w:val="DefaultParagraphFont"/>
    <w:link w:val="Heading3"/>
    <w:rsid w:val="00984B3D"/>
    <w:rPr>
      <w:rFonts w:eastAsia="Times New Roman" w:cs="Times New Roman"/>
      <w:sz w:val="24"/>
      <w:szCs w:val="20"/>
    </w:rPr>
  </w:style>
  <w:style w:type="character" w:customStyle="1" w:styleId="tgc">
    <w:name w:val="_tgc"/>
    <w:basedOn w:val="DefaultParagraphFont"/>
    <w:rsid w:val="0056686F"/>
  </w:style>
  <w:style w:type="character" w:styleId="Emphasis">
    <w:name w:val="Emphasis"/>
    <w:basedOn w:val="DefaultParagraphFont"/>
    <w:uiPriority w:val="20"/>
    <w:qFormat/>
    <w:rsid w:val="00255AFB"/>
    <w:rPr>
      <w:b/>
      <w:bCs/>
      <w:i w:val="0"/>
      <w:iCs w:val="0"/>
    </w:rPr>
  </w:style>
  <w:style w:type="character" w:customStyle="1" w:styleId="st1">
    <w:name w:val="st1"/>
    <w:basedOn w:val="DefaultParagraphFont"/>
    <w:rsid w:val="00255AFB"/>
  </w:style>
  <w:style w:type="table" w:customStyle="1" w:styleId="TableGrid1">
    <w:name w:val="Table Grid1"/>
    <w:basedOn w:val="TableNormal"/>
    <w:next w:val="TableGrid"/>
    <w:rsid w:val="00FF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2390">
      <w:bodyDiv w:val="1"/>
      <w:marLeft w:val="0"/>
      <w:marRight w:val="0"/>
      <w:marTop w:val="0"/>
      <w:marBottom w:val="0"/>
      <w:divBdr>
        <w:top w:val="none" w:sz="0" w:space="0" w:color="auto"/>
        <w:left w:val="none" w:sz="0" w:space="0" w:color="auto"/>
        <w:bottom w:val="none" w:sz="0" w:space="0" w:color="auto"/>
        <w:right w:val="none" w:sz="0" w:space="0" w:color="auto"/>
      </w:divBdr>
    </w:div>
    <w:div w:id="841774202">
      <w:bodyDiv w:val="1"/>
      <w:marLeft w:val="0"/>
      <w:marRight w:val="0"/>
      <w:marTop w:val="0"/>
      <w:marBottom w:val="0"/>
      <w:divBdr>
        <w:top w:val="none" w:sz="0" w:space="0" w:color="auto"/>
        <w:left w:val="none" w:sz="0" w:space="0" w:color="auto"/>
        <w:bottom w:val="none" w:sz="0" w:space="0" w:color="auto"/>
        <w:right w:val="none" w:sz="0" w:space="0" w:color="auto"/>
      </w:divBdr>
    </w:div>
    <w:div w:id="1097019792">
      <w:bodyDiv w:val="1"/>
      <w:marLeft w:val="0"/>
      <w:marRight w:val="0"/>
      <w:marTop w:val="0"/>
      <w:marBottom w:val="0"/>
      <w:divBdr>
        <w:top w:val="none" w:sz="0" w:space="0" w:color="auto"/>
        <w:left w:val="none" w:sz="0" w:space="0" w:color="auto"/>
        <w:bottom w:val="none" w:sz="0" w:space="0" w:color="auto"/>
        <w:right w:val="none" w:sz="0" w:space="0" w:color="auto"/>
      </w:divBdr>
    </w:div>
    <w:div w:id="1343582437">
      <w:bodyDiv w:val="1"/>
      <w:marLeft w:val="0"/>
      <w:marRight w:val="0"/>
      <w:marTop w:val="0"/>
      <w:marBottom w:val="0"/>
      <w:divBdr>
        <w:top w:val="none" w:sz="0" w:space="0" w:color="auto"/>
        <w:left w:val="none" w:sz="0" w:space="0" w:color="auto"/>
        <w:bottom w:val="none" w:sz="0" w:space="0" w:color="auto"/>
        <w:right w:val="none" w:sz="0" w:space="0" w:color="auto"/>
      </w:divBdr>
      <w:divsChild>
        <w:div w:id="2044405501">
          <w:marLeft w:val="0"/>
          <w:marRight w:val="0"/>
          <w:marTop w:val="0"/>
          <w:marBottom w:val="0"/>
          <w:divBdr>
            <w:top w:val="none" w:sz="0" w:space="0" w:color="auto"/>
            <w:left w:val="none" w:sz="0" w:space="0" w:color="auto"/>
            <w:bottom w:val="none" w:sz="0" w:space="0" w:color="auto"/>
            <w:right w:val="none" w:sz="0" w:space="0" w:color="auto"/>
          </w:divBdr>
          <w:divsChild>
            <w:div w:id="1233813192">
              <w:marLeft w:val="0"/>
              <w:marRight w:val="0"/>
              <w:marTop w:val="0"/>
              <w:marBottom w:val="0"/>
              <w:divBdr>
                <w:top w:val="none" w:sz="0" w:space="0" w:color="auto"/>
                <w:left w:val="none" w:sz="0" w:space="0" w:color="auto"/>
                <w:bottom w:val="none" w:sz="0" w:space="0" w:color="auto"/>
                <w:right w:val="none" w:sz="0" w:space="0" w:color="auto"/>
              </w:divBdr>
              <w:divsChild>
                <w:div w:id="1356997780">
                  <w:marLeft w:val="0"/>
                  <w:marRight w:val="0"/>
                  <w:marTop w:val="0"/>
                  <w:marBottom w:val="0"/>
                  <w:divBdr>
                    <w:top w:val="none" w:sz="0" w:space="0" w:color="auto"/>
                    <w:left w:val="none" w:sz="0" w:space="0" w:color="auto"/>
                    <w:bottom w:val="none" w:sz="0" w:space="0" w:color="auto"/>
                    <w:right w:val="none" w:sz="0" w:space="0" w:color="auto"/>
                  </w:divBdr>
                  <w:divsChild>
                    <w:div w:id="1089425292">
                      <w:marLeft w:val="0"/>
                      <w:marRight w:val="0"/>
                      <w:marTop w:val="0"/>
                      <w:marBottom w:val="0"/>
                      <w:divBdr>
                        <w:top w:val="none" w:sz="0" w:space="0" w:color="auto"/>
                        <w:left w:val="none" w:sz="0" w:space="0" w:color="auto"/>
                        <w:bottom w:val="none" w:sz="0" w:space="0" w:color="auto"/>
                        <w:right w:val="none" w:sz="0" w:space="0" w:color="auto"/>
                      </w:divBdr>
                      <w:divsChild>
                        <w:div w:id="103159277">
                          <w:marLeft w:val="0"/>
                          <w:marRight w:val="0"/>
                          <w:marTop w:val="0"/>
                          <w:marBottom w:val="0"/>
                          <w:divBdr>
                            <w:top w:val="none" w:sz="0" w:space="0" w:color="auto"/>
                            <w:left w:val="none" w:sz="0" w:space="0" w:color="auto"/>
                            <w:bottom w:val="none" w:sz="0" w:space="0" w:color="auto"/>
                            <w:right w:val="none" w:sz="0" w:space="0" w:color="auto"/>
                          </w:divBdr>
                          <w:divsChild>
                            <w:div w:id="308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si/2015/238/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gertips.phe.org.uk/profile/sexualhealth/da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hitehall-admin.publishing.service.gov.uk/government/uploads/system/uploads/attachment_data/file/488090/SRHandHIVStrategicPlan_211215.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F33E-5EC9-4153-90AE-D327D830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10468</Words>
  <Characters>59674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70002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Jefferies</dc:creator>
  <cp:lastModifiedBy>Trevor Keable</cp:lastModifiedBy>
  <cp:revision>3</cp:revision>
  <dcterms:created xsi:type="dcterms:W3CDTF">2018-06-19T11:17:00Z</dcterms:created>
  <dcterms:modified xsi:type="dcterms:W3CDTF">2018-06-19T14:46:00Z</dcterms:modified>
</cp:coreProperties>
</file>