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C71B" w14:textId="1281D73E" w:rsidR="005966EA" w:rsidRDefault="005966EA">
      <w:pPr>
        <w:rPr>
          <w:b/>
          <w:bCs/>
          <w:szCs w:val="24"/>
          <w:u w:val="single"/>
          <w:lang w:val="en-US"/>
        </w:rPr>
      </w:pPr>
      <w:r>
        <w:rPr>
          <w:noProof/>
        </w:rPr>
        <w:drawing>
          <wp:inline distT="0" distB="0" distL="0" distR="0" wp14:anchorId="367AB861" wp14:editId="60A04502">
            <wp:extent cx="10191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DE80" w14:textId="77777777" w:rsidR="005966EA" w:rsidRDefault="005966EA">
      <w:pPr>
        <w:rPr>
          <w:b/>
          <w:bCs/>
          <w:szCs w:val="24"/>
          <w:u w:val="single"/>
          <w:lang w:val="en-US"/>
        </w:rPr>
      </w:pPr>
    </w:p>
    <w:p w14:paraId="128898C8" w14:textId="064D0D96" w:rsidR="00883403" w:rsidRPr="000A7EA6" w:rsidRDefault="000A7EA6">
      <w:pPr>
        <w:rPr>
          <w:b/>
          <w:bCs/>
          <w:szCs w:val="24"/>
          <w:u w:val="single"/>
          <w:lang w:val="en-US"/>
        </w:rPr>
      </w:pPr>
      <w:r>
        <w:rPr>
          <w:b/>
          <w:bCs/>
          <w:szCs w:val="24"/>
          <w:u w:val="single"/>
          <w:lang w:val="en-US"/>
        </w:rPr>
        <w:t>Communal Cleaning Services</w:t>
      </w:r>
      <w:r w:rsidR="00883403" w:rsidRPr="000A7EA6">
        <w:rPr>
          <w:b/>
          <w:bCs/>
          <w:szCs w:val="24"/>
          <w:u w:val="single"/>
          <w:lang w:val="en-US"/>
        </w:rPr>
        <w:t xml:space="preserve"> PIN</w:t>
      </w:r>
      <w:r>
        <w:rPr>
          <w:b/>
          <w:bCs/>
          <w:szCs w:val="24"/>
          <w:u w:val="single"/>
          <w:lang w:val="en-US"/>
        </w:rPr>
        <w:t xml:space="preserve"> -</w:t>
      </w:r>
      <w:r w:rsidR="00883403" w:rsidRPr="000A7EA6">
        <w:rPr>
          <w:b/>
          <w:bCs/>
          <w:szCs w:val="24"/>
          <w:u w:val="single"/>
          <w:lang w:val="en-US"/>
        </w:rPr>
        <w:t xml:space="preserve"> Additional Information</w:t>
      </w:r>
    </w:p>
    <w:p w14:paraId="7726274D" w14:textId="325A6625" w:rsidR="009F2129" w:rsidRPr="002E045D" w:rsidRDefault="00883403">
      <w:pPr>
        <w:rPr>
          <w:szCs w:val="24"/>
          <w:lang w:val="en-US"/>
        </w:rPr>
      </w:pPr>
      <w:proofErr w:type="spellStart"/>
      <w:r w:rsidRPr="002E045D">
        <w:rPr>
          <w:szCs w:val="24"/>
          <w:lang w:val="en-US"/>
        </w:rPr>
        <w:t>whg</w:t>
      </w:r>
      <w:proofErr w:type="spellEnd"/>
      <w:r w:rsidRPr="002E045D">
        <w:rPr>
          <w:szCs w:val="24"/>
          <w:lang w:val="en-US"/>
        </w:rPr>
        <w:t xml:space="preserve"> is considering </w:t>
      </w:r>
      <w:r w:rsidR="009F2129" w:rsidRPr="002E045D">
        <w:rPr>
          <w:szCs w:val="24"/>
          <w:lang w:val="en-US"/>
        </w:rPr>
        <w:t xml:space="preserve">going out to the market to re-procure its </w:t>
      </w:r>
      <w:r w:rsidR="000A7EA6">
        <w:rPr>
          <w:szCs w:val="24"/>
          <w:lang w:val="en-US"/>
        </w:rPr>
        <w:t>Communal Cleaning Services</w:t>
      </w:r>
      <w:r w:rsidR="009F2129" w:rsidRPr="002E045D">
        <w:rPr>
          <w:szCs w:val="24"/>
          <w:lang w:val="en-US"/>
        </w:rPr>
        <w:t xml:space="preserve"> Contract.</w:t>
      </w:r>
    </w:p>
    <w:p w14:paraId="02593DEF" w14:textId="5D590FAD" w:rsidR="002E045D" w:rsidRDefault="002C7157" w:rsidP="002C7157">
      <w:pPr>
        <w:jc w:val="both"/>
        <w:rPr>
          <w:rFonts w:cs="Tahoma"/>
          <w:szCs w:val="24"/>
          <w:lang w:val="en-US"/>
        </w:rPr>
      </w:pPr>
      <w:proofErr w:type="spellStart"/>
      <w:r w:rsidRPr="002E045D">
        <w:rPr>
          <w:rFonts w:cs="Tahoma"/>
          <w:szCs w:val="24"/>
          <w:lang w:val="en-US"/>
        </w:rPr>
        <w:t>whg</w:t>
      </w:r>
      <w:proofErr w:type="spellEnd"/>
      <w:r w:rsidRPr="002E045D">
        <w:rPr>
          <w:rFonts w:cs="Tahoma"/>
          <w:szCs w:val="24"/>
          <w:lang w:val="en-US"/>
        </w:rPr>
        <w:t xml:space="preserve">, is seeking to appoint a </w:t>
      </w:r>
      <w:r w:rsidR="009B5F45" w:rsidRPr="002E045D">
        <w:rPr>
          <w:rFonts w:cs="Tahoma"/>
          <w:szCs w:val="24"/>
          <w:lang w:val="en-US"/>
        </w:rPr>
        <w:t>c</w:t>
      </w:r>
      <w:r w:rsidRPr="002E045D">
        <w:rPr>
          <w:rFonts w:cs="Tahoma"/>
          <w:szCs w:val="24"/>
          <w:lang w:val="en-US"/>
        </w:rPr>
        <w:t xml:space="preserve">ontractor </w:t>
      </w:r>
      <w:r w:rsidR="009B5F45" w:rsidRPr="002E045D">
        <w:rPr>
          <w:rFonts w:cs="Tahoma"/>
          <w:szCs w:val="24"/>
          <w:lang w:val="en-US"/>
        </w:rPr>
        <w:t>(</w:t>
      </w:r>
      <w:r w:rsidRPr="002E045D">
        <w:rPr>
          <w:rFonts w:cs="Tahoma"/>
          <w:szCs w:val="24"/>
          <w:lang w:val="en-US"/>
        </w:rPr>
        <w:t>or potentially contractors</w:t>
      </w:r>
      <w:r w:rsidR="009B5F45" w:rsidRPr="002E045D">
        <w:rPr>
          <w:rFonts w:cs="Tahoma"/>
          <w:szCs w:val="24"/>
          <w:lang w:val="en-US"/>
        </w:rPr>
        <w:t xml:space="preserve">) </w:t>
      </w:r>
      <w:r w:rsidRPr="002E045D">
        <w:rPr>
          <w:rFonts w:cs="Tahoma"/>
          <w:szCs w:val="24"/>
          <w:lang w:val="en-US"/>
        </w:rPr>
        <w:t xml:space="preserve">to provide comprehensive </w:t>
      </w:r>
      <w:r w:rsidR="000A7EA6">
        <w:rPr>
          <w:rFonts w:cs="Tahoma"/>
          <w:szCs w:val="24"/>
          <w:lang w:val="en-US"/>
        </w:rPr>
        <w:t xml:space="preserve">Communal Cleaning </w:t>
      </w:r>
      <w:r w:rsidRPr="002E045D">
        <w:rPr>
          <w:rFonts w:cs="Tahoma"/>
          <w:szCs w:val="24"/>
          <w:lang w:val="en-US"/>
        </w:rPr>
        <w:t xml:space="preserve">Services to the communal areas </w:t>
      </w:r>
      <w:r w:rsidR="009B5F45" w:rsidRPr="002E045D">
        <w:rPr>
          <w:rFonts w:cs="Tahoma"/>
          <w:szCs w:val="24"/>
          <w:lang w:val="en-US"/>
        </w:rPr>
        <w:t xml:space="preserve">it is responsible for maintaining </w:t>
      </w:r>
      <w:r w:rsidRPr="002E045D">
        <w:rPr>
          <w:rFonts w:cs="Tahoma"/>
          <w:szCs w:val="24"/>
          <w:lang w:val="en-US"/>
        </w:rPr>
        <w:t xml:space="preserve">which are situated </w:t>
      </w:r>
      <w:r w:rsidR="00881A7B">
        <w:rPr>
          <w:rFonts w:cs="Tahoma"/>
          <w:szCs w:val="24"/>
          <w:lang w:val="en-US"/>
        </w:rPr>
        <w:t>in it</w:t>
      </w:r>
      <w:r w:rsidR="000A3578" w:rsidRPr="002E045D">
        <w:rPr>
          <w:rFonts w:cs="Tahoma"/>
          <w:szCs w:val="24"/>
          <w:lang w:val="en-US"/>
        </w:rPr>
        <w:t xml:space="preserve">s </w:t>
      </w:r>
      <w:r w:rsidRPr="002E045D">
        <w:rPr>
          <w:rFonts w:cs="Tahoma"/>
          <w:szCs w:val="24"/>
          <w:lang w:val="en-US"/>
        </w:rPr>
        <w:t>high rise, low rise</w:t>
      </w:r>
      <w:r w:rsidR="00881A7B">
        <w:rPr>
          <w:rFonts w:cs="Tahoma"/>
          <w:szCs w:val="24"/>
          <w:lang w:val="en-US"/>
        </w:rPr>
        <w:t xml:space="preserve">, </w:t>
      </w:r>
      <w:r w:rsidRPr="002E045D">
        <w:rPr>
          <w:rFonts w:cs="Tahoma"/>
          <w:szCs w:val="24"/>
          <w:lang w:val="en-US"/>
        </w:rPr>
        <w:t xml:space="preserve">well-being </w:t>
      </w:r>
      <w:r w:rsidR="00881A7B">
        <w:rPr>
          <w:rFonts w:cs="Tahoma"/>
          <w:szCs w:val="24"/>
          <w:lang w:val="en-US"/>
        </w:rPr>
        <w:t xml:space="preserve">schemes and </w:t>
      </w:r>
      <w:r w:rsidR="00C44A7D">
        <w:rPr>
          <w:rFonts w:cs="Tahoma"/>
          <w:szCs w:val="24"/>
          <w:lang w:val="en-US"/>
        </w:rPr>
        <w:t>o</w:t>
      </w:r>
      <w:r w:rsidR="00881A7B">
        <w:rPr>
          <w:rFonts w:cs="Tahoma"/>
          <w:szCs w:val="24"/>
          <w:lang w:val="en-US"/>
        </w:rPr>
        <w:t>ffices.</w:t>
      </w:r>
    </w:p>
    <w:p w14:paraId="1B1C6525" w14:textId="5D1412AF" w:rsidR="00CE17BA" w:rsidRDefault="00CE17BA" w:rsidP="00B261C2">
      <w:pPr>
        <w:pStyle w:val="ListParagraph"/>
        <w:numPr>
          <w:ilvl w:val="0"/>
          <w:numId w:val="6"/>
        </w:numPr>
        <w:jc w:val="both"/>
        <w:rPr>
          <w:rFonts w:cs="Tahoma"/>
          <w:szCs w:val="24"/>
          <w:lang w:val="en-US"/>
        </w:rPr>
      </w:pPr>
      <w:proofErr w:type="spellStart"/>
      <w:r w:rsidRPr="00B261C2">
        <w:rPr>
          <w:rFonts w:cs="Tahoma"/>
          <w:szCs w:val="24"/>
          <w:lang w:val="en-US"/>
        </w:rPr>
        <w:t>whg</w:t>
      </w:r>
      <w:proofErr w:type="spellEnd"/>
      <w:r w:rsidRPr="00B261C2">
        <w:rPr>
          <w:rFonts w:cs="Tahoma"/>
          <w:szCs w:val="24"/>
          <w:lang w:val="en-US"/>
        </w:rPr>
        <w:t xml:space="preserve"> currently has 1</w:t>
      </w:r>
      <w:r w:rsidR="00B22894">
        <w:rPr>
          <w:rFonts w:cs="Tahoma"/>
          <w:szCs w:val="24"/>
          <w:lang w:val="en-US"/>
        </w:rPr>
        <w:t>8</w:t>
      </w:r>
      <w:r w:rsidRPr="00B261C2">
        <w:rPr>
          <w:rFonts w:cs="Tahoma"/>
          <w:szCs w:val="24"/>
          <w:lang w:val="en-US"/>
        </w:rPr>
        <w:t xml:space="preserve"> high rise blocks</w:t>
      </w:r>
      <w:r w:rsidR="00B22894">
        <w:rPr>
          <w:rFonts w:cs="Tahoma"/>
          <w:szCs w:val="24"/>
          <w:lang w:val="en-US"/>
        </w:rPr>
        <w:t xml:space="preserve"> -</w:t>
      </w:r>
      <w:r w:rsidRPr="00B261C2">
        <w:rPr>
          <w:rFonts w:cs="Tahoma"/>
          <w:szCs w:val="24"/>
          <w:lang w:val="en-US"/>
        </w:rPr>
        <w:t xml:space="preserve"> ranging between 7 and 18 floors</w:t>
      </w:r>
    </w:p>
    <w:p w14:paraId="0E6D1FE7" w14:textId="3FDB7180" w:rsidR="00B261C2" w:rsidRDefault="00B1006C" w:rsidP="00B261C2">
      <w:pPr>
        <w:pStyle w:val="ListParagraph"/>
        <w:numPr>
          <w:ilvl w:val="0"/>
          <w:numId w:val="6"/>
        </w:numPr>
        <w:jc w:val="both"/>
        <w:rPr>
          <w:rFonts w:cs="Tahoma"/>
          <w:szCs w:val="24"/>
          <w:lang w:val="en-US"/>
        </w:rPr>
      </w:pPr>
      <w:r>
        <w:rPr>
          <w:rFonts w:cs="Tahoma"/>
          <w:szCs w:val="24"/>
          <w:lang w:val="en-US"/>
        </w:rPr>
        <w:t xml:space="preserve">831 </w:t>
      </w:r>
      <w:r w:rsidR="00B261C2">
        <w:rPr>
          <w:rFonts w:cs="Tahoma"/>
          <w:szCs w:val="24"/>
          <w:lang w:val="en-US"/>
        </w:rPr>
        <w:t>lo</w:t>
      </w:r>
      <w:r w:rsidR="002A13EF">
        <w:rPr>
          <w:rFonts w:cs="Tahoma"/>
          <w:szCs w:val="24"/>
          <w:lang w:val="en-US"/>
        </w:rPr>
        <w:t>w</w:t>
      </w:r>
      <w:r w:rsidR="00B261C2">
        <w:rPr>
          <w:rFonts w:cs="Tahoma"/>
          <w:szCs w:val="24"/>
          <w:lang w:val="en-US"/>
        </w:rPr>
        <w:t xml:space="preserve"> rise schemes</w:t>
      </w:r>
    </w:p>
    <w:p w14:paraId="49E4436A" w14:textId="111BBF04" w:rsidR="00B261C2" w:rsidRDefault="00B22894" w:rsidP="00B261C2">
      <w:pPr>
        <w:pStyle w:val="ListParagraph"/>
        <w:numPr>
          <w:ilvl w:val="0"/>
          <w:numId w:val="6"/>
        </w:numPr>
        <w:jc w:val="both"/>
        <w:rPr>
          <w:rFonts w:cs="Tahoma"/>
          <w:szCs w:val="24"/>
          <w:lang w:val="en-US"/>
        </w:rPr>
      </w:pPr>
      <w:r>
        <w:rPr>
          <w:rFonts w:cs="Tahoma"/>
          <w:szCs w:val="24"/>
          <w:lang w:val="en-US"/>
        </w:rPr>
        <w:t>5</w:t>
      </w:r>
      <w:r w:rsidR="00B261C2">
        <w:rPr>
          <w:rFonts w:cs="Tahoma"/>
          <w:szCs w:val="24"/>
          <w:lang w:val="en-US"/>
        </w:rPr>
        <w:t xml:space="preserve"> wellbeing schemes</w:t>
      </w:r>
    </w:p>
    <w:p w14:paraId="185BDB23" w14:textId="2CF71F41" w:rsidR="00B261C2" w:rsidRPr="00B261C2" w:rsidRDefault="00B261C2" w:rsidP="00B261C2">
      <w:pPr>
        <w:pStyle w:val="ListParagraph"/>
        <w:numPr>
          <w:ilvl w:val="0"/>
          <w:numId w:val="6"/>
        </w:numPr>
        <w:jc w:val="both"/>
        <w:rPr>
          <w:rFonts w:cs="Tahoma"/>
          <w:szCs w:val="24"/>
          <w:lang w:val="en-US"/>
        </w:rPr>
      </w:pPr>
      <w:r>
        <w:rPr>
          <w:rFonts w:cs="Tahoma"/>
          <w:szCs w:val="24"/>
          <w:lang w:val="en-US"/>
        </w:rPr>
        <w:t>2 offices sites</w:t>
      </w:r>
    </w:p>
    <w:p w14:paraId="26EBDE9D" w14:textId="1070F8B0" w:rsidR="000A3578" w:rsidRDefault="002E045D" w:rsidP="002C7157">
      <w:pPr>
        <w:jc w:val="both"/>
        <w:rPr>
          <w:rFonts w:cs="Tahoma"/>
          <w:szCs w:val="24"/>
          <w:lang w:val="en-US"/>
        </w:rPr>
      </w:pPr>
      <w:proofErr w:type="spellStart"/>
      <w:r w:rsidRPr="002E045D">
        <w:rPr>
          <w:rFonts w:cs="Tahoma"/>
          <w:szCs w:val="24"/>
          <w:lang w:val="en-US"/>
        </w:rPr>
        <w:t>whg’s</w:t>
      </w:r>
      <w:proofErr w:type="spellEnd"/>
      <w:r w:rsidRPr="002E045D">
        <w:rPr>
          <w:rFonts w:cs="Tahoma"/>
          <w:szCs w:val="24"/>
          <w:lang w:val="en-US"/>
        </w:rPr>
        <w:t xml:space="preserve"> schemes </w:t>
      </w:r>
      <w:r w:rsidR="00881A7B">
        <w:rPr>
          <w:rFonts w:cs="Tahoma"/>
          <w:szCs w:val="24"/>
          <w:lang w:val="en-US"/>
        </w:rPr>
        <w:t xml:space="preserve">and offices </w:t>
      </w:r>
      <w:r w:rsidRPr="002E045D">
        <w:rPr>
          <w:rFonts w:cs="Tahoma"/>
          <w:szCs w:val="24"/>
          <w:lang w:val="en-US"/>
        </w:rPr>
        <w:t>are</w:t>
      </w:r>
      <w:r w:rsidR="002C7157" w:rsidRPr="002E045D">
        <w:rPr>
          <w:rFonts w:cs="Tahoma"/>
          <w:szCs w:val="24"/>
          <w:lang w:val="en-US"/>
        </w:rPr>
        <w:t xml:space="preserve"> located predominantly in the local authority area of </w:t>
      </w:r>
      <w:proofErr w:type="spellStart"/>
      <w:r w:rsidR="002C7157" w:rsidRPr="002E045D">
        <w:rPr>
          <w:rFonts w:cs="Tahoma"/>
          <w:szCs w:val="24"/>
          <w:lang w:val="en-US"/>
        </w:rPr>
        <w:t>Walsall</w:t>
      </w:r>
      <w:proofErr w:type="spellEnd"/>
      <w:r w:rsidR="002C7157" w:rsidRPr="002E045D">
        <w:rPr>
          <w:rFonts w:cs="Tahoma"/>
          <w:szCs w:val="24"/>
          <w:lang w:val="en-US"/>
        </w:rPr>
        <w:t xml:space="preserve"> </w:t>
      </w:r>
      <w:r w:rsidR="009B5F45" w:rsidRPr="002E045D">
        <w:rPr>
          <w:rFonts w:cs="Tahoma"/>
          <w:szCs w:val="24"/>
          <w:lang w:val="en-US"/>
        </w:rPr>
        <w:t xml:space="preserve">but also includes </w:t>
      </w:r>
      <w:r w:rsidR="000A3578" w:rsidRPr="002E045D">
        <w:rPr>
          <w:rFonts w:cs="Tahoma"/>
          <w:szCs w:val="24"/>
          <w:lang w:val="en-US"/>
        </w:rPr>
        <w:t>an</w:t>
      </w:r>
      <w:r w:rsidR="009B5F45" w:rsidRPr="002E045D">
        <w:rPr>
          <w:rFonts w:cs="Tahoma"/>
          <w:szCs w:val="24"/>
          <w:lang w:val="en-US"/>
        </w:rPr>
        <w:t xml:space="preserve">other </w:t>
      </w:r>
      <w:r w:rsidR="000A3578" w:rsidRPr="002E045D">
        <w:rPr>
          <w:rFonts w:cs="Tahoma"/>
          <w:szCs w:val="24"/>
          <w:lang w:val="en-US"/>
        </w:rPr>
        <w:t>1</w:t>
      </w:r>
      <w:r w:rsidR="00135F42">
        <w:rPr>
          <w:rFonts w:cs="Tahoma"/>
          <w:szCs w:val="24"/>
          <w:lang w:val="en-US"/>
        </w:rPr>
        <w:t>7</w:t>
      </w:r>
      <w:r w:rsidR="000A3578" w:rsidRPr="002E045D">
        <w:rPr>
          <w:rFonts w:cs="Tahoma"/>
          <w:szCs w:val="24"/>
          <w:lang w:val="en-US"/>
        </w:rPr>
        <w:t xml:space="preserve"> </w:t>
      </w:r>
      <w:r w:rsidR="009B5F45" w:rsidRPr="002E045D">
        <w:rPr>
          <w:rFonts w:cs="Tahoma"/>
          <w:szCs w:val="24"/>
          <w:lang w:val="en-US"/>
        </w:rPr>
        <w:t>local authority areas in the Midlands.</w:t>
      </w:r>
      <w:r w:rsidR="008E4C52">
        <w:rPr>
          <w:rFonts w:cs="Tahoma"/>
          <w:szCs w:val="24"/>
          <w:lang w:val="en-US"/>
        </w:rPr>
        <w:t xml:space="preserve"> Currently schemes for the Communal Cleaning Services can be found in 11 of those other local authorities.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000"/>
      </w:tblGrid>
      <w:tr w:rsidR="002F18A3" w14:paraId="6D541D5E" w14:textId="77777777" w:rsidTr="000B3F7E">
        <w:trPr>
          <w:trHeight w:val="369"/>
        </w:trPr>
        <w:tc>
          <w:tcPr>
            <w:tcW w:w="4508" w:type="dxa"/>
          </w:tcPr>
          <w:p w14:paraId="1966BFD6" w14:textId="77777777" w:rsidR="002F18A3" w:rsidRPr="000B3F7E" w:rsidRDefault="002F18A3" w:rsidP="000B3F7E">
            <w:pPr>
              <w:rPr>
                <w:rFonts w:cs="Tahoma"/>
                <w:b/>
                <w:bCs/>
                <w:szCs w:val="24"/>
                <w:lang w:val="en-US"/>
              </w:rPr>
            </w:pPr>
            <w:r w:rsidRPr="000B3F7E">
              <w:rPr>
                <w:rFonts w:cs="Tahoma"/>
                <w:b/>
                <w:bCs/>
                <w:szCs w:val="24"/>
                <w:lang w:val="en-US"/>
              </w:rPr>
              <w:t>Local Authority Area</w:t>
            </w:r>
          </w:p>
        </w:tc>
        <w:tc>
          <w:tcPr>
            <w:tcW w:w="3000" w:type="dxa"/>
          </w:tcPr>
          <w:p w14:paraId="15DA2898" w14:textId="77777777" w:rsidR="002F18A3" w:rsidRPr="000B3F7E" w:rsidRDefault="002F18A3" w:rsidP="000B3F7E">
            <w:pPr>
              <w:jc w:val="center"/>
              <w:rPr>
                <w:rFonts w:cs="Tahoma"/>
                <w:b/>
                <w:bCs/>
                <w:szCs w:val="24"/>
                <w:lang w:val="en-US"/>
              </w:rPr>
            </w:pPr>
            <w:r w:rsidRPr="000B3F7E">
              <w:rPr>
                <w:rFonts w:cs="Tahoma"/>
                <w:b/>
                <w:bCs/>
                <w:szCs w:val="24"/>
                <w:lang w:val="en-US"/>
              </w:rPr>
              <w:t>Number of blocks</w:t>
            </w:r>
          </w:p>
        </w:tc>
      </w:tr>
      <w:tr w:rsidR="002F18A3" w14:paraId="41C7A101" w14:textId="77777777" w:rsidTr="00C2195B">
        <w:tc>
          <w:tcPr>
            <w:tcW w:w="4508" w:type="dxa"/>
          </w:tcPr>
          <w:p w14:paraId="4EF78A4C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Birmingham</w:t>
            </w:r>
          </w:p>
        </w:tc>
        <w:tc>
          <w:tcPr>
            <w:tcW w:w="3000" w:type="dxa"/>
          </w:tcPr>
          <w:p w14:paraId="098155DC" w14:textId="77777777" w:rsidR="002F18A3" w:rsidRDefault="002F18A3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1</w:t>
            </w:r>
          </w:p>
        </w:tc>
      </w:tr>
      <w:tr w:rsidR="002F18A3" w14:paraId="0FCED15B" w14:textId="77777777" w:rsidTr="00C2195B">
        <w:tc>
          <w:tcPr>
            <w:tcW w:w="4508" w:type="dxa"/>
          </w:tcPr>
          <w:p w14:paraId="2278732A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Bromsgrove</w:t>
            </w:r>
          </w:p>
        </w:tc>
        <w:tc>
          <w:tcPr>
            <w:tcW w:w="3000" w:type="dxa"/>
          </w:tcPr>
          <w:p w14:paraId="01E6D6E5" w14:textId="77777777" w:rsidR="002F18A3" w:rsidRDefault="002F18A3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2</w:t>
            </w:r>
          </w:p>
        </w:tc>
      </w:tr>
      <w:tr w:rsidR="002F18A3" w14:paraId="2E1D80FB" w14:textId="77777777" w:rsidTr="00C2195B">
        <w:tc>
          <w:tcPr>
            <w:tcW w:w="4508" w:type="dxa"/>
          </w:tcPr>
          <w:p w14:paraId="0C425273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proofErr w:type="spellStart"/>
            <w:r>
              <w:rPr>
                <w:rFonts w:cs="Tahoma"/>
                <w:szCs w:val="24"/>
                <w:lang w:val="en-US"/>
              </w:rPr>
              <w:t>Cannock</w:t>
            </w:r>
            <w:proofErr w:type="spellEnd"/>
          </w:p>
        </w:tc>
        <w:tc>
          <w:tcPr>
            <w:tcW w:w="3000" w:type="dxa"/>
          </w:tcPr>
          <w:p w14:paraId="6761CDB5" w14:textId="77777777" w:rsidR="002F18A3" w:rsidRDefault="002F18A3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4</w:t>
            </w:r>
          </w:p>
        </w:tc>
      </w:tr>
      <w:tr w:rsidR="002F18A3" w14:paraId="1256D6E6" w14:textId="77777777" w:rsidTr="00C2195B">
        <w:tc>
          <w:tcPr>
            <w:tcW w:w="4508" w:type="dxa"/>
          </w:tcPr>
          <w:p w14:paraId="771B8BA3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Droitwich</w:t>
            </w:r>
          </w:p>
        </w:tc>
        <w:tc>
          <w:tcPr>
            <w:tcW w:w="3000" w:type="dxa"/>
          </w:tcPr>
          <w:p w14:paraId="76C8D9C2" w14:textId="77777777" w:rsidR="002F18A3" w:rsidRDefault="002F18A3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1</w:t>
            </w:r>
          </w:p>
        </w:tc>
      </w:tr>
      <w:tr w:rsidR="002F18A3" w14:paraId="3EC9EE78" w14:textId="77777777" w:rsidTr="00C2195B">
        <w:tc>
          <w:tcPr>
            <w:tcW w:w="4508" w:type="dxa"/>
          </w:tcPr>
          <w:p w14:paraId="287EECEE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Dudley</w:t>
            </w:r>
          </w:p>
        </w:tc>
        <w:tc>
          <w:tcPr>
            <w:tcW w:w="3000" w:type="dxa"/>
          </w:tcPr>
          <w:p w14:paraId="285422DB" w14:textId="77777777" w:rsidR="002F18A3" w:rsidRDefault="002F18A3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3</w:t>
            </w:r>
          </w:p>
        </w:tc>
      </w:tr>
      <w:tr w:rsidR="002F18A3" w14:paraId="7EEE74D5" w14:textId="77777777" w:rsidTr="00C2195B">
        <w:tc>
          <w:tcPr>
            <w:tcW w:w="4508" w:type="dxa"/>
          </w:tcPr>
          <w:p w14:paraId="18E670C5" w14:textId="41A35ECC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proofErr w:type="spellStart"/>
            <w:r>
              <w:rPr>
                <w:rFonts w:cs="Tahoma"/>
                <w:szCs w:val="24"/>
                <w:lang w:val="en-US"/>
              </w:rPr>
              <w:t>Lichfield</w:t>
            </w:r>
            <w:proofErr w:type="spellEnd"/>
            <w:r>
              <w:rPr>
                <w:rFonts w:cs="Tahoma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="Tahoma"/>
                <w:szCs w:val="24"/>
                <w:lang w:val="en-US"/>
              </w:rPr>
              <w:t>Streethay</w:t>
            </w:r>
            <w:proofErr w:type="spellEnd"/>
            <w:r>
              <w:rPr>
                <w:rFonts w:cs="Tahoma"/>
                <w:szCs w:val="24"/>
                <w:lang w:val="en-US"/>
              </w:rPr>
              <w:t>)</w:t>
            </w:r>
          </w:p>
        </w:tc>
        <w:tc>
          <w:tcPr>
            <w:tcW w:w="3000" w:type="dxa"/>
          </w:tcPr>
          <w:p w14:paraId="5B81001E" w14:textId="337892B3" w:rsidR="002F18A3" w:rsidRDefault="002F18A3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1</w:t>
            </w:r>
          </w:p>
        </w:tc>
      </w:tr>
      <w:tr w:rsidR="002F18A3" w14:paraId="12A82085" w14:textId="77777777" w:rsidTr="00C2195B">
        <w:tc>
          <w:tcPr>
            <w:tcW w:w="4508" w:type="dxa"/>
          </w:tcPr>
          <w:p w14:paraId="61FBCBDC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Stafford</w:t>
            </w:r>
          </w:p>
        </w:tc>
        <w:tc>
          <w:tcPr>
            <w:tcW w:w="3000" w:type="dxa"/>
          </w:tcPr>
          <w:p w14:paraId="13C89FD3" w14:textId="70BCD90B" w:rsidR="002F18A3" w:rsidRDefault="005A2A61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2</w:t>
            </w:r>
          </w:p>
        </w:tc>
      </w:tr>
      <w:tr w:rsidR="002F18A3" w14:paraId="69E1DFD0" w14:textId="77777777" w:rsidTr="00C2195B">
        <w:tc>
          <w:tcPr>
            <w:tcW w:w="4508" w:type="dxa"/>
          </w:tcPr>
          <w:p w14:paraId="382DB5BA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Tamworth </w:t>
            </w:r>
          </w:p>
        </w:tc>
        <w:tc>
          <w:tcPr>
            <w:tcW w:w="3000" w:type="dxa"/>
          </w:tcPr>
          <w:p w14:paraId="4CA17A69" w14:textId="17DF76B5" w:rsidR="002F18A3" w:rsidRDefault="005A2A61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1</w:t>
            </w:r>
          </w:p>
        </w:tc>
      </w:tr>
      <w:tr w:rsidR="005A2A61" w14:paraId="309A7422" w14:textId="77777777" w:rsidTr="00C2195B">
        <w:tc>
          <w:tcPr>
            <w:tcW w:w="4508" w:type="dxa"/>
          </w:tcPr>
          <w:p w14:paraId="7D371978" w14:textId="706A4AFB" w:rsidR="005A2A61" w:rsidRDefault="005A2A61" w:rsidP="00C2195B">
            <w:pPr>
              <w:jc w:val="both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Telford</w:t>
            </w:r>
          </w:p>
        </w:tc>
        <w:tc>
          <w:tcPr>
            <w:tcW w:w="3000" w:type="dxa"/>
          </w:tcPr>
          <w:p w14:paraId="45D8FE24" w14:textId="38CB7160" w:rsidR="005A2A61" w:rsidRDefault="005A2A61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2</w:t>
            </w:r>
          </w:p>
        </w:tc>
      </w:tr>
      <w:tr w:rsidR="002F18A3" w14:paraId="02097D6D" w14:textId="77777777" w:rsidTr="00C2195B">
        <w:tc>
          <w:tcPr>
            <w:tcW w:w="4508" w:type="dxa"/>
          </w:tcPr>
          <w:p w14:paraId="19542E51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proofErr w:type="spellStart"/>
            <w:r>
              <w:rPr>
                <w:rFonts w:cs="Tahoma"/>
                <w:szCs w:val="24"/>
                <w:lang w:val="en-US"/>
              </w:rPr>
              <w:t>Walsall</w:t>
            </w:r>
            <w:proofErr w:type="spellEnd"/>
          </w:p>
        </w:tc>
        <w:tc>
          <w:tcPr>
            <w:tcW w:w="3000" w:type="dxa"/>
          </w:tcPr>
          <w:p w14:paraId="4D81A7A7" w14:textId="27867AC5" w:rsidR="002F18A3" w:rsidRDefault="005A2A61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807</w:t>
            </w:r>
          </w:p>
        </w:tc>
      </w:tr>
      <w:tr w:rsidR="002F18A3" w14:paraId="43F218E5" w14:textId="77777777" w:rsidTr="00C2195B">
        <w:tc>
          <w:tcPr>
            <w:tcW w:w="4508" w:type="dxa"/>
          </w:tcPr>
          <w:p w14:paraId="27D4D0C2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Wolverhampton</w:t>
            </w:r>
          </w:p>
        </w:tc>
        <w:tc>
          <w:tcPr>
            <w:tcW w:w="3000" w:type="dxa"/>
          </w:tcPr>
          <w:p w14:paraId="2A596E88" w14:textId="40122C83" w:rsidR="002F18A3" w:rsidRDefault="005A2A61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6</w:t>
            </w:r>
          </w:p>
        </w:tc>
      </w:tr>
      <w:tr w:rsidR="002F18A3" w14:paraId="3B6C97EF" w14:textId="77777777" w:rsidTr="00C2195B">
        <w:tc>
          <w:tcPr>
            <w:tcW w:w="4508" w:type="dxa"/>
          </w:tcPr>
          <w:p w14:paraId="39B1D997" w14:textId="77777777" w:rsidR="002F18A3" w:rsidRDefault="002F18A3" w:rsidP="00C2195B">
            <w:pPr>
              <w:jc w:val="both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 xml:space="preserve">Worcestershire </w:t>
            </w:r>
          </w:p>
        </w:tc>
        <w:tc>
          <w:tcPr>
            <w:tcW w:w="3000" w:type="dxa"/>
          </w:tcPr>
          <w:p w14:paraId="76F54BDF" w14:textId="14426B85" w:rsidR="002F18A3" w:rsidRDefault="005A2A61" w:rsidP="00C2195B">
            <w:pPr>
              <w:jc w:val="center"/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1</w:t>
            </w:r>
          </w:p>
        </w:tc>
      </w:tr>
    </w:tbl>
    <w:p w14:paraId="15CDD9EF" w14:textId="152E5BB3" w:rsidR="002F18A3" w:rsidRDefault="002F18A3" w:rsidP="002C7157">
      <w:pPr>
        <w:jc w:val="both"/>
        <w:rPr>
          <w:rFonts w:cs="Tahoma"/>
          <w:szCs w:val="24"/>
          <w:lang w:val="en-US"/>
        </w:rPr>
      </w:pPr>
    </w:p>
    <w:p w14:paraId="13147723" w14:textId="67D5D42B" w:rsidR="002C7157" w:rsidRPr="002E045D" w:rsidRDefault="002C7157" w:rsidP="002C7157">
      <w:pPr>
        <w:jc w:val="both"/>
        <w:rPr>
          <w:rFonts w:cs="Tahoma"/>
          <w:szCs w:val="24"/>
          <w:lang w:val="en-US"/>
        </w:rPr>
      </w:pPr>
      <w:r w:rsidRPr="002E045D">
        <w:rPr>
          <w:rFonts w:cs="Tahoma"/>
          <w:szCs w:val="24"/>
          <w:lang w:val="en-US"/>
        </w:rPr>
        <w:t xml:space="preserve">As </w:t>
      </w:r>
      <w:proofErr w:type="spellStart"/>
      <w:r w:rsidRPr="002E045D">
        <w:rPr>
          <w:rFonts w:cs="Tahoma"/>
          <w:szCs w:val="24"/>
          <w:lang w:val="en-US"/>
        </w:rPr>
        <w:t>whg</w:t>
      </w:r>
      <w:proofErr w:type="spellEnd"/>
      <w:r w:rsidRPr="002E045D">
        <w:rPr>
          <w:rFonts w:cs="Tahoma"/>
          <w:szCs w:val="24"/>
          <w:lang w:val="en-US"/>
        </w:rPr>
        <w:t xml:space="preserve"> continues to grow</w:t>
      </w:r>
      <w:r w:rsidR="002E045D">
        <w:rPr>
          <w:rFonts w:cs="Tahoma"/>
          <w:szCs w:val="24"/>
          <w:lang w:val="en-US"/>
        </w:rPr>
        <w:t xml:space="preserve"> and evolve</w:t>
      </w:r>
      <w:r w:rsidRPr="002E045D">
        <w:rPr>
          <w:rFonts w:cs="Tahoma"/>
          <w:szCs w:val="24"/>
          <w:lang w:val="en-US"/>
        </w:rPr>
        <w:t xml:space="preserve">, the </w:t>
      </w:r>
      <w:r w:rsidR="000A3578" w:rsidRPr="002E045D">
        <w:rPr>
          <w:rFonts w:cs="Tahoma"/>
          <w:szCs w:val="24"/>
          <w:lang w:val="en-US"/>
        </w:rPr>
        <w:t xml:space="preserve">new contract shall need to meet the needs of </w:t>
      </w:r>
      <w:proofErr w:type="spellStart"/>
      <w:r w:rsidR="000A3578" w:rsidRPr="002E045D">
        <w:rPr>
          <w:rFonts w:cs="Tahoma"/>
          <w:szCs w:val="24"/>
          <w:lang w:val="en-US"/>
        </w:rPr>
        <w:t>whg</w:t>
      </w:r>
      <w:proofErr w:type="spellEnd"/>
      <w:r w:rsidR="000A3578" w:rsidRPr="002E045D">
        <w:rPr>
          <w:rFonts w:cs="Tahoma"/>
          <w:szCs w:val="24"/>
          <w:lang w:val="en-US"/>
        </w:rPr>
        <w:t xml:space="preserve"> in terms of scale as </w:t>
      </w:r>
      <w:r w:rsidR="00CD3288">
        <w:rPr>
          <w:rFonts w:cs="Tahoma"/>
          <w:szCs w:val="24"/>
          <w:lang w:val="en-US"/>
        </w:rPr>
        <w:t xml:space="preserve">it increases </w:t>
      </w:r>
      <w:r w:rsidR="000A3578" w:rsidRPr="002E045D">
        <w:rPr>
          <w:rFonts w:cs="Tahoma"/>
          <w:szCs w:val="24"/>
          <w:lang w:val="en-US"/>
        </w:rPr>
        <w:t>its property stock volumes across the Midlands area</w:t>
      </w:r>
      <w:r w:rsidR="002E045D">
        <w:rPr>
          <w:rFonts w:cs="Tahoma"/>
          <w:szCs w:val="24"/>
          <w:lang w:val="en-US"/>
        </w:rPr>
        <w:t xml:space="preserve"> and in addition support and enable its </w:t>
      </w:r>
      <w:r w:rsidR="00881A7B">
        <w:rPr>
          <w:rFonts w:cs="Tahoma"/>
          <w:szCs w:val="24"/>
          <w:lang w:val="en-US"/>
        </w:rPr>
        <w:t xml:space="preserve">environmental and sustainable </w:t>
      </w:r>
      <w:r w:rsidR="002E045D">
        <w:rPr>
          <w:rFonts w:cs="Tahoma"/>
          <w:szCs w:val="24"/>
          <w:lang w:val="en-US"/>
        </w:rPr>
        <w:t>strategy.</w:t>
      </w:r>
    </w:p>
    <w:p w14:paraId="768F53FB" w14:textId="2F922442" w:rsidR="002C7157" w:rsidRPr="002E045D" w:rsidRDefault="000A3578" w:rsidP="000A3578">
      <w:pPr>
        <w:jc w:val="both"/>
        <w:rPr>
          <w:rFonts w:cs="Tahoma"/>
          <w:szCs w:val="24"/>
        </w:rPr>
      </w:pPr>
      <w:r w:rsidRPr="002E045D">
        <w:rPr>
          <w:rFonts w:cs="Tahoma"/>
          <w:szCs w:val="24"/>
        </w:rPr>
        <w:t>Service provision shall include r</w:t>
      </w:r>
      <w:r w:rsidR="002C7157" w:rsidRPr="002E045D">
        <w:rPr>
          <w:rFonts w:cs="Tahoma"/>
          <w:szCs w:val="24"/>
        </w:rPr>
        <w:t xml:space="preserve">outine </w:t>
      </w:r>
      <w:r w:rsidR="00881A7B">
        <w:rPr>
          <w:rFonts w:cs="Tahoma"/>
          <w:szCs w:val="24"/>
        </w:rPr>
        <w:t xml:space="preserve">communal cleaning </w:t>
      </w:r>
      <w:r w:rsidRPr="002E045D">
        <w:rPr>
          <w:rFonts w:cs="Tahoma"/>
          <w:szCs w:val="24"/>
        </w:rPr>
        <w:t xml:space="preserve">services </w:t>
      </w:r>
      <w:r w:rsidRPr="002E045D">
        <w:rPr>
          <w:rFonts w:cs="Tahoma"/>
          <w:szCs w:val="24"/>
          <w:lang w:val="en-US"/>
        </w:rPr>
        <w:t>comprising of core tasks</w:t>
      </w:r>
      <w:r w:rsidRPr="002E045D">
        <w:rPr>
          <w:rFonts w:cs="Tahoma"/>
          <w:szCs w:val="24"/>
        </w:rPr>
        <w:t xml:space="preserve"> and potentially reactive service provision. Reactive service provision could include t</w:t>
      </w:r>
      <w:r w:rsidR="002C7157" w:rsidRPr="002E045D">
        <w:rPr>
          <w:rFonts w:cs="Tahoma"/>
          <w:szCs w:val="24"/>
        </w:rPr>
        <w:t xml:space="preserve">he undertaking of </w:t>
      </w:r>
      <w:r w:rsidRPr="002E045D">
        <w:rPr>
          <w:rFonts w:cs="Tahoma"/>
          <w:szCs w:val="24"/>
        </w:rPr>
        <w:t>o</w:t>
      </w:r>
      <w:r w:rsidR="002C7157" w:rsidRPr="002E045D">
        <w:rPr>
          <w:rFonts w:cs="Tahoma"/>
          <w:szCs w:val="24"/>
        </w:rPr>
        <w:t>ptional</w:t>
      </w:r>
      <w:r w:rsidRPr="002E045D">
        <w:rPr>
          <w:rFonts w:cs="Tahoma"/>
          <w:szCs w:val="24"/>
        </w:rPr>
        <w:t xml:space="preserve"> associated t</w:t>
      </w:r>
      <w:r w:rsidR="002C7157" w:rsidRPr="002E045D">
        <w:rPr>
          <w:rFonts w:cs="Tahoma"/>
          <w:szCs w:val="24"/>
        </w:rPr>
        <w:t xml:space="preserve">asks </w:t>
      </w:r>
      <w:r w:rsidRPr="002E045D">
        <w:rPr>
          <w:rFonts w:cs="Tahoma"/>
          <w:szCs w:val="24"/>
        </w:rPr>
        <w:t xml:space="preserve">ad-hoc as required by </w:t>
      </w:r>
      <w:proofErr w:type="spellStart"/>
      <w:r w:rsidRPr="002E045D">
        <w:rPr>
          <w:rFonts w:cs="Tahoma"/>
          <w:szCs w:val="24"/>
        </w:rPr>
        <w:t>whg</w:t>
      </w:r>
      <w:proofErr w:type="spellEnd"/>
      <w:r w:rsidRPr="002E045D">
        <w:rPr>
          <w:rFonts w:cs="Tahoma"/>
          <w:szCs w:val="24"/>
        </w:rPr>
        <w:t>.</w:t>
      </w:r>
      <w:r w:rsidR="002C7157" w:rsidRPr="002E045D">
        <w:rPr>
          <w:rFonts w:cs="Tahoma"/>
          <w:szCs w:val="24"/>
        </w:rPr>
        <w:t xml:space="preserve"> </w:t>
      </w:r>
    </w:p>
    <w:p w14:paraId="33576ED8" w14:textId="77777777" w:rsidR="002E045D" w:rsidRPr="002E045D" w:rsidRDefault="002E045D" w:rsidP="002E045D">
      <w:pPr>
        <w:pStyle w:val="BodyText2"/>
        <w:tabs>
          <w:tab w:val="left" w:pos="990"/>
        </w:tabs>
        <w:ind w:left="990" w:hanging="990"/>
        <w:rPr>
          <w:rFonts w:cs="Arial"/>
          <w:i w:val="0"/>
          <w:iCs/>
          <w:sz w:val="24"/>
          <w:szCs w:val="24"/>
        </w:rPr>
      </w:pPr>
      <w:r w:rsidRPr="002E045D">
        <w:rPr>
          <w:rFonts w:cs="Arial"/>
          <w:i w:val="0"/>
          <w:sz w:val="24"/>
          <w:szCs w:val="24"/>
        </w:rPr>
        <w:lastRenderedPageBreak/>
        <w:t xml:space="preserve">Core Tasks </w:t>
      </w:r>
    </w:p>
    <w:p w14:paraId="10A14968" w14:textId="77777777" w:rsidR="007C58AD" w:rsidRPr="00301E29" w:rsidRDefault="007C58AD" w:rsidP="007C58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301E29">
        <w:rPr>
          <w:rFonts w:cs="Tahoma"/>
        </w:rPr>
        <w:t>Communal Entrances, Exits, Doors, Door Glass, Door Mats</w:t>
      </w:r>
    </w:p>
    <w:p w14:paraId="1689DC59" w14:textId="77777777" w:rsidR="007C58AD" w:rsidRPr="00301E29" w:rsidRDefault="007C58AD" w:rsidP="007C58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301E29">
        <w:rPr>
          <w:rFonts w:cs="Tahoma"/>
        </w:rPr>
        <w:t>Communal Floors, Landings, Hallways and External Areas to Entrances</w:t>
      </w:r>
    </w:p>
    <w:p w14:paraId="41D6F356" w14:textId="77777777" w:rsidR="007C58AD" w:rsidRPr="00301E29" w:rsidRDefault="007C58AD" w:rsidP="007C58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301E29">
        <w:rPr>
          <w:rFonts w:cs="Tahoma"/>
        </w:rPr>
        <w:t xml:space="preserve">Communal Stairs (including underneath staircases where applicable) </w:t>
      </w:r>
    </w:p>
    <w:p w14:paraId="6E41FC23" w14:textId="20BFEA7B" w:rsidR="007C58AD" w:rsidRDefault="007C58AD" w:rsidP="007C58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301E29">
        <w:rPr>
          <w:rFonts w:cs="Tahoma"/>
        </w:rPr>
        <w:t>Communal Windows</w:t>
      </w:r>
    </w:p>
    <w:p w14:paraId="7D932BF3" w14:textId="31C5FDD9" w:rsidR="00B1006C" w:rsidRPr="00301E29" w:rsidRDefault="00B1006C" w:rsidP="007C58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All external windows on post 2020 blocks </w:t>
      </w:r>
    </w:p>
    <w:p w14:paraId="7472B902" w14:textId="77777777" w:rsidR="007C58AD" w:rsidRPr="00301E29" w:rsidRDefault="007C58AD" w:rsidP="007C58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301E29">
        <w:rPr>
          <w:rFonts w:cs="Tahoma"/>
        </w:rPr>
        <w:t>Communal Walls, Woodwork, Ceilings, Light Fittings, Sockets, Skirting Boards, Ledges, Switches and Panels etc.,</w:t>
      </w:r>
    </w:p>
    <w:p w14:paraId="703069F3" w14:textId="77777777" w:rsidR="007C58AD" w:rsidRPr="00301E29" w:rsidRDefault="007C58AD" w:rsidP="007C58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301E29">
        <w:rPr>
          <w:rFonts w:cs="Tahoma"/>
        </w:rPr>
        <w:t>Bin Rooms and Dumped Rubbish generally</w:t>
      </w:r>
    </w:p>
    <w:p w14:paraId="0C5D8298" w14:textId="77777777" w:rsidR="007C58AD" w:rsidRPr="00301E29" w:rsidRDefault="007C58AD" w:rsidP="007C58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301E29">
        <w:rPr>
          <w:rFonts w:cs="Tahoma"/>
        </w:rPr>
        <w:t>Miscellaneous Items</w:t>
      </w:r>
    </w:p>
    <w:p w14:paraId="7A67C9AC" w14:textId="77777777" w:rsidR="007C58AD" w:rsidRPr="00301E29" w:rsidRDefault="007C58AD" w:rsidP="007C58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301E29">
        <w:rPr>
          <w:rFonts w:cs="Tahoma"/>
        </w:rPr>
        <w:t>Offices</w:t>
      </w:r>
    </w:p>
    <w:p w14:paraId="2DF0BC5F" w14:textId="77777777" w:rsidR="002E045D" w:rsidRPr="002E045D" w:rsidRDefault="002E045D" w:rsidP="002E045D">
      <w:pPr>
        <w:widowControl w:val="0"/>
        <w:spacing w:after="0" w:line="240" w:lineRule="auto"/>
        <w:jc w:val="both"/>
        <w:rPr>
          <w:rFonts w:cs="Arial"/>
          <w:szCs w:val="24"/>
        </w:rPr>
      </w:pPr>
    </w:p>
    <w:p w14:paraId="08C2F6DB" w14:textId="77777777" w:rsidR="002E045D" w:rsidRPr="002E045D" w:rsidRDefault="002E045D" w:rsidP="002E045D">
      <w:pPr>
        <w:widowControl w:val="0"/>
        <w:spacing w:after="0" w:line="240" w:lineRule="auto"/>
        <w:jc w:val="both"/>
        <w:rPr>
          <w:rFonts w:cs="Arial"/>
          <w:szCs w:val="24"/>
        </w:rPr>
      </w:pPr>
    </w:p>
    <w:p w14:paraId="3E4F8FAC" w14:textId="77777777" w:rsidR="002E045D" w:rsidRPr="002E045D" w:rsidRDefault="002E045D" w:rsidP="002E045D">
      <w:pPr>
        <w:jc w:val="both"/>
        <w:rPr>
          <w:rFonts w:cs="Arial"/>
          <w:b/>
          <w:bCs/>
          <w:szCs w:val="24"/>
        </w:rPr>
      </w:pPr>
      <w:r w:rsidRPr="002E045D">
        <w:rPr>
          <w:rFonts w:cs="Arial"/>
          <w:b/>
          <w:bCs/>
          <w:szCs w:val="24"/>
        </w:rPr>
        <w:t>Optional Tasks</w:t>
      </w:r>
    </w:p>
    <w:p w14:paraId="697AA82A" w14:textId="1612B947" w:rsidR="007C58AD" w:rsidRPr="00301E29" w:rsidRDefault="007C58AD" w:rsidP="007C58AD">
      <w:pPr>
        <w:widowControl w:val="0"/>
        <w:numPr>
          <w:ilvl w:val="0"/>
          <w:numId w:val="5"/>
        </w:numPr>
        <w:spacing w:after="0" w:line="240" w:lineRule="auto"/>
        <w:ind w:left="1800"/>
        <w:jc w:val="both"/>
        <w:rPr>
          <w:rFonts w:cs="Tahoma"/>
        </w:rPr>
      </w:pPr>
      <w:r w:rsidRPr="00301E29">
        <w:rPr>
          <w:rFonts w:cs="Tahoma"/>
        </w:rPr>
        <w:t>Additional Works as may be instructed by</w:t>
      </w:r>
      <w:r w:rsidR="00515DFD">
        <w:rPr>
          <w:rFonts w:cs="Tahoma"/>
        </w:rPr>
        <w:t xml:space="preserve"> </w:t>
      </w:r>
      <w:proofErr w:type="spellStart"/>
      <w:r w:rsidR="00515DFD">
        <w:rPr>
          <w:rFonts w:cs="Tahoma"/>
        </w:rPr>
        <w:t>whg</w:t>
      </w:r>
      <w:proofErr w:type="spellEnd"/>
      <w:r w:rsidRPr="00301E29">
        <w:rPr>
          <w:rFonts w:cs="Tahoma"/>
        </w:rPr>
        <w:t xml:space="preserve"> and reimbursed in accordance with the </w:t>
      </w:r>
      <w:r w:rsidR="00515DFD">
        <w:rPr>
          <w:rFonts w:cs="Tahoma"/>
        </w:rPr>
        <w:t>s</w:t>
      </w:r>
      <w:r w:rsidRPr="00301E29">
        <w:rPr>
          <w:rFonts w:cs="Tahoma"/>
        </w:rPr>
        <w:t xml:space="preserve">chedule of </w:t>
      </w:r>
      <w:r w:rsidR="00515DFD">
        <w:rPr>
          <w:rFonts w:cs="Tahoma"/>
        </w:rPr>
        <w:t>r</w:t>
      </w:r>
      <w:r w:rsidRPr="00301E29">
        <w:rPr>
          <w:rFonts w:cs="Tahoma"/>
        </w:rPr>
        <w:t>ates or by agreement.</w:t>
      </w:r>
    </w:p>
    <w:p w14:paraId="53DB18DE" w14:textId="77777777" w:rsidR="002C7157" w:rsidRPr="002E045D" w:rsidRDefault="002C7157" w:rsidP="002E045D">
      <w:pPr>
        <w:tabs>
          <w:tab w:val="left" w:pos="0"/>
          <w:tab w:val="left" w:pos="720"/>
          <w:tab w:val="left" w:pos="1350"/>
          <w:tab w:val="left" w:pos="15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cs="Tahoma"/>
          <w:szCs w:val="24"/>
        </w:rPr>
      </w:pPr>
    </w:p>
    <w:p w14:paraId="02C91AC1" w14:textId="0EA58722" w:rsidR="00747462" w:rsidRPr="002E045D" w:rsidRDefault="002E045D" w:rsidP="00CD3288">
      <w:pPr>
        <w:tabs>
          <w:tab w:val="left" w:pos="0"/>
          <w:tab w:val="left" w:pos="720"/>
          <w:tab w:val="left" w:pos="1350"/>
          <w:tab w:val="left" w:pos="15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szCs w:val="24"/>
          <w:lang w:val="en-US"/>
        </w:rPr>
      </w:pPr>
      <w:r w:rsidRPr="002E045D">
        <w:rPr>
          <w:rFonts w:cs="Tahoma"/>
          <w:szCs w:val="24"/>
        </w:rPr>
        <w:t xml:space="preserve">The purpose of this preliminary market engagement exercise is to enable </w:t>
      </w:r>
      <w:proofErr w:type="spellStart"/>
      <w:r w:rsidRPr="002E045D">
        <w:rPr>
          <w:rFonts w:cs="Tahoma"/>
          <w:szCs w:val="24"/>
        </w:rPr>
        <w:t>whg</w:t>
      </w:r>
      <w:proofErr w:type="spellEnd"/>
      <w:r w:rsidRPr="002E045D">
        <w:rPr>
          <w:rFonts w:cs="Tahoma"/>
          <w:szCs w:val="24"/>
        </w:rPr>
        <w:t xml:space="preserve"> to understand the supply market structure, capacity, capability and appetite to help inform and shape its sourcing strategy, the service specification, </w:t>
      </w:r>
      <w:proofErr w:type="spellStart"/>
      <w:r w:rsidRPr="002E045D">
        <w:rPr>
          <w:rFonts w:cs="Tahoma"/>
          <w:szCs w:val="24"/>
        </w:rPr>
        <w:t>lotting</w:t>
      </w:r>
      <w:proofErr w:type="spellEnd"/>
      <w:r w:rsidRPr="002E045D">
        <w:rPr>
          <w:rFonts w:cs="Tahoma"/>
          <w:szCs w:val="24"/>
        </w:rPr>
        <w:t xml:space="preserve"> (i.e. one service provider appointment or multiples by geography and/ or value) and form of contract.</w:t>
      </w:r>
    </w:p>
    <w:sectPr w:rsidR="00747462" w:rsidRPr="002E045D" w:rsidSect="0074746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75831A" w16cex:dateUtc="2024-04-17T14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56FD"/>
    <w:multiLevelType w:val="hybridMultilevel"/>
    <w:tmpl w:val="7AC20964"/>
    <w:lvl w:ilvl="0" w:tplc="7D7E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B16"/>
    <w:multiLevelType w:val="hybridMultilevel"/>
    <w:tmpl w:val="7C9AAF74"/>
    <w:lvl w:ilvl="0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5BD7E5F"/>
    <w:multiLevelType w:val="hybridMultilevel"/>
    <w:tmpl w:val="D36A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82B1B"/>
    <w:multiLevelType w:val="hybridMultilevel"/>
    <w:tmpl w:val="D1AA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4450"/>
    <w:multiLevelType w:val="hybridMultilevel"/>
    <w:tmpl w:val="2F88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C5DF3"/>
    <w:multiLevelType w:val="hybridMultilevel"/>
    <w:tmpl w:val="DAA6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F"/>
    <w:rsid w:val="00022890"/>
    <w:rsid w:val="0003462B"/>
    <w:rsid w:val="000A3578"/>
    <w:rsid w:val="000A7EA6"/>
    <w:rsid w:val="000B3F7E"/>
    <w:rsid w:val="00135F42"/>
    <w:rsid w:val="002A13EF"/>
    <w:rsid w:val="002C7157"/>
    <w:rsid w:val="002E045D"/>
    <w:rsid w:val="002F18A3"/>
    <w:rsid w:val="003A763E"/>
    <w:rsid w:val="004F51DF"/>
    <w:rsid w:val="00515DFD"/>
    <w:rsid w:val="005966EA"/>
    <w:rsid w:val="005A2A61"/>
    <w:rsid w:val="00747462"/>
    <w:rsid w:val="007A2A20"/>
    <w:rsid w:val="007C58AD"/>
    <w:rsid w:val="00881A7B"/>
    <w:rsid w:val="00883403"/>
    <w:rsid w:val="008E4C52"/>
    <w:rsid w:val="009B5F45"/>
    <w:rsid w:val="009F2129"/>
    <w:rsid w:val="00A0333F"/>
    <w:rsid w:val="00A06D7F"/>
    <w:rsid w:val="00B1006C"/>
    <w:rsid w:val="00B22894"/>
    <w:rsid w:val="00B261C2"/>
    <w:rsid w:val="00C3646D"/>
    <w:rsid w:val="00C44A7D"/>
    <w:rsid w:val="00C76519"/>
    <w:rsid w:val="00CD3288"/>
    <w:rsid w:val="00CE17BA"/>
    <w:rsid w:val="00D775DD"/>
    <w:rsid w:val="00E81759"/>
    <w:rsid w:val="00F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EE23"/>
  <w15:chartTrackingRefBased/>
  <w15:docId w15:val="{EA0B6874-CF3E-4935-8234-A73D9187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6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62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62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62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62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4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62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62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6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unhideWhenUsed/>
    <w:rsid w:val="0074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462"/>
    <w:pPr>
      <w:ind w:left="720"/>
      <w:contextualSpacing/>
    </w:pPr>
  </w:style>
  <w:style w:type="paragraph" w:styleId="BodyText2">
    <w:name w:val="Body Text 2"/>
    <w:basedOn w:val="Normal"/>
    <w:link w:val="BodyText2Char"/>
    <w:rsid w:val="002E045D"/>
    <w:pPr>
      <w:widowControl w:val="0"/>
      <w:spacing w:after="0" w:line="240" w:lineRule="auto"/>
      <w:jc w:val="both"/>
    </w:pPr>
    <w:rPr>
      <w:rFonts w:eastAsia="Times New Roman" w:cs="Times New Roman"/>
      <w:b/>
      <w:i/>
      <w:snapToGrid w:val="0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2E045D"/>
    <w:rPr>
      <w:rFonts w:ascii="Arial" w:eastAsia="Times New Roman" w:hAnsi="Arial" w:cs="Times New Roman"/>
      <w:b/>
      <w:i/>
      <w:snapToGrid w:val="0"/>
      <w:sz w:val="1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28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8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Poole</dc:creator>
  <cp:keywords/>
  <dc:description/>
  <cp:lastModifiedBy>Louise M Green</cp:lastModifiedBy>
  <cp:revision>4</cp:revision>
  <dcterms:created xsi:type="dcterms:W3CDTF">2024-04-22T16:13:00Z</dcterms:created>
  <dcterms:modified xsi:type="dcterms:W3CDTF">2024-04-22T16:48:00Z</dcterms:modified>
</cp:coreProperties>
</file>