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63469" w14:textId="6EBF0621" w:rsidR="00C8289A" w:rsidRPr="00D22ABF" w:rsidRDefault="00C8289A" w:rsidP="00C8289A">
      <w:pPr>
        <w:pStyle w:val="paragraph"/>
        <w:spacing w:before="0" w:beforeAutospacing="0" w:after="0" w:afterAutospacing="0"/>
        <w:textAlignment w:val="baseline"/>
        <w:rPr>
          <w:rFonts w:ascii="Calibri" w:hAnsi="Calibri" w:cs="Calibri"/>
          <w:b/>
          <w:bCs/>
          <w:color w:val="3C1966"/>
        </w:rPr>
      </w:pPr>
      <w:r w:rsidRPr="00D22ABF">
        <w:rPr>
          <w:rStyle w:val="normaltextrun"/>
          <w:rFonts w:ascii="Calibri" w:hAnsi="Calibri" w:cs="Calibri"/>
          <w:b/>
          <w:bCs/>
          <w:color w:val="3C1966"/>
          <w:sz w:val="40"/>
          <w:szCs w:val="40"/>
        </w:rPr>
        <w:t xml:space="preserve">Community </w:t>
      </w:r>
      <w:r w:rsidR="00796C44" w:rsidRPr="00D22ABF">
        <w:rPr>
          <w:rStyle w:val="normaltextrun"/>
          <w:rFonts w:ascii="Calibri" w:hAnsi="Calibri" w:cs="Calibri"/>
          <w:b/>
          <w:bCs/>
          <w:color w:val="3C1966"/>
          <w:sz w:val="40"/>
          <w:szCs w:val="40"/>
        </w:rPr>
        <w:t>Safety Pilot Evaluation</w:t>
      </w:r>
      <w:r w:rsidRPr="00D22ABF">
        <w:rPr>
          <w:rStyle w:val="eop"/>
          <w:rFonts w:ascii="Calibri" w:hAnsi="Calibri" w:cs="Calibri"/>
          <w:b/>
          <w:bCs/>
          <w:color w:val="3C1966"/>
          <w:sz w:val="40"/>
          <w:szCs w:val="40"/>
        </w:rPr>
        <w:t xml:space="preserve"> – Invitation to </w:t>
      </w:r>
      <w:r w:rsidR="00EA6961">
        <w:rPr>
          <w:rStyle w:val="eop"/>
          <w:rFonts w:ascii="Calibri" w:hAnsi="Calibri" w:cs="Calibri"/>
          <w:b/>
          <w:bCs/>
          <w:color w:val="3C1966"/>
          <w:sz w:val="40"/>
          <w:szCs w:val="40"/>
        </w:rPr>
        <w:t>Tender</w:t>
      </w:r>
    </w:p>
    <w:p w14:paraId="59555DCF" w14:textId="77777777" w:rsidR="00C8289A" w:rsidRDefault="00C8289A" w:rsidP="00C8289A">
      <w:pPr>
        <w:pStyle w:val="paragraph"/>
        <w:spacing w:before="0" w:beforeAutospacing="0" w:after="0" w:afterAutospacing="0"/>
        <w:jc w:val="both"/>
        <w:textAlignment w:val="baseline"/>
        <w:rPr>
          <w:rStyle w:val="eop"/>
          <w:rFonts w:ascii="Calibri" w:hAnsi="Calibri" w:cs="Calibri"/>
        </w:rPr>
      </w:pPr>
      <w:r>
        <w:rPr>
          <w:rStyle w:val="eop"/>
          <w:rFonts w:ascii="Calibri" w:hAnsi="Calibri" w:cs="Calibri"/>
        </w:rPr>
        <w:t> </w:t>
      </w:r>
    </w:p>
    <w:p w14:paraId="3AFCBAD9" w14:textId="3FDF215D" w:rsidR="00C8289A" w:rsidRPr="007B0AC7" w:rsidRDefault="00C8289A" w:rsidP="00C8289A">
      <w:pPr>
        <w:pStyle w:val="paragraph"/>
        <w:spacing w:before="0" w:beforeAutospacing="0" w:after="0" w:afterAutospacing="0"/>
        <w:textAlignment w:val="baseline"/>
        <w:rPr>
          <w:rFonts w:ascii="Calibri" w:hAnsi="Calibri" w:cs="Calibri"/>
          <w:b/>
          <w:bCs/>
          <w:color w:val="ED1080"/>
        </w:rPr>
      </w:pPr>
      <w:r w:rsidRPr="007B0AC7">
        <w:rPr>
          <w:rStyle w:val="normaltextrun"/>
          <w:rFonts w:ascii="Calibri" w:hAnsi="Calibri" w:cs="Calibri"/>
          <w:b/>
          <w:bCs/>
          <w:color w:val="ED1080"/>
          <w:sz w:val="36"/>
          <w:szCs w:val="36"/>
        </w:rPr>
        <w:t>Context and background</w:t>
      </w:r>
      <w:r w:rsidRPr="007B0AC7">
        <w:rPr>
          <w:rStyle w:val="eop"/>
          <w:rFonts w:ascii="Calibri" w:hAnsi="Calibri" w:cs="Calibri"/>
          <w:b/>
          <w:bCs/>
          <w:color w:val="ED1080"/>
          <w:sz w:val="36"/>
          <w:szCs w:val="36"/>
        </w:rPr>
        <w:t> </w:t>
      </w:r>
    </w:p>
    <w:p w14:paraId="40064CE3" w14:textId="404486A0" w:rsidR="00B714A2" w:rsidRPr="00B873F3" w:rsidRDefault="004033B2" w:rsidP="00C8289A">
      <w:pPr>
        <w:pStyle w:val="paragraph"/>
        <w:spacing w:before="0" w:beforeAutospacing="0" w:after="0" w:afterAutospacing="0"/>
        <w:jc w:val="both"/>
        <w:textAlignment w:val="baseline"/>
        <w:rPr>
          <w:rStyle w:val="normaltextrun"/>
          <w:rFonts w:ascii="Calibri" w:hAnsi="Calibri" w:cs="Calibri"/>
          <w:sz w:val="22"/>
          <w:szCs w:val="22"/>
        </w:rPr>
      </w:pPr>
      <w:r w:rsidRPr="00B873F3">
        <w:rPr>
          <w:rStyle w:val="normaltextrun"/>
          <w:rFonts w:ascii="Calibri" w:hAnsi="Calibri" w:cs="Calibri"/>
          <w:sz w:val="22"/>
          <w:szCs w:val="22"/>
        </w:rPr>
        <w:t xml:space="preserve">Waltham Forest </w:t>
      </w:r>
      <w:r w:rsidR="00945C2F" w:rsidRPr="00B873F3">
        <w:rPr>
          <w:rStyle w:val="normaltextrun"/>
          <w:rFonts w:ascii="Calibri" w:hAnsi="Calibri" w:cs="Calibri"/>
          <w:sz w:val="22"/>
          <w:szCs w:val="22"/>
        </w:rPr>
        <w:t xml:space="preserve">has the </w:t>
      </w:r>
      <w:hyperlink r:id="rId9" w:history="1">
        <w:r w:rsidR="00945C2F" w:rsidRPr="00DD5ADD">
          <w:rPr>
            <w:rStyle w:val="Hyperlink"/>
            <w:rFonts w:ascii="Calibri" w:hAnsi="Calibri" w:cs="Calibri"/>
            <w:sz w:val="22"/>
            <w:szCs w:val="22"/>
          </w:rPr>
          <w:t>21</w:t>
        </w:r>
        <w:r w:rsidR="00945C2F" w:rsidRPr="00DD5ADD">
          <w:rPr>
            <w:rStyle w:val="Hyperlink"/>
            <w:rFonts w:ascii="Calibri" w:hAnsi="Calibri" w:cs="Calibri"/>
            <w:sz w:val="22"/>
            <w:szCs w:val="22"/>
            <w:vertAlign w:val="superscript"/>
          </w:rPr>
          <w:t>st</w:t>
        </w:r>
        <w:r w:rsidR="00945C2F" w:rsidRPr="00DD5ADD">
          <w:rPr>
            <w:rStyle w:val="Hyperlink"/>
            <w:rFonts w:ascii="Calibri" w:hAnsi="Calibri" w:cs="Calibri"/>
            <w:sz w:val="22"/>
            <w:szCs w:val="22"/>
          </w:rPr>
          <w:t xml:space="preserve"> highest </w:t>
        </w:r>
        <w:r w:rsidR="003A4989" w:rsidRPr="00DD5ADD">
          <w:rPr>
            <w:rStyle w:val="Hyperlink"/>
            <w:rFonts w:ascii="Calibri" w:hAnsi="Calibri" w:cs="Calibri"/>
            <w:sz w:val="22"/>
            <w:szCs w:val="22"/>
          </w:rPr>
          <w:t>crime rate</w:t>
        </w:r>
      </w:hyperlink>
      <w:r w:rsidR="00F961F3" w:rsidRPr="00B873F3">
        <w:rPr>
          <w:rStyle w:val="normaltextrun"/>
          <w:rFonts w:ascii="Calibri" w:hAnsi="Calibri" w:cs="Calibri"/>
          <w:sz w:val="22"/>
          <w:szCs w:val="22"/>
        </w:rPr>
        <w:t xml:space="preserve"> of all London </w:t>
      </w:r>
      <w:r w:rsidR="00E55382" w:rsidRPr="00B873F3">
        <w:rPr>
          <w:rStyle w:val="normaltextrun"/>
          <w:rFonts w:ascii="Calibri" w:hAnsi="Calibri" w:cs="Calibri"/>
          <w:sz w:val="22"/>
          <w:szCs w:val="22"/>
        </w:rPr>
        <w:t>Boroughs and</w:t>
      </w:r>
      <w:r w:rsidR="00F961F3" w:rsidRPr="00B873F3">
        <w:rPr>
          <w:rStyle w:val="normaltextrun"/>
          <w:rFonts w:ascii="Calibri" w:hAnsi="Calibri" w:cs="Calibri"/>
          <w:sz w:val="22"/>
          <w:szCs w:val="22"/>
        </w:rPr>
        <w:t xml:space="preserve"> is 9% safer than the London average. However, our Resident Insight Surveys consistently show a discrepancy between crime rates and the fear of crime amongst residents. In </w:t>
      </w:r>
      <w:r w:rsidR="004972E5" w:rsidRPr="00B873F3">
        <w:rPr>
          <w:rStyle w:val="normaltextrun"/>
          <w:rFonts w:ascii="Calibri" w:hAnsi="Calibri" w:cs="Calibri"/>
          <w:sz w:val="22"/>
          <w:szCs w:val="22"/>
        </w:rPr>
        <w:t>7 of the last 9 surveys crime has been the top concern of residents</w:t>
      </w:r>
      <w:r w:rsidR="005E6BBE" w:rsidRPr="00B873F3">
        <w:rPr>
          <w:rStyle w:val="normaltextrun"/>
          <w:rFonts w:ascii="Calibri" w:hAnsi="Calibri" w:cs="Calibri"/>
          <w:sz w:val="22"/>
          <w:szCs w:val="22"/>
        </w:rPr>
        <w:t>, with over 40% of residents identifying this as a top concern since 2018.</w:t>
      </w:r>
      <w:r w:rsidR="00E156EE" w:rsidRPr="00B873F3">
        <w:rPr>
          <w:rStyle w:val="normaltextrun"/>
          <w:rFonts w:ascii="Calibri" w:hAnsi="Calibri" w:cs="Calibri"/>
          <w:sz w:val="22"/>
          <w:szCs w:val="22"/>
        </w:rPr>
        <w:t xml:space="preserve"> </w:t>
      </w:r>
    </w:p>
    <w:p w14:paraId="10F69BEE" w14:textId="77777777" w:rsidR="004972E5" w:rsidRPr="00B873F3" w:rsidRDefault="004972E5" w:rsidP="00C8289A">
      <w:pPr>
        <w:pStyle w:val="paragraph"/>
        <w:spacing w:before="0" w:beforeAutospacing="0" w:after="0" w:afterAutospacing="0"/>
        <w:jc w:val="both"/>
        <w:textAlignment w:val="baseline"/>
        <w:rPr>
          <w:rStyle w:val="normaltextrun"/>
          <w:rFonts w:ascii="Calibri" w:hAnsi="Calibri" w:cs="Calibri"/>
          <w:sz w:val="22"/>
          <w:szCs w:val="22"/>
        </w:rPr>
      </w:pPr>
    </w:p>
    <w:p w14:paraId="325CD0D1" w14:textId="5B9D19E9" w:rsidR="004972E5" w:rsidRPr="00B873F3" w:rsidRDefault="004972E5" w:rsidP="00C8289A">
      <w:pPr>
        <w:pStyle w:val="paragraph"/>
        <w:spacing w:before="0" w:beforeAutospacing="0" w:after="0" w:afterAutospacing="0"/>
        <w:jc w:val="both"/>
        <w:textAlignment w:val="baseline"/>
        <w:rPr>
          <w:rFonts w:ascii="Calibri" w:hAnsi="Calibri" w:cs="Calibri"/>
          <w:sz w:val="22"/>
          <w:szCs w:val="22"/>
        </w:rPr>
      </w:pPr>
      <w:r w:rsidRPr="00B873F3">
        <w:rPr>
          <w:rStyle w:val="normaltextrun"/>
          <w:rFonts w:ascii="Calibri" w:hAnsi="Calibri" w:cs="Calibri"/>
          <w:sz w:val="22"/>
          <w:szCs w:val="22"/>
        </w:rPr>
        <w:t xml:space="preserve">In April 2022, a Community Safety Review concluded that a new approach to tackling ASB and addressing resident concerns </w:t>
      </w:r>
      <w:r w:rsidR="005E6BBE" w:rsidRPr="00B873F3">
        <w:rPr>
          <w:rStyle w:val="normaltextrun"/>
          <w:rFonts w:ascii="Calibri" w:hAnsi="Calibri" w:cs="Calibri"/>
          <w:sz w:val="22"/>
          <w:szCs w:val="22"/>
        </w:rPr>
        <w:t xml:space="preserve">around community safety is required. </w:t>
      </w:r>
      <w:r w:rsidR="00612CD7" w:rsidRPr="00B873F3">
        <w:rPr>
          <w:rStyle w:val="normaltextrun"/>
          <w:rFonts w:ascii="Calibri" w:hAnsi="Calibri" w:cs="Calibri"/>
          <w:sz w:val="22"/>
          <w:szCs w:val="22"/>
        </w:rPr>
        <w:t xml:space="preserve">Recent </w:t>
      </w:r>
      <w:hyperlink r:id="rId10" w:history="1">
        <w:r w:rsidR="00612CD7" w:rsidRPr="001D3713">
          <w:rPr>
            <w:rStyle w:val="Hyperlink"/>
            <w:rFonts w:ascii="Calibri" w:hAnsi="Calibri" w:cs="Calibri"/>
            <w:sz w:val="22"/>
            <w:szCs w:val="22"/>
          </w:rPr>
          <w:t>15</w:t>
        </w:r>
        <w:r w:rsidR="003618D4" w:rsidRPr="001D3713">
          <w:rPr>
            <w:rStyle w:val="Hyperlink"/>
            <w:rFonts w:ascii="Calibri" w:hAnsi="Calibri" w:cs="Calibri"/>
            <w:sz w:val="22"/>
            <w:szCs w:val="22"/>
          </w:rPr>
          <w:t>-</w:t>
        </w:r>
        <w:r w:rsidR="00612CD7" w:rsidRPr="001D3713">
          <w:rPr>
            <w:rStyle w:val="Hyperlink"/>
            <w:rFonts w:ascii="Calibri" w:hAnsi="Calibri" w:cs="Calibri"/>
            <w:sz w:val="22"/>
            <w:szCs w:val="22"/>
          </w:rPr>
          <w:t>Minute Neighbourhood research</w:t>
        </w:r>
      </w:hyperlink>
      <w:r w:rsidR="00612CD7" w:rsidRPr="00B873F3">
        <w:rPr>
          <w:rStyle w:val="normaltextrun"/>
          <w:rFonts w:ascii="Calibri" w:hAnsi="Calibri" w:cs="Calibri"/>
          <w:sz w:val="22"/>
          <w:szCs w:val="22"/>
        </w:rPr>
        <w:t xml:space="preserve"> demonstrates that </w:t>
      </w:r>
      <w:r w:rsidR="0086298A" w:rsidRPr="00B873F3">
        <w:rPr>
          <w:rFonts w:ascii="Calibri" w:hAnsi="Calibri" w:cs="Calibri"/>
          <w:sz w:val="22"/>
          <w:szCs w:val="22"/>
        </w:rPr>
        <w:t>feeling safe can be a key barrier for people to enjoying their neighbourhoods. Despite high-profile specific interventions by the Council such as the Hate Crime Assembly and VAWG partnership, levels of concern have remained high.</w:t>
      </w:r>
    </w:p>
    <w:p w14:paraId="69E0B1C1" w14:textId="77777777" w:rsidR="0086298A" w:rsidRPr="00B873F3" w:rsidRDefault="0086298A" w:rsidP="00C8289A">
      <w:pPr>
        <w:pStyle w:val="paragraph"/>
        <w:spacing w:before="0" w:beforeAutospacing="0" w:after="0" w:afterAutospacing="0"/>
        <w:jc w:val="both"/>
        <w:textAlignment w:val="baseline"/>
        <w:rPr>
          <w:rStyle w:val="normaltextrun"/>
          <w:rFonts w:ascii="Calibri" w:hAnsi="Calibri" w:cs="Calibri"/>
          <w:sz w:val="22"/>
          <w:szCs w:val="22"/>
        </w:rPr>
      </w:pPr>
    </w:p>
    <w:p w14:paraId="321091EA" w14:textId="3D239C49" w:rsidR="005306F6" w:rsidRDefault="00DA47ED" w:rsidP="00C8289A">
      <w:pPr>
        <w:pStyle w:val="paragraph"/>
        <w:spacing w:before="0" w:beforeAutospacing="0" w:after="0" w:afterAutospacing="0"/>
        <w:jc w:val="both"/>
        <w:textAlignment w:val="baseline"/>
        <w:rPr>
          <w:rStyle w:val="normaltextrun"/>
          <w:rFonts w:ascii="Calibri" w:hAnsi="Calibri" w:cs="Calibri"/>
          <w:sz w:val="22"/>
          <w:szCs w:val="22"/>
        </w:rPr>
      </w:pPr>
      <w:r w:rsidRPr="00B873F3">
        <w:rPr>
          <w:rStyle w:val="normaltextrun"/>
          <w:rFonts w:ascii="Calibri" w:hAnsi="Calibri" w:cs="Calibri"/>
          <w:sz w:val="22"/>
          <w:szCs w:val="22"/>
        </w:rPr>
        <w:t>The Council is currently embarking on developing a new approach to Community safety. The aim of the authority is to reduce crime, ASB and the fear of crime</w:t>
      </w:r>
      <w:r w:rsidR="00493DF3" w:rsidRPr="00B873F3">
        <w:rPr>
          <w:rStyle w:val="normaltextrun"/>
          <w:rFonts w:ascii="Calibri" w:hAnsi="Calibri" w:cs="Calibri"/>
          <w:sz w:val="22"/>
          <w:szCs w:val="22"/>
        </w:rPr>
        <w:t xml:space="preserve">, support vulnerable victims, and empower residents to make a difference. </w:t>
      </w:r>
      <w:r w:rsidR="00323926">
        <w:rPr>
          <w:rStyle w:val="normaltextrun"/>
          <w:rFonts w:ascii="Calibri" w:hAnsi="Calibri" w:cs="Calibri"/>
          <w:sz w:val="22"/>
          <w:szCs w:val="22"/>
        </w:rPr>
        <w:t xml:space="preserve">The new approach will be focused on </w:t>
      </w:r>
      <w:r w:rsidR="00537BE6">
        <w:rPr>
          <w:rStyle w:val="normaltextrun"/>
          <w:rFonts w:ascii="Calibri" w:hAnsi="Calibri" w:cs="Calibri"/>
          <w:sz w:val="22"/>
          <w:szCs w:val="22"/>
        </w:rPr>
        <w:t>place</w:t>
      </w:r>
      <w:r w:rsidR="00323926">
        <w:rPr>
          <w:rStyle w:val="normaltextrun"/>
          <w:rFonts w:ascii="Calibri" w:hAnsi="Calibri" w:cs="Calibri"/>
          <w:sz w:val="22"/>
          <w:szCs w:val="22"/>
        </w:rPr>
        <w:t xml:space="preserve">, as crime is concentrated </w:t>
      </w:r>
      <w:r w:rsidR="001956D0">
        <w:rPr>
          <w:rStyle w:val="normaltextrun"/>
          <w:rFonts w:ascii="Calibri" w:hAnsi="Calibri" w:cs="Calibri"/>
          <w:sz w:val="22"/>
          <w:szCs w:val="22"/>
        </w:rPr>
        <w:t xml:space="preserve">in certain areas and </w:t>
      </w:r>
      <w:r w:rsidR="00096C65">
        <w:rPr>
          <w:rStyle w:val="normaltextrun"/>
          <w:rFonts w:ascii="Calibri" w:hAnsi="Calibri" w:cs="Calibri"/>
          <w:sz w:val="22"/>
          <w:szCs w:val="22"/>
        </w:rPr>
        <w:t xml:space="preserve">residents in </w:t>
      </w:r>
      <w:r w:rsidR="001956D0">
        <w:rPr>
          <w:rStyle w:val="normaltextrun"/>
          <w:rFonts w:ascii="Calibri" w:hAnsi="Calibri" w:cs="Calibri"/>
          <w:sz w:val="22"/>
          <w:szCs w:val="22"/>
        </w:rPr>
        <w:t xml:space="preserve">some areas reporting </w:t>
      </w:r>
      <w:r w:rsidR="00096C65">
        <w:rPr>
          <w:rStyle w:val="normaltextrun"/>
          <w:rFonts w:ascii="Calibri" w:hAnsi="Calibri" w:cs="Calibri"/>
          <w:sz w:val="22"/>
          <w:szCs w:val="22"/>
        </w:rPr>
        <w:t>significantly lower feeling of safety</w:t>
      </w:r>
      <w:r w:rsidR="00323926">
        <w:rPr>
          <w:rStyle w:val="normaltextrun"/>
          <w:rFonts w:ascii="Calibri" w:hAnsi="Calibri" w:cs="Calibri"/>
          <w:sz w:val="22"/>
          <w:szCs w:val="22"/>
        </w:rPr>
        <w:t xml:space="preserve">. By understanding the </w:t>
      </w:r>
      <w:proofErr w:type="gramStart"/>
      <w:r w:rsidR="00323926">
        <w:rPr>
          <w:rStyle w:val="normaltextrun"/>
          <w:rFonts w:ascii="Calibri" w:hAnsi="Calibri" w:cs="Calibri"/>
          <w:sz w:val="22"/>
          <w:szCs w:val="22"/>
        </w:rPr>
        <w:t>often hyper-</w:t>
      </w:r>
      <w:proofErr w:type="gramEnd"/>
      <w:r w:rsidR="00323926">
        <w:rPr>
          <w:rStyle w:val="normaltextrun"/>
          <w:rFonts w:ascii="Calibri" w:hAnsi="Calibri" w:cs="Calibri"/>
          <w:sz w:val="22"/>
          <w:szCs w:val="22"/>
        </w:rPr>
        <w:t xml:space="preserve">local nature of </w:t>
      </w:r>
      <w:r w:rsidR="00096C65">
        <w:rPr>
          <w:rStyle w:val="normaltextrun"/>
          <w:rFonts w:ascii="Calibri" w:hAnsi="Calibri" w:cs="Calibri"/>
          <w:sz w:val="22"/>
          <w:szCs w:val="22"/>
        </w:rPr>
        <w:t>these</w:t>
      </w:r>
      <w:r w:rsidR="00323926">
        <w:rPr>
          <w:rStyle w:val="normaltextrun"/>
          <w:rFonts w:ascii="Calibri" w:hAnsi="Calibri" w:cs="Calibri"/>
          <w:sz w:val="22"/>
          <w:szCs w:val="22"/>
        </w:rPr>
        <w:t xml:space="preserve"> challenges, </w:t>
      </w:r>
      <w:r w:rsidR="00537BE6">
        <w:rPr>
          <w:rStyle w:val="normaltextrun"/>
          <w:rFonts w:ascii="Calibri" w:hAnsi="Calibri" w:cs="Calibri"/>
          <w:sz w:val="22"/>
          <w:szCs w:val="22"/>
        </w:rPr>
        <w:t xml:space="preserve">we are focusing on solutions for </w:t>
      </w:r>
      <w:r w:rsidR="00096C65">
        <w:rPr>
          <w:rStyle w:val="normaltextrun"/>
          <w:rFonts w:ascii="Calibri" w:hAnsi="Calibri" w:cs="Calibri"/>
          <w:sz w:val="22"/>
          <w:szCs w:val="22"/>
        </w:rPr>
        <w:t>crime and fear of crime</w:t>
      </w:r>
      <w:r w:rsidR="00537BE6">
        <w:rPr>
          <w:rStyle w:val="normaltextrun"/>
          <w:rFonts w:ascii="Calibri" w:hAnsi="Calibri" w:cs="Calibri"/>
          <w:sz w:val="22"/>
          <w:szCs w:val="22"/>
        </w:rPr>
        <w:t xml:space="preserve"> through a place-based approach. </w:t>
      </w:r>
      <w:r w:rsidR="00493DF3" w:rsidRPr="00B873F3">
        <w:rPr>
          <w:rStyle w:val="normaltextrun"/>
          <w:rFonts w:ascii="Calibri" w:hAnsi="Calibri" w:cs="Calibri"/>
          <w:sz w:val="22"/>
          <w:szCs w:val="22"/>
        </w:rPr>
        <w:t>To do this, we are embarking on a ‘</w:t>
      </w:r>
      <w:r w:rsidR="00774067">
        <w:rPr>
          <w:rStyle w:val="normaltextrun"/>
          <w:rFonts w:ascii="Calibri" w:hAnsi="Calibri" w:cs="Calibri"/>
          <w:sz w:val="22"/>
          <w:szCs w:val="22"/>
        </w:rPr>
        <w:t>Safer Streets’</w:t>
      </w:r>
      <w:r w:rsidR="00493DF3" w:rsidRPr="00B873F3">
        <w:rPr>
          <w:rStyle w:val="normaltextrun"/>
          <w:rFonts w:ascii="Calibri" w:hAnsi="Calibri" w:cs="Calibri"/>
          <w:sz w:val="22"/>
          <w:szCs w:val="22"/>
        </w:rPr>
        <w:t xml:space="preserve"> pilot for the new approach to Community Safety by working in two locations: Chingford Mount and South Leytonstone. </w:t>
      </w:r>
    </w:p>
    <w:p w14:paraId="4F88C6B6" w14:textId="125E9233" w:rsidR="005306F6" w:rsidRDefault="005306F6" w:rsidP="00C8289A">
      <w:pPr>
        <w:pStyle w:val="paragraph"/>
        <w:spacing w:before="0" w:beforeAutospacing="0" w:after="0" w:afterAutospacing="0"/>
        <w:jc w:val="both"/>
        <w:textAlignment w:val="baseline"/>
        <w:rPr>
          <w:rStyle w:val="normaltextrun"/>
          <w:rFonts w:ascii="Calibri" w:hAnsi="Calibri" w:cs="Calibri"/>
          <w:sz w:val="22"/>
          <w:szCs w:val="22"/>
        </w:rPr>
      </w:pPr>
    </w:p>
    <w:p w14:paraId="646A8C6D" w14:textId="072E8D70" w:rsidR="005306F6" w:rsidRDefault="00537BE6" w:rsidP="00C8289A">
      <w:pPr>
        <w:pStyle w:val="paragraph"/>
        <w:spacing w:before="0" w:beforeAutospacing="0" w:after="0" w:afterAutospacing="0"/>
        <w:jc w:val="both"/>
        <w:textAlignment w:val="baseline"/>
        <w:rPr>
          <w:rStyle w:val="normaltextrun"/>
          <w:rFonts w:ascii="Calibri" w:hAnsi="Calibri" w:cs="Calibri"/>
          <w:sz w:val="22"/>
          <w:szCs w:val="22"/>
        </w:rPr>
      </w:pPr>
      <w:r>
        <w:rPr>
          <w:rFonts w:ascii="Calibri" w:hAnsi="Calibri" w:cs="Calibri"/>
          <w:noProof/>
          <w:color w:val="FF0000"/>
          <w:sz w:val="22"/>
          <w:szCs w:val="22"/>
        </w:rPr>
        <mc:AlternateContent>
          <mc:Choice Requires="wps">
            <w:drawing>
              <wp:anchor distT="0" distB="0" distL="114300" distR="114300" simplePos="0" relativeHeight="251658240" behindDoc="0" locked="0" layoutInCell="1" allowOverlap="1" wp14:anchorId="37D7AAF6" wp14:editId="3494B3DC">
                <wp:simplePos x="0" y="0"/>
                <wp:positionH relativeFrom="column">
                  <wp:posOffset>2257425</wp:posOffset>
                </wp:positionH>
                <wp:positionV relativeFrom="paragraph">
                  <wp:posOffset>2792095</wp:posOffset>
                </wp:positionV>
                <wp:extent cx="981075" cy="742950"/>
                <wp:effectExtent l="38100" t="0" r="28575" b="57150"/>
                <wp:wrapNone/>
                <wp:docPr id="3" name="Straight Arrow Connector 3"/>
                <wp:cNvGraphicFramePr/>
                <a:graphic xmlns:a="http://schemas.openxmlformats.org/drawingml/2006/main">
                  <a:graphicData uri="http://schemas.microsoft.com/office/word/2010/wordprocessingShape">
                    <wps:wsp>
                      <wps:cNvCnPr/>
                      <wps:spPr>
                        <a:xfrm flipH="1">
                          <a:off x="0" y="0"/>
                          <a:ext cx="981075" cy="742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9D6CA6D" id="_x0000_t32" coordsize="21600,21600" o:spt="32" o:oned="t" path="m,l21600,21600e" filled="f">
                <v:path arrowok="t" fillok="f" o:connecttype="none"/>
                <o:lock v:ext="edit" shapetype="t"/>
              </v:shapetype>
              <v:shape id="Straight Arrow Connector 3" o:spid="_x0000_s1026" type="#_x0000_t32" style="position:absolute;margin-left:177.75pt;margin-top:219.85pt;width:77.25pt;height:58.5pt;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" strokecolor="#4472c4 [3204]" strokeweight=".5pt">
                <v:stroke endarrow="block" joinstyle="miter"/>
              </v:shape>
            </w:pict>
          </mc:Fallback>
        </mc:AlternateContent>
      </w:r>
      <w:r>
        <w:rPr>
          <w:rFonts w:ascii="Calibri" w:hAnsi="Calibri" w:cs="Calibri"/>
          <w:noProof/>
          <w:color w:val="FF0000"/>
          <w:sz w:val="22"/>
          <w:szCs w:val="22"/>
        </w:rPr>
        <mc:AlternateContent>
          <mc:Choice Requires="wps">
            <w:drawing>
              <wp:anchor distT="0" distB="0" distL="114300" distR="114300" simplePos="0" relativeHeight="251658241" behindDoc="0" locked="0" layoutInCell="1" allowOverlap="1" wp14:anchorId="0F8B4030" wp14:editId="5D6974FA">
                <wp:simplePos x="0" y="0"/>
                <wp:positionH relativeFrom="column">
                  <wp:posOffset>1609725</wp:posOffset>
                </wp:positionH>
                <wp:positionV relativeFrom="paragraph">
                  <wp:posOffset>1125220</wp:posOffset>
                </wp:positionV>
                <wp:extent cx="1638300" cy="581025"/>
                <wp:effectExtent l="38100" t="0" r="19050" b="66675"/>
                <wp:wrapNone/>
                <wp:docPr id="5" name="Straight Arrow Connector 5"/>
                <wp:cNvGraphicFramePr/>
                <a:graphic xmlns:a="http://schemas.openxmlformats.org/drawingml/2006/main">
                  <a:graphicData uri="http://schemas.microsoft.com/office/word/2010/wordprocessingShape">
                    <wps:wsp>
                      <wps:cNvCnPr/>
                      <wps:spPr>
                        <a:xfrm flipH="1">
                          <a:off x="0" y="0"/>
                          <a:ext cx="1638300" cy="581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D3D2F4" id="Straight Arrow Connector 5" o:spid="_x0000_s1026" type="#_x0000_t32" style="position:absolute;margin-left:126.75pt;margin-top:88.6pt;width:129pt;height:45.75pt;flip:x;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" strokecolor="#4472c4 [3204]" strokeweight=".5pt">
                <v:stroke endarrow="block" joinstyle="miter"/>
              </v:shape>
            </w:pict>
          </mc:Fallback>
        </mc:AlternateContent>
      </w:r>
      <w:r w:rsidR="005306F6">
        <w:rPr>
          <w:rFonts w:ascii="Calibri" w:hAnsi="Calibri" w:cs="Calibri"/>
          <w:noProof/>
          <w:color w:val="FF0000"/>
          <w:sz w:val="22"/>
          <w:szCs w:val="22"/>
        </w:rPr>
        <w:drawing>
          <wp:inline distT="0" distB="0" distL="0" distR="0" wp14:anchorId="77F45EDE" wp14:editId="51BCEAD6">
            <wp:extent cx="5154930" cy="4328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60627" cy="4332849"/>
                    </a:xfrm>
                    <a:prstGeom prst="rect">
                      <a:avLst/>
                    </a:prstGeom>
                    <a:noFill/>
                  </pic:spPr>
                </pic:pic>
              </a:graphicData>
            </a:graphic>
          </wp:inline>
        </w:drawing>
      </w:r>
    </w:p>
    <w:p w14:paraId="15440AEE" w14:textId="440672B7" w:rsidR="00397F9A" w:rsidRPr="00B873F3" w:rsidRDefault="00493DF3" w:rsidP="00C8289A">
      <w:pPr>
        <w:pStyle w:val="paragraph"/>
        <w:spacing w:before="0" w:beforeAutospacing="0" w:after="0" w:afterAutospacing="0"/>
        <w:jc w:val="both"/>
        <w:textAlignment w:val="baseline"/>
        <w:rPr>
          <w:rStyle w:val="eop"/>
          <w:rFonts w:ascii="Calibri" w:hAnsi="Calibri" w:cs="Calibri"/>
          <w:sz w:val="22"/>
          <w:szCs w:val="22"/>
        </w:rPr>
      </w:pPr>
      <w:r w:rsidRPr="00B873F3">
        <w:rPr>
          <w:rStyle w:val="normaltextrun"/>
          <w:rFonts w:ascii="Calibri" w:hAnsi="Calibri" w:cs="Calibri"/>
          <w:sz w:val="22"/>
          <w:szCs w:val="22"/>
        </w:rPr>
        <w:lastRenderedPageBreak/>
        <w:t xml:space="preserve">As shown </w:t>
      </w:r>
      <w:r w:rsidR="005306F6">
        <w:rPr>
          <w:rStyle w:val="normaltextrun"/>
          <w:rFonts w:ascii="Calibri" w:hAnsi="Calibri" w:cs="Calibri"/>
          <w:sz w:val="22"/>
          <w:szCs w:val="22"/>
        </w:rPr>
        <w:t>above</w:t>
      </w:r>
      <w:r w:rsidRPr="00B873F3">
        <w:rPr>
          <w:rStyle w:val="normaltextrun"/>
          <w:rFonts w:ascii="Calibri" w:hAnsi="Calibri" w:cs="Calibri"/>
          <w:sz w:val="22"/>
          <w:szCs w:val="22"/>
        </w:rPr>
        <w:t>, these</w:t>
      </w:r>
      <w:r w:rsidR="005306F6">
        <w:rPr>
          <w:rStyle w:val="normaltextrun"/>
          <w:rFonts w:ascii="Calibri" w:hAnsi="Calibri" w:cs="Calibri"/>
          <w:sz w:val="22"/>
          <w:szCs w:val="22"/>
        </w:rPr>
        <w:t xml:space="preserve"> two pilot</w:t>
      </w:r>
      <w:r w:rsidRPr="00B873F3">
        <w:rPr>
          <w:rStyle w:val="normaltextrun"/>
          <w:rFonts w:ascii="Calibri" w:hAnsi="Calibri" w:cs="Calibri"/>
          <w:sz w:val="22"/>
          <w:szCs w:val="22"/>
        </w:rPr>
        <w:t xml:space="preserve"> areas have been picked for their contrasting characteristics</w:t>
      </w:r>
      <w:r w:rsidR="001E530F" w:rsidRPr="00B873F3">
        <w:rPr>
          <w:rStyle w:val="normaltextrun"/>
          <w:rFonts w:ascii="Calibri" w:hAnsi="Calibri" w:cs="Calibri"/>
          <w:sz w:val="22"/>
          <w:szCs w:val="22"/>
        </w:rPr>
        <w:t xml:space="preserve"> and geographical locations</w:t>
      </w:r>
      <w:r w:rsidRPr="00B873F3">
        <w:rPr>
          <w:rStyle w:val="normaltextrun"/>
          <w:rFonts w:ascii="Calibri" w:hAnsi="Calibri" w:cs="Calibri"/>
          <w:sz w:val="22"/>
          <w:szCs w:val="22"/>
        </w:rPr>
        <w:t xml:space="preserve">, but similar challenges </w:t>
      </w:r>
      <w:r w:rsidR="00994349" w:rsidRPr="00B873F3">
        <w:rPr>
          <w:rStyle w:val="normaltextrun"/>
          <w:rFonts w:ascii="Calibri" w:hAnsi="Calibri" w:cs="Calibri"/>
          <w:sz w:val="22"/>
          <w:szCs w:val="22"/>
        </w:rPr>
        <w:t xml:space="preserve">around low trust in the council, and high concern around crime and violence. </w:t>
      </w:r>
      <w:r w:rsidR="001E530F" w:rsidRPr="00B873F3">
        <w:rPr>
          <w:rStyle w:val="normaltextrun"/>
          <w:rFonts w:ascii="Calibri" w:hAnsi="Calibri" w:cs="Calibri"/>
          <w:sz w:val="22"/>
          <w:szCs w:val="22"/>
        </w:rPr>
        <w:t>In both ar</w:t>
      </w:r>
      <w:r w:rsidR="008223CF" w:rsidRPr="00B873F3">
        <w:rPr>
          <w:rStyle w:val="normaltextrun"/>
          <w:rFonts w:ascii="Calibri" w:hAnsi="Calibri" w:cs="Calibri"/>
          <w:sz w:val="22"/>
          <w:szCs w:val="22"/>
        </w:rPr>
        <w:t>e</w:t>
      </w:r>
      <w:r w:rsidR="001E530F" w:rsidRPr="00B873F3">
        <w:rPr>
          <w:rStyle w:val="normaltextrun"/>
          <w:rFonts w:ascii="Calibri" w:hAnsi="Calibri" w:cs="Calibri"/>
          <w:sz w:val="22"/>
          <w:szCs w:val="22"/>
        </w:rPr>
        <w:t xml:space="preserve">as, there is a </w:t>
      </w:r>
      <w:proofErr w:type="gramStart"/>
      <w:r w:rsidR="001E530F" w:rsidRPr="00B873F3">
        <w:rPr>
          <w:rStyle w:val="normaltextrun"/>
          <w:rFonts w:ascii="Calibri" w:hAnsi="Calibri" w:cs="Calibri"/>
          <w:sz w:val="22"/>
          <w:szCs w:val="22"/>
        </w:rPr>
        <w:t>pop up</w:t>
      </w:r>
      <w:proofErr w:type="gramEnd"/>
      <w:r w:rsidR="001E530F" w:rsidRPr="00B873F3">
        <w:rPr>
          <w:rStyle w:val="normaltextrun"/>
          <w:rFonts w:ascii="Calibri" w:hAnsi="Calibri" w:cs="Calibri"/>
          <w:sz w:val="22"/>
          <w:szCs w:val="22"/>
        </w:rPr>
        <w:t xml:space="preserve"> police station, a base to operate from, and </w:t>
      </w:r>
      <w:r w:rsidR="008223CF" w:rsidRPr="00B873F3">
        <w:rPr>
          <w:rStyle w:val="normaltextrun"/>
          <w:rFonts w:ascii="Calibri" w:hAnsi="Calibri" w:cs="Calibri"/>
          <w:sz w:val="22"/>
          <w:szCs w:val="22"/>
        </w:rPr>
        <w:t xml:space="preserve">high levels of social housing estates. </w:t>
      </w:r>
    </w:p>
    <w:p w14:paraId="0F837329" w14:textId="1059A0B4" w:rsidR="00397F9A" w:rsidRPr="009C1024" w:rsidRDefault="00A50B40" w:rsidP="00C8289A">
      <w:pPr>
        <w:pStyle w:val="paragraph"/>
        <w:spacing w:before="0" w:beforeAutospacing="0" w:after="0" w:afterAutospacing="0"/>
        <w:jc w:val="both"/>
        <w:textAlignment w:val="baseline"/>
        <w:rPr>
          <w:rFonts w:ascii="Calibri" w:hAnsi="Calibri" w:cs="Calibri"/>
          <w:color w:val="FF0000"/>
          <w:sz w:val="22"/>
          <w:szCs w:val="22"/>
        </w:rPr>
      </w:pPr>
      <w:r w:rsidRPr="00A50B40">
        <w:rPr>
          <w:rFonts w:asciiTheme="minorHAnsi" w:eastAsiaTheme="minorHAnsi" w:hAnsiTheme="minorHAnsi" w:cstheme="minorBidi"/>
          <w:noProof/>
          <w:sz w:val="22"/>
          <w:szCs w:val="22"/>
          <w:lang w:eastAsia="en-US"/>
        </w:rPr>
        <w:t xml:space="preserve"> </w:t>
      </w:r>
    </w:p>
    <w:p w14:paraId="3B081B84" w14:textId="2EB6463D" w:rsidR="00F459BC" w:rsidRPr="00B873F3" w:rsidRDefault="00F518DA" w:rsidP="00C8289A">
      <w:pPr>
        <w:pStyle w:val="paragraph"/>
        <w:spacing w:before="0" w:beforeAutospacing="0" w:after="0" w:afterAutospacing="0"/>
        <w:jc w:val="both"/>
        <w:textAlignment w:val="baseline"/>
        <w:rPr>
          <w:rStyle w:val="eop"/>
          <w:rFonts w:ascii="Calibri" w:hAnsi="Calibri" w:cs="Calibri"/>
          <w:sz w:val="22"/>
          <w:szCs w:val="22"/>
        </w:rPr>
      </w:pPr>
      <w:r w:rsidRPr="00B873F3">
        <w:rPr>
          <w:rStyle w:val="eop"/>
          <w:rFonts w:ascii="Calibri" w:hAnsi="Calibri" w:cs="Calibri"/>
          <w:sz w:val="22"/>
          <w:szCs w:val="22"/>
        </w:rPr>
        <w:t xml:space="preserve">The </w:t>
      </w:r>
      <w:r w:rsidR="00774067">
        <w:rPr>
          <w:rStyle w:val="eop"/>
          <w:rFonts w:ascii="Calibri" w:hAnsi="Calibri" w:cs="Calibri"/>
          <w:sz w:val="22"/>
          <w:szCs w:val="22"/>
        </w:rPr>
        <w:t>Safer Streets Pilot</w:t>
      </w:r>
      <w:r w:rsidRPr="00B873F3">
        <w:rPr>
          <w:rStyle w:val="eop"/>
          <w:rFonts w:ascii="Calibri" w:hAnsi="Calibri" w:cs="Calibri"/>
          <w:sz w:val="22"/>
          <w:szCs w:val="22"/>
        </w:rPr>
        <w:t xml:space="preserve"> will be a four</w:t>
      </w:r>
      <w:r w:rsidR="00821221">
        <w:rPr>
          <w:rStyle w:val="eop"/>
          <w:rFonts w:ascii="Calibri" w:hAnsi="Calibri" w:cs="Calibri"/>
          <w:sz w:val="22"/>
          <w:szCs w:val="22"/>
        </w:rPr>
        <w:t>-</w:t>
      </w:r>
      <w:r w:rsidRPr="00B873F3">
        <w:rPr>
          <w:rStyle w:val="eop"/>
          <w:rFonts w:ascii="Calibri" w:hAnsi="Calibri" w:cs="Calibri"/>
          <w:sz w:val="22"/>
          <w:szCs w:val="22"/>
        </w:rPr>
        <w:t xml:space="preserve">month project working in the two areas with a new operating model. The proposal is to bring together a multi-agency team with staff delivering their existing functions </w:t>
      </w:r>
      <w:r w:rsidR="00634641" w:rsidRPr="00B873F3">
        <w:rPr>
          <w:rStyle w:val="eop"/>
          <w:rFonts w:ascii="Calibri" w:hAnsi="Calibri" w:cs="Calibri"/>
          <w:sz w:val="22"/>
          <w:szCs w:val="22"/>
        </w:rPr>
        <w:t>with a focus on joint problem solving, tackling safety concerns and an additional resident-focused engagement. The multi-disciplinary team</w:t>
      </w:r>
      <w:r w:rsidR="002E5192">
        <w:rPr>
          <w:rStyle w:val="eop"/>
          <w:rFonts w:ascii="Calibri" w:hAnsi="Calibri" w:cs="Calibri"/>
          <w:sz w:val="22"/>
          <w:szCs w:val="22"/>
        </w:rPr>
        <w:t xml:space="preserve"> (MDT)</w:t>
      </w:r>
      <w:r w:rsidR="00634641" w:rsidRPr="00B873F3">
        <w:rPr>
          <w:rStyle w:val="eop"/>
          <w:rFonts w:ascii="Calibri" w:hAnsi="Calibri" w:cs="Calibri"/>
          <w:sz w:val="22"/>
          <w:szCs w:val="22"/>
        </w:rPr>
        <w:t xml:space="preserve"> will </w:t>
      </w:r>
      <w:r w:rsidR="00330057">
        <w:rPr>
          <w:rStyle w:val="eop"/>
          <w:rFonts w:ascii="Calibri" w:hAnsi="Calibri" w:cs="Calibri"/>
          <w:sz w:val="22"/>
          <w:szCs w:val="22"/>
        </w:rPr>
        <w:t xml:space="preserve">consist </w:t>
      </w:r>
      <w:r w:rsidR="00330057" w:rsidRPr="00540F7F">
        <w:rPr>
          <w:rStyle w:val="eop"/>
          <w:rFonts w:ascii="Calibri" w:hAnsi="Calibri" w:cs="Calibri"/>
          <w:sz w:val="22"/>
          <w:szCs w:val="22"/>
        </w:rPr>
        <w:t xml:space="preserve">of around </w:t>
      </w:r>
      <w:r w:rsidR="00A1539D" w:rsidRPr="00540F7F">
        <w:rPr>
          <w:rStyle w:val="eop"/>
          <w:rFonts w:ascii="Calibri" w:hAnsi="Calibri" w:cs="Calibri"/>
          <w:sz w:val="22"/>
          <w:szCs w:val="22"/>
        </w:rPr>
        <w:t>40</w:t>
      </w:r>
      <w:r w:rsidR="00330057" w:rsidRPr="00540F7F">
        <w:rPr>
          <w:rStyle w:val="eop"/>
          <w:rFonts w:ascii="Calibri" w:hAnsi="Calibri" w:cs="Calibri"/>
          <w:sz w:val="22"/>
          <w:szCs w:val="22"/>
        </w:rPr>
        <w:t xml:space="preserve"> staff </w:t>
      </w:r>
      <w:r w:rsidR="00330057">
        <w:rPr>
          <w:rStyle w:val="eop"/>
          <w:rFonts w:ascii="Calibri" w:hAnsi="Calibri" w:cs="Calibri"/>
          <w:sz w:val="22"/>
          <w:szCs w:val="22"/>
        </w:rPr>
        <w:t xml:space="preserve">and </w:t>
      </w:r>
      <w:r w:rsidR="00634641" w:rsidRPr="00B873F3">
        <w:rPr>
          <w:rStyle w:val="eop"/>
          <w:rFonts w:ascii="Calibri" w:hAnsi="Calibri" w:cs="Calibri"/>
          <w:sz w:val="22"/>
          <w:szCs w:val="22"/>
        </w:rPr>
        <w:t xml:space="preserve">include </w:t>
      </w:r>
      <w:r w:rsidR="00864598">
        <w:rPr>
          <w:rStyle w:val="eop"/>
          <w:rFonts w:ascii="Calibri" w:hAnsi="Calibri" w:cs="Calibri"/>
          <w:sz w:val="22"/>
          <w:szCs w:val="22"/>
        </w:rPr>
        <w:t>teams including</w:t>
      </w:r>
      <w:r w:rsidR="00634641" w:rsidRPr="00B873F3">
        <w:rPr>
          <w:rStyle w:val="eop"/>
          <w:rFonts w:ascii="Calibri" w:hAnsi="Calibri" w:cs="Calibri"/>
          <w:sz w:val="22"/>
          <w:szCs w:val="22"/>
        </w:rPr>
        <w:t xml:space="preserve"> ASB, Neighbourhoods, Violence Reduction, CCTV operations</w:t>
      </w:r>
      <w:r w:rsidR="00640EF7">
        <w:rPr>
          <w:rStyle w:val="eop"/>
          <w:rFonts w:ascii="Calibri" w:hAnsi="Calibri" w:cs="Calibri"/>
          <w:sz w:val="22"/>
          <w:szCs w:val="22"/>
        </w:rPr>
        <w:t xml:space="preserve"> and be supported by</w:t>
      </w:r>
      <w:r w:rsidR="00F13EF0" w:rsidRPr="00B873F3">
        <w:rPr>
          <w:rStyle w:val="eop"/>
          <w:rFonts w:ascii="Calibri" w:hAnsi="Calibri" w:cs="Calibri"/>
          <w:sz w:val="22"/>
          <w:szCs w:val="22"/>
        </w:rPr>
        <w:t xml:space="preserve"> </w:t>
      </w:r>
      <w:r w:rsidR="001F6A33">
        <w:rPr>
          <w:rStyle w:val="eop"/>
          <w:rFonts w:ascii="Calibri" w:hAnsi="Calibri" w:cs="Calibri"/>
          <w:sz w:val="22"/>
          <w:szCs w:val="22"/>
        </w:rPr>
        <w:t xml:space="preserve">a further 20 officers from wider teams including </w:t>
      </w:r>
      <w:r w:rsidR="00F13EF0" w:rsidRPr="00B873F3">
        <w:rPr>
          <w:rStyle w:val="eop"/>
          <w:rFonts w:ascii="Calibri" w:hAnsi="Calibri" w:cs="Calibri"/>
          <w:sz w:val="22"/>
          <w:szCs w:val="22"/>
        </w:rPr>
        <w:t>Regen, Community Safety</w:t>
      </w:r>
      <w:r w:rsidR="00640EF7">
        <w:rPr>
          <w:rStyle w:val="eop"/>
          <w:rFonts w:ascii="Calibri" w:hAnsi="Calibri" w:cs="Calibri"/>
          <w:sz w:val="22"/>
          <w:szCs w:val="22"/>
        </w:rPr>
        <w:t xml:space="preserve">, </w:t>
      </w:r>
      <w:r w:rsidR="00F13EF0" w:rsidRPr="00B873F3">
        <w:rPr>
          <w:rStyle w:val="eop"/>
          <w:rFonts w:ascii="Calibri" w:hAnsi="Calibri" w:cs="Calibri"/>
          <w:sz w:val="22"/>
          <w:szCs w:val="22"/>
        </w:rPr>
        <w:t>Housing services</w:t>
      </w:r>
      <w:r w:rsidR="00640EF7">
        <w:rPr>
          <w:rStyle w:val="eop"/>
          <w:rFonts w:ascii="Calibri" w:hAnsi="Calibri" w:cs="Calibri"/>
          <w:sz w:val="22"/>
          <w:szCs w:val="22"/>
        </w:rPr>
        <w:t xml:space="preserve"> and </w:t>
      </w:r>
      <w:r w:rsidR="00640EF7" w:rsidRPr="00B873F3">
        <w:rPr>
          <w:rStyle w:val="eop"/>
          <w:rFonts w:ascii="Calibri" w:hAnsi="Calibri" w:cs="Calibri"/>
          <w:sz w:val="22"/>
          <w:szCs w:val="22"/>
        </w:rPr>
        <w:t>Streetbase</w:t>
      </w:r>
      <w:r w:rsidR="00640EF7">
        <w:rPr>
          <w:rStyle w:val="eop"/>
          <w:rFonts w:ascii="Calibri" w:hAnsi="Calibri" w:cs="Calibri"/>
          <w:sz w:val="22"/>
          <w:szCs w:val="22"/>
        </w:rPr>
        <w:t xml:space="preserve"> and the Met </w:t>
      </w:r>
      <w:r w:rsidR="00640EF7" w:rsidRPr="00B873F3">
        <w:rPr>
          <w:rStyle w:val="eop"/>
          <w:rFonts w:ascii="Calibri" w:hAnsi="Calibri" w:cs="Calibri"/>
          <w:sz w:val="22"/>
          <w:szCs w:val="22"/>
        </w:rPr>
        <w:t>Police</w:t>
      </w:r>
      <w:r w:rsidR="00F13EF0" w:rsidRPr="00B873F3">
        <w:rPr>
          <w:rStyle w:val="eop"/>
          <w:rFonts w:ascii="Calibri" w:hAnsi="Calibri" w:cs="Calibri"/>
          <w:sz w:val="22"/>
          <w:szCs w:val="22"/>
        </w:rPr>
        <w:t xml:space="preserve">. </w:t>
      </w:r>
    </w:p>
    <w:p w14:paraId="47F010A7" w14:textId="77777777" w:rsidR="00F459BC" w:rsidRPr="00B873F3" w:rsidRDefault="00F459BC" w:rsidP="00C8289A">
      <w:pPr>
        <w:pStyle w:val="paragraph"/>
        <w:spacing w:before="0" w:beforeAutospacing="0" w:after="0" w:afterAutospacing="0"/>
        <w:jc w:val="both"/>
        <w:textAlignment w:val="baseline"/>
        <w:rPr>
          <w:rStyle w:val="eop"/>
          <w:rFonts w:ascii="Calibri" w:hAnsi="Calibri" w:cs="Calibri"/>
          <w:sz w:val="22"/>
          <w:szCs w:val="22"/>
        </w:rPr>
      </w:pPr>
    </w:p>
    <w:p w14:paraId="0E38F044" w14:textId="5CC6B9A7" w:rsidR="00E66F9C" w:rsidRPr="00B873F3" w:rsidRDefault="00F459BC" w:rsidP="00E66F9C">
      <w:pPr>
        <w:pStyle w:val="paragraph"/>
        <w:spacing w:before="0" w:beforeAutospacing="0" w:after="0" w:afterAutospacing="0"/>
        <w:jc w:val="both"/>
        <w:textAlignment w:val="baseline"/>
        <w:rPr>
          <w:rStyle w:val="eop"/>
          <w:rFonts w:ascii="Calibri" w:hAnsi="Calibri" w:cs="Calibri"/>
          <w:sz w:val="22"/>
          <w:szCs w:val="22"/>
        </w:rPr>
      </w:pPr>
      <w:r w:rsidRPr="00B873F3">
        <w:rPr>
          <w:rStyle w:val="eop"/>
          <w:rFonts w:ascii="Calibri" w:hAnsi="Calibri" w:cs="Calibri"/>
          <w:sz w:val="22"/>
          <w:szCs w:val="22"/>
        </w:rPr>
        <w:t xml:space="preserve">The </w:t>
      </w:r>
      <w:r w:rsidR="00774067">
        <w:rPr>
          <w:rStyle w:val="eop"/>
          <w:rFonts w:ascii="Calibri" w:hAnsi="Calibri" w:cs="Calibri"/>
          <w:sz w:val="22"/>
          <w:szCs w:val="22"/>
        </w:rPr>
        <w:t>Safer Streets pilot</w:t>
      </w:r>
      <w:r w:rsidRPr="00B873F3">
        <w:rPr>
          <w:rStyle w:val="eop"/>
          <w:rFonts w:ascii="Calibri" w:hAnsi="Calibri" w:cs="Calibri"/>
          <w:sz w:val="22"/>
          <w:szCs w:val="22"/>
        </w:rPr>
        <w:t xml:space="preserve"> is aiming to instil new ways of working for the multi-agency team</w:t>
      </w:r>
      <w:r w:rsidR="00E66F9C" w:rsidRPr="00B873F3">
        <w:rPr>
          <w:rStyle w:val="eop"/>
          <w:rFonts w:ascii="Calibri" w:hAnsi="Calibri" w:cs="Calibri"/>
          <w:sz w:val="22"/>
          <w:szCs w:val="22"/>
        </w:rPr>
        <w:t xml:space="preserve"> by:</w:t>
      </w:r>
    </w:p>
    <w:p w14:paraId="73A1893A" w14:textId="41522DFD" w:rsidR="00132E8C" w:rsidRPr="00B873F3" w:rsidRDefault="00D615DF" w:rsidP="00E66F9C">
      <w:pPr>
        <w:pStyle w:val="paragraph"/>
        <w:numPr>
          <w:ilvl w:val="0"/>
          <w:numId w:val="9"/>
        </w:numPr>
        <w:spacing w:before="0" w:beforeAutospacing="0" w:after="0" w:afterAutospacing="0"/>
        <w:jc w:val="both"/>
        <w:textAlignment w:val="baseline"/>
        <w:rPr>
          <w:rStyle w:val="eop"/>
          <w:rFonts w:ascii="Calibri" w:hAnsi="Calibri" w:cs="Calibri"/>
          <w:sz w:val="22"/>
          <w:szCs w:val="22"/>
        </w:rPr>
      </w:pPr>
      <w:r w:rsidRPr="00B873F3">
        <w:rPr>
          <w:rStyle w:val="eop"/>
          <w:rFonts w:ascii="Calibri" w:hAnsi="Calibri" w:cs="Calibri"/>
          <w:sz w:val="22"/>
          <w:szCs w:val="22"/>
        </w:rPr>
        <w:t>Acting quickly on easy issues and proactively with high-profile patrols</w:t>
      </w:r>
    </w:p>
    <w:p w14:paraId="171A76A6" w14:textId="77777777" w:rsidR="00132E8C" w:rsidRPr="00B873F3" w:rsidRDefault="00132E8C" w:rsidP="00132E8C">
      <w:pPr>
        <w:pStyle w:val="paragraph"/>
        <w:numPr>
          <w:ilvl w:val="0"/>
          <w:numId w:val="9"/>
        </w:numPr>
        <w:spacing w:before="0" w:beforeAutospacing="0" w:after="0" w:afterAutospacing="0"/>
        <w:jc w:val="both"/>
        <w:textAlignment w:val="baseline"/>
        <w:rPr>
          <w:rStyle w:val="eop"/>
          <w:rFonts w:ascii="Calibri" w:hAnsi="Calibri" w:cs="Calibri"/>
          <w:sz w:val="22"/>
          <w:szCs w:val="22"/>
        </w:rPr>
      </w:pPr>
      <w:r w:rsidRPr="00B873F3">
        <w:rPr>
          <w:rStyle w:val="eop"/>
          <w:rFonts w:ascii="Calibri" w:hAnsi="Calibri" w:cs="Calibri"/>
          <w:sz w:val="22"/>
          <w:szCs w:val="22"/>
        </w:rPr>
        <w:t xml:space="preserve">Increased joint working with the police and other partners </w:t>
      </w:r>
    </w:p>
    <w:p w14:paraId="536796A5" w14:textId="5D46791F" w:rsidR="00E66F9C" w:rsidRPr="00B873F3" w:rsidRDefault="00E66F9C" w:rsidP="00E66F9C">
      <w:pPr>
        <w:pStyle w:val="paragraph"/>
        <w:numPr>
          <w:ilvl w:val="0"/>
          <w:numId w:val="9"/>
        </w:numPr>
        <w:spacing w:before="0" w:beforeAutospacing="0" w:after="0" w:afterAutospacing="0"/>
        <w:jc w:val="both"/>
        <w:textAlignment w:val="baseline"/>
        <w:rPr>
          <w:rStyle w:val="eop"/>
          <w:rFonts w:ascii="Calibri" w:hAnsi="Calibri" w:cs="Calibri"/>
          <w:sz w:val="22"/>
          <w:szCs w:val="22"/>
        </w:rPr>
      </w:pPr>
      <w:r w:rsidRPr="00B873F3">
        <w:rPr>
          <w:rStyle w:val="eop"/>
          <w:rFonts w:ascii="Calibri" w:hAnsi="Calibri" w:cs="Calibri"/>
          <w:sz w:val="22"/>
          <w:szCs w:val="22"/>
        </w:rPr>
        <w:t xml:space="preserve">Having an enhanced reporting portal to better report and understand </w:t>
      </w:r>
      <w:proofErr w:type="spellStart"/>
      <w:proofErr w:type="gramStart"/>
      <w:r w:rsidRPr="00B873F3">
        <w:rPr>
          <w:rStyle w:val="eop"/>
          <w:rFonts w:ascii="Calibri" w:hAnsi="Calibri" w:cs="Calibri"/>
          <w:sz w:val="22"/>
          <w:szCs w:val="22"/>
        </w:rPr>
        <w:t>residents</w:t>
      </w:r>
      <w:proofErr w:type="spellEnd"/>
      <w:proofErr w:type="gramEnd"/>
      <w:r w:rsidRPr="00B873F3">
        <w:rPr>
          <w:rStyle w:val="eop"/>
          <w:rFonts w:ascii="Calibri" w:hAnsi="Calibri" w:cs="Calibri"/>
          <w:sz w:val="22"/>
          <w:szCs w:val="22"/>
        </w:rPr>
        <w:t xml:space="preserve"> concerns</w:t>
      </w:r>
    </w:p>
    <w:p w14:paraId="7C2B08FB" w14:textId="77777777" w:rsidR="00900D31" w:rsidRPr="00B873F3" w:rsidRDefault="00900D31" w:rsidP="00E66F9C">
      <w:pPr>
        <w:pStyle w:val="paragraph"/>
        <w:numPr>
          <w:ilvl w:val="0"/>
          <w:numId w:val="9"/>
        </w:numPr>
        <w:spacing w:before="0" w:beforeAutospacing="0" w:after="0" w:afterAutospacing="0"/>
        <w:jc w:val="both"/>
        <w:textAlignment w:val="baseline"/>
        <w:rPr>
          <w:rStyle w:val="eop"/>
          <w:rFonts w:ascii="Calibri" w:hAnsi="Calibri" w:cs="Calibri"/>
          <w:sz w:val="22"/>
          <w:szCs w:val="22"/>
        </w:rPr>
      </w:pPr>
      <w:r w:rsidRPr="00B873F3">
        <w:rPr>
          <w:rStyle w:val="eop"/>
          <w:rFonts w:ascii="Calibri" w:hAnsi="Calibri" w:cs="Calibri"/>
          <w:sz w:val="22"/>
          <w:szCs w:val="22"/>
        </w:rPr>
        <w:t>Deeper resident engagement with targeted comms and increased engagement events</w:t>
      </w:r>
    </w:p>
    <w:p w14:paraId="2914FE75" w14:textId="77777777" w:rsidR="00132E8C" w:rsidRPr="00B873F3" w:rsidRDefault="00900D31" w:rsidP="00132E8C">
      <w:pPr>
        <w:pStyle w:val="paragraph"/>
        <w:numPr>
          <w:ilvl w:val="0"/>
          <w:numId w:val="9"/>
        </w:numPr>
        <w:spacing w:before="0" w:beforeAutospacing="0" w:after="0" w:afterAutospacing="0"/>
        <w:jc w:val="both"/>
        <w:textAlignment w:val="baseline"/>
        <w:rPr>
          <w:rStyle w:val="eop"/>
          <w:rFonts w:ascii="Calibri" w:hAnsi="Calibri" w:cs="Calibri"/>
          <w:sz w:val="22"/>
          <w:szCs w:val="22"/>
        </w:rPr>
      </w:pPr>
      <w:r w:rsidRPr="00B873F3">
        <w:rPr>
          <w:rStyle w:val="eop"/>
          <w:rFonts w:ascii="Calibri" w:hAnsi="Calibri" w:cs="Calibri"/>
          <w:sz w:val="22"/>
          <w:szCs w:val="22"/>
        </w:rPr>
        <w:t xml:space="preserve">Data-led approaches to </w:t>
      </w:r>
      <w:r w:rsidR="00132E8C" w:rsidRPr="00B873F3">
        <w:rPr>
          <w:rStyle w:val="eop"/>
          <w:rFonts w:ascii="Calibri" w:hAnsi="Calibri" w:cs="Calibri"/>
          <w:sz w:val="22"/>
          <w:szCs w:val="22"/>
        </w:rPr>
        <w:t>tackling crime</w:t>
      </w:r>
    </w:p>
    <w:p w14:paraId="5523C00F" w14:textId="77777777" w:rsidR="0013012B" w:rsidRPr="00B873F3" w:rsidRDefault="0013012B" w:rsidP="00C8289A">
      <w:pPr>
        <w:pStyle w:val="paragraph"/>
        <w:spacing w:before="0" w:beforeAutospacing="0" w:after="0" w:afterAutospacing="0"/>
        <w:jc w:val="both"/>
        <w:textAlignment w:val="baseline"/>
        <w:rPr>
          <w:rStyle w:val="eop"/>
          <w:rFonts w:ascii="Calibri" w:hAnsi="Calibri" w:cs="Calibri"/>
          <w:sz w:val="22"/>
          <w:szCs w:val="22"/>
        </w:rPr>
      </w:pPr>
    </w:p>
    <w:p w14:paraId="6881C275" w14:textId="72ED1B8F" w:rsidR="00504839" w:rsidRPr="00B873F3" w:rsidRDefault="00504839" w:rsidP="00C8289A">
      <w:pPr>
        <w:pStyle w:val="paragraph"/>
        <w:spacing w:before="0" w:beforeAutospacing="0" w:after="0" w:afterAutospacing="0"/>
        <w:jc w:val="both"/>
        <w:textAlignment w:val="baseline"/>
        <w:rPr>
          <w:rStyle w:val="eop"/>
          <w:rFonts w:ascii="Calibri" w:hAnsi="Calibri" w:cs="Calibri"/>
          <w:sz w:val="22"/>
          <w:szCs w:val="22"/>
        </w:rPr>
      </w:pPr>
      <w:r w:rsidRPr="00B873F3">
        <w:rPr>
          <w:rStyle w:val="eop"/>
          <w:rFonts w:ascii="Calibri" w:hAnsi="Calibri" w:cs="Calibri"/>
          <w:sz w:val="22"/>
          <w:szCs w:val="22"/>
        </w:rPr>
        <w:t xml:space="preserve">We expect that the </w:t>
      </w:r>
      <w:r w:rsidR="00774067">
        <w:rPr>
          <w:rStyle w:val="eop"/>
          <w:rFonts w:ascii="Calibri" w:hAnsi="Calibri" w:cs="Calibri"/>
          <w:sz w:val="22"/>
          <w:szCs w:val="22"/>
        </w:rPr>
        <w:t>pilot</w:t>
      </w:r>
      <w:r w:rsidRPr="00B873F3">
        <w:rPr>
          <w:rStyle w:val="eop"/>
          <w:rFonts w:ascii="Calibri" w:hAnsi="Calibri" w:cs="Calibri"/>
          <w:sz w:val="22"/>
          <w:szCs w:val="22"/>
        </w:rPr>
        <w:t xml:space="preserve"> will </w:t>
      </w:r>
      <w:r w:rsidR="008810DA" w:rsidRPr="00B873F3">
        <w:rPr>
          <w:rStyle w:val="eop"/>
          <w:rFonts w:ascii="Calibri" w:hAnsi="Calibri" w:cs="Calibri"/>
          <w:sz w:val="22"/>
          <w:szCs w:val="22"/>
        </w:rPr>
        <w:t xml:space="preserve">enable residents to contact a single team to solve issues and raise concerns more simply, to receive feedback </w:t>
      </w:r>
      <w:r w:rsidR="002D48CF" w:rsidRPr="00B873F3">
        <w:rPr>
          <w:rStyle w:val="eop"/>
          <w:rFonts w:ascii="Calibri" w:hAnsi="Calibri" w:cs="Calibri"/>
          <w:sz w:val="22"/>
          <w:szCs w:val="22"/>
        </w:rPr>
        <w:t xml:space="preserve">on the concerns they have raised and a follow-up once their concern has been dealt with. </w:t>
      </w:r>
    </w:p>
    <w:p w14:paraId="117A1ADB" w14:textId="5015A855" w:rsidR="003A5D2F" w:rsidRPr="00B873F3" w:rsidRDefault="003A5D2F" w:rsidP="00C8289A">
      <w:pPr>
        <w:pStyle w:val="paragraph"/>
        <w:spacing w:before="0" w:beforeAutospacing="0" w:after="0" w:afterAutospacing="0"/>
        <w:jc w:val="both"/>
        <w:textAlignment w:val="baseline"/>
        <w:rPr>
          <w:rStyle w:val="eop"/>
          <w:rFonts w:ascii="Calibri" w:hAnsi="Calibri" w:cs="Calibri"/>
          <w:sz w:val="22"/>
          <w:szCs w:val="22"/>
        </w:rPr>
      </w:pPr>
    </w:p>
    <w:p w14:paraId="778CB5D2" w14:textId="55014C5F" w:rsidR="003A5D2F" w:rsidRPr="00B873F3" w:rsidRDefault="003A5D2F" w:rsidP="00C8289A">
      <w:pPr>
        <w:pStyle w:val="paragraph"/>
        <w:spacing w:before="0" w:beforeAutospacing="0" w:after="0" w:afterAutospacing="0"/>
        <w:jc w:val="both"/>
        <w:textAlignment w:val="baseline"/>
        <w:rPr>
          <w:rStyle w:val="eop"/>
          <w:rFonts w:ascii="Calibri" w:hAnsi="Calibri" w:cs="Calibri"/>
          <w:sz w:val="22"/>
          <w:szCs w:val="22"/>
        </w:rPr>
      </w:pPr>
      <w:r w:rsidRPr="00B873F3">
        <w:rPr>
          <w:rStyle w:val="eop"/>
          <w:rFonts w:ascii="Calibri" w:hAnsi="Calibri" w:cs="Calibri"/>
          <w:sz w:val="22"/>
          <w:szCs w:val="22"/>
        </w:rPr>
        <w:t xml:space="preserve">For staff working on the pilot, they should have a stronger sense of ‘one team’ and be empowered to </w:t>
      </w:r>
      <w:r w:rsidR="00476760" w:rsidRPr="00B873F3">
        <w:rPr>
          <w:rStyle w:val="eop"/>
          <w:rFonts w:ascii="Calibri" w:hAnsi="Calibri" w:cs="Calibri"/>
          <w:sz w:val="22"/>
          <w:szCs w:val="22"/>
        </w:rPr>
        <w:t xml:space="preserve">get things done, with enhanced job satisfaction </w:t>
      </w:r>
      <w:proofErr w:type="gramStart"/>
      <w:r w:rsidR="00476760" w:rsidRPr="00B873F3">
        <w:rPr>
          <w:rStyle w:val="eop"/>
          <w:rFonts w:ascii="Calibri" w:hAnsi="Calibri" w:cs="Calibri"/>
          <w:sz w:val="22"/>
          <w:szCs w:val="22"/>
        </w:rPr>
        <w:t>as a result of</w:t>
      </w:r>
      <w:proofErr w:type="gramEnd"/>
      <w:r w:rsidR="00476760" w:rsidRPr="00B873F3">
        <w:rPr>
          <w:rStyle w:val="eop"/>
          <w:rFonts w:ascii="Calibri" w:hAnsi="Calibri" w:cs="Calibri"/>
          <w:sz w:val="22"/>
          <w:szCs w:val="22"/>
        </w:rPr>
        <w:t xml:space="preserve"> measurable impact and real-time feedback from residents. Staff should also have a deeper and more sophisticated picture of local issues and what drives resident concerns. </w:t>
      </w:r>
    </w:p>
    <w:p w14:paraId="4A0F4255" w14:textId="77777777" w:rsidR="006A45B0" w:rsidRPr="00B873F3" w:rsidRDefault="006A45B0" w:rsidP="00C8289A">
      <w:pPr>
        <w:pStyle w:val="paragraph"/>
        <w:spacing w:before="0" w:beforeAutospacing="0" w:after="0" w:afterAutospacing="0"/>
        <w:jc w:val="both"/>
        <w:textAlignment w:val="baseline"/>
        <w:rPr>
          <w:rStyle w:val="eop"/>
          <w:rFonts w:ascii="Calibri" w:hAnsi="Calibri" w:cs="Calibri"/>
          <w:sz w:val="22"/>
          <w:szCs w:val="22"/>
        </w:rPr>
      </w:pPr>
    </w:p>
    <w:p w14:paraId="66502151" w14:textId="366997FD" w:rsidR="006A45B0" w:rsidRPr="00B873F3" w:rsidRDefault="006A45B0" w:rsidP="00C8289A">
      <w:pPr>
        <w:pStyle w:val="paragraph"/>
        <w:spacing w:before="0" w:beforeAutospacing="0" w:after="0" w:afterAutospacing="0"/>
        <w:jc w:val="both"/>
        <w:textAlignment w:val="baseline"/>
        <w:rPr>
          <w:rStyle w:val="eop"/>
          <w:rFonts w:ascii="Calibri" w:hAnsi="Calibri" w:cs="Calibri"/>
          <w:sz w:val="22"/>
          <w:szCs w:val="22"/>
        </w:rPr>
      </w:pPr>
      <w:r w:rsidRPr="00B873F3">
        <w:rPr>
          <w:rStyle w:val="eop"/>
          <w:rFonts w:ascii="Calibri" w:hAnsi="Calibri" w:cs="Calibri"/>
          <w:sz w:val="22"/>
          <w:szCs w:val="22"/>
        </w:rPr>
        <w:t>For elected Members, they should feel more confident that is</w:t>
      </w:r>
      <w:r w:rsidR="0028734E" w:rsidRPr="00B873F3">
        <w:rPr>
          <w:rStyle w:val="eop"/>
          <w:rFonts w:ascii="Calibri" w:hAnsi="Calibri" w:cs="Calibri"/>
          <w:sz w:val="22"/>
          <w:szCs w:val="22"/>
        </w:rPr>
        <w:t>s</w:t>
      </w:r>
      <w:r w:rsidRPr="00B873F3">
        <w:rPr>
          <w:rStyle w:val="eop"/>
          <w:rFonts w:ascii="Calibri" w:hAnsi="Calibri" w:cs="Calibri"/>
          <w:sz w:val="22"/>
          <w:szCs w:val="22"/>
        </w:rPr>
        <w:t xml:space="preserve">ues are logged and responded </w:t>
      </w:r>
      <w:proofErr w:type="gramStart"/>
      <w:r w:rsidRPr="00B873F3">
        <w:rPr>
          <w:rStyle w:val="eop"/>
          <w:rFonts w:ascii="Calibri" w:hAnsi="Calibri" w:cs="Calibri"/>
          <w:sz w:val="22"/>
          <w:szCs w:val="22"/>
        </w:rPr>
        <w:t>to</w:t>
      </w:r>
      <w:r w:rsidR="0028734E" w:rsidRPr="00B873F3">
        <w:rPr>
          <w:rStyle w:val="eop"/>
          <w:rFonts w:ascii="Calibri" w:hAnsi="Calibri" w:cs="Calibri"/>
          <w:sz w:val="22"/>
          <w:szCs w:val="22"/>
        </w:rPr>
        <w:t>, and</w:t>
      </w:r>
      <w:proofErr w:type="gramEnd"/>
      <w:r w:rsidR="0028734E" w:rsidRPr="00B873F3">
        <w:rPr>
          <w:rStyle w:val="eop"/>
          <w:rFonts w:ascii="Calibri" w:hAnsi="Calibri" w:cs="Calibri"/>
          <w:sz w:val="22"/>
          <w:szCs w:val="22"/>
        </w:rPr>
        <w:t xml:space="preserve"> have an ability to hold officers to account regarding progress and resident satisfaction. </w:t>
      </w:r>
    </w:p>
    <w:p w14:paraId="45029CE5" w14:textId="01D400CA" w:rsidR="00C8289A" w:rsidRDefault="00C8289A" w:rsidP="00C8289A">
      <w:pPr>
        <w:pStyle w:val="paragraph"/>
        <w:spacing w:before="0" w:beforeAutospacing="0" w:after="0" w:afterAutospacing="0"/>
        <w:jc w:val="both"/>
        <w:textAlignment w:val="baseline"/>
        <w:rPr>
          <w:rFonts w:ascii="Calibri" w:hAnsi="Calibri" w:cs="Calibri"/>
        </w:rPr>
      </w:pPr>
    </w:p>
    <w:p w14:paraId="1049C952" w14:textId="48632B12" w:rsidR="00C8289A" w:rsidRPr="007B0AC7" w:rsidRDefault="00F81409" w:rsidP="00C8289A">
      <w:pPr>
        <w:pStyle w:val="paragraph"/>
        <w:spacing w:before="0" w:beforeAutospacing="0" w:after="0" w:afterAutospacing="0"/>
        <w:textAlignment w:val="baseline"/>
        <w:rPr>
          <w:rFonts w:ascii="Calibri" w:hAnsi="Calibri" w:cs="Calibri"/>
          <w:b/>
          <w:bCs/>
          <w:color w:val="ED1080"/>
        </w:rPr>
      </w:pPr>
      <w:r w:rsidRPr="007B0AC7">
        <w:rPr>
          <w:rStyle w:val="normaltextrun"/>
          <w:rFonts w:ascii="Calibri" w:hAnsi="Calibri" w:cs="Calibri"/>
          <w:b/>
          <w:bCs/>
          <w:color w:val="ED1080"/>
          <w:sz w:val="36"/>
          <w:szCs w:val="36"/>
        </w:rPr>
        <w:t xml:space="preserve">Research </w:t>
      </w:r>
      <w:r w:rsidR="007B028F">
        <w:rPr>
          <w:rStyle w:val="normaltextrun"/>
          <w:rFonts w:ascii="Calibri" w:hAnsi="Calibri" w:cs="Calibri"/>
          <w:b/>
          <w:bCs/>
          <w:color w:val="ED1080"/>
          <w:sz w:val="36"/>
          <w:szCs w:val="36"/>
        </w:rPr>
        <w:t>a</w:t>
      </w:r>
      <w:r w:rsidR="00C8289A" w:rsidRPr="007B0AC7">
        <w:rPr>
          <w:rStyle w:val="normaltextrun"/>
          <w:rFonts w:ascii="Calibri" w:hAnsi="Calibri" w:cs="Calibri"/>
          <w:b/>
          <w:bCs/>
          <w:color w:val="ED1080"/>
          <w:sz w:val="36"/>
          <w:szCs w:val="36"/>
        </w:rPr>
        <w:t>pproach</w:t>
      </w:r>
      <w:r w:rsidR="00C0577E">
        <w:rPr>
          <w:rStyle w:val="normaltextrun"/>
          <w:rFonts w:ascii="Calibri" w:hAnsi="Calibri" w:cs="Calibri"/>
          <w:b/>
          <w:bCs/>
          <w:color w:val="ED1080"/>
          <w:sz w:val="36"/>
          <w:szCs w:val="36"/>
        </w:rPr>
        <w:t xml:space="preserve"> and objectives</w:t>
      </w:r>
    </w:p>
    <w:p w14:paraId="1BE6265E" w14:textId="755A01A7" w:rsidR="008272A2" w:rsidRDefault="008272A2" w:rsidP="00C8289A">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The Council will be </w:t>
      </w:r>
      <w:r w:rsidR="00F70226">
        <w:rPr>
          <w:rStyle w:val="normaltextrun"/>
          <w:rFonts w:ascii="Calibri" w:hAnsi="Calibri" w:cs="Calibri"/>
          <w:sz w:val="22"/>
          <w:szCs w:val="22"/>
        </w:rPr>
        <w:t xml:space="preserve">monitoring a range of quantitative indicators that we already collect at a local level to measure the successes of the pilots. </w:t>
      </w:r>
      <w:r>
        <w:rPr>
          <w:rStyle w:val="normaltextrun"/>
          <w:rFonts w:ascii="Calibri" w:hAnsi="Calibri" w:cs="Calibri"/>
          <w:sz w:val="22"/>
          <w:szCs w:val="22"/>
        </w:rPr>
        <w:t xml:space="preserve"> </w:t>
      </w:r>
      <w:r w:rsidR="00F70226">
        <w:rPr>
          <w:rStyle w:val="normaltextrun"/>
          <w:rFonts w:ascii="Calibri" w:hAnsi="Calibri" w:cs="Calibri"/>
          <w:sz w:val="22"/>
          <w:szCs w:val="22"/>
        </w:rPr>
        <w:t xml:space="preserve">These include rates of ASB, street cleaning, </w:t>
      </w:r>
      <w:r w:rsidR="005274C4">
        <w:rPr>
          <w:rStyle w:val="normaltextrun"/>
          <w:rFonts w:ascii="Calibri" w:hAnsi="Calibri" w:cs="Calibri"/>
          <w:sz w:val="22"/>
          <w:szCs w:val="22"/>
        </w:rPr>
        <w:t xml:space="preserve">dog fouling, police performance measures, noise, flytipping and social media interactions. </w:t>
      </w:r>
      <w:r w:rsidR="00833012">
        <w:rPr>
          <w:rStyle w:val="normaltextrun"/>
          <w:rFonts w:ascii="Calibri" w:hAnsi="Calibri" w:cs="Calibri"/>
          <w:sz w:val="22"/>
          <w:szCs w:val="22"/>
        </w:rPr>
        <w:t xml:space="preserve">However, we are looking for the successful provider to conduct qualitative research </w:t>
      </w:r>
      <w:r w:rsidR="006C7C34">
        <w:rPr>
          <w:rStyle w:val="normaltextrun"/>
          <w:rFonts w:ascii="Calibri" w:hAnsi="Calibri" w:cs="Calibri"/>
          <w:sz w:val="22"/>
          <w:szCs w:val="22"/>
        </w:rPr>
        <w:t>to understand</w:t>
      </w:r>
      <w:r w:rsidR="00833012">
        <w:rPr>
          <w:rStyle w:val="normaltextrun"/>
          <w:rFonts w:ascii="Calibri" w:hAnsi="Calibri" w:cs="Calibri"/>
          <w:sz w:val="22"/>
          <w:szCs w:val="22"/>
        </w:rPr>
        <w:t xml:space="preserve"> the experience of residents</w:t>
      </w:r>
      <w:r w:rsidR="006C7C34">
        <w:rPr>
          <w:rStyle w:val="normaltextrun"/>
          <w:rFonts w:ascii="Calibri" w:hAnsi="Calibri" w:cs="Calibri"/>
          <w:sz w:val="22"/>
          <w:szCs w:val="22"/>
        </w:rPr>
        <w:t xml:space="preserve">, </w:t>
      </w:r>
      <w:r w:rsidR="00A2324B">
        <w:rPr>
          <w:rStyle w:val="normaltextrun"/>
          <w:rFonts w:ascii="Calibri" w:hAnsi="Calibri" w:cs="Calibri"/>
          <w:sz w:val="22"/>
          <w:szCs w:val="22"/>
        </w:rPr>
        <w:t>businesses</w:t>
      </w:r>
      <w:r w:rsidR="006C7C34">
        <w:rPr>
          <w:rStyle w:val="normaltextrun"/>
          <w:rFonts w:ascii="Calibri" w:hAnsi="Calibri" w:cs="Calibri"/>
          <w:sz w:val="22"/>
          <w:szCs w:val="22"/>
        </w:rPr>
        <w:t xml:space="preserve">, </w:t>
      </w:r>
      <w:r w:rsidR="00A2324B">
        <w:rPr>
          <w:rStyle w:val="normaltextrun"/>
          <w:rFonts w:ascii="Calibri" w:hAnsi="Calibri" w:cs="Calibri"/>
          <w:sz w:val="22"/>
          <w:szCs w:val="22"/>
        </w:rPr>
        <w:t>partners</w:t>
      </w:r>
      <w:r w:rsidR="006C7C34">
        <w:rPr>
          <w:rStyle w:val="normaltextrun"/>
          <w:rFonts w:ascii="Calibri" w:hAnsi="Calibri" w:cs="Calibri"/>
          <w:sz w:val="22"/>
          <w:szCs w:val="22"/>
        </w:rPr>
        <w:t xml:space="preserve">, elected </w:t>
      </w:r>
      <w:proofErr w:type="gramStart"/>
      <w:r w:rsidR="006C7C34">
        <w:rPr>
          <w:rStyle w:val="normaltextrun"/>
          <w:rFonts w:ascii="Calibri" w:hAnsi="Calibri" w:cs="Calibri"/>
          <w:sz w:val="22"/>
          <w:szCs w:val="22"/>
        </w:rPr>
        <w:t>Members</w:t>
      </w:r>
      <w:proofErr w:type="gramEnd"/>
      <w:r w:rsidR="006C7C34">
        <w:rPr>
          <w:rStyle w:val="normaltextrun"/>
          <w:rFonts w:ascii="Calibri" w:hAnsi="Calibri" w:cs="Calibri"/>
          <w:sz w:val="22"/>
          <w:szCs w:val="22"/>
        </w:rPr>
        <w:t xml:space="preserve"> </w:t>
      </w:r>
      <w:r w:rsidR="00A2324B">
        <w:rPr>
          <w:rStyle w:val="normaltextrun"/>
          <w:rFonts w:ascii="Calibri" w:hAnsi="Calibri" w:cs="Calibri"/>
          <w:sz w:val="22"/>
          <w:szCs w:val="22"/>
        </w:rPr>
        <w:t xml:space="preserve">and </w:t>
      </w:r>
      <w:r w:rsidR="00FA0F1C">
        <w:rPr>
          <w:rStyle w:val="normaltextrun"/>
          <w:rFonts w:ascii="Calibri" w:hAnsi="Calibri" w:cs="Calibri"/>
          <w:sz w:val="22"/>
          <w:szCs w:val="22"/>
        </w:rPr>
        <w:t>staff</w:t>
      </w:r>
      <w:r w:rsidR="006C7C34">
        <w:rPr>
          <w:rStyle w:val="normaltextrun"/>
          <w:rFonts w:ascii="Calibri" w:hAnsi="Calibri" w:cs="Calibri"/>
          <w:sz w:val="22"/>
          <w:szCs w:val="22"/>
        </w:rPr>
        <w:t xml:space="preserve"> in the pilot areas</w:t>
      </w:r>
      <w:r w:rsidR="00CF41A5">
        <w:rPr>
          <w:rStyle w:val="normaltextrun"/>
          <w:rFonts w:ascii="Calibri" w:hAnsi="Calibri" w:cs="Calibri"/>
          <w:sz w:val="22"/>
          <w:szCs w:val="22"/>
        </w:rPr>
        <w:t xml:space="preserve"> </w:t>
      </w:r>
      <w:r w:rsidR="00F853D2">
        <w:rPr>
          <w:rStyle w:val="normaltextrun"/>
          <w:rFonts w:ascii="Calibri" w:hAnsi="Calibri" w:cs="Calibri"/>
          <w:sz w:val="22"/>
          <w:szCs w:val="22"/>
        </w:rPr>
        <w:t>with a view to assessing the impact of the Safer Streets Pilot and recommend insight-driven improvements to the model before it is rolled out across the whole borough.</w:t>
      </w:r>
    </w:p>
    <w:p w14:paraId="08D1C6BB" w14:textId="77777777" w:rsidR="00F853D2" w:rsidRDefault="00F853D2" w:rsidP="00C8289A">
      <w:pPr>
        <w:pStyle w:val="paragraph"/>
        <w:spacing w:before="0" w:beforeAutospacing="0" w:after="0" w:afterAutospacing="0"/>
        <w:jc w:val="both"/>
        <w:textAlignment w:val="baseline"/>
        <w:rPr>
          <w:rStyle w:val="normaltextrun"/>
          <w:rFonts w:ascii="Calibri" w:hAnsi="Calibri" w:cs="Calibri"/>
          <w:sz w:val="22"/>
          <w:szCs w:val="22"/>
        </w:rPr>
      </w:pPr>
    </w:p>
    <w:p w14:paraId="79BD173E" w14:textId="6F9B981F" w:rsidR="00C8289A" w:rsidRPr="00954E3B" w:rsidRDefault="00C8289A" w:rsidP="00C8289A">
      <w:pPr>
        <w:pStyle w:val="paragraph"/>
        <w:spacing w:before="0" w:beforeAutospacing="0" w:after="0" w:afterAutospacing="0"/>
        <w:jc w:val="both"/>
        <w:textAlignment w:val="baseline"/>
        <w:rPr>
          <w:rFonts w:ascii="Calibri" w:hAnsi="Calibri" w:cs="Calibri"/>
          <w:sz w:val="22"/>
          <w:szCs w:val="22"/>
        </w:rPr>
      </w:pPr>
      <w:r w:rsidRPr="00954E3B">
        <w:rPr>
          <w:rStyle w:val="normaltextrun"/>
          <w:rFonts w:ascii="Calibri" w:hAnsi="Calibri" w:cs="Calibri"/>
          <w:sz w:val="22"/>
          <w:szCs w:val="22"/>
        </w:rPr>
        <w:t xml:space="preserve">Waltham Forest Council is seeking to understand and measure the </w:t>
      </w:r>
      <w:r w:rsidR="00774067">
        <w:rPr>
          <w:rStyle w:val="normaltextrun"/>
          <w:rFonts w:ascii="Calibri" w:hAnsi="Calibri" w:cs="Calibri"/>
          <w:sz w:val="22"/>
          <w:szCs w:val="22"/>
        </w:rPr>
        <w:t>Safer Streets pilot</w:t>
      </w:r>
      <w:r w:rsidRPr="00954E3B">
        <w:rPr>
          <w:rStyle w:val="normaltextrun"/>
          <w:rFonts w:ascii="Calibri" w:hAnsi="Calibri" w:cs="Calibri"/>
          <w:sz w:val="22"/>
          <w:szCs w:val="22"/>
        </w:rPr>
        <w:t xml:space="preserve"> </w:t>
      </w:r>
      <w:r w:rsidR="006C7C34">
        <w:rPr>
          <w:rStyle w:val="normaltextrun"/>
          <w:rFonts w:ascii="Calibri" w:hAnsi="Calibri" w:cs="Calibri"/>
          <w:sz w:val="22"/>
          <w:szCs w:val="22"/>
        </w:rPr>
        <w:t>based on the viewpoints of four key cohorts</w:t>
      </w:r>
      <w:r w:rsidRPr="00954E3B">
        <w:rPr>
          <w:rStyle w:val="normaltextrun"/>
          <w:rFonts w:ascii="Calibri" w:hAnsi="Calibri" w:cs="Calibri"/>
          <w:sz w:val="22"/>
          <w:szCs w:val="22"/>
        </w:rPr>
        <w:t>:</w:t>
      </w:r>
      <w:r w:rsidRPr="00954E3B">
        <w:rPr>
          <w:rStyle w:val="eop"/>
          <w:rFonts w:ascii="Calibri" w:hAnsi="Calibri" w:cs="Calibri"/>
          <w:sz w:val="22"/>
          <w:szCs w:val="22"/>
        </w:rPr>
        <w:t> </w:t>
      </w:r>
    </w:p>
    <w:p w14:paraId="1D4EE8AA" w14:textId="097AAB15" w:rsidR="00FA0F1C" w:rsidRPr="00E55382" w:rsidRDefault="00FA0F1C" w:rsidP="00FA0F1C">
      <w:pPr>
        <w:pStyle w:val="paragraph"/>
        <w:numPr>
          <w:ilvl w:val="0"/>
          <w:numId w:val="1"/>
        </w:numPr>
        <w:spacing w:before="0" w:beforeAutospacing="0" w:after="0" w:afterAutospacing="0"/>
        <w:jc w:val="both"/>
        <w:textAlignment w:val="baseline"/>
        <w:rPr>
          <w:rStyle w:val="eop"/>
          <w:rFonts w:ascii="Calibri" w:hAnsi="Calibri" w:cs="Calibri"/>
          <w:sz w:val="22"/>
          <w:szCs w:val="22"/>
        </w:rPr>
      </w:pPr>
      <w:r w:rsidRPr="00E55382">
        <w:rPr>
          <w:rStyle w:val="eop"/>
          <w:rFonts w:ascii="Calibri" w:hAnsi="Calibri" w:cs="Calibri"/>
          <w:b/>
          <w:bCs/>
          <w:i/>
          <w:iCs/>
          <w:sz w:val="22"/>
          <w:szCs w:val="22"/>
        </w:rPr>
        <w:t>Residents</w:t>
      </w:r>
      <w:r w:rsidR="00036884" w:rsidRPr="00E55382">
        <w:rPr>
          <w:rStyle w:val="eop"/>
          <w:rFonts w:ascii="Calibri" w:hAnsi="Calibri" w:cs="Calibri"/>
          <w:sz w:val="22"/>
          <w:szCs w:val="22"/>
        </w:rPr>
        <w:t xml:space="preserve">: </w:t>
      </w:r>
      <w:r w:rsidR="002E5192" w:rsidRPr="00E55382">
        <w:rPr>
          <w:rStyle w:val="eop"/>
          <w:rFonts w:ascii="Calibri" w:hAnsi="Calibri" w:cs="Calibri"/>
          <w:sz w:val="22"/>
          <w:szCs w:val="22"/>
        </w:rPr>
        <w:t xml:space="preserve">How do residents who are reporting concerns experience the response of the MDT? How does this compare with </w:t>
      </w:r>
      <w:r w:rsidR="00224314" w:rsidRPr="00E55382">
        <w:rPr>
          <w:rStyle w:val="eop"/>
          <w:rFonts w:ascii="Calibri" w:hAnsi="Calibri" w:cs="Calibri"/>
          <w:sz w:val="22"/>
          <w:szCs w:val="22"/>
        </w:rPr>
        <w:t xml:space="preserve">experiences of residents in areas outside of the pilot? What is the experience of residents who are interacting with the MDT </w:t>
      </w:r>
      <w:r w:rsidR="00835742" w:rsidRPr="00E55382">
        <w:rPr>
          <w:rStyle w:val="eop"/>
          <w:rFonts w:ascii="Calibri" w:hAnsi="Calibri" w:cs="Calibri"/>
          <w:sz w:val="22"/>
          <w:szCs w:val="22"/>
        </w:rPr>
        <w:t>because they are causing an issue in the pilot areas (</w:t>
      </w:r>
      <w:proofErr w:type="spellStart"/>
      <w:proofErr w:type="gramStart"/>
      <w:r w:rsidR="00835742" w:rsidRPr="00E55382">
        <w:rPr>
          <w:rStyle w:val="eop"/>
          <w:rFonts w:ascii="Calibri" w:hAnsi="Calibri" w:cs="Calibri"/>
          <w:sz w:val="22"/>
          <w:szCs w:val="22"/>
        </w:rPr>
        <w:t>eg</w:t>
      </w:r>
      <w:proofErr w:type="spellEnd"/>
      <w:proofErr w:type="gramEnd"/>
      <w:r w:rsidR="00835742" w:rsidRPr="00E55382">
        <w:rPr>
          <w:rStyle w:val="eop"/>
          <w:rFonts w:ascii="Calibri" w:hAnsi="Calibri" w:cs="Calibri"/>
          <w:sz w:val="22"/>
          <w:szCs w:val="22"/>
        </w:rPr>
        <w:t xml:space="preserve"> street drinkers, ASB complaints) and how does this compare with experiences outside of the pilot areas? What is the experience of residents on housing estates of the new pilot approach?</w:t>
      </w:r>
      <w:r w:rsidR="00725332" w:rsidRPr="00E55382">
        <w:rPr>
          <w:rStyle w:val="eop"/>
          <w:rFonts w:ascii="Calibri" w:hAnsi="Calibri" w:cs="Calibri"/>
          <w:sz w:val="22"/>
          <w:szCs w:val="22"/>
        </w:rPr>
        <w:t xml:space="preserve"> Are there any changes in these experiences throughout the pilot</w:t>
      </w:r>
      <w:r w:rsidR="00137222">
        <w:rPr>
          <w:rStyle w:val="eop"/>
          <w:rFonts w:ascii="Calibri" w:hAnsi="Calibri" w:cs="Calibri"/>
          <w:sz w:val="22"/>
          <w:szCs w:val="22"/>
        </w:rPr>
        <w:t xml:space="preserve"> (beginning, middle, end)</w:t>
      </w:r>
      <w:r w:rsidR="00725332" w:rsidRPr="00E55382">
        <w:rPr>
          <w:rStyle w:val="eop"/>
          <w:rFonts w:ascii="Calibri" w:hAnsi="Calibri" w:cs="Calibri"/>
          <w:sz w:val="22"/>
          <w:szCs w:val="22"/>
        </w:rPr>
        <w:t>?</w:t>
      </w:r>
      <w:r w:rsidR="00F4253E">
        <w:rPr>
          <w:rStyle w:val="eop"/>
          <w:rFonts w:ascii="Calibri" w:hAnsi="Calibri" w:cs="Calibri"/>
          <w:sz w:val="22"/>
          <w:szCs w:val="22"/>
        </w:rPr>
        <w:t xml:space="preserve"> Do residents in the pilot areas feel safer </w:t>
      </w:r>
      <w:proofErr w:type="gramStart"/>
      <w:r w:rsidR="00F4253E">
        <w:rPr>
          <w:rStyle w:val="eop"/>
          <w:rFonts w:ascii="Calibri" w:hAnsi="Calibri" w:cs="Calibri"/>
          <w:sz w:val="22"/>
          <w:szCs w:val="22"/>
        </w:rPr>
        <w:t>as a result of</w:t>
      </w:r>
      <w:proofErr w:type="gramEnd"/>
      <w:r w:rsidR="00F4253E">
        <w:rPr>
          <w:rStyle w:val="eop"/>
          <w:rFonts w:ascii="Calibri" w:hAnsi="Calibri" w:cs="Calibri"/>
          <w:sz w:val="22"/>
          <w:szCs w:val="22"/>
        </w:rPr>
        <w:t xml:space="preserve"> the changes?</w:t>
      </w:r>
      <w:r w:rsidR="00540F7F">
        <w:rPr>
          <w:rStyle w:val="eop"/>
          <w:rFonts w:ascii="Calibri" w:hAnsi="Calibri" w:cs="Calibri"/>
          <w:sz w:val="22"/>
          <w:szCs w:val="22"/>
        </w:rPr>
        <w:t xml:space="preserve"> </w:t>
      </w:r>
      <w:r w:rsidR="006909F1" w:rsidRPr="006909F1">
        <w:rPr>
          <w:rStyle w:val="eop"/>
          <w:rFonts w:ascii="Calibri" w:hAnsi="Calibri" w:cs="Calibri"/>
          <w:i/>
          <w:iCs/>
          <w:sz w:val="22"/>
          <w:szCs w:val="22"/>
        </w:rPr>
        <w:t xml:space="preserve">(Number of residents engaged to be determined by </w:t>
      </w:r>
      <w:r w:rsidR="006909F1">
        <w:rPr>
          <w:rStyle w:val="eop"/>
          <w:rFonts w:ascii="Calibri" w:hAnsi="Calibri" w:cs="Calibri"/>
          <w:i/>
          <w:iCs/>
          <w:sz w:val="22"/>
          <w:szCs w:val="22"/>
        </w:rPr>
        <w:t xml:space="preserve">successful </w:t>
      </w:r>
      <w:r w:rsidR="006909F1" w:rsidRPr="006909F1">
        <w:rPr>
          <w:rStyle w:val="eop"/>
          <w:rFonts w:ascii="Calibri" w:hAnsi="Calibri" w:cs="Calibri"/>
          <w:i/>
          <w:iCs/>
          <w:sz w:val="22"/>
          <w:szCs w:val="22"/>
        </w:rPr>
        <w:t xml:space="preserve">provider) </w:t>
      </w:r>
    </w:p>
    <w:p w14:paraId="489D42C6" w14:textId="1207AF9F" w:rsidR="00FA0F1C" w:rsidRPr="00E55382" w:rsidRDefault="00FA0F1C" w:rsidP="00FA0F1C">
      <w:pPr>
        <w:pStyle w:val="paragraph"/>
        <w:numPr>
          <w:ilvl w:val="0"/>
          <w:numId w:val="1"/>
        </w:numPr>
        <w:spacing w:before="0" w:beforeAutospacing="0" w:after="0" w:afterAutospacing="0"/>
        <w:jc w:val="both"/>
        <w:textAlignment w:val="baseline"/>
        <w:rPr>
          <w:rStyle w:val="eop"/>
          <w:rFonts w:ascii="Calibri" w:hAnsi="Calibri" w:cs="Calibri"/>
          <w:sz w:val="22"/>
          <w:szCs w:val="22"/>
        </w:rPr>
      </w:pPr>
      <w:r w:rsidRPr="00E55382">
        <w:rPr>
          <w:rStyle w:val="eop"/>
          <w:rFonts w:ascii="Calibri" w:hAnsi="Calibri" w:cs="Calibri"/>
          <w:b/>
          <w:bCs/>
          <w:i/>
          <w:iCs/>
          <w:sz w:val="22"/>
          <w:szCs w:val="22"/>
        </w:rPr>
        <w:lastRenderedPageBreak/>
        <w:t>Staff</w:t>
      </w:r>
      <w:r w:rsidR="00036884" w:rsidRPr="00E55382">
        <w:rPr>
          <w:rStyle w:val="eop"/>
          <w:rFonts w:ascii="Calibri" w:hAnsi="Calibri" w:cs="Calibri"/>
          <w:sz w:val="22"/>
          <w:szCs w:val="22"/>
        </w:rPr>
        <w:t xml:space="preserve">: </w:t>
      </w:r>
      <w:r w:rsidR="007E1F2C" w:rsidRPr="00E55382">
        <w:rPr>
          <w:rStyle w:val="eop"/>
          <w:rFonts w:ascii="Calibri" w:hAnsi="Calibri" w:cs="Calibri"/>
          <w:sz w:val="22"/>
          <w:szCs w:val="22"/>
        </w:rPr>
        <w:t xml:space="preserve">How does every member of the new MDT perceive the pilot project at the beginning, during and after the </w:t>
      </w:r>
      <w:r w:rsidR="00774067">
        <w:rPr>
          <w:rStyle w:val="eop"/>
          <w:rFonts w:ascii="Calibri" w:hAnsi="Calibri" w:cs="Calibri"/>
          <w:sz w:val="22"/>
          <w:szCs w:val="22"/>
        </w:rPr>
        <w:t>pilot</w:t>
      </w:r>
      <w:r w:rsidR="00955349" w:rsidRPr="00E55382">
        <w:rPr>
          <w:rStyle w:val="eop"/>
          <w:rFonts w:ascii="Calibri" w:hAnsi="Calibri" w:cs="Calibri"/>
          <w:sz w:val="22"/>
          <w:szCs w:val="22"/>
        </w:rPr>
        <w:t xml:space="preserve">? How does this compare to Officers in other areas? What is their daily experience of the new ways of working? What has worked, and what hasn’t? </w:t>
      </w:r>
      <w:r w:rsidR="009A6EE7">
        <w:rPr>
          <w:rStyle w:val="eop"/>
          <w:rFonts w:ascii="Calibri" w:hAnsi="Calibri" w:cs="Calibri"/>
          <w:sz w:val="22"/>
          <w:szCs w:val="22"/>
        </w:rPr>
        <w:t xml:space="preserve">Has it changed their job satisfaction </w:t>
      </w:r>
      <w:r w:rsidR="00444E01">
        <w:rPr>
          <w:rStyle w:val="eop"/>
          <w:rFonts w:ascii="Calibri" w:hAnsi="Calibri" w:cs="Calibri"/>
          <w:sz w:val="22"/>
          <w:szCs w:val="22"/>
        </w:rPr>
        <w:t xml:space="preserve">or sense of empowerment to get things done? </w:t>
      </w:r>
      <w:r w:rsidR="005E36BA" w:rsidRPr="00E55382">
        <w:rPr>
          <w:rStyle w:val="eop"/>
          <w:rFonts w:ascii="Calibri" w:hAnsi="Calibri" w:cs="Calibri"/>
          <w:sz w:val="22"/>
          <w:szCs w:val="22"/>
        </w:rPr>
        <w:t>Do they have any</w:t>
      </w:r>
      <w:r w:rsidR="00611F99">
        <w:rPr>
          <w:rStyle w:val="eop"/>
          <w:rFonts w:ascii="Calibri" w:hAnsi="Calibri" w:cs="Calibri"/>
          <w:sz w:val="22"/>
          <w:szCs w:val="22"/>
        </w:rPr>
        <w:t xml:space="preserve"> suggestions for</w:t>
      </w:r>
      <w:r w:rsidR="005E36BA" w:rsidRPr="00E55382">
        <w:rPr>
          <w:rStyle w:val="eop"/>
          <w:rFonts w:ascii="Calibri" w:hAnsi="Calibri" w:cs="Calibri"/>
          <w:sz w:val="22"/>
          <w:szCs w:val="22"/>
        </w:rPr>
        <w:t xml:space="preserve"> improvements</w:t>
      </w:r>
      <w:r w:rsidR="00611F99">
        <w:rPr>
          <w:rStyle w:val="eop"/>
          <w:rFonts w:ascii="Calibri" w:hAnsi="Calibri" w:cs="Calibri"/>
          <w:sz w:val="22"/>
          <w:szCs w:val="22"/>
        </w:rPr>
        <w:t xml:space="preserve"> and changes</w:t>
      </w:r>
      <w:r w:rsidR="005E36BA" w:rsidRPr="00E55382">
        <w:rPr>
          <w:rStyle w:val="eop"/>
          <w:rFonts w:ascii="Calibri" w:hAnsi="Calibri" w:cs="Calibri"/>
          <w:sz w:val="22"/>
          <w:szCs w:val="22"/>
        </w:rPr>
        <w:t xml:space="preserve">? </w:t>
      </w:r>
      <w:r w:rsidR="00DA5A7A">
        <w:rPr>
          <w:rStyle w:val="eop"/>
          <w:rFonts w:ascii="Calibri" w:hAnsi="Calibri" w:cs="Calibri"/>
          <w:sz w:val="22"/>
          <w:szCs w:val="22"/>
        </w:rPr>
        <w:t>(</w:t>
      </w:r>
      <w:r w:rsidR="00C218D4">
        <w:rPr>
          <w:rStyle w:val="eop"/>
          <w:rFonts w:ascii="Calibri" w:hAnsi="Calibri" w:cs="Calibri"/>
          <w:i/>
          <w:iCs/>
          <w:sz w:val="22"/>
          <w:szCs w:val="22"/>
        </w:rPr>
        <w:t>Est.</w:t>
      </w:r>
      <w:r w:rsidR="00540F7F" w:rsidRPr="00C218D4">
        <w:rPr>
          <w:rStyle w:val="eop"/>
          <w:rFonts w:ascii="Calibri" w:hAnsi="Calibri" w:cs="Calibri"/>
          <w:i/>
          <w:iCs/>
          <w:sz w:val="22"/>
          <w:szCs w:val="22"/>
        </w:rPr>
        <w:t xml:space="preserve"> 35-40 core staff and </w:t>
      </w:r>
      <w:r w:rsidR="00C218D4" w:rsidRPr="00C218D4">
        <w:rPr>
          <w:rStyle w:val="eop"/>
          <w:rFonts w:ascii="Calibri" w:hAnsi="Calibri" w:cs="Calibri"/>
          <w:i/>
          <w:iCs/>
          <w:sz w:val="22"/>
          <w:szCs w:val="22"/>
        </w:rPr>
        <w:t>20 wider team</w:t>
      </w:r>
      <w:r w:rsidR="00DA5A7A">
        <w:rPr>
          <w:rStyle w:val="eop"/>
          <w:rFonts w:ascii="Calibri" w:hAnsi="Calibri" w:cs="Calibri"/>
          <w:i/>
          <w:iCs/>
          <w:sz w:val="22"/>
          <w:szCs w:val="22"/>
        </w:rPr>
        <w:t>)</w:t>
      </w:r>
    </w:p>
    <w:p w14:paraId="6507B33F" w14:textId="3F0219DA" w:rsidR="00FA0F1C" w:rsidRPr="00DA5A7A" w:rsidRDefault="00FA0F1C" w:rsidP="00FA0F1C">
      <w:pPr>
        <w:pStyle w:val="paragraph"/>
        <w:numPr>
          <w:ilvl w:val="0"/>
          <w:numId w:val="1"/>
        </w:numPr>
        <w:spacing w:before="0" w:beforeAutospacing="0" w:after="0" w:afterAutospacing="0"/>
        <w:jc w:val="both"/>
        <w:textAlignment w:val="baseline"/>
        <w:rPr>
          <w:rStyle w:val="eop"/>
          <w:rFonts w:ascii="Calibri" w:hAnsi="Calibri" w:cs="Calibri"/>
          <w:i/>
          <w:iCs/>
          <w:sz w:val="22"/>
          <w:szCs w:val="22"/>
        </w:rPr>
      </w:pPr>
      <w:r w:rsidRPr="00E55382">
        <w:rPr>
          <w:rStyle w:val="eop"/>
          <w:rFonts w:ascii="Calibri" w:hAnsi="Calibri" w:cs="Calibri"/>
          <w:b/>
          <w:bCs/>
          <w:i/>
          <w:iCs/>
          <w:sz w:val="22"/>
          <w:szCs w:val="22"/>
        </w:rPr>
        <w:t>Businesses and Partners</w:t>
      </w:r>
      <w:r w:rsidR="00036884" w:rsidRPr="00E55382">
        <w:rPr>
          <w:rStyle w:val="eop"/>
          <w:rFonts w:ascii="Calibri" w:hAnsi="Calibri" w:cs="Calibri"/>
          <w:sz w:val="22"/>
          <w:szCs w:val="22"/>
        </w:rPr>
        <w:t xml:space="preserve">: </w:t>
      </w:r>
      <w:r w:rsidR="009F3E7E" w:rsidRPr="00E55382">
        <w:rPr>
          <w:rStyle w:val="eop"/>
          <w:rFonts w:ascii="Calibri" w:hAnsi="Calibri" w:cs="Calibri"/>
          <w:sz w:val="22"/>
          <w:szCs w:val="22"/>
        </w:rPr>
        <w:t xml:space="preserve">What are the experiences of businesses in the two pilot areas of crime and community safety? Have these perceptions changed from the beginning to end of pilot, and what interaction have they had with the MDT? </w:t>
      </w:r>
      <w:r w:rsidR="009C77DE" w:rsidRPr="00E55382">
        <w:rPr>
          <w:rStyle w:val="eop"/>
          <w:rFonts w:ascii="Calibri" w:hAnsi="Calibri" w:cs="Calibri"/>
          <w:sz w:val="22"/>
          <w:szCs w:val="22"/>
        </w:rPr>
        <w:t xml:space="preserve">How do partners perceive the new operating model? What are the challenges and their priorities </w:t>
      </w:r>
      <w:r w:rsidR="00553442" w:rsidRPr="00E55382">
        <w:rPr>
          <w:rStyle w:val="eop"/>
          <w:rFonts w:ascii="Calibri" w:hAnsi="Calibri" w:cs="Calibri"/>
          <w:sz w:val="22"/>
          <w:szCs w:val="22"/>
        </w:rPr>
        <w:t xml:space="preserve">to improve the process? </w:t>
      </w:r>
      <w:r w:rsidR="00DA5A7A">
        <w:rPr>
          <w:rStyle w:val="eop"/>
          <w:rFonts w:ascii="Calibri" w:hAnsi="Calibri" w:cs="Calibri"/>
          <w:sz w:val="22"/>
          <w:szCs w:val="22"/>
        </w:rPr>
        <w:t>(</w:t>
      </w:r>
      <w:r w:rsidR="00287352" w:rsidRPr="00287352">
        <w:rPr>
          <w:rStyle w:val="eop"/>
          <w:rFonts w:ascii="Calibri" w:hAnsi="Calibri" w:cs="Calibri"/>
          <w:i/>
          <w:iCs/>
          <w:sz w:val="22"/>
          <w:szCs w:val="22"/>
        </w:rPr>
        <w:t>Housing associations</w:t>
      </w:r>
      <w:r w:rsidR="00287352" w:rsidRPr="00DA5A7A">
        <w:rPr>
          <w:rStyle w:val="eop"/>
          <w:rFonts w:ascii="Calibri" w:hAnsi="Calibri" w:cs="Calibri"/>
          <w:i/>
          <w:iCs/>
          <w:sz w:val="22"/>
          <w:szCs w:val="22"/>
        </w:rPr>
        <w:t xml:space="preserve">, police, registered </w:t>
      </w:r>
      <w:proofErr w:type="gramStart"/>
      <w:r w:rsidR="00287352" w:rsidRPr="00DA5A7A">
        <w:rPr>
          <w:rStyle w:val="eop"/>
          <w:rFonts w:ascii="Calibri" w:hAnsi="Calibri" w:cs="Calibri"/>
          <w:i/>
          <w:iCs/>
          <w:sz w:val="22"/>
          <w:szCs w:val="22"/>
        </w:rPr>
        <w:t>providers</w:t>
      </w:r>
      <w:proofErr w:type="gramEnd"/>
      <w:r w:rsidR="00DA5A7A" w:rsidRPr="00DA5A7A">
        <w:rPr>
          <w:rStyle w:val="eop"/>
          <w:rFonts w:ascii="Calibri" w:hAnsi="Calibri" w:cs="Calibri"/>
          <w:i/>
          <w:iCs/>
          <w:sz w:val="22"/>
          <w:szCs w:val="22"/>
        </w:rPr>
        <w:t xml:space="preserve"> and a selection of businesses in both areas</w:t>
      </w:r>
      <w:r w:rsidR="00DA5A7A">
        <w:rPr>
          <w:rStyle w:val="eop"/>
          <w:rFonts w:ascii="Calibri" w:hAnsi="Calibri" w:cs="Calibri"/>
          <w:i/>
          <w:iCs/>
          <w:sz w:val="22"/>
          <w:szCs w:val="22"/>
        </w:rPr>
        <w:t>)</w:t>
      </w:r>
    </w:p>
    <w:p w14:paraId="6DEFA4FB" w14:textId="4C2A54DD" w:rsidR="00FA0F1C" w:rsidRPr="00513F4C" w:rsidRDefault="00025330" w:rsidP="00FA0F1C">
      <w:pPr>
        <w:pStyle w:val="paragraph"/>
        <w:numPr>
          <w:ilvl w:val="0"/>
          <w:numId w:val="1"/>
        </w:numPr>
        <w:spacing w:before="0" w:beforeAutospacing="0" w:after="0" w:afterAutospacing="0"/>
        <w:jc w:val="both"/>
        <w:textAlignment w:val="baseline"/>
        <w:rPr>
          <w:rStyle w:val="eop"/>
          <w:rFonts w:ascii="Calibri" w:hAnsi="Calibri" w:cs="Calibri"/>
          <w:i/>
          <w:iCs/>
          <w:sz w:val="22"/>
          <w:szCs w:val="22"/>
        </w:rPr>
      </w:pPr>
      <w:r w:rsidRPr="00E55382">
        <w:rPr>
          <w:rStyle w:val="eop"/>
          <w:rFonts w:ascii="Calibri" w:hAnsi="Calibri" w:cs="Calibri"/>
          <w:b/>
          <w:bCs/>
          <w:i/>
          <w:iCs/>
          <w:sz w:val="22"/>
          <w:szCs w:val="22"/>
        </w:rPr>
        <w:t>Ele</w:t>
      </w:r>
      <w:r w:rsidR="009F7088" w:rsidRPr="00E55382">
        <w:rPr>
          <w:rStyle w:val="eop"/>
          <w:rFonts w:ascii="Calibri" w:hAnsi="Calibri" w:cs="Calibri"/>
          <w:b/>
          <w:bCs/>
          <w:i/>
          <w:iCs/>
          <w:sz w:val="22"/>
          <w:szCs w:val="22"/>
        </w:rPr>
        <w:t xml:space="preserve">cted </w:t>
      </w:r>
      <w:r w:rsidR="00FA0F1C" w:rsidRPr="00E55382">
        <w:rPr>
          <w:rStyle w:val="eop"/>
          <w:rFonts w:ascii="Calibri" w:hAnsi="Calibri" w:cs="Calibri"/>
          <w:b/>
          <w:bCs/>
          <w:i/>
          <w:iCs/>
          <w:sz w:val="22"/>
          <w:szCs w:val="22"/>
        </w:rPr>
        <w:t>Members</w:t>
      </w:r>
      <w:r w:rsidR="00036884" w:rsidRPr="00E55382">
        <w:rPr>
          <w:rStyle w:val="eop"/>
          <w:rFonts w:ascii="Calibri" w:hAnsi="Calibri" w:cs="Calibri"/>
          <w:sz w:val="22"/>
          <w:szCs w:val="22"/>
        </w:rPr>
        <w:t xml:space="preserve">: </w:t>
      </w:r>
      <w:r w:rsidR="00553442" w:rsidRPr="00E55382">
        <w:rPr>
          <w:rStyle w:val="eop"/>
          <w:rFonts w:ascii="Calibri" w:hAnsi="Calibri" w:cs="Calibri"/>
          <w:sz w:val="22"/>
          <w:szCs w:val="22"/>
        </w:rPr>
        <w:t xml:space="preserve">Have ward councillors experienced any change in feedback from residents around community safety and crime? </w:t>
      </w:r>
      <w:r w:rsidR="00E55382" w:rsidRPr="00E55382">
        <w:rPr>
          <w:rStyle w:val="eop"/>
          <w:rFonts w:ascii="Calibri" w:hAnsi="Calibri" w:cs="Calibri"/>
          <w:sz w:val="22"/>
          <w:szCs w:val="22"/>
        </w:rPr>
        <w:t xml:space="preserve">Is there a change in their interaction with residents, </w:t>
      </w:r>
      <w:proofErr w:type="gramStart"/>
      <w:r w:rsidR="00E55382" w:rsidRPr="00E55382">
        <w:rPr>
          <w:rStyle w:val="eop"/>
          <w:rFonts w:ascii="Calibri" w:hAnsi="Calibri" w:cs="Calibri"/>
          <w:sz w:val="22"/>
          <w:szCs w:val="22"/>
        </w:rPr>
        <w:t>partners</w:t>
      </w:r>
      <w:proofErr w:type="gramEnd"/>
      <w:r w:rsidR="00E55382" w:rsidRPr="00E55382">
        <w:rPr>
          <w:rStyle w:val="eop"/>
          <w:rFonts w:ascii="Calibri" w:hAnsi="Calibri" w:cs="Calibri"/>
          <w:sz w:val="22"/>
          <w:szCs w:val="22"/>
        </w:rPr>
        <w:t xml:space="preserve"> and council officers throughout the pilot, and what are the benefits and drawbacks of this? </w:t>
      </w:r>
      <w:r w:rsidR="00177AF4" w:rsidRPr="00E55382">
        <w:rPr>
          <w:rStyle w:val="eop"/>
          <w:rFonts w:ascii="Calibri" w:hAnsi="Calibri" w:cs="Calibri"/>
          <w:sz w:val="22"/>
          <w:szCs w:val="22"/>
        </w:rPr>
        <w:t>What do they experience and what are the challenges they identify within the pilot areas?</w:t>
      </w:r>
      <w:r w:rsidR="00BB2274">
        <w:rPr>
          <w:rStyle w:val="eop"/>
          <w:rFonts w:ascii="Calibri" w:hAnsi="Calibri" w:cs="Calibri"/>
          <w:sz w:val="22"/>
          <w:szCs w:val="22"/>
        </w:rPr>
        <w:t xml:space="preserve"> Do they feel more equipped </w:t>
      </w:r>
      <w:r w:rsidR="00865FB6">
        <w:rPr>
          <w:rStyle w:val="eop"/>
          <w:rFonts w:ascii="Calibri" w:hAnsi="Calibri" w:cs="Calibri"/>
          <w:sz w:val="22"/>
          <w:szCs w:val="22"/>
        </w:rPr>
        <w:t xml:space="preserve">and empowered to </w:t>
      </w:r>
      <w:r w:rsidR="009275DD">
        <w:rPr>
          <w:rStyle w:val="eop"/>
          <w:rFonts w:ascii="Calibri" w:hAnsi="Calibri" w:cs="Calibri"/>
          <w:sz w:val="22"/>
          <w:szCs w:val="22"/>
        </w:rPr>
        <w:t>make change in their areas?</w:t>
      </w:r>
      <w:r w:rsidR="00177AF4" w:rsidRPr="00E55382">
        <w:rPr>
          <w:rStyle w:val="eop"/>
          <w:rFonts w:ascii="Calibri" w:hAnsi="Calibri" w:cs="Calibri"/>
          <w:sz w:val="22"/>
          <w:szCs w:val="22"/>
        </w:rPr>
        <w:t xml:space="preserve"> </w:t>
      </w:r>
      <w:r w:rsidR="00DA5A7A">
        <w:rPr>
          <w:rStyle w:val="eop"/>
          <w:rFonts w:ascii="Calibri" w:hAnsi="Calibri" w:cs="Calibri"/>
          <w:sz w:val="22"/>
          <w:szCs w:val="22"/>
        </w:rPr>
        <w:t>(</w:t>
      </w:r>
      <w:r w:rsidR="00513F4C" w:rsidRPr="00513F4C">
        <w:rPr>
          <w:rStyle w:val="eop"/>
          <w:rFonts w:ascii="Calibri" w:hAnsi="Calibri" w:cs="Calibri"/>
          <w:i/>
          <w:iCs/>
          <w:sz w:val="22"/>
          <w:szCs w:val="22"/>
        </w:rPr>
        <w:t xml:space="preserve">11 ward Councillors, up to </w:t>
      </w:r>
      <w:r w:rsidR="00912D16">
        <w:rPr>
          <w:rStyle w:val="eop"/>
          <w:rFonts w:ascii="Calibri" w:hAnsi="Calibri" w:cs="Calibri"/>
          <w:i/>
          <w:iCs/>
          <w:sz w:val="22"/>
          <w:szCs w:val="22"/>
        </w:rPr>
        <w:t>9 Cabinet members</w:t>
      </w:r>
      <w:r w:rsidR="00DA5A7A">
        <w:rPr>
          <w:rStyle w:val="eop"/>
          <w:rFonts w:ascii="Calibri" w:hAnsi="Calibri" w:cs="Calibri"/>
          <w:i/>
          <w:iCs/>
          <w:sz w:val="22"/>
          <w:szCs w:val="22"/>
        </w:rPr>
        <w:t>)</w:t>
      </w:r>
    </w:p>
    <w:p w14:paraId="193B68E5" w14:textId="7FA04B4C" w:rsidR="00C8289A" w:rsidRDefault="00C8289A" w:rsidP="00C8289A">
      <w:pPr>
        <w:pStyle w:val="paragraph"/>
        <w:spacing w:before="0" w:beforeAutospacing="0" w:after="0" w:afterAutospacing="0"/>
        <w:jc w:val="both"/>
        <w:textAlignment w:val="baseline"/>
        <w:rPr>
          <w:rStyle w:val="eop"/>
          <w:rFonts w:ascii="Calibri" w:hAnsi="Calibri" w:cs="Calibri"/>
          <w:color w:val="FF0000"/>
          <w:sz w:val="22"/>
          <w:szCs w:val="22"/>
        </w:rPr>
      </w:pPr>
      <w:r w:rsidRPr="009C1024">
        <w:rPr>
          <w:rStyle w:val="eop"/>
          <w:rFonts w:ascii="Calibri" w:hAnsi="Calibri" w:cs="Calibri"/>
          <w:color w:val="FF0000"/>
          <w:sz w:val="22"/>
          <w:szCs w:val="22"/>
        </w:rPr>
        <w:t> </w:t>
      </w:r>
    </w:p>
    <w:p w14:paraId="0DCD4FB1" w14:textId="77777777" w:rsidR="00035CC5" w:rsidRPr="009C1024" w:rsidRDefault="00035CC5" w:rsidP="00035CC5">
      <w:pPr>
        <w:pStyle w:val="paragraph"/>
        <w:spacing w:before="0" w:beforeAutospacing="0" w:after="0" w:afterAutospacing="0"/>
        <w:jc w:val="both"/>
        <w:textAlignment w:val="baseline"/>
        <w:rPr>
          <w:rFonts w:ascii="Calibri" w:hAnsi="Calibri" w:cs="Calibri"/>
          <w:sz w:val="22"/>
          <w:szCs w:val="22"/>
        </w:rPr>
      </w:pPr>
      <w:r w:rsidRPr="009C1024">
        <w:rPr>
          <w:rStyle w:val="normaltextrun"/>
          <w:rFonts w:ascii="Calibri" w:hAnsi="Calibri" w:cs="Calibri"/>
          <w:sz w:val="22"/>
          <w:szCs w:val="22"/>
        </w:rPr>
        <w:t xml:space="preserve">The </w:t>
      </w:r>
      <w:r>
        <w:rPr>
          <w:rStyle w:val="normaltextrun"/>
          <w:rFonts w:ascii="Calibri" w:hAnsi="Calibri" w:cs="Calibri"/>
          <w:sz w:val="22"/>
          <w:szCs w:val="22"/>
        </w:rPr>
        <w:t xml:space="preserve">objectives for the </w:t>
      </w:r>
      <w:r w:rsidRPr="009C1024">
        <w:rPr>
          <w:rStyle w:val="normaltextrun"/>
          <w:rFonts w:ascii="Calibri" w:hAnsi="Calibri" w:cs="Calibri"/>
          <w:sz w:val="22"/>
          <w:szCs w:val="22"/>
        </w:rPr>
        <w:t xml:space="preserve">successful applicant </w:t>
      </w:r>
      <w:r>
        <w:rPr>
          <w:rStyle w:val="normaltextrun"/>
          <w:rFonts w:ascii="Calibri" w:hAnsi="Calibri" w:cs="Calibri"/>
          <w:sz w:val="22"/>
          <w:szCs w:val="22"/>
        </w:rPr>
        <w:t>are to</w:t>
      </w:r>
      <w:r w:rsidRPr="009C1024">
        <w:rPr>
          <w:rStyle w:val="normaltextrun"/>
          <w:rFonts w:ascii="Calibri" w:hAnsi="Calibri" w:cs="Calibri"/>
          <w:sz w:val="22"/>
          <w:szCs w:val="22"/>
        </w:rPr>
        <w:t>:</w:t>
      </w:r>
      <w:r w:rsidRPr="009C1024">
        <w:rPr>
          <w:rStyle w:val="eop"/>
          <w:rFonts w:ascii="Calibri" w:hAnsi="Calibri" w:cs="Calibri"/>
          <w:sz w:val="22"/>
          <w:szCs w:val="22"/>
        </w:rPr>
        <w:t> </w:t>
      </w:r>
    </w:p>
    <w:p w14:paraId="1876F59F" w14:textId="77777777" w:rsidR="00035CC5" w:rsidRPr="009C1024" w:rsidRDefault="00035CC5" w:rsidP="00035CC5">
      <w:pPr>
        <w:pStyle w:val="paragraph"/>
        <w:numPr>
          <w:ilvl w:val="0"/>
          <w:numId w:val="11"/>
        </w:numPr>
        <w:spacing w:before="0" w:beforeAutospacing="0" w:after="0" w:afterAutospacing="0"/>
        <w:jc w:val="both"/>
        <w:textAlignment w:val="baseline"/>
        <w:rPr>
          <w:rStyle w:val="normaltextrun"/>
          <w:rFonts w:ascii="Calibri" w:hAnsi="Calibri" w:cs="Calibri"/>
          <w:sz w:val="22"/>
          <w:szCs w:val="22"/>
        </w:rPr>
      </w:pPr>
      <w:r w:rsidRPr="009C1024">
        <w:rPr>
          <w:rStyle w:val="normaltextrun"/>
          <w:rFonts w:ascii="Calibri" w:hAnsi="Calibri" w:cs="Calibri"/>
          <w:sz w:val="22"/>
          <w:szCs w:val="22"/>
        </w:rPr>
        <w:t>Develop a more robust understanding of the issues around Community Safety in Chingford Mount and South Leytonstone</w:t>
      </w:r>
    </w:p>
    <w:p w14:paraId="26B990B5" w14:textId="77777777" w:rsidR="00035CC5" w:rsidRPr="009C1024" w:rsidRDefault="00035CC5" w:rsidP="00035CC5">
      <w:pPr>
        <w:pStyle w:val="paragraph"/>
        <w:numPr>
          <w:ilvl w:val="0"/>
          <w:numId w:val="11"/>
        </w:numPr>
        <w:spacing w:before="0" w:beforeAutospacing="0" w:after="0" w:afterAutospacing="0"/>
        <w:jc w:val="both"/>
        <w:textAlignment w:val="baseline"/>
        <w:rPr>
          <w:rFonts w:ascii="Calibri" w:hAnsi="Calibri" w:cs="Calibri"/>
          <w:sz w:val="22"/>
          <w:szCs w:val="22"/>
        </w:rPr>
      </w:pPr>
      <w:r w:rsidRPr="009C1024">
        <w:rPr>
          <w:rStyle w:val="normaltextrun"/>
          <w:rFonts w:ascii="Calibri" w:hAnsi="Calibri" w:cs="Calibri"/>
          <w:sz w:val="22"/>
          <w:szCs w:val="22"/>
        </w:rPr>
        <w:t xml:space="preserve">Assess and measure the impact of the </w:t>
      </w:r>
      <w:r>
        <w:rPr>
          <w:rStyle w:val="normaltextrun"/>
          <w:rFonts w:ascii="Calibri" w:hAnsi="Calibri" w:cs="Calibri"/>
          <w:sz w:val="22"/>
          <w:szCs w:val="22"/>
        </w:rPr>
        <w:t>pilot</w:t>
      </w:r>
      <w:r w:rsidRPr="009C1024">
        <w:rPr>
          <w:rStyle w:val="normaltextrun"/>
          <w:rFonts w:ascii="Calibri" w:hAnsi="Calibri" w:cs="Calibri"/>
          <w:sz w:val="22"/>
          <w:szCs w:val="22"/>
        </w:rPr>
        <w:t xml:space="preserve"> in the 2 areas</w:t>
      </w:r>
    </w:p>
    <w:p w14:paraId="37F12F38" w14:textId="77777777" w:rsidR="00035CC5" w:rsidRDefault="00035CC5" w:rsidP="00035CC5">
      <w:pPr>
        <w:pStyle w:val="paragraph"/>
        <w:numPr>
          <w:ilvl w:val="0"/>
          <w:numId w:val="11"/>
        </w:numPr>
        <w:spacing w:before="0" w:beforeAutospacing="0" w:after="0" w:afterAutospacing="0"/>
        <w:jc w:val="both"/>
        <w:textAlignment w:val="baseline"/>
        <w:rPr>
          <w:rStyle w:val="normaltextrun"/>
          <w:rFonts w:ascii="Calibri" w:hAnsi="Calibri" w:cs="Calibri"/>
          <w:sz w:val="22"/>
          <w:szCs w:val="22"/>
        </w:rPr>
      </w:pPr>
      <w:r w:rsidRPr="009C1024">
        <w:rPr>
          <w:rStyle w:val="normaltextrun"/>
          <w:rFonts w:ascii="Calibri" w:hAnsi="Calibri" w:cs="Calibri"/>
          <w:sz w:val="22"/>
          <w:szCs w:val="22"/>
        </w:rPr>
        <w:t xml:space="preserve">Attain learning from staff, residents, </w:t>
      </w:r>
      <w:proofErr w:type="gramStart"/>
      <w:r w:rsidRPr="009C1024">
        <w:rPr>
          <w:rStyle w:val="normaltextrun"/>
          <w:rFonts w:ascii="Calibri" w:hAnsi="Calibri" w:cs="Calibri"/>
          <w:sz w:val="22"/>
          <w:szCs w:val="22"/>
        </w:rPr>
        <w:t>Members</w:t>
      </w:r>
      <w:proofErr w:type="gramEnd"/>
      <w:r w:rsidRPr="009C1024">
        <w:rPr>
          <w:rStyle w:val="normaltextrun"/>
          <w:rFonts w:ascii="Calibri" w:hAnsi="Calibri" w:cs="Calibri"/>
          <w:sz w:val="22"/>
          <w:szCs w:val="22"/>
        </w:rPr>
        <w:t xml:space="preserve"> and partners to improve </w:t>
      </w:r>
      <w:r>
        <w:rPr>
          <w:rStyle w:val="normaltextrun"/>
          <w:rFonts w:ascii="Calibri" w:hAnsi="Calibri" w:cs="Calibri"/>
          <w:sz w:val="22"/>
          <w:szCs w:val="22"/>
        </w:rPr>
        <w:t>and refine</w:t>
      </w:r>
      <w:r w:rsidRPr="009C1024">
        <w:rPr>
          <w:rStyle w:val="normaltextrun"/>
          <w:rFonts w:ascii="Calibri" w:hAnsi="Calibri" w:cs="Calibri"/>
          <w:sz w:val="22"/>
          <w:szCs w:val="22"/>
        </w:rPr>
        <w:t xml:space="preserve"> the model </w:t>
      </w:r>
    </w:p>
    <w:p w14:paraId="3AAD4B6A" w14:textId="77777777" w:rsidR="00035CC5" w:rsidRDefault="00035CC5" w:rsidP="00035CC5">
      <w:pPr>
        <w:pStyle w:val="paragraph"/>
        <w:numPr>
          <w:ilvl w:val="0"/>
          <w:numId w:val="11"/>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Develop recommendations to improve the model before it is rolled out across the whole borough</w:t>
      </w:r>
    </w:p>
    <w:p w14:paraId="1AEB2A19" w14:textId="11DA070F" w:rsidR="00C8289A" w:rsidRPr="009001AF" w:rsidRDefault="00C8289A" w:rsidP="009001AF">
      <w:pPr>
        <w:pStyle w:val="paragraph"/>
        <w:spacing w:before="0" w:beforeAutospacing="0" w:after="0" w:afterAutospacing="0"/>
        <w:jc w:val="both"/>
        <w:textAlignment w:val="baseline"/>
        <w:rPr>
          <w:rFonts w:ascii="Calibri" w:hAnsi="Calibri" w:cs="Calibri"/>
          <w:color w:val="FF0000"/>
          <w:sz w:val="22"/>
          <w:szCs w:val="22"/>
        </w:rPr>
      </w:pPr>
      <w:r w:rsidRPr="009C1024">
        <w:rPr>
          <w:rStyle w:val="eop"/>
          <w:rFonts w:ascii="Calibri" w:hAnsi="Calibri" w:cs="Calibri"/>
          <w:sz w:val="22"/>
          <w:szCs w:val="22"/>
        </w:rPr>
        <w:t> </w:t>
      </w:r>
      <w:r>
        <w:rPr>
          <w:rStyle w:val="eop"/>
          <w:rFonts w:ascii="Calibri" w:hAnsi="Calibri" w:cs="Calibri"/>
        </w:rPr>
        <w:t> </w:t>
      </w:r>
    </w:p>
    <w:p w14:paraId="4ABAB53B" w14:textId="494A86CA" w:rsidR="00C8289A" w:rsidRPr="007B0AC7" w:rsidRDefault="009A4E23" w:rsidP="00C8289A">
      <w:pPr>
        <w:pStyle w:val="paragraph"/>
        <w:spacing w:before="0" w:beforeAutospacing="0" w:after="0" w:afterAutospacing="0"/>
        <w:textAlignment w:val="baseline"/>
        <w:rPr>
          <w:rFonts w:ascii="Calibri" w:hAnsi="Calibri" w:cs="Calibri"/>
          <w:b/>
          <w:bCs/>
          <w:color w:val="ED1080"/>
        </w:rPr>
      </w:pPr>
      <w:r>
        <w:rPr>
          <w:rStyle w:val="normaltextrun"/>
          <w:rFonts w:ascii="Calibri" w:hAnsi="Calibri" w:cs="Calibri"/>
          <w:b/>
          <w:bCs/>
          <w:color w:val="ED1080"/>
          <w:sz w:val="36"/>
          <w:szCs w:val="36"/>
        </w:rPr>
        <w:t xml:space="preserve">Purpose and </w:t>
      </w:r>
      <w:r w:rsidR="00A70D1D">
        <w:rPr>
          <w:rStyle w:val="eop"/>
          <w:rFonts w:ascii="Calibri" w:hAnsi="Calibri" w:cs="Calibri"/>
          <w:b/>
          <w:bCs/>
          <w:color w:val="ED1080"/>
          <w:sz w:val="36"/>
          <w:szCs w:val="36"/>
        </w:rPr>
        <w:t>outputs</w:t>
      </w:r>
    </w:p>
    <w:p w14:paraId="4EF52B1F" w14:textId="4256F7DF" w:rsidR="00954E3B" w:rsidRDefault="00954E3B" w:rsidP="00FB01F9">
      <w:pPr>
        <w:pStyle w:val="paragraph"/>
        <w:spacing w:before="0" w:beforeAutospacing="0" w:after="0" w:afterAutospacing="0"/>
        <w:jc w:val="both"/>
        <w:textAlignment w:val="baseline"/>
        <w:rPr>
          <w:rStyle w:val="normaltextrun"/>
          <w:rFonts w:ascii="Calibri" w:hAnsi="Calibri" w:cs="Calibri"/>
          <w:sz w:val="22"/>
          <w:szCs w:val="22"/>
        </w:rPr>
      </w:pPr>
      <w:r w:rsidRPr="003130C9">
        <w:rPr>
          <w:rStyle w:val="normaltextrun"/>
          <w:rFonts w:ascii="Calibri" w:hAnsi="Calibri" w:cs="Calibri"/>
          <w:sz w:val="22"/>
          <w:szCs w:val="22"/>
        </w:rPr>
        <w:t xml:space="preserve">The purpose of the evaluation is to understand the benefits and challenges of the </w:t>
      </w:r>
      <w:r w:rsidR="00774067">
        <w:rPr>
          <w:rStyle w:val="normaltextrun"/>
          <w:rFonts w:ascii="Calibri" w:hAnsi="Calibri" w:cs="Calibri"/>
          <w:sz w:val="22"/>
          <w:szCs w:val="22"/>
        </w:rPr>
        <w:t>Safer Streets pilot</w:t>
      </w:r>
      <w:r w:rsidRPr="003130C9">
        <w:rPr>
          <w:rStyle w:val="normaltextrun"/>
          <w:rFonts w:ascii="Calibri" w:hAnsi="Calibri" w:cs="Calibri"/>
          <w:sz w:val="22"/>
          <w:szCs w:val="22"/>
        </w:rPr>
        <w:t xml:space="preserve"> from the perspective of residents, staff, </w:t>
      </w:r>
      <w:proofErr w:type="gramStart"/>
      <w:r w:rsidRPr="003130C9">
        <w:rPr>
          <w:rStyle w:val="normaltextrun"/>
          <w:rFonts w:ascii="Calibri" w:hAnsi="Calibri" w:cs="Calibri"/>
          <w:sz w:val="22"/>
          <w:szCs w:val="22"/>
        </w:rPr>
        <w:t>partners</w:t>
      </w:r>
      <w:proofErr w:type="gramEnd"/>
      <w:r w:rsidRPr="003130C9">
        <w:rPr>
          <w:rStyle w:val="normaltextrun"/>
          <w:rFonts w:ascii="Calibri" w:hAnsi="Calibri" w:cs="Calibri"/>
          <w:sz w:val="22"/>
          <w:szCs w:val="22"/>
        </w:rPr>
        <w:t xml:space="preserve"> and members. </w:t>
      </w:r>
      <w:r>
        <w:rPr>
          <w:rStyle w:val="normaltextrun"/>
          <w:rFonts w:ascii="Calibri" w:hAnsi="Calibri" w:cs="Calibri"/>
          <w:sz w:val="22"/>
          <w:szCs w:val="22"/>
        </w:rPr>
        <w:t xml:space="preserve">The evaluation results will inform the approach the Council takes before launching the new operating model of Community Safety later this year. </w:t>
      </w:r>
    </w:p>
    <w:p w14:paraId="1C6CC9AA" w14:textId="77777777" w:rsidR="00954E3B" w:rsidRDefault="00954E3B" w:rsidP="00FB01F9">
      <w:pPr>
        <w:pStyle w:val="paragraph"/>
        <w:spacing w:before="0" w:beforeAutospacing="0" w:after="0" w:afterAutospacing="0"/>
        <w:jc w:val="both"/>
        <w:textAlignment w:val="baseline"/>
        <w:rPr>
          <w:rStyle w:val="normaltextrun"/>
          <w:rFonts w:ascii="Calibri" w:hAnsi="Calibri" w:cs="Calibri"/>
          <w:sz w:val="22"/>
          <w:szCs w:val="22"/>
        </w:rPr>
      </w:pPr>
    </w:p>
    <w:p w14:paraId="6AE3F1B5" w14:textId="2E8416D6" w:rsidR="00FB01F9" w:rsidRPr="009C1024" w:rsidRDefault="00FB01F9" w:rsidP="00FB01F9">
      <w:pPr>
        <w:pStyle w:val="paragraph"/>
        <w:spacing w:before="0" w:beforeAutospacing="0" w:after="0" w:afterAutospacing="0"/>
        <w:jc w:val="both"/>
        <w:textAlignment w:val="baseline"/>
        <w:rPr>
          <w:rStyle w:val="normaltextrun"/>
          <w:rFonts w:ascii="Calibri" w:hAnsi="Calibri" w:cs="Calibri"/>
          <w:sz w:val="22"/>
          <w:szCs w:val="22"/>
        </w:rPr>
      </w:pPr>
      <w:r w:rsidRPr="009C1024">
        <w:rPr>
          <w:rStyle w:val="normaltextrun"/>
          <w:rFonts w:ascii="Calibri" w:hAnsi="Calibri" w:cs="Calibri"/>
          <w:sz w:val="22"/>
          <w:szCs w:val="22"/>
        </w:rPr>
        <w:t xml:space="preserve">We will require several main outputs from this project, as detailed below: </w:t>
      </w:r>
    </w:p>
    <w:p w14:paraId="50362D38" w14:textId="16EC392D" w:rsidR="001A30B9" w:rsidRPr="009C1024" w:rsidRDefault="001A30B9" w:rsidP="00D0739C">
      <w:pPr>
        <w:pStyle w:val="paragraph"/>
        <w:numPr>
          <w:ilvl w:val="0"/>
          <w:numId w:val="12"/>
        </w:numPr>
        <w:spacing w:before="0" w:beforeAutospacing="0" w:after="0" w:afterAutospacing="0"/>
        <w:jc w:val="both"/>
        <w:textAlignment w:val="baseline"/>
        <w:rPr>
          <w:rFonts w:ascii="Calibri" w:hAnsi="Calibri" w:cs="Calibri"/>
          <w:sz w:val="22"/>
          <w:szCs w:val="22"/>
        </w:rPr>
      </w:pPr>
      <w:r w:rsidRPr="009C1024">
        <w:rPr>
          <w:rStyle w:val="eop"/>
          <w:rFonts w:ascii="Calibri" w:hAnsi="Calibri" w:cs="Calibri"/>
          <w:sz w:val="22"/>
          <w:szCs w:val="22"/>
        </w:rPr>
        <w:t>Weekly progress updates to the Council’s contract manager</w:t>
      </w:r>
    </w:p>
    <w:p w14:paraId="4C6E4C5E" w14:textId="31727C72" w:rsidR="00C8289A" w:rsidRPr="009C1024" w:rsidRDefault="001B4A7E" w:rsidP="00D0739C">
      <w:pPr>
        <w:pStyle w:val="paragraph"/>
        <w:numPr>
          <w:ilvl w:val="0"/>
          <w:numId w:val="12"/>
        </w:numPr>
        <w:spacing w:before="0" w:beforeAutospacing="0" w:after="0" w:afterAutospacing="0"/>
        <w:jc w:val="both"/>
        <w:textAlignment w:val="baseline"/>
        <w:rPr>
          <w:rStyle w:val="eop"/>
          <w:rFonts w:ascii="Calibri" w:hAnsi="Calibri" w:cs="Calibri"/>
          <w:sz w:val="22"/>
          <w:szCs w:val="22"/>
        </w:rPr>
      </w:pPr>
      <w:r w:rsidRPr="009C1024">
        <w:rPr>
          <w:rStyle w:val="normaltextrun"/>
          <w:rFonts w:ascii="Calibri" w:hAnsi="Calibri" w:cs="Calibri"/>
          <w:sz w:val="22"/>
          <w:szCs w:val="22"/>
        </w:rPr>
        <w:t>Mid-project evaluation report</w:t>
      </w:r>
      <w:r w:rsidR="00C8289A" w:rsidRPr="009C1024">
        <w:rPr>
          <w:rStyle w:val="normaltextrun"/>
          <w:rFonts w:ascii="Calibri" w:hAnsi="Calibri" w:cs="Calibri"/>
          <w:sz w:val="22"/>
          <w:szCs w:val="22"/>
        </w:rPr>
        <w:t xml:space="preserve"> (</w:t>
      </w:r>
      <w:r w:rsidR="00FB01F9" w:rsidRPr="009C1024">
        <w:rPr>
          <w:rStyle w:val="normaltextrun"/>
          <w:rFonts w:ascii="Calibri" w:hAnsi="Calibri" w:cs="Calibri"/>
          <w:sz w:val="22"/>
          <w:szCs w:val="22"/>
        </w:rPr>
        <w:t xml:space="preserve">initial </w:t>
      </w:r>
      <w:r w:rsidRPr="009C1024">
        <w:rPr>
          <w:rStyle w:val="normaltextrun"/>
          <w:rFonts w:ascii="Calibri" w:hAnsi="Calibri" w:cs="Calibri"/>
          <w:sz w:val="22"/>
          <w:szCs w:val="22"/>
        </w:rPr>
        <w:t xml:space="preserve">highlights and </w:t>
      </w:r>
      <w:r w:rsidR="00FB01F9" w:rsidRPr="009C1024">
        <w:rPr>
          <w:rStyle w:val="normaltextrun"/>
          <w:rFonts w:ascii="Calibri" w:hAnsi="Calibri" w:cs="Calibri"/>
          <w:sz w:val="22"/>
          <w:szCs w:val="22"/>
        </w:rPr>
        <w:t xml:space="preserve">learning from </w:t>
      </w:r>
      <w:r w:rsidR="009A23BD" w:rsidRPr="009C1024">
        <w:rPr>
          <w:rStyle w:val="normaltextrun"/>
          <w:rFonts w:ascii="Calibri" w:hAnsi="Calibri" w:cs="Calibri"/>
          <w:sz w:val="22"/>
          <w:szCs w:val="22"/>
        </w:rPr>
        <w:t xml:space="preserve">Community Walks and interviews with residents, </w:t>
      </w:r>
      <w:proofErr w:type="gramStart"/>
      <w:r w:rsidR="009A23BD" w:rsidRPr="009C1024">
        <w:rPr>
          <w:rStyle w:val="normaltextrun"/>
          <w:rFonts w:ascii="Calibri" w:hAnsi="Calibri" w:cs="Calibri"/>
          <w:sz w:val="22"/>
          <w:szCs w:val="22"/>
        </w:rPr>
        <w:t>staff</w:t>
      </w:r>
      <w:proofErr w:type="gramEnd"/>
      <w:r w:rsidR="009A23BD" w:rsidRPr="009C1024">
        <w:rPr>
          <w:rStyle w:val="normaltextrun"/>
          <w:rFonts w:ascii="Calibri" w:hAnsi="Calibri" w:cs="Calibri"/>
          <w:sz w:val="22"/>
          <w:szCs w:val="22"/>
        </w:rPr>
        <w:t xml:space="preserve"> and partners</w:t>
      </w:r>
      <w:r w:rsidRPr="009C1024">
        <w:rPr>
          <w:rStyle w:val="normaltextrun"/>
          <w:rFonts w:ascii="Calibri" w:hAnsi="Calibri" w:cs="Calibri"/>
          <w:sz w:val="22"/>
          <w:szCs w:val="22"/>
        </w:rPr>
        <w:t xml:space="preserve"> by April 2023</w:t>
      </w:r>
      <w:r w:rsidR="00C8289A" w:rsidRPr="009C1024">
        <w:rPr>
          <w:rStyle w:val="normaltextrun"/>
          <w:rFonts w:ascii="Calibri" w:hAnsi="Calibri" w:cs="Calibri"/>
          <w:sz w:val="22"/>
          <w:szCs w:val="22"/>
        </w:rPr>
        <w:t>)</w:t>
      </w:r>
      <w:r w:rsidR="00C8289A" w:rsidRPr="009C1024">
        <w:rPr>
          <w:rStyle w:val="eop"/>
          <w:rFonts w:ascii="Calibri" w:hAnsi="Calibri" w:cs="Calibri"/>
          <w:sz w:val="22"/>
          <w:szCs w:val="22"/>
        </w:rPr>
        <w:t> </w:t>
      </w:r>
    </w:p>
    <w:p w14:paraId="3FA768CD" w14:textId="6ABE73CD" w:rsidR="00377E27" w:rsidRPr="009C1024" w:rsidRDefault="00377E27" w:rsidP="00D0739C">
      <w:pPr>
        <w:pStyle w:val="paragraph"/>
        <w:numPr>
          <w:ilvl w:val="0"/>
          <w:numId w:val="12"/>
        </w:numPr>
        <w:spacing w:before="0" w:beforeAutospacing="0" w:after="0" w:afterAutospacing="0"/>
        <w:jc w:val="both"/>
        <w:textAlignment w:val="baseline"/>
        <w:rPr>
          <w:rFonts w:ascii="Calibri" w:hAnsi="Calibri" w:cs="Calibri"/>
          <w:sz w:val="22"/>
          <w:szCs w:val="22"/>
        </w:rPr>
      </w:pPr>
      <w:r w:rsidRPr="009C1024">
        <w:rPr>
          <w:rStyle w:val="eop"/>
          <w:rFonts w:ascii="Calibri" w:hAnsi="Calibri" w:cs="Calibri"/>
          <w:sz w:val="22"/>
          <w:szCs w:val="22"/>
        </w:rPr>
        <w:t>Headline findings presentation in slide format at project end (July 2023)</w:t>
      </w:r>
    </w:p>
    <w:p w14:paraId="3E749282" w14:textId="69A72AA8" w:rsidR="00C8289A" w:rsidRPr="009C1024" w:rsidRDefault="00407C16" w:rsidP="00D0739C">
      <w:pPr>
        <w:pStyle w:val="paragraph"/>
        <w:numPr>
          <w:ilvl w:val="0"/>
          <w:numId w:val="12"/>
        </w:numPr>
        <w:spacing w:before="0" w:beforeAutospacing="0" w:after="0" w:afterAutospacing="0"/>
        <w:jc w:val="both"/>
        <w:textAlignment w:val="baseline"/>
        <w:rPr>
          <w:rFonts w:ascii="Calibri" w:hAnsi="Calibri" w:cs="Calibri"/>
          <w:sz w:val="22"/>
          <w:szCs w:val="22"/>
        </w:rPr>
      </w:pPr>
      <w:r w:rsidRPr="009C1024">
        <w:rPr>
          <w:rStyle w:val="normaltextrun"/>
          <w:rFonts w:ascii="Calibri" w:hAnsi="Calibri" w:cs="Calibri"/>
          <w:sz w:val="22"/>
          <w:szCs w:val="22"/>
        </w:rPr>
        <w:t>A full draft report and a final detailed full report in electronic format of qualitative research findings</w:t>
      </w:r>
      <w:r w:rsidR="002B013F" w:rsidRPr="009C1024">
        <w:rPr>
          <w:rStyle w:val="normaltextrun"/>
          <w:rFonts w:ascii="Calibri" w:hAnsi="Calibri" w:cs="Calibri"/>
          <w:sz w:val="22"/>
          <w:szCs w:val="22"/>
        </w:rPr>
        <w:t xml:space="preserve"> in</w:t>
      </w:r>
      <w:r w:rsidR="00C8289A" w:rsidRPr="009C1024">
        <w:rPr>
          <w:rStyle w:val="normaltextrun"/>
          <w:rFonts w:ascii="Calibri" w:hAnsi="Calibri" w:cs="Calibri"/>
          <w:sz w:val="22"/>
          <w:szCs w:val="22"/>
        </w:rPr>
        <w:t xml:space="preserve"> </w:t>
      </w:r>
      <w:r w:rsidR="00FB01F9" w:rsidRPr="009C1024">
        <w:rPr>
          <w:rStyle w:val="normaltextrun"/>
          <w:rFonts w:ascii="Calibri" w:hAnsi="Calibri" w:cs="Calibri"/>
          <w:sz w:val="22"/>
          <w:szCs w:val="22"/>
        </w:rPr>
        <w:t>July</w:t>
      </w:r>
      <w:r w:rsidR="00C8289A" w:rsidRPr="009C1024">
        <w:rPr>
          <w:rStyle w:val="normaltextrun"/>
          <w:rFonts w:ascii="Calibri" w:hAnsi="Calibri" w:cs="Calibri"/>
          <w:sz w:val="22"/>
          <w:szCs w:val="22"/>
        </w:rPr>
        <w:t xml:space="preserve"> 2023 (</w:t>
      </w:r>
      <w:r w:rsidR="00FB01F9" w:rsidRPr="009C1024">
        <w:rPr>
          <w:rStyle w:val="normaltextrun"/>
          <w:rFonts w:ascii="Calibri" w:hAnsi="Calibri" w:cs="Calibri"/>
          <w:sz w:val="22"/>
          <w:szCs w:val="22"/>
        </w:rPr>
        <w:t xml:space="preserve">Following </w:t>
      </w:r>
      <w:r w:rsidR="002B013F" w:rsidRPr="009C1024">
        <w:rPr>
          <w:rStyle w:val="normaltextrun"/>
          <w:rFonts w:ascii="Calibri" w:hAnsi="Calibri" w:cs="Calibri"/>
          <w:sz w:val="22"/>
          <w:szCs w:val="22"/>
        </w:rPr>
        <w:t>completion</w:t>
      </w:r>
      <w:r w:rsidR="00FB01F9" w:rsidRPr="009C1024">
        <w:rPr>
          <w:rStyle w:val="normaltextrun"/>
          <w:rFonts w:ascii="Calibri" w:hAnsi="Calibri" w:cs="Calibri"/>
          <w:sz w:val="22"/>
          <w:szCs w:val="22"/>
        </w:rPr>
        <w:t xml:space="preserve"> of </w:t>
      </w:r>
      <w:r w:rsidR="00774067">
        <w:rPr>
          <w:rStyle w:val="normaltextrun"/>
          <w:rFonts w:ascii="Calibri" w:hAnsi="Calibri" w:cs="Calibri"/>
          <w:sz w:val="22"/>
          <w:szCs w:val="22"/>
        </w:rPr>
        <w:t>Safer Streets</w:t>
      </w:r>
      <w:r w:rsidR="00FB01F9" w:rsidRPr="009C1024">
        <w:rPr>
          <w:rStyle w:val="normaltextrun"/>
          <w:rFonts w:ascii="Calibri" w:hAnsi="Calibri" w:cs="Calibri"/>
          <w:sz w:val="22"/>
          <w:szCs w:val="22"/>
        </w:rPr>
        <w:t xml:space="preserve"> pilot</w:t>
      </w:r>
      <w:r w:rsidR="00C8289A" w:rsidRPr="009C1024">
        <w:rPr>
          <w:rStyle w:val="normaltextrun"/>
          <w:rFonts w:ascii="Calibri" w:hAnsi="Calibri" w:cs="Calibri"/>
          <w:sz w:val="22"/>
          <w:szCs w:val="22"/>
        </w:rPr>
        <w:t>)</w:t>
      </w:r>
      <w:r w:rsidR="00C8289A" w:rsidRPr="009C1024">
        <w:rPr>
          <w:rStyle w:val="eop"/>
          <w:rFonts w:ascii="Calibri" w:hAnsi="Calibri" w:cs="Calibri"/>
          <w:sz w:val="22"/>
          <w:szCs w:val="22"/>
        </w:rPr>
        <w:t> </w:t>
      </w:r>
    </w:p>
    <w:p w14:paraId="19254F55" w14:textId="77777777" w:rsidR="00C8289A" w:rsidRDefault="00C8289A" w:rsidP="00C8289A">
      <w:pPr>
        <w:pStyle w:val="paragraph"/>
        <w:spacing w:before="0" w:beforeAutospacing="0" w:after="0" w:afterAutospacing="0"/>
        <w:ind w:left="720"/>
        <w:jc w:val="both"/>
        <w:textAlignment w:val="baseline"/>
        <w:rPr>
          <w:rFonts w:ascii="Calibri" w:hAnsi="Calibri" w:cs="Calibri"/>
        </w:rPr>
      </w:pPr>
      <w:r>
        <w:rPr>
          <w:rStyle w:val="eop"/>
          <w:rFonts w:ascii="Calibri" w:hAnsi="Calibri" w:cs="Calibri"/>
        </w:rPr>
        <w:t> </w:t>
      </w:r>
    </w:p>
    <w:p w14:paraId="47613C02" w14:textId="2CB141AB" w:rsidR="00C8289A" w:rsidRPr="007B0AC7" w:rsidRDefault="00C8289A" w:rsidP="00C8289A">
      <w:pPr>
        <w:pStyle w:val="paragraph"/>
        <w:spacing w:before="0" w:beforeAutospacing="0" w:after="0" w:afterAutospacing="0"/>
        <w:textAlignment w:val="baseline"/>
        <w:rPr>
          <w:rFonts w:ascii="Calibri" w:hAnsi="Calibri" w:cs="Calibri"/>
          <w:b/>
          <w:bCs/>
          <w:color w:val="ED1080"/>
        </w:rPr>
      </w:pPr>
      <w:r w:rsidRPr="007B0AC7">
        <w:rPr>
          <w:rStyle w:val="normaltextrun"/>
          <w:rFonts w:ascii="Calibri" w:hAnsi="Calibri" w:cs="Calibri"/>
          <w:b/>
          <w:bCs/>
          <w:color w:val="ED1080"/>
          <w:sz w:val="36"/>
          <w:szCs w:val="36"/>
        </w:rPr>
        <w:t>Time</w:t>
      </w:r>
      <w:r w:rsidR="00503118">
        <w:rPr>
          <w:rStyle w:val="normaltextrun"/>
          <w:rFonts w:ascii="Calibri" w:hAnsi="Calibri" w:cs="Calibri"/>
          <w:b/>
          <w:bCs/>
          <w:color w:val="ED1080"/>
          <w:sz w:val="36"/>
          <w:szCs w:val="36"/>
        </w:rPr>
        <w:t>table</w:t>
      </w:r>
    </w:p>
    <w:p w14:paraId="13088ABF" w14:textId="6524415C" w:rsidR="00DF6854" w:rsidRPr="009C1024" w:rsidRDefault="00551B98" w:rsidP="00820EC9">
      <w:pPr>
        <w:pStyle w:val="paragraph"/>
        <w:spacing w:before="0" w:beforeAutospacing="0" w:after="0" w:afterAutospacing="0"/>
        <w:jc w:val="both"/>
        <w:textAlignment w:val="baseline"/>
        <w:rPr>
          <w:rFonts w:asciiTheme="minorHAnsi" w:hAnsiTheme="minorHAnsi" w:cstheme="minorHAnsi"/>
          <w:sz w:val="22"/>
          <w:szCs w:val="22"/>
        </w:rPr>
      </w:pPr>
      <w:r w:rsidRPr="009C1024">
        <w:rPr>
          <w:rStyle w:val="normaltextrun"/>
          <w:rFonts w:ascii="Calibri" w:hAnsi="Calibri" w:cs="Calibri"/>
          <w:sz w:val="22"/>
          <w:szCs w:val="22"/>
        </w:rPr>
        <w:t xml:space="preserve">The Community Safety pilot is beginning in the last week of February. </w:t>
      </w:r>
      <w:r w:rsidR="00202089" w:rsidRPr="009C1024">
        <w:rPr>
          <w:rStyle w:val="normaltextrun"/>
          <w:rFonts w:ascii="Calibri" w:hAnsi="Calibri" w:cs="Calibri"/>
          <w:sz w:val="22"/>
          <w:szCs w:val="22"/>
        </w:rPr>
        <w:t>The pilot will run for four months until June</w:t>
      </w:r>
      <w:r w:rsidR="001C4C41" w:rsidRPr="009C1024">
        <w:rPr>
          <w:rStyle w:val="normaltextrun"/>
          <w:rFonts w:ascii="Calibri" w:hAnsi="Calibri" w:cs="Calibri"/>
          <w:sz w:val="22"/>
          <w:szCs w:val="22"/>
        </w:rPr>
        <w:t>.</w:t>
      </w:r>
      <w:r w:rsidR="00820EC9" w:rsidRPr="009C1024">
        <w:rPr>
          <w:rStyle w:val="normaltextrun"/>
          <w:rFonts w:ascii="Calibri" w:hAnsi="Calibri" w:cs="Calibri"/>
          <w:sz w:val="22"/>
          <w:szCs w:val="22"/>
        </w:rPr>
        <w:t xml:space="preserve"> </w:t>
      </w:r>
      <w:r w:rsidR="00202089" w:rsidRPr="009C1024">
        <w:rPr>
          <w:rFonts w:ascii="Calibri" w:hAnsi="Calibri" w:cs="Calibri"/>
          <w:sz w:val="22"/>
          <w:szCs w:val="22"/>
        </w:rPr>
        <w:t xml:space="preserve">The evaluation for the pilot would be expected to run concurrently </w:t>
      </w:r>
      <w:r w:rsidR="00202089" w:rsidRPr="009C1024">
        <w:rPr>
          <w:rFonts w:asciiTheme="minorHAnsi" w:hAnsiTheme="minorHAnsi" w:cstheme="minorHAnsi"/>
          <w:sz w:val="22"/>
          <w:szCs w:val="22"/>
        </w:rPr>
        <w:t xml:space="preserve">during this </w:t>
      </w:r>
      <w:proofErr w:type="gramStart"/>
      <w:r w:rsidR="00202089" w:rsidRPr="009C1024">
        <w:rPr>
          <w:rFonts w:asciiTheme="minorHAnsi" w:hAnsiTheme="minorHAnsi" w:cstheme="minorHAnsi"/>
          <w:sz w:val="22"/>
          <w:szCs w:val="22"/>
        </w:rPr>
        <w:t>four month</w:t>
      </w:r>
      <w:proofErr w:type="gramEnd"/>
      <w:r w:rsidR="00202089" w:rsidRPr="009C1024">
        <w:rPr>
          <w:rFonts w:asciiTheme="minorHAnsi" w:hAnsiTheme="minorHAnsi" w:cstheme="minorHAnsi"/>
          <w:sz w:val="22"/>
          <w:szCs w:val="22"/>
        </w:rPr>
        <w:t xml:space="preserve"> period, with </w:t>
      </w:r>
      <w:r w:rsidR="001C4C41" w:rsidRPr="009C1024">
        <w:rPr>
          <w:rFonts w:asciiTheme="minorHAnsi" w:hAnsiTheme="minorHAnsi" w:cstheme="minorHAnsi"/>
          <w:sz w:val="22"/>
          <w:szCs w:val="22"/>
        </w:rPr>
        <w:t>final interviews taking place with staff in the immediate period after the end of the pilot.</w:t>
      </w:r>
      <w:r w:rsidR="00820EC9" w:rsidRPr="009C1024">
        <w:rPr>
          <w:rFonts w:asciiTheme="minorHAnsi" w:hAnsiTheme="minorHAnsi" w:cstheme="minorHAnsi"/>
          <w:sz w:val="22"/>
          <w:szCs w:val="22"/>
        </w:rPr>
        <w:t xml:space="preserve"> </w:t>
      </w:r>
      <w:r w:rsidR="00DF6854" w:rsidRPr="009C1024">
        <w:rPr>
          <w:rFonts w:asciiTheme="minorHAnsi" w:hAnsiTheme="minorHAnsi" w:cstheme="minorHAnsi"/>
          <w:sz w:val="22"/>
          <w:szCs w:val="22"/>
        </w:rPr>
        <w:t>We envisage the timetable to approximately follow the below:</w:t>
      </w:r>
    </w:p>
    <w:p w14:paraId="151F33DE" w14:textId="77777777" w:rsidR="00820EC9" w:rsidRPr="009C1024" w:rsidRDefault="00820EC9" w:rsidP="00820EC9">
      <w:pPr>
        <w:pStyle w:val="paragraph"/>
        <w:spacing w:before="0" w:beforeAutospacing="0" w:after="0" w:afterAutospacing="0"/>
        <w:jc w:val="both"/>
        <w:textAlignment w:val="baseline"/>
        <w:rPr>
          <w:rFonts w:ascii="Calibri" w:hAnsi="Calibri" w:cs="Calibri"/>
          <w:color w:val="FF0000"/>
          <w:sz w:val="22"/>
          <w:szCs w:val="22"/>
        </w:rPr>
      </w:pPr>
    </w:p>
    <w:tbl>
      <w:tblPr>
        <w:tblpPr w:leftFromText="180" w:rightFromText="180" w:vertAnchor="text" w:tblpX="368" w:tblpY="1"/>
        <w:tblOverlap w:val="never"/>
        <w:tblW w:w="87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470"/>
        <w:gridCol w:w="4319"/>
      </w:tblGrid>
      <w:tr w:rsidR="00DF6854" w:rsidRPr="009C1024" w14:paraId="15EE1EE8" w14:textId="77777777" w:rsidTr="00353E8E">
        <w:trPr>
          <w:tblHeader/>
        </w:trPr>
        <w:tc>
          <w:tcPr>
            <w:tcW w:w="4470" w:type="dxa"/>
            <w:shd w:val="clear" w:color="auto" w:fill="F2F2F2" w:themeFill="background1" w:themeFillShade="F2"/>
            <w:tcMar>
              <w:top w:w="0" w:type="dxa"/>
              <w:left w:w="108" w:type="dxa"/>
              <w:bottom w:w="0" w:type="dxa"/>
              <w:right w:w="108" w:type="dxa"/>
            </w:tcMar>
            <w:vAlign w:val="center"/>
            <w:hideMark/>
          </w:tcPr>
          <w:p w14:paraId="49BF85A5" w14:textId="77777777" w:rsidR="00DF6854" w:rsidRPr="009C1024" w:rsidRDefault="00DF6854" w:rsidP="00353E8E">
            <w:pPr>
              <w:spacing w:before="240" w:after="240"/>
              <w:rPr>
                <w:b/>
                <w:bCs/>
              </w:rPr>
            </w:pPr>
            <w:r w:rsidRPr="009C1024">
              <w:rPr>
                <w:b/>
                <w:bCs/>
              </w:rPr>
              <w:t>Action(s)</w:t>
            </w:r>
          </w:p>
        </w:tc>
        <w:tc>
          <w:tcPr>
            <w:tcW w:w="4319" w:type="dxa"/>
            <w:shd w:val="clear" w:color="auto" w:fill="F2F2F2" w:themeFill="background1" w:themeFillShade="F2"/>
            <w:tcMar>
              <w:top w:w="0" w:type="dxa"/>
              <w:left w:w="108" w:type="dxa"/>
              <w:bottom w:w="0" w:type="dxa"/>
              <w:right w:w="108" w:type="dxa"/>
            </w:tcMar>
            <w:vAlign w:val="center"/>
            <w:hideMark/>
          </w:tcPr>
          <w:p w14:paraId="5376F6FD" w14:textId="77777777" w:rsidR="00DF6854" w:rsidRPr="009C1024" w:rsidRDefault="00DF6854" w:rsidP="00353E8E">
            <w:pPr>
              <w:spacing w:before="240" w:after="240"/>
              <w:rPr>
                <w:b/>
                <w:bCs/>
              </w:rPr>
            </w:pPr>
            <w:r w:rsidRPr="009C1024">
              <w:rPr>
                <w:b/>
                <w:bCs/>
              </w:rPr>
              <w:t>Date</w:t>
            </w:r>
          </w:p>
        </w:tc>
      </w:tr>
      <w:tr w:rsidR="00DF6854" w:rsidRPr="009C1024" w14:paraId="221DFCB9" w14:textId="77777777" w:rsidTr="00353E8E">
        <w:trPr>
          <w:trHeight w:val="298"/>
        </w:trPr>
        <w:tc>
          <w:tcPr>
            <w:tcW w:w="4470" w:type="dxa"/>
            <w:tcMar>
              <w:top w:w="0" w:type="dxa"/>
              <w:left w:w="108" w:type="dxa"/>
              <w:bottom w:w="0" w:type="dxa"/>
              <w:right w:w="108" w:type="dxa"/>
            </w:tcMar>
            <w:vAlign w:val="center"/>
            <w:hideMark/>
          </w:tcPr>
          <w:p w14:paraId="6B245955" w14:textId="77777777" w:rsidR="00DF6854" w:rsidRPr="009C1024" w:rsidRDefault="00DF6854" w:rsidP="00353E8E">
            <w:pPr>
              <w:spacing w:before="120" w:after="120"/>
            </w:pPr>
            <w:r w:rsidRPr="009C1024">
              <w:t>Invitation to tender</w:t>
            </w:r>
          </w:p>
        </w:tc>
        <w:tc>
          <w:tcPr>
            <w:tcW w:w="4319" w:type="dxa"/>
            <w:tcMar>
              <w:top w:w="0" w:type="dxa"/>
              <w:left w:w="108" w:type="dxa"/>
              <w:bottom w:w="0" w:type="dxa"/>
              <w:right w:w="108" w:type="dxa"/>
            </w:tcMar>
            <w:vAlign w:val="center"/>
          </w:tcPr>
          <w:p w14:paraId="6C8414C7" w14:textId="7E899882" w:rsidR="00DF6854" w:rsidRPr="009C1024" w:rsidRDefault="00491600" w:rsidP="00353E8E">
            <w:pPr>
              <w:spacing w:before="120" w:after="120"/>
            </w:pPr>
            <w:r w:rsidRPr="009C1024">
              <w:t>3</w:t>
            </w:r>
            <w:r w:rsidR="001C7CB3" w:rsidRPr="009C1024">
              <w:rPr>
                <w:vertAlign w:val="superscript"/>
              </w:rPr>
              <w:t>rd</w:t>
            </w:r>
            <w:r w:rsidRPr="009C1024">
              <w:t xml:space="preserve"> – 17</w:t>
            </w:r>
            <w:r w:rsidR="001C7CB3" w:rsidRPr="009C1024">
              <w:rPr>
                <w:vertAlign w:val="superscript"/>
              </w:rPr>
              <w:t>th</w:t>
            </w:r>
            <w:r w:rsidR="001C7CB3" w:rsidRPr="009C1024">
              <w:t xml:space="preserve"> </w:t>
            </w:r>
            <w:r w:rsidRPr="009C1024">
              <w:t>February</w:t>
            </w:r>
            <w:r w:rsidR="00DF6854" w:rsidRPr="009C1024">
              <w:t xml:space="preserve"> </w:t>
            </w:r>
          </w:p>
        </w:tc>
      </w:tr>
      <w:tr w:rsidR="00DF6854" w:rsidRPr="009C1024" w14:paraId="00BE8860" w14:textId="77777777" w:rsidTr="00353E8E">
        <w:tc>
          <w:tcPr>
            <w:tcW w:w="4470" w:type="dxa"/>
            <w:tcMar>
              <w:top w:w="0" w:type="dxa"/>
              <w:left w:w="108" w:type="dxa"/>
              <w:bottom w:w="0" w:type="dxa"/>
              <w:right w:w="108" w:type="dxa"/>
            </w:tcMar>
            <w:vAlign w:val="center"/>
            <w:hideMark/>
          </w:tcPr>
          <w:p w14:paraId="7375045E" w14:textId="77777777" w:rsidR="00DF6854" w:rsidRPr="009C1024" w:rsidRDefault="00DF6854" w:rsidP="00353E8E">
            <w:pPr>
              <w:spacing w:before="120" w:after="120"/>
            </w:pPr>
            <w:r w:rsidRPr="009C1024">
              <w:lastRenderedPageBreak/>
              <w:t>Notification of successful bidder</w:t>
            </w:r>
          </w:p>
        </w:tc>
        <w:tc>
          <w:tcPr>
            <w:tcW w:w="4319" w:type="dxa"/>
            <w:tcMar>
              <w:top w:w="0" w:type="dxa"/>
              <w:left w:w="108" w:type="dxa"/>
              <w:bottom w:w="0" w:type="dxa"/>
              <w:right w:w="108" w:type="dxa"/>
            </w:tcMar>
            <w:vAlign w:val="center"/>
          </w:tcPr>
          <w:p w14:paraId="6B358F12" w14:textId="540C7FA4" w:rsidR="00DF6854" w:rsidRPr="009C1024" w:rsidRDefault="00DF6854" w:rsidP="00353E8E">
            <w:pPr>
              <w:spacing w:before="120" w:after="120"/>
            </w:pPr>
            <w:r w:rsidRPr="009C1024">
              <w:t xml:space="preserve">by </w:t>
            </w:r>
            <w:r w:rsidR="006A6240" w:rsidRPr="009C1024">
              <w:t>24</w:t>
            </w:r>
            <w:r w:rsidR="001C7CB3" w:rsidRPr="009C1024">
              <w:rPr>
                <w:vertAlign w:val="superscript"/>
              </w:rPr>
              <w:t>th</w:t>
            </w:r>
            <w:r w:rsidR="001C7CB3" w:rsidRPr="009C1024">
              <w:t xml:space="preserve"> </w:t>
            </w:r>
            <w:r w:rsidR="006A6240" w:rsidRPr="009C1024">
              <w:t>February</w:t>
            </w:r>
          </w:p>
        </w:tc>
      </w:tr>
      <w:tr w:rsidR="00DF6854" w:rsidRPr="009C1024" w14:paraId="30688E38" w14:textId="77777777" w:rsidTr="00353E8E">
        <w:tc>
          <w:tcPr>
            <w:tcW w:w="4470" w:type="dxa"/>
            <w:tcMar>
              <w:top w:w="0" w:type="dxa"/>
              <w:left w:w="108" w:type="dxa"/>
              <w:bottom w:w="0" w:type="dxa"/>
              <w:right w:w="108" w:type="dxa"/>
            </w:tcMar>
            <w:vAlign w:val="center"/>
          </w:tcPr>
          <w:p w14:paraId="28826E78" w14:textId="77777777" w:rsidR="00DF6854" w:rsidRPr="009C1024" w:rsidRDefault="00DF6854" w:rsidP="00353E8E">
            <w:pPr>
              <w:spacing w:before="120" w:after="120"/>
            </w:pPr>
            <w:r w:rsidRPr="009C1024">
              <w:t>Project kick-off meeting</w:t>
            </w:r>
          </w:p>
        </w:tc>
        <w:tc>
          <w:tcPr>
            <w:tcW w:w="4319" w:type="dxa"/>
            <w:tcMar>
              <w:top w:w="0" w:type="dxa"/>
              <w:left w:w="108" w:type="dxa"/>
              <w:bottom w:w="0" w:type="dxa"/>
              <w:right w:w="108" w:type="dxa"/>
            </w:tcMar>
            <w:vAlign w:val="center"/>
          </w:tcPr>
          <w:p w14:paraId="2ED4AFC9" w14:textId="7FAC9C92" w:rsidR="00DF6854" w:rsidRPr="009C1024" w:rsidRDefault="00DF6854" w:rsidP="00353E8E">
            <w:pPr>
              <w:spacing w:before="120" w:after="120"/>
            </w:pPr>
            <w:r w:rsidRPr="009C1024">
              <w:t>w/c 2</w:t>
            </w:r>
            <w:r w:rsidR="006A6240" w:rsidRPr="009C1024">
              <w:t>7</w:t>
            </w:r>
            <w:r w:rsidR="001C7CB3" w:rsidRPr="009C1024">
              <w:rPr>
                <w:vertAlign w:val="superscript"/>
              </w:rPr>
              <w:t>th</w:t>
            </w:r>
            <w:r w:rsidRPr="009C1024">
              <w:t xml:space="preserve"> </w:t>
            </w:r>
            <w:r w:rsidR="006A6240" w:rsidRPr="009C1024">
              <w:t>February</w:t>
            </w:r>
          </w:p>
        </w:tc>
      </w:tr>
      <w:tr w:rsidR="00DF6854" w:rsidRPr="009C1024" w14:paraId="33B3B553" w14:textId="77777777" w:rsidTr="00353E8E">
        <w:tc>
          <w:tcPr>
            <w:tcW w:w="4470" w:type="dxa"/>
            <w:tcMar>
              <w:top w:w="0" w:type="dxa"/>
              <w:left w:w="108" w:type="dxa"/>
              <w:bottom w:w="0" w:type="dxa"/>
              <w:right w:w="108" w:type="dxa"/>
            </w:tcMar>
            <w:vAlign w:val="center"/>
          </w:tcPr>
          <w:p w14:paraId="3624D485" w14:textId="34A59820" w:rsidR="00DF6854" w:rsidRPr="009C1024" w:rsidRDefault="006A6240" w:rsidP="00353E8E">
            <w:pPr>
              <w:spacing w:before="120" w:after="120"/>
            </w:pPr>
            <w:r w:rsidRPr="009C1024">
              <w:t xml:space="preserve">Finalisation of </w:t>
            </w:r>
            <w:r w:rsidR="001C7CB3" w:rsidRPr="009C1024">
              <w:t>research methods and approach</w:t>
            </w:r>
            <w:r w:rsidR="00DF6854" w:rsidRPr="009C1024">
              <w:t xml:space="preserve"> </w:t>
            </w:r>
          </w:p>
        </w:tc>
        <w:tc>
          <w:tcPr>
            <w:tcW w:w="4319" w:type="dxa"/>
            <w:tcMar>
              <w:top w:w="0" w:type="dxa"/>
              <w:left w:w="108" w:type="dxa"/>
              <w:bottom w:w="0" w:type="dxa"/>
              <w:right w:w="108" w:type="dxa"/>
            </w:tcMar>
            <w:vAlign w:val="center"/>
          </w:tcPr>
          <w:p w14:paraId="3DF9D02A" w14:textId="28651170" w:rsidR="00DF6854" w:rsidRPr="009C1024" w:rsidRDefault="001C7CB3" w:rsidP="00353E8E">
            <w:pPr>
              <w:spacing w:before="120" w:after="120"/>
            </w:pPr>
            <w:r w:rsidRPr="009C1024">
              <w:t xml:space="preserve">By </w:t>
            </w:r>
            <w:r w:rsidR="009E4CC0">
              <w:t>13</w:t>
            </w:r>
            <w:r w:rsidRPr="009C1024">
              <w:rPr>
                <w:vertAlign w:val="superscript"/>
              </w:rPr>
              <w:t>th</w:t>
            </w:r>
            <w:r w:rsidRPr="009C1024">
              <w:t xml:space="preserve"> March</w:t>
            </w:r>
          </w:p>
        </w:tc>
      </w:tr>
      <w:tr w:rsidR="00DF6854" w:rsidRPr="009C1024" w14:paraId="37AB3DB3" w14:textId="77777777" w:rsidTr="00353E8E">
        <w:tc>
          <w:tcPr>
            <w:tcW w:w="4470" w:type="dxa"/>
            <w:tcMar>
              <w:top w:w="0" w:type="dxa"/>
              <w:left w:w="108" w:type="dxa"/>
              <w:bottom w:w="0" w:type="dxa"/>
              <w:right w:w="108" w:type="dxa"/>
            </w:tcMar>
            <w:vAlign w:val="center"/>
          </w:tcPr>
          <w:p w14:paraId="103FF15E" w14:textId="0C7FE0A8" w:rsidR="00DF6854" w:rsidRPr="009C1024" w:rsidRDefault="00BD0885" w:rsidP="00353E8E">
            <w:pPr>
              <w:spacing w:before="120" w:after="120"/>
            </w:pPr>
            <w:r w:rsidRPr="009C1024">
              <w:t>Begin fieldwork</w:t>
            </w:r>
          </w:p>
        </w:tc>
        <w:tc>
          <w:tcPr>
            <w:tcW w:w="4319" w:type="dxa"/>
            <w:tcMar>
              <w:top w:w="0" w:type="dxa"/>
              <w:left w:w="108" w:type="dxa"/>
              <w:bottom w:w="0" w:type="dxa"/>
              <w:right w:w="108" w:type="dxa"/>
            </w:tcMar>
            <w:vAlign w:val="center"/>
          </w:tcPr>
          <w:p w14:paraId="001B702E" w14:textId="00086D92" w:rsidR="00DF6854" w:rsidRPr="009C1024" w:rsidRDefault="00BD0885" w:rsidP="00353E8E">
            <w:pPr>
              <w:spacing w:before="120" w:after="120"/>
            </w:pPr>
            <w:r w:rsidRPr="009C1024">
              <w:t xml:space="preserve">w/c </w:t>
            </w:r>
            <w:r w:rsidR="009E4CC0">
              <w:t>13</w:t>
            </w:r>
            <w:r w:rsidRPr="009C1024">
              <w:rPr>
                <w:vertAlign w:val="superscript"/>
              </w:rPr>
              <w:t>th</w:t>
            </w:r>
            <w:r w:rsidRPr="009C1024">
              <w:t xml:space="preserve"> March</w:t>
            </w:r>
            <w:r w:rsidR="00827D27" w:rsidRPr="009C1024">
              <w:t xml:space="preserve"> </w:t>
            </w:r>
            <w:r w:rsidR="00085C81">
              <w:t>(continues until end June)</w:t>
            </w:r>
          </w:p>
        </w:tc>
      </w:tr>
      <w:tr w:rsidR="00BD0885" w:rsidRPr="009C1024" w14:paraId="734822F8" w14:textId="77777777" w:rsidTr="00353E8E">
        <w:tc>
          <w:tcPr>
            <w:tcW w:w="4470" w:type="dxa"/>
            <w:tcMar>
              <w:top w:w="0" w:type="dxa"/>
              <w:left w:w="108" w:type="dxa"/>
              <w:bottom w:w="0" w:type="dxa"/>
              <w:right w:w="108" w:type="dxa"/>
            </w:tcMar>
            <w:vAlign w:val="center"/>
          </w:tcPr>
          <w:p w14:paraId="150B1259" w14:textId="45BCA618" w:rsidR="00BD0885" w:rsidRPr="009C1024" w:rsidRDefault="00BD0885" w:rsidP="00353E8E">
            <w:pPr>
              <w:spacing w:before="120" w:after="120"/>
              <w:rPr>
                <w:b/>
                <w:bCs/>
              </w:rPr>
            </w:pPr>
            <w:r w:rsidRPr="009C1024">
              <w:rPr>
                <w:b/>
                <w:bCs/>
              </w:rPr>
              <w:t xml:space="preserve">Interim report on initial findings </w:t>
            </w:r>
          </w:p>
        </w:tc>
        <w:tc>
          <w:tcPr>
            <w:tcW w:w="4319" w:type="dxa"/>
            <w:tcMar>
              <w:top w:w="0" w:type="dxa"/>
              <w:left w:w="108" w:type="dxa"/>
              <w:bottom w:w="0" w:type="dxa"/>
              <w:right w:w="108" w:type="dxa"/>
            </w:tcMar>
            <w:vAlign w:val="center"/>
          </w:tcPr>
          <w:p w14:paraId="64CBA364" w14:textId="024895A0" w:rsidR="00BD0885" w:rsidRPr="009C1024" w:rsidRDefault="00820EC9" w:rsidP="00353E8E">
            <w:pPr>
              <w:spacing w:before="120" w:after="120"/>
              <w:rPr>
                <w:b/>
                <w:bCs/>
              </w:rPr>
            </w:pPr>
            <w:r w:rsidRPr="009C1024">
              <w:rPr>
                <w:b/>
                <w:bCs/>
              </w:rPr>
              <w:t xml:space="preserve">By </w:t>
            </w:r>
            <w:r w:rsidR="009E4CC0">
              <w:rPr>
                <w:b/>
                <w:bCs/>
              </w:rPr>
              <w:t>14</w:t>
            </w:r>
            <w:r w:rsidRPr="009C1024">
              <w:rPr>
                <w:b/>
                <w:bCs/>
                <w:vertAlign w:val="superscript"/>
              </w:rPr>
              <w:t>th</w:t>
            </w:r>
            <w:r w:rsidRPr="009C1024">
              <w:rPr>
                <w:b/>
                <w:bCs/>
              </w:rPr>
              <w:t xml:space="preserve"> April </w:t>
            </w:r>
          </w:p>
        </w:tc>
      </w:tr>
      <w:tr w:rsidR="00DF6854" w:rsidRPr="009C1024" w14:paraId="300F313C" w14:textId="77777777" w:rsidTr="00353E8E">
        <w:tc>
          <w:tcPr>
            <w:tcW w:w="4470" w:type="dxa"/>
            <w:tcMar>
              <w:top w:w="0" w:type="dxa"/>
              <w:left w:w="108" w:type="dxa"/>
              <w:bottom w:w="0" w:type="dxa"/>
              <w:right w:w="108" w:type="dxa"/>
            </w:tcMar>
            <w:vAlign w:val="center"/>
            <w:hideMark/>
          </w:tcPr>
          <w:p w14:paraId="7CE9D040" w14:textId="1E66BB1A" w:rsidR="00DF6854" w:rsidRPr="009C1024" w:rsidRDefault="00827D27" w:rsidP="00353E8E">
            <w:pPr>
              <w:spacing w:before="120" w:after="120"/>
            </w:pPr>
            <w:r w:rsidRPr="009C1024">
              <w:t>Final interviews post-pilot</w:t>
            </w:r>
          </w:p>
        </w:tc>
        <w:tc>
          <w:tcPr>
            <w:tcW w:w="4319" w:type="dxa"/>
            <w:tcMar>
              <w:top w:w="0" w:type="dxa"/>
              <w:left w:w="108" w:type="dxa"/>
              <w:bottom w:w="0" w:type="dxa"/>
              <w:right w:w="108" w:type="dxa"/>
            </w:tcMar>
            <w:vAlign w:val="center"/>
          </w:tcPr>
          <w:p w14:paraId="30E72F52" w14:textId="5076B502" w:rsidR="00DF6854" w:rsidRPr="009C1024" w:rsidRDefault="00811BF1" w:rsidP="00353E8E">
            <w:pPr>
              <w:spacing w:before="120" w:after="120"/>
            </w:pPr>
            <w:r w:rsidRPr="009C1024">
              <w:t>19</w:t>
            </w:r>
            <w:r w:rsidRPr="009C1024">
              <w:rPr>
                <w:vertAlign w:val="superscript"/>
              </w:rPr>
              <w:t>th</w:t>
            </w:r>
            <w:r w:rsidRPr="009C1024">
              <w:t xml:space="preserve"> – 30</w:t>
            </w:r>
            <w:r w:rsidRPr="009C1024">
              <w:rPr>
                <w:vertAlign w:val="superscript"/>
              </w:rPr>
              <w:t>th</w:t>
            </w:r>
            <w:r w:rsidRPr="009C1024">
              <w:t xml:space="preserve"> June </w:t>
            </w:r>
          </w:p>
        </w:tc>
      </w:tr>
      <w:tr w:rsidR="00DF6854" w:rsidRPr="009C1024" w14:paraId="4E638625" w14:textId="77777777" w:rsidTr="00353E8E">
        <w:tc>
          <w:tcPr>
            <w:tcW w:w="4470" w:type="dxa"/>
            <w:tcMar>
              <w:top w:w="0" w:type="dxa"/>
              <w:left w:w="108" w:type="dxa"/>
              <w:bottom w:w="0" w:type="dxa"/>
              <w:right w:w="108" w:type="dxa"/>
            </w:tcMar>
            <w:vAlign w:val="center"/>
          </w:tcPr>
          <w:p w14:paraId="51E09979" w14:textId="720A5880" w:rsidR="00DF6854" w:rsidRPr="009C1024" w:rsidRDefault="00811BF1" w:rsidP="00353E8E">
            <w:pPr>
              <w:spacing w:before="120" w:after="120"/>
              <w:rPr>
                <w:b/>
                <w:bCs/>
              </w:rPr>
            </w:pPr>
            <w:r w:rsidRPr="009C1024">
              <w:rPr>
                <w:b/>
                <w:bCs/>
              </w:rPr>
              <w:t>Submission of draft report and headline results</w:t>
            </w:r>
            <w:r w:rsidR="00DF6854" w:rsidRPr="009C1024">
              <w:rPr>
                <w:b/>
                <w:bCs/>
              </w:rPr>
              <w:t xml:space="preserve"> </w:t>
            </w:r>
          </w:p>
        </w:tc>
        <w:tc>
          <w:tcPr>
            <w:tcW w:w="4319" w:type="dxa"/>
            <w:tcMar>
              <w:top w:w="0" w:type="dxa"/>
              <w:left w:w="108" w:type="dxa"/>
              <w:bottom w:w="0" w:type="dxa"/>
              <w:right w:w="108" w:type="dxa"/>
            </w:tcMar>
            <w:vAlign w:val="center"/>
          </w:tcPr>
          <w:p w14:paraId="306C8628" w14:textId="77411499" w:rsidR="00DF6854" w:rsidRPr="009C1024" w:rsidRDefault="00811BF1" w:rsidP="00353E8E">
            <w:pPr>
              <w:spacing w:before="120" w:after="120"/>
              <w:rPr>
                <w:b/>
                <w:bCs/>
              </w:rPr>
            </w:pPr>
            <w:r w:rsidRPr="009C1024">
              <w:rPr>
                <w:b/>
                <w:bCs/>
              </w:rPr>
              <w:t xml:space="preserve">w/c </w:t>
            </w:r>
            <w:r w:rsidR="00726819" w:rsidRPr="009C1024">
              <w:rPr>
                <w:b/>
                <w:bCs/>
              </w:rPr>
              <w:t>10</w:t>
            </w:r>
            <w:r w:rsidR="00726819" w:rsidRPr="009C1024">
              <w:rPr>
                <w:b/>
                <w:bCs/>
                <w:vertAlign w:val="superscript"/>
              </w:rPr>
              <w:t>th</w:t>
            </w:r>
            <w:r w:rsidR="00726819" w:rsidRPr="009C1024">
              <w:rPr>
                <w:b/>
                <w:bCs/>
              </w:rPr>
              <w:t xml:space="preserve"> July</w:t>
            </w:r>
          </w:p>
        </w:tc>
      </w:tr>
      <w:tr w:rsidR="00DF6854" w:rsidRPr="009C1024" w14:paraId="13849841" w14:textId="77777777" w:rsidTr="00353E8E">
        <w:tc>
          <w:tcPr>
            <w:tcW w:w="4470" w:type="dxa"/>
            <w:tcMar>
              <w:top w:w="0" w:type="dxa"/>
              <w:left w:w="108" w:type="dxa"/>
              <w:bottom w:w="0" w:type="dxa"/>
              <w:right w:w="108" w:type="dxa"/>
            </w:tcMar>
            <w:vAlign w:val="center"/>
          </w:tcPr>
          <w:p w14:paraId="3E706127" w14:textId="77777777" w:rsidR="00DF6854" w:rsidRPr="009C1024" w:rsidRDefault="00DF6854" w:rsidP="00353E8E">
            <w:pPr>
              <w:spacing w:before="120" w:after="120"/>
              <w:rPr>
                <w:b/>
                <w:bCs/>
              </w:rPr>
            </w:pPr>
            <w:r w:rsidRPr="009C1024">
              <w:rPr>
                <w:b/>
                <w:bCs/>
              </w:rPr>
              <w:t>Submission of final report</w:t>
            </w:r>
          </w:p>
        </w:tc>
        <w:tc>
          <w:tcPr>
            <w:tcW w:w="4319" w:type="dxa"/>
            <w:tcMar>
              <w:top w:w="0" w:type="dxa"/>
              <w:left w:w="108" w:type="dxa"/>
              <w:bottom w:w="0" w:type="dxa"/>
              <w:right w:w="108" w:type="dxa"/>
            </w:tcMar>
            <w:vAlign w:val="center"/>
          </w:tcPr>
          <w:p w14:paraId="784BEB08" w14:textId="0F3BC3F4" w:rsidR="00DF6854" w:rsidRPr="009C1024" w:rsidRDefault="009C1024" w:rsidP="00353E8E">
            <w:pPr>
              <w:spacing w:before="120" w:after="120"/>
              <w:rPr>
                <w:b/>
                <w:bCs/>
              </w:rPr>
            </w:pPr>
            <w:r w:rsidRPr="009C1024">
              <w:rPr>
                <w:b/>
                <w:bCs/>
              </w:rPr>
              <w:t>w/c 24</w:t>
            </w:r>
            <w:r w:rsidRPr="009C1024">
              <w:rPr>
                <w:b/>
                <w:bCs/>
                <w:vertAlign w:val="superscript"/>
              </w:rPr>
              <w:t>th</w:t>
            </w:r>
            <w:r w:rsidRPr="009C1024">
              <w:rPr>
                <w:b/>
                <w:bCs/>
              </w:rPr>
              <w:t xml:space="preserve"> July</w:t>
            </w:r>
          </w:p>
        </w:tc>
      </w:tr>
    </w:tbl>
    <w:p w14:paraId="540544B2" w14:textId="77777777" w:rsidR="00DF6854" w:rsidRPr="009C1024" w:rsidRDefault="00DF6854" w:rsidP="00DF6854"/>
    <w:p w14:paraId="21765135" w14:textId="661D0770" w:rsidR="00C8289A" w:rsidRPr="00605573" w:rsidRDefault="00DF6854" w:rsidP="00605573">
      <w:pPr>
        <w:spacing w:line="276" w:lineRule="auto"/>
        <w:jc w:val="both"/>
      </w:pPr>
      <w:r w:rsidRPr="009C1024">
        <w:t>The above timetable is indicative only and subject to variation by the Council. Providers will be informed of any significant changes.</w:t>
      </w:r>
    </w:p>
    <w:p w14:paraId="5316341F" w14:textId="4437812D" w:rsidR="00C8289A" w:rsidRPr="007B0AC7" w:rsidRDefault="00BB1CBA" w:rsidP="00C8289A">
      <w:pPr>
        <w:pStyle w:val="paragraph"/>
        <w:spacing w:before="0" w:beforeAutospacing="0" w:after="0" w:afterAutospacing="0"/>
        <w:textAlignment w:val="baseline"/>
        <w:rPr>
          <w:rFonts w:ascii="Calibri" w:hAnsi="Calibri" w:cs="Calibri"/>
          <w:b/>
          <w:bCs/>
          <w:color w:val="ED1080"/>
        </w:rPr>
      </w:pPr>
      <w:r>
        <w:rPr>
          <w:rStyle w:val="normaltextrun"/>
          <w:rFonts w:ascii="Calibri" w:hAnsi="Calibri" w:cs="Calibri"/>
          <w:b/>
          <w:bCs/>
          <w:color w:val="ED1080"/>
          <w:sz w:val="36"/>
          <w:szCs w:val="36"/>
        </w:rPr>
        <w:t>What are we</w:t>
      </w:r>
      <w:r w:rsidR="00C8289A" w:rsidRPr="007B0AC7">
        <w:rPr>
          <w:rStyle w:val="normaltextrun"/>
          <w:rFonts w:ascii="Calibri" w:hAnsi="Calibri" w:cs="Calibri"/>
          <w:b/>
          <w:bCs/>
          <w:color w:val="ED1080"/>
          <w:sz w:val="36"/>
          <w:szCs w:val="36"/>
        </w:rPr>
        <w:t xml:space="preserve"> looking </w:t>
      </w:r>
      <w:proofErr w:type="gramStart"/>
      <w:r w:rsidR="00C8289A" w:rsidRPr="007B0AC7">
        <w:rPr>
          <w:rStyle w:val="normaltextrun"/>
          <w:rFonts w:ascii="Calibri" w:hAnsi="Calibri" w:cs="Calibri"/>
          <w:b/>
          <w:bCs/>
          <w:color w:val="ED1080"/>
          <w:sz w:val="36"/>
          <w:szCs w:val="36"/>
        </w:rPr>
        <w:t>for</w:t>
      </w:r>
      <w:proofErr w:type="gramEnd"/>
      <w:r w:rsidR="00C8289A" w:rsidRPr="007B0AC7">
        <w:rPr>
          <w:rStyle w:val="eop"/>
          <w:rFonts w:ascii="Calibri" w:hAnsi="Calibri" w:cs="Calibri"/>
          <w:b/>
          <w:bCs/>
          <w:color w:val="ED1080"/>
          <w:sz w:val="36"/>
          <w:szCs w:val="36"/>
        </w:rPr>
        <w:t> </w:t>
      </w:r>
    </w:p>
    <w:p w14:paraId="3F14F106" w14:textId="77777777" w:rsidR="00F4180D" w:rsidRDefault="00C8289A" w:rsidP="00F4180D">
      <w:pPr>
        <w:pStyle w:val="paragraph"/>
        <w:spacing w:before="0" w:beforeAutospacing="0" w:after="0" w:afterAutospacing="0"/>
        <w:jc w:val="both"/>
        <w:textAlignment w:val="baseline"/>
        <w:rPr>
          <w:rStyle w:val="normaltextrun"/>
          <w:rFonts w:ascii="Calibri" w:hAnsi="Calibri" w:cs="Calibri"/>
          <w:sz w:val="22"/>
          <w:szCs w:val="22"/>
        </w:rPr>
      </w:pPr>
      <w:r w:rsidRPr="009C1024">
        <w:rPr>
          <w:rStyle w:val="normaltextrun"/>
          <w:rFonts w:ascii="Calibri" w:hAnsi="Calibri" w:cs="Calibri"/>
          <w:sz w:val="22"/>
          <w:szCs w:val="22"/>
        </w:rPr>
        <w:t xml:space="preserve">We are looking for an organisation with extensive evaluation experience, preferably one that has experience working </w:t>
      </w:r>
      <w:r w:rsidR="000E50FD" w:rsidRPr="009C1024">
        <w:rPr>
          <w:rStyle w:val="normaltextrun"/>
          <w:rFonts w:ascii="Calibri" w:hAnsi="Calibri" w:cs="Calibri"/>
          <w:sz w:val="22"/>
          <w:szCs w:val="22"/>
        </w:rPr>
        <w:t xml:space="preserve">on Community Safety and crime, </w:t>
      </w:r>
      <w:r w:rsidRPr="009C1024">
        <w:rPr>
          <w:rStyle w:val="normaltextrun"/>
          <w:rFonts w:ascii="Calibri" w:hAnsi="Calibri" w:cs="Calibri"/>
          <w:sz w:val="22"/>
          <w:szCs w:val="22"/>
        </w:rPr>
        <w:t xml:space="preserve">in a similar context </w:t>
      </w:r>
      <w:r w:rsidR="00B02C6A" w:rsidRPr="009C1024">
        <w:rPr>
          <w:rStyle w:val="normaltextrun"/>
          <w:rFonts w:ascii="Calibri" w:hAnsi="Calibri" w:cs="Calibri"/>
          <w:sz w:val="22"/>
          <w:szCs w:val="22"/>
        </w:rPr>
        <w:t>and</w:t>
      </w:r>
      <w:r w:rsidR="00FB30A3">
        <w:rPr>
          <w:rStyle w:val="normaltextrun"/>
          <w:rFonts w:ascii="Calibri" w:hAnsi="Calibri" w:cs="Calibri"/>
          <w:sz w:val="22"/>
          <w:szCs w:val="22"/>
        </w:rPr>
        <w:t xml:space="preserve"> with knowledge of</w:t>
      </w:r>
      <w:r w:rsidRPr="009C1024">
        <w:rPr>
          <w:rStyle w:val="normaltextrun"/>
          <w:rFonts w:ascii="Calibri" w:hAnsi="Calibri" w:cs="Calibri"/>
          <w:sz w:val="22"/>
          <w:szCs w:val="22"/>
        </w:rPr>
        <w:t xml:space="preserve"> Waltham Forest. </w:t>
      </w:r>
    </w:p>
    <w:p w14:paraId="44B41875" w14:textId="77777777" w:rsidR="00F4180D" w:rsidRDefault="00F4180D" w:rsidP="00F4180D">
      <w:pPr>
        <w:pStyle w:val="paragraph"/>
        <w:spacing w:before="0" w:beforeAutospacing="0" w:after="0" w:afterAutospacing="0"/>
        <w:jc w:val="both"/>
        <w:textAlignment w:val="baseline"/>
        <w:rPr>
          <w:rStyle w:val="normaltextrun"/>
          <w:rFonts w:ascii="Calibri" w:hAnsi="Calibri" w:cs="Calibri"/>
          <w:sz w:val="22"/>
          <w:szCs w:val="22"/>
        </w:rPr>
      </w:pPr>
    </w:p>
    <w:p w14:paraId="081002D3" w14:textId="77777777" w:rsidR="001C15B8" w:rsidRPr="009001AF" w:rsidRDefault="001C15B8" w:rsidP="001C15B8">
      <w:pPr>
        <w:pStyle w:val="paragraph"/>
        <w:spacing w:before="0" w:beforeAutospacing="0" w:after="0" w:afterAutospacing="0"/>
        <w:jc w:val="both"/>
        <w:textAlignment w:val="baseline"/>
        <w:rPr>
          <w:rStyle w:val="eop"/>
          <w:rFonts w:ascii="Calibri" w:hAnsi="Calibri" w:cs="Calibri"/>
          <w:sz w:val="22"/>
          <w:szCs w:val="22"/>
        </w:rPr>
      </w:pPr>
      <w:r w:rsidRPr="00D32CC6">
        <w:rPr>
          <w:rStyle w:val="normaltextrun"/>
          <w:rFonts w:ascii="Calibri" w:hAnsi="Calibri" w:cs="Calibri"/>
          <w:sz w:val="22"/>
          <w:szCs w:val="22"/>
        </w:rPr>
        <w:t xml:space="preserve">We welcome submissions that clearly </w:t>
      </w:r>
      <w:r>
        <w:rPr>
          <w:rStyle w:val="normaltextrun"/>
          <w:rFonts w:ascii="Calibri" w:hAnsi="Calibri" w:cs="Calibri"/>
          <w:sz w:val="22"/>
          <w:szCs w:val="22"/>
        </w:rPr>
        <w:t xml:space="preserve">propose and </w:t>
      </w:r>
      <w:r w:rsidRPr="00D32CC6">
        <w:rPr>
          <w:rStyle w:val="normaltextrun"/>
          <w:rFonts w:ascii="Calibri" w:hAnsi="Calibri" w:cs="Calibri"/>
          <w:sz w:val="22"/>
          <w:szCs w:val="22"/>
        </w:rPr>
        <w:t>demonstrate a methodology</w:t>
      </w:r>
      <w:r>
        <w:rPr>
          <w:rStyle w:val="normaltextrun"/>
          <w:rFonts w:ascii="Calibri" w:hAnsi="Calibri" w:cs="Calibri"/>
          <w:sz w:val="22"/>
          <w:szCs w:val="22"/>
        </w:rPr>
        <w:t xml:space="preserve"> and </w:t>
      </w:r>
      <w:r w:rsidRPr="00D32CC6">
        <w:rPr>
          <w:rStyle w:val="normaltextrun"/>
          <w:rFonts w:ascii="Calibri" w:hAnsi="Calibri" w:cs="Calibri"/>
          <w:sz w:val="22"/>
          <w:szCs w:val="22"/>
        </w:rPr>
        <w:t xml:space="preserve">approach </w:t>
      </w:r>
      <w:r>
        <w:rPr>
          <w:rStyle w:val="normaltextrun"/>
          <w:rFonts w:ascii="Calibri" w:hAnsi="Calibri" w:cs="Calibri"/>
          <w:sz w:val="22"/>
          <w:szCs w:val="22"/>
        </w:rPr>
        <w:t>that</w:t>
      </w:r>
      <w:r w:rsidRPr="00D32CC6">
        <w:rPr>
          <w:rStyle w:val="normaltextrun"/>
          <w:rFonts w:ascii="Calibri" w:hAnsi="Calibri" w:cs="Calibri"/>
          <w:sz w:val="22"/>
          <w:szCs w:val="22"/>
        </w:rPr>
        <w:t xml:space="preserve"> will achieve </w:t>
      </w:r>
      <w:r>
        <w:rPr>
          <w:rStyle w:val="normaltextrun"/>
          <w:rFonts w:ascii="Calibri" w:hAnsi="Calibri" w:cs="Calibri"/>
          <w:sz w:val="22"/>
          <w:szCs w:val="22"/>
        </w:rPr>
        <w:t>the objectives</w:t>
      </w:r>
      <w:r w:rsidRPr="00D32CC6">
        <w:rPr>
          <w:rStyle w:val="normaltextrun"/>
          <w:rFonts w:ascii="Calibri" w:hAnsi="Calibri" w:cs="Calibri"/>
          <w:sz w:val="22"/>
          <w:szCs w:val="22"/>
        </w:rPr>
        <w:t xml:space="preserve"> </w:t>
      </w:r>
      <w:r>
        <w:rPr>
          <w:rStyle w:val="normaltextrun"/>
          <w:rFonts w:ascii="Calibri" w:hAnsi="Calibri" w:cs="Calibri"/>
          <w:sz w:val="22"/>
          <w:szCs w:val="22"/>
        </w:rPr>
        <w:t xml:space="preserve">above </w:t>
      </w:r>
      <w:r w:rsidRPr="00D32CC6">
        <w:rPr>
          <w:rStyle w:val="normaltextrun"/>
          <w:rFonts w:ascii="Calibri" w:hAnsi="Calibri" w:cs="Calibri"/>
          <w:sz w:val="22"/>
          <w:szCs w:val="22"/>
        </w:rPr>
        <w:t xml:space="preserve">and help </w:t>
      </w:r>
      <w:r>
        <w:rPr>
          <w:rStyle w:val="normaltextrun"/>
          <w:rFonts w:ascii="Calibri" w:hAnsi="Calibri" w:cs="Calibri"/>
          <w:sz w:val="22"/>
          <w:szCs w:val="22"/>
        </w:rPr>
        <w:t xml:space="preserve">key stakeholders to </w:t>
      </w:r>
      <w:r w:rsidRPr="00D32CC6">
        <w:rPr>
          <w:rStyle w:val="normaltextrun"/>
          <w:rFonts w:ascii="Calibri" w:hAnsi="Calibri" w:cs="Calibri"/>
          <w:sz w:val="22"/>
          <w:szCs w:val="22"/>
        </w:rPr>
        <w:t xml:space="preserve">understand the impact of the </w:t>
      </w:r>
      <w:r>
        <w:rPr>
          <w:rStyle w:val="normaltextrun"/>
          <w:rFonts w:ascii="Calibri" w:hAnsi="Calibri" w:cs="Calibri"/>
          <w:sz w:val="22"/>
          <w:szCs w:val="22"/>
        </w:rPr>
        <w:t>pilot</w:t>
      </w:r>
      <w:r w:rsidRPr="00D32CC6">
        <w:rPr>
          <w:rStyle w:val="normaltextrun"/>
          <w:rFonts w:ascii="Calibri" w:hAnsi="Calibri" w:cs="Calibri"/>
          <w:sz w:val="22"/>
          <w:szCs w:val="22"/>
        </w:rPr>
        <w:t>.</w:t>
      </w:r>
      <w:r w:rsidRPr="003D130D">
        <w:rPr>
          <w:rStyle w:val="eop"/>
          <w:rFonts w:ascii="Calibri" w:hAnsi="Calibri" w:cs="Calibri"/>
          <w:sz w:val="22"/>
          <w:szCs w:val="22"/>
        </w:rPr>
        <w:t> </w:t>
      </w:r>
      <w:r w:rsidRPr="003D130D">
        <w:rPr>
          <w:rStyle w:val="normaltextrun"/>
          <w:rFonts w:ascii="Calibri" w:hAnsi="Calibri" w:cs="Calibri"/>
          <w:sz w:val="22"/>
          <w:szCs w:val="22"/>
        </w:rPr>
        <w:t xml:space="preserve">We </w:t>
      </w:r>
      <w:r>
        <w:rPr>
          <w:rStyle w:val="normaltextrun"/>
          <w:rFonts w:ascii="Calibri" w:hAnsi="Calibri" w:cs="Calibri"/>
          <w:sz w:val="22"/>
          <w:szCs w:val="22"/>
        </w:rPr>
        <w:t xml:space="preserve">would welcome proposals </w:t>
      </w:r>
      <w:r w:rsidRPr="009001AF">
        <w:rPr>
          <w:rStyle w:val="normaltextrun"/>
          <w:rFonts w:ascii="Calibri" w:hAnsi="Calibri" w:cs="Calibri"/>
          <w:sz w:val="22"/>
          <w:szCs w:val="22"/>
        </w:rPr>
        <w:t>which may consist of the following activity:</w:t>
      </w:r>
      <w:r w:rsidRPr="009001AF">
        <w:rPr>
          <w:rStyle w:val="eop"/>
          <w:rFonts w:ascii="Calibri" w:hAnsi="Calibri" w:cs="Calibri"/>
          <w:sz w:val="22"/>
          <w:szCs w:val="22"/>
        </w:rPr>
        <w:t> </w:t>
      </w:r>
    </w:p>
    <w:p w14:paraId="69491771" w14:textId="77777777" w:rsidR="001C15B8" w:rsidRPr="009001AF" w:rsidRDefault="001C15B8" w:rsidP="001C15B8">
      <w:pPr>
        <w:pStyle w:val="paragraph"/>
        <w:numPr>
          <w:ilvl w:val="0"/>
          <w:numId w:val="10"/>
        </w:numPr>
        <w:spacing w:before="0" w:beforeAutospacing="0" w:after="0" w:afterAutospacing="0"/>
        <w:ind w:left="360"/>
        <w:jc w:val="both"/>
        <w:textAlignment w:val="baseline"/>
        <w:rPr>
          <w:rStyle w:val="eop"/>
          <w:rFonts w:ascii="Calibri" w:hAnsi="Calibri" w:cs="Calibri"/>
          <w:sz w:val="22"/>
          <w:szCs w:val="22"/>
        </w:rPr>
      </w:pPr>
      <w:r w:rsidRPr="009001AF">
        <w:rPr>
          <w:rStyle w:val="eop"/>
          <w:rFonts w:ascii="Calibri" w:hAnsi="Calibri" w:cs="Calibri"/>
          <w:sz w:val="22"/>
          <w:szCs w:val="22"/>
        </w:rPr>
        <w:t>Interviews with relevant stakeholders at start, during and at end of pilots</w:t>
      </w:r>
    </w:p>
    <w:p w14:paraId="34152C22" w14:textId="77777777" w:rsidR="001C15B8" w:rsidRPr="009001AF" w:rsidRDefault="001C15B8" w:rsidP="001C15B8">
      <w:pPr>
        <w:pStyle w:val="paragraph"/>
        <w:numPr>
          <w:ilvl w:val="0"/>
          <w:numId w:val="10"/>
        </w:numPr>
        <w:spacing w:before="0" w:beforeAutospacing="0" w:after="0" w:afterAutospacing="0"/>
        <w:ind w:left="360"/>
        <w:jc w:val="both"/>
        <w:textAlignment w:val="baseline"/>
        <w:rPr>
          <w:rStyle w:val="eop"/>
          <w:rFonts w:ascii="Calibri" w:hAnsi="Calibri" w:cs="Calibri"/>
          <w:sz w:val="22"/>
          <w:szCs w:val="22"/>
        </w:rPr>
      </w:pPr>
      <w:r w:rsidRPr="009001AF">
        <w:rPr>
          <w:rStyle w:val="eop"/>
          <w:rFonts w:ascii="Calibri" w:hAnsi="Calibri" w:cs="Calibri"/>
          <w:sz w:val="22"/>
          <w:szCs w:val="22"/>
        </w:rPr>
        <w:t>Focus groups with stakeholders and lessons learned sessions</w:t>
      </w:r>
    </w:p>
    <w:p w14:paraId="2B4AE547" w14:textId="210F31B0" w:rsidR="001C15B8" w:rsidRPr="009001AF" w:rsidRDefault="001C15B8" w:rsidP="001C15B8">
      <w:pPr>
        <w:pStyle w:val="paragraph"/>
        <w:numPr>
          <w:ilvl w:val="0"/>
          <w:numId w:val="10"/>
        </w:numPr>
        <w:spacing w:before="0" w:beforeAutospacing="0" w:after="0" w:afterAutospacing="0"/>
        <w:ind w:left="360"/>
        <w:jc w:val="both"/>
        <w:textAlignment w:val="baseline"/>
        <w:rPr>
          <w:rStyle w:val="eop"/>
          <w:rFonts w:ascii="Calibri" w:hAnsi="Calibri" w:cs="Calibri"/>
          <w:sz w:val="22"/>
          <w:szCs w:val="22"/>
        </w:rPr>
      </w:pPr>
      <w:r>
        <w:rPr>
          <w:rStyle w:val="eop"/>
          <w:rFonts w:ascii="Calibri" w:hAnsi="Calibri" w:cs="Calibri"/>
          <w:sz w:val="22"/>
          <w:szCs w:val="22"/>
        </w:rPr>
        <w:t>Walking</w:t>
      </w:r>
      <w:r w:rsidRPr="009001AF">
        <w:rPr>
          <w:rStyle w:val="eop"/>
          <w:rFonts w:ascii="Calibri" w:hAnsi="Calibri" w:cs="Calibri"/>
          <w:sz w:val="22"/>
          <w:szCs w:val="22"/>
        </w:rPr>
        <w:t xml:space="preserve"> ethnographi</w:t>
      </w:r>
      <w:r>
        <w:rPr>
          <w:rStyle w:val="eop"/>
          <w:rFonts w:ascii="Calibri" w:hAnsi="Calibri" w:cs="Calibri"/>
          <w:sz w:val="22"/>
          <w:szCs w:val="22"/>
        </w:rPr>
        <w:t>es or the use of other ethnographic methods</w:t>
      </w:r>
      <w:r w:rsidRPr="009001AF">
        <w:rPr>
          <w:rStyle w:val="eop"/>
          <w:rFonts w:ascii="Calibri" w:hAnsi="Calibri" w:cs="Calibri"/>
          <w:sz w:val="22"/>
          <w:szCs w:val="22"/>
        </w:rPr>
        <w:t xml:space="preserve"> to </w:t>
      </w:r>
      <w:r>
        <w:rPr>
          <w:rStyle w:val="eop"/>
          <w:rFonts w:ascii="Calibri" w:hAnsi="Calibri" w:cs="Calibri"/>
          <w:sz w:val="22"/>
          <w:szCs w:val="22"/>
        </w:rPr>
        <w:t>research</w:t>
      </w:r>
      <w:r w:rsidRPr="009001AF">
        <w:rPr>
          <w:rStyle w:val="eop"/>
          <w:rFonts w:ascii="Calibri" w:hAnsi="Calibri" w:cs="Calibri"/>
          <w:sz w:val="22"/>
          <w:szCs w:val="22"/>
        </w:rPr>
        <w:t xml:space="preserve"> the experience of groups in the pilot areas </w:t>
      </w:r>
      <w:r>
        <w:rPr>
          <w:rStyle w:val="eop"/>
          <w:rFonts w:ascii="Calibri" w:hAnsi="Calibri" w:cs="Calibri"/>
          <w:sz w:val="22"/>
          <w:szCs w:val="22"/>
        </w:rPr>
        <w:t xml:space="preserve">in comparison with </w:t>
      </w:r>
      <w:r w:rsidRPr="009001AF">
        <w:rPr>
          <w:rStyle w:val="eop"/>
          <w:rFonts w:ascii="Calibri" w:hAnsi="Calibri" w:cs="Calibri"/>
          <w:sz w:val="22"/>
          <w:szCs w:val="22"/>
        </w:rPr>
        <w:t>the rest of the borough</w:t>
      </w:r>
    </w:p>
    <w:p w14:paraId="734A8EDC" w14:textId="77777777" w:rsidR="001C15B8" w:rsidRPr="009001AF" w:rsidRDefault="001C15B8" w:rsidP="001C15B8">
      <w:pPr>
        <w:pStyle w:val="paragraph"/>
        <w:numPr>
          <w:ilvl w:val="0"/>
          <w:numId w:val="10"/>
        </w:numPr>
        <w:spacing w:before="0" w:beforeAutospacing="0" w:after="0" w:afterAutospacing="0"/>
        <w:ind w:left="360"/>
        <w:jc w:val="both"/>
        <w:textAlignment w:val="baseline"/>
        <w:rPr>
          <w:rStyle w:val="eop"/>
          <w:rFonts w:ascii="Calibri" w:hAnsi="Calibri" w:cs="Calibri"/>
          <w:sz w:val="22"/>
          <w:szCs w:val="22"/>
        </w:rPr>
      </w:pPr>
      <w:r w:rsidRPr="009001AF">
        <w:rPr>
          <w:rStyle w:val="eop"/>
          <w:rFonts w:ascii="Calibri" w:hAnsi="Calibri" w:cs="Calibri"/>
          <w:sz w:val="22"/>
          <w:szCs w:val="22"/>
        </w:rPr>
        <w:t>Cases studies and other data collection methods</w:t>
      </w:r>
    </w:p>
    <w:p w14:paraId="7A17D3FC" w14:textId="694DF0D2" w:rsidR="00605573" w:rsidRPr="00605573" w:rsidRDefault="00605573" w:rsidP="00F4180D">
      <w:pPr>
        <w:pStyle w:val="paragraph"/>
        <w:spacing w:before="0" w:beforeAutospacing="0" w:after="0" w:afterAutospacing="0"/>
        <w:jc w:val="both"/>
        <w:textAlignment w:val="baseline"/>
        <w:rPr>
          <w:rFonts w:ascii="Calibri" w:hAnsi="Calibri" w:cs="Calibri"/>
          <w:sz w:val="22"/>
          <w:szCs w:val="22"/>
        </w:rPr>
      </w:pPr>
    </w:p>
    <w:p w14:paraId="241E82B0" w14:textId="23018ADC" w:rsidR="00457B6B" w:rsidRPr="00457B6B" w:rsidRDefault="009375FB" w:rsidP="00A341EA">
      <w:pPr>
        <w:pStyle w:val="paragraph"/>
        <w:spacing w:before="0" w:beforeAutospacing="0" w:after="0" w:afterAutospacing="0"/>
        <w:textAlignment w:val="baseline"/>
        <w:rPr>
          <w:rStyle w:val="normaltextrun"/>
          <w:rFonts w:ascii="Calibri" w:hAnsi="Calibri" w:cs="Calibri"/>
          <w:b/>
          <w:bCs/>
          <w:color w:val="ED1080"/>
          <w:sz w:val="36"/>
          <w:szCs w:val="36"/>
        </w:rPr>
      </w:pPr>
      <w:r w:rsidRPr="007B0AC7">
        <w:rPr>
          <w:rStyle w:val="normaltextrun"/>
          <w:rFonts w:ascii="Calibri" w:hAnsi="Calibri" w:cs="Calibri"/>
          <w:b/>
          <w:bCs/>
          <w:color w:val="ED1080"/>
          <w:sz w:val="36"/>
          <w:szCs w:val="36"/>
        </w:rPr>
        <w:t>Evaluation Criteria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389"/>
        <w:gridCol w:w="5812"/>
        <w:gridCol w:w="1275"/>
      </w:tblGrid>
      <w:tr w:rsidR="00ED30AE" w:rsidRPr="00ED30AE" w14:paraId="77CEE3E3" w14:textId="77777777" w:rsidTr="00504B00">
        <w:tc>
          <w:tcPr>
            <w:tcW w:w="1271" w:type="dxa"/>
            <w:shd w:val="clear" w:color="auto" w:fill="D9D9D9" w:themeFill="background1" w:themeFillShade="D9"/>
          </w:tcPr>
          <w:p w14:paraId="4E517206" w14:textId="77777777" w:rsidR="003B0E96" w:rsidRPr="00504B00" w:rsidRDefault="003B0E96" w:rsidP="00353E8E">
            <w:pPr>
              <w:rPr>
                <w:b/>
              </w:rPr>
            </w:pPr>
            <w:r w:rsidRPr="00504B00">
              <w:rPr>
                <w:b/>
              </w:rPr>
              <w:t>Evaluation criteria</w:t>
            </w:r>
          </w:p>
        </w:tc>
        <w:tc>
          <w:tcPr>
            <w:tcW w:w="1389" w:type="dxa"/>
            <w:shd w:val="clear" w:color="auto" w:fill="D9D9D9" w:themeFill="background1" w:themeFillShade="D9"/>
          </w:tcPr>
          <w:p w14:paraId="25902F44" w14:textId="77777777" w:rsidR="003B0E96" w:rsidRPr="00504B00" w:rsidRDefault="003B0E96" w:rsidP="00353E8E">
            <w:pPr>
              <w:jc w:val="center"/>
              <w:rPr>
                <w:b/>
              </w:rPr>
            </w:pPr>
            <w:r w:rsidRPr="00504B00">
              <w:rPr>
                <w:b/>
              </w:rPr>
              <w:t>Criteria weighting %</w:t>
            </w:r>
          </w:p>
        </w:tc>
        <w:tc>
          <w:tcPr>
            <w:tcW w:w="5812" w:type="dxa"/>
            <w:shd w:val="clear" w:color="auto" w:fill="D9D9D9" w:themeFill="background1" w:themeFillShade="D9"/>
          </w:tcPr>
          <w:p w14:paraId="27720A70" w14:textId="77777777" w:rsidR="003B0E96" w:rsidRPr="00504B00" w:rsidRDefault="003B0E96" w:rsidP="00353E8E">
            <w:pPr>
              <w:jc w:val="center"/>
              <w:rPr>
                <w:b/>
              </w:rPr>
            </w:pPr>
            <w:r w:rsidRPr="00504B00">
              <w:rPr>
                <w:b/>
              </w:rPr>
              <w:t xml:space="preserve">Sub-criteria </w:t>
            </w:r>
          </w:p>
        </w:tc>
        <w:tc>
          <w:tcPr>
            <w:tcW w:w="1275" w:type="dxa"/>
            <w:shd w:val="clear" w:color="auto" w:fill="D9D9D9" w:themeFill="background1" w:themeFillShade="D9"/>
          </w:tcPr>
          <w:p w14:paraId="5D073025" w14:textId="77777777" w:rsidR="003B0E96" w:rsidRPr="00504B00" w:rsidRDefault="003B0E96" w:rsidP="00353E8E">
            <w:pPr>
              <w:jc w:val="center"/>
              <w:rPr>
                <w:b/>
              </w:rPr>
            </w:pPr>
            <w:r w:rsidRPr="00504B00">
              <w:rPr>
                <w:b/>
              </w:rPr>
              <w:t xml:space="preserve">Sub-criteria weighting </w:t>
            </w:r>
          </w:p>
        </w:tc>
      </w:tr>
      <w:tr w:rsidR="00ED30AE" w:rsidRPr="00ED30AE" w14:paraId="14998FB3" w14:textId="77777777" w:rsidTr="00504B00">
        <w:tc>
          <w:tcPr>
            <w:tcW w:w="1271" w:type="dxa"/>
            <w:vMerge w:val="restart"/>
            <w:shd w:val="clear" w:color="auto" w:fill="auto"/>
            <w:vAlign w:val="center"/>
          </w:tcPr>
          <w:p w14:paraId="5709839C" w14:textId="77777777" w:rsidR="003B0E96" w:rsidRPr="00504B00" w:rsidRDefault="003B0E96" w:rsidP="00353E8E">
            <w:pPr>
              <w:rPr>
                <w:b/>
              </w:rPr>
            </w:pPr>
            <w:r w:rsidRPr="00504B00">
              <w:rPr>
                <w:b/>
              </w:rPr>
              <w:t>Quality</w:t>
            </w:r>
          </w:p>
        </w:tc>
        <w:tc>
          <w:tcPr>
            <w:tcW w:w="1389" w:type="dxa"/>
            <w:vMerge w:val="restart"/>
            <w:shd w:val="clear" w:color="auto" w:fill="auto"/>
            <w:vAlign w:val="center"/>
          </w:tcPr>
          <w:p w14:paraId="230AD329" w14:textId="086FC8C3" w:rsidR="003B0E96" w:rsidRPr="00504B00" w:rsidRDefault="00504B00" w:rsidP="00353E8E">
            <w:pPr>
              <w:jc w:val="center"/>
              <w:rPr>
                <w:b/>
              </w:rPr>
            </w:pPr>
            <w:r w:rsidRPr="00504B00">
              <w:rPr>
                <w:b/>
              </w:rPr>
              <w:t>7</w:t>
            </w:r>
            <w:r w:rsidR="003B0E96" w:rsidRPr="00504B00">
              <w:rPr>
                <w:b/>
              </w:rPr>
              <w:t>0%</w:t>
            </w:r>
          </w:p>
        </w:tc>
        <w:tc>
          <w:tcPr>
            <w:tcW w:w="5812" w:type="dxa"/>
            <w:shd w:val="clear" w:color="auto" w:fill="auto"/>
          </w:tcPr>
          <w:p w14:paraId="71539D6A" w14:textId="6C4B8FFE" w:rsidR="003B0E96" w:rsidRPr="00504B00" w:rsidRDefault="003B0E96" w:rsidP="00353E8E">
            <w:r w:rsidRPr="00504B00">
              <w:t xml:space="preserve">Relevant experience </w:t>
            </w:r>
            <w:r w:rsidR="00A54B28" w:rsidRPr="00504B00">
              <w:t>of qualitative research methods and engagement on crime and community safety</w:t>
            </w:r>
            <w:r w:rsidR="00504B00" w:rsidRPr="00504B00">
              <w:t xml:space="preserve"> and knowledge of best practice in these areas</w:t>
            </w:r>
            <w:r w:rsidR="00A54B28" w:rsidRPr="00504B00">
              <w:t>.</w:t>
            </w:r>
          </w:p>
        </w:tc>
        <w:tc>
          <w:tcPr>
            <w:tcW w:w="1275" w:type="dxa"/>
            <w:shd w:val="clear" w:color="auto" w:fill="auto"/>
          </w:tcPr>
          <w:p w14:paraId="2FCADD53" w14:textId="77777777" w:rsidR="003B0E96" w:rsidRPr="00504B00" w:rsidRDefault="003B0E96" w:rsidP="00353E8E">
            <w:pPr>
              <w:jc w:val="center"/>
            </w:pPr>
            <w:r w:rsidRPr="00504B00">
              <w:t>20%</w:t>
            </w:r>
          </w:p>
        </w:tc>
      </w:tr>
      <w:tr w:rsidR="00ED30AE" w:rsidRPr="00ED30AE" w14:paraId="2C8C1245" w14:textId="77777777" w:rsidTr="00504B00">
        <w:tc>
          <w:tcPr>
            <w:tcW w:w="1271" w:type="dxa"/>
            <w:vMerge/>
            <w:vAlign w:val="center"/>
          </w:tcPr>
          <w:p w14:paraId="622A71A2" w14:textId="77777777" w:rsidR="003B0E96" w:rsidRPr="00504B00" w:rsidRDefault="003B0E96" w:rsidP="00353E8E">
            <w:pPr>
              <w:rPr>
                <w:b/>
              </w:rPr>
            </w:pPr>
          </w:p>
        </w:tc>
        <w:tc>
          <w:tcPr>
            <w:tcW w:w="1389" w:type="dxa"/>
            <w:vMerge/>
            <w:vAlign w:val="center"/>
          </w:tcPr>
          <w:p w14:paraId="1156491E" w14:textId="77777777" w:rsidR="003B0E96" w:rsidRPr="00504B00" w:rsidRDefault="003B0E96" w:rsidP="00353E8E">
            <w:pPr>
              <w:jc w:val="center"/>
              <w:rPr>
                <w:b/>
              </w:rPr>
            </w:pPr>
          </w:p>
        </w:tc>
        <w:tc>
          <w:tcPr>
            <w:tcW w:w="5812" w:type="dxa"/>
            <w:shd w:val="clear" w:color="auto" w:fill="auto"/>
          </w:tcPr>
          <w:p w14:paraId="363FC1A4" w14:textId="79416F42" w:rsidR="003B0E96" w:rsidRPr="00504B00" w:rsidRDefault="003B0E96" w:rsidP="00353E8E">
            <w:r w:rsidRPr="00504B00">
              <w:t xml:space="preserve">Understanding of our objectives, approach to devising appropriate </w:t>
            </w:r>
            <w:r w:rsidR="00D61050" w:rsidRPr="00504B00">
              <w:t>evaluation</w:t>
            </w:r>
            <w:r w:rsidRPr="00504B00">
              <w:t xml:space="preserve"> to respond to the objectives and </w:t>
            </w:r>
            <w:r w:rsidR="00CE15CB">
              <w:t xml:space="preserve">to </w:t>
            </w:r>
            <w:r w:rsidRPr="00504B00">
              <w:t>ensure</w:t>
            </w:r>
            <w:r w:rsidR="00CE15CB">
              <w:t xml:space="preserve"> the</w:t>
            </w:r>
            <w:r w:rsidRPr="00504B00">
              <w:t xml:space="preserve"> </w:t>
            </w:r>
            <w:r w:rsidR="00D61050" w:rsidRPr="00504B00">
              <w:t>objectives are reached</w:t>
            </w:r>
            <w:r w:rsidRPr="00504B00">
              <w:t xml:space="preserve">.  </w:t>
            </w:r>
          </w:p>
        </w:tc>
        <w:tc>
          <w:tcPr>
            <w:tcW w:w="1275" w:type="dxa"/>
            <w:shd w:val="clear" w:color="auto" w:fill="auto"/>
          </w:tcPr>
          <w:p w14:paraId="46F47DD4" w14:textId="1EED5145" w:rsidR="003B0E96" w:rsidRPr="00504B00" w:rsidRDefault="002E53D3" w:rsidP="00353E8E">
            <w:pPr>
              <w:jc w:val="center"/>
            </w:pPr>
            <w:r w:rsidRPr="00504B00">
              <w:t>20</w:t>
            </w:r>
            <w:r w:rsidR="003B0E96" w:rsidRPr="00504B00">
              <w:t>%</w:t>
            </w:r>
          </w:p>
        </w:tc>
      </w:tr>
      <w:tr w:rsidR="00ED30AE" w:rsidRPr="00ED30AE" w14:paraId="322462BF" w14:textId="77777777" w:rsidTr="00504B00">
        <w:tc>
          <w:tcPr>
            <w:tcW w:w="1271" w:type="dxa"/>
            <w:vMerge/>
            <w:vAlign w:val="center"/>
          </w:tcPr>
          <w:p w14:paraId="14A5BC42" w14:textId="77777777" w:rsidR="003B0E96" w:rsidRPr="00504B00" w:rsidRDefault="003B0E96" w:rsidP="00353E8E">
            <w:pPr>
              <w:rPr>
                <w:b/>
              </w:rPr>
            </w:pPr>
          </w:p>
        </w:tc>
        <w:tc>
          <w:tcPr>
            <w:tcW w:w="1389" w:type="dxa"/>
            <w:vMerge/>
            <w:vAlign w:val="center"/>
          </w:tcPr>
          <w:p w14:paraId="3533E5A0" w14:textId="77777777" w:rsidR="003B0E96" w:rsidRPr="00504B00" w:rsidRDefault="003B0E96" w:rsidP="00353E8E">
            <w:pPr>
              <w:jc w:val="center"/>
              <w:rPr>
                <w:b/>
              </w:rPr>
            </w:pPr>
          </w:p>
        </w:tc>
        <w:tc>
          <w:tcPr>
            <w:tcW w:w="5812" w:type="dxa"/>
            <w:shd w:val="clear" w:color="auto" w:fill="auto"/>
          </w:tcPr>
          <w:p w14:paraId="22FD0710" w14:textId="77777777" w:rsidR="003B0E96" w:rsidRPr="00504B00" w:rsidRDefault="003B0E96" w:rsidP="00353E8E">
            <w:r w:rsidRPr="00504B00">
              <w:t xml:space="preserve">Analysis, data, reporting and presenting  </w:t>
            </w:r>
          </w:p>
        </w:tc>
        <w:tc>
          <w:tcPr>
            <w:tcW w:w="1275" w:type="dxa"/>
            <w:shd w:val="clear" w:color="auto" w:fill="auto"/>
          </w:tcPr>
          <w:p w14:paraId="6004C5C8" w14:textId="165483DF" w:rsidR="003B0E96" w:rsidRPr="00504B00" w:rsidRDefault="003B0E96" w:rsidP="00353E8E">
            <w:pPr>
              <w:jc w:val="center"/>
            </w:pPr>
            <w:r w:rsidRPr="00504B00">
              <w:t>1</w:t>
            </w:r>
            <w:r w:rsidR="00D61050" w:rsidRPr="00504B00">
              <w:t>5</w:t>
            </w:r>
            <w:r w:rsidRPr="00504B00">
              <w:t>%</w:t>
            </w:r>
          </w:p>
        </w:tc>
      </w:tr>
      <w:tr w:rsidR="00ED30AE" w:rsidRPr="00ED30AE" w14:paraId="0D767842" w14:textId="77777777" w:rsidTr="00504B00">
        <w:tc>
          <w:tcPr>
            <w:tcW w:w="1271" w:type="dxa"/>
            <w:vMerge/>
          </w:tcPr>
          <w:p w14:paraId="38ED121A" w14:textId="77777777" w:rsidR="003B0E96" w:rsidRPr="00ED30AE" w:rsidRDefault="003B0E96" w:rsidP="00353E8E">
            <w:pPr>
              <w:rPr>
                <w:color w:val="FF0000"/>
              </w:rPr>
            </w:pPr>
          </w:p>
        </w:tc>
        <w:tc>
          <w:tcPr>
            <w:tcW w:w="1389" w:type="dxa"/>
            <w:vMerge/>
          </w:tcPr>
          <w:p w14:paraId="79DC4BAE" w14:textId="77777777" w:rsidR="003B0E96" w:rsidRPr="00ED30AE" w:rsidRDefault="003B0E96" w:rsidP="00353E8E">
            <w:pPr>
              <w:rPr>
                <w:b/>
                <w:color w:val="FF0000"/>
              </w:rPr>
            </w:pPr>
          </w:p>
        </w:tc>
        <w:tc>
          <w:tcPr>
            <w:tcW w:w="5812" w:type="dxa"/>
            <w:shd w:val="clear" w:color="auto" w:fill="auto"/>
          </w:tcPr>
          <w:p w14:paraId="1350430E" w14:textId="2E13C013" w:rsidR="003B0E96" w:rsidRPr="00D61050" w:rsidRDefault="003B0E96" w:rsidP="00353E8E">
            <w:r w:rsidRPr="00D61050">
              <w:t xml:space="preserve">Quality of personnel </w:t>
            </w:r>
            <w:r w:rsidR="00D61050" w:rsidRPr="00D61050">
              <w:t>and difference - what sets your company apart from others and how this will help you to ensure the project is successful</w:t>
            </w:r>
            <w:r w:rsidR="00CE15CB">
              <w:t>?</w:t>
            </w:r>
            <w:r w:rsidR="00D95157">
              <w:t xml:space="preserve"> Details of the expertise and experience of all staff working on the project should be provided</w:t>
            </w:r>
            <w:r w:rsidR="00A65C35">
              <w:t xml:space="preserve">. </w:t>
            </w:r>
          </w:p>
        </w:tc>
        <w:tc>
          <w:tcPr>
            <w:tcW w:w="1275" w:type="dxa"/>
            <w:shd w:val="clear" w:color="auto" w:fill="auto"/>
          </w:tcPr>
          <w:p w14:paraId="092938D8" w14:textId="7E8982CF" w:rsidR="003B0E96" w:rsidRPr="00D61050" w:rsidRDefault="00D61050" w:rsidP="00353E8E">
            <w:pPr>
              <w:jc w:val="center"/>
            </w:pPr>
            <w:r w:rsidRPr="00D61050">
              <w:t>10</w:t>
            </w:r>
            <w:r w:rsidR="003B0E96" w:rsidRPr="00D61050">
              <w:t>%</w:t>
            </w:r>
          </w:p>
        </w:tc>
      </w:tr>
      <w:tr w:rsidR="00ED30AE" w:rsidRPr="00ED30AE" w14:paraId="6DC4DD44" w14:textId="77777777" w:rsidTr="00504B00">
        <w:tc>
          <w:tcPr>
            <w:tcW w:w="1271" w:type="dxa"/>
            <w:vMerge/>
          </w:tcPr>
          <w:p w14:paraId="69AD5E61" w14:textId="77777777" w:rsidR="003B0E96" w:rsidRPr="00ED30AE" w:rsidRDefault="003B0E96" w:rsidP="00353E8E">
            <w:pPr>
              <w:rPr>
                <w:color w:val="FF0000"/>
              </w:rPr>
            </w:pPr>
          </w:p>
        </w:tc>
        <w:tc>
          <w:tcPr>
            <w:tcW w:w="1389" w:type="dxa"/>
            <w:vMerge/>
          </w:tcPr>
          <w:p w14:paraId="3B0A9092" w14:textId="77777777" w:rsidR="003B0E96" w:rsidRPr="00ED30AE" w:rsidRDefault="003B0E96" w:rsidP="00353E8E">
            <w:pPr>
              <w:rPr>
                <w:b/>
                <w:color w:val="FF0000"/>
              </w:rPr>
            </w:pPr>
          </w:p>
        </w:tc>
        <w:tc>
          <w:tcPr>
            <w:tcW w:w="5812" w:type="dxa"/>
            <w:shd w:val="clear" w:color="auto" w:fill="auto"/>
          </w:tcPr>
          <w:p w14:paraId="1F590902" w14:textId="32779742" w:rsidR="003B0E96" w:rsidRPr="00D61050" w:rsidRDefault="003B0E96" w:rsidP="00353E8E">
            <w:r w:rsidRPr="00D61050">
              <w:t>Timescales</w:t>
            </w:r>
            <w:r w:rsidR="00CE15CB">
              <w:t xml:space="preserve"> - </w:t>
            </w:r>
            <w:r w:rsidRPr="00D61050">
              <w:t>capacity to adhere to timings, adequate contingencies put in place</w:t>
            </w:r>
          </w:p>
        </w:tc>
        <w:tc>
          <w:tcPr>
            <w:tcW w:w="1275" w:type="dxa"/>
            <w:shd w:val="clear" w:color="auto" w:fill="auto"/>
          </w:tcPr>
          <w:p w14:paraId="35BB4EA5" w14:textId="301516F6" w:rsidR="003B0E96" w:rsidRPr="00D61050" w:rsidRDefault="00D61050" w:rsidP="00353E8E">
            <w:pPr>
              <w:jc w:val="center"/>
            </w:pPr>
            <w:r w:rsidRPr="00D61050">
              <w:t>5</w:t>
            </w:r>
            <w:r w:rsidR="003B0E96" w:rsidRPr="00D61050">
              <w:t>%</w:t>
            </w:r>
          </w:p>
        </w:tc>
      </w:tr>
      <w:tr w:rsidR="00ED30AE" w:rsidRPr="00ED30AE" w14:paraId="31256346" w14:textId="77777777" w:rsidTr="00504B00">
        <w:trPr>
          <w:trHeight w:val="958"/>
        </w:trPr>
        <w:tc>
          <w:tcPr>
            <w:tcW w:w="1271" w:type="dxa"/>
            <w:tcBorders>
              <w:bottom w:val="single" w:sz="4" w:space="0" w:color="auto"/>
            </w:tcBorders>
            <w:shd w:val="clear" w:color="auto" w:fill="auto"/>
          </w:tcPr>
          <w:p w14:paraId="346964ED" w14:textId="77777777" w:rsidR="003B0E96" w:rsidRPr="002E53D3" w:rsidRDefault="003B0E96" w:rsidP="00353E8E">
            <w:pPr>
              <w:rPr>
                <w:b/>
              </w:rPr>
            </w:pPr>
          </w:p>
          <w:p w14:paraId="4A51AF3D" w14:textId="77777777" w:rsidR="003B0E96" w:rsidRPr="002E53D3" w:rsidRDefault="003B0E96" w:rsidP="00353E8E">
            <w:pPr>
              <w:rPr>
                <w:b/>
              </w:rPr>
            </w:pPr>
            <w:r w:rsidRPr="002E53D3">
              <w:rPr>
                <w:b/>
              </w:rPr>
              <w:t>Price</w:t>
            </w:r>
          </w:p>
          <w:p w14:paraId="3ABC9A84" w14:textId="77777777" w:rsidR="003B0E96" w:rsidRPr="002E53D3" w:rsidRDefault="003B0E96" w:rsidP="00353E8E">
            <w:pPr>
              <w:rPr>
                <w:b/>
              </w:rPr>
            </w:pPr>
          </w:p>
        </w:tc>
        <w:tc>
          <w:tcPr>
            <w:tcW w:w="1389" w:type="dxa"/>
            <w:tcBorders>
              <w:bottom w:val="single" w:sz="4" w:space="0" w:color="auto"/>
            </w:tcBorders>
            <w:shd w:val="clear" w:color="auto" w:fill="auto"/>
          </w:tcPr>
          <w:p w14:paraId="70808E3F" w14:textId="77777777" w:rsidR="003B0E96" w:rsidRPr="002E53D3" w:rsidRDefault="003B0E96" w:rsidP="00353E8E">
            <w:pPr>
              <w:jc w:val="center"/>
              <w:rPr>
                <w:b/>
              </w:rPr>
            </w:pPr>
          </w:p>
          <w:p w14:paraId="0EDDEDFE" w14:textId="693AC073" w:rsidR="003B0E96" w:rsidRPr="002E53D3" w:rsidRDefault="003B0E96" w:rsidP="00353E8E">
            <w:pPr>
              <w:jc w:val="center"/>
              <w:rPr>
                <w:b/>
              </w:rPr>
            </w:pPr>
            <w:r w:rsidRPr="002E53D3">
              <w:rPr>
                <w:b/>
              </w:rPr>
              <w:t>30%</w:t>
            </w:r>
          </w:p>
        </w:tc>
        <w:tc>
          <w:tcPr>
            <w:tcW w:w="7087" w:type="dxa"/>
            <w:gridSpan w:val="2"/>
            <w:tcBorders>
              <w:bottom w:val="single" w:sz="4" w:space="0" w:color="auto"/>
            </w:tcBorders>
            <w:shd w:val="clear" w:color="auto" w:fill="auto"/>
          </w:tcPr>
          <w:p w14:paraId="72FFDA59" w14:textId="77777777" w:rsidR="003B0E96" w:rsidRPr="002E53D3" w:rsidRDefault="003B0E96" w:rsidP="00353E8E"/>
          <w:p w14:paraId="5C68878F" w14:textId="77777777" w:rsidR="003B0E96" w:rsidRPr="002E53D3" w:rsidRDefault="003B0E96" w:rsidP="00353E8E">
            <w:r w:rsidRPr="002E53D3">
              <w:t>None</w:t>
            </w:r>
          </w:p>
        </w:tc>
      </w:tr>
      <w:tr w:rsidR="00ED30AE" w:rsidRPr="00ED30AE" w14:paraId="0D1BD168" w14:textId="77777777" w:rsidTr="00504B00">
        <w:trPr>
          <w:trHeight w:val="538"/>
        </w:trPr>
        <w:tc>
          <w:tcPr>
            <w:tcW w:w="1271" w:type="dxa"/>
            <w:shd w:val="clear" w:color="auto" w:fill="D9D9D9" w:themeFill="background1" w:themeFillShade="D9"/>
          </w:tcPr>
          <w:p w14:paraId="025E449B" w14:textId="77777777" w:rsidR="003B0E96" w:rsidRPr="002E53D3" w:rsidRDefault="003B0E96" w:rsidP="00353E8E">
            <w:pPr>
              <w:rPr>
                <w:b/>
              </w:rPr>
            </w:pPr>
          </w:p>
          <w:p w14:paraId="757AAF6B" w14:textId="77777777" w:rsidR="003B0E96" w:rsidRPr="002E53D3" w:rsidRDefault="003B0E96" w:rsidP="00353E8E">
            <w:pPr>
              <w:rPr>
                <w:b/>
              </w:rPr>
            </w:pPr>
            <w:r w:rsidRPr="002E53D3">
              <w:rPr>
                <w:b/>
              </w:rPr>
              <w:t xml:space="preserve">Total </w:t>
            </w:r>
          </w:p>
        </w:tc>
        <w:tc>
          <w:tcPr>
            <w:tcW w:w="1389" w:type="dxa"/>
            <w:shd w:val="clear" w:color="auto" w:fill="D9D9D9" w:themeFill="background1" w:themeFillShade="D9"/>
          </w:tcPr>
          <w:p w14:paraId="7EA89627" w14:textId="77777777" w:rsidR="003B0E96" w:rsidRPr="002E53D3" w:rsidRDefault="003B0E96" w:rsidP="00353E8E">
            <w:pPr>
              <w:jc w:val="center"/>
              <w:rPr>
                <w:b/>
              </w:rPr>
            </w:pPr>
          </w:p>
          <w:p w14:paraId="249557DF" w14:textId="77777777" w:rsidR="003B0E96" w:rsidRPr="002E53D3" w:rsidRDefault="003B0E96" w:rsidP="00353E8E">
            <w:pPr>
              <w:jc w:val="center"/>
              <w:rPr>
                <w:b/>
              </w:rPr>
            </w:pPr>
            <w:r w:rsidRPr="002E53D3">
              <w:rPr>
                <w:b/>
              </w:rPr>
              <w:t>100%</w:t>
            </w:r>
          </w:p>
          <w:p w14:paraId="1058C9AD" w14:textId="77777777" w:rsidR="003B0E96" w:rsidRPr="002E53D3" w:rsidRDefault="003B0E96" w:rsidP="00353E8E">
            <w:pPr>
              <w:jc w:val="center"/>
              <w:rPr>
                <w:b/>
              </w:rPr>
            </w:pPr>
          </w:p>
        </w:tc>
        <w:tc>
          <w:tcPr>
            <w:tcW w:w="7087" w:type="dxa"/>
            <w:gridSpan w:val="2"/>
            <w:shd w:val="clear" w:color="auto" w:fill="D9D9D9" w:themeFill="background1" w:themeFillShade="D9"/>
          </w:tcPr>
          <w:p w14:paraId="393DA626" w14:textId="77777777" w:rsidR="003B0E96" w:rsidRPr="002E53D3" w:rsidRDefault="003B0E96" w:rsidP="00353E8E">
            <w:pPr>
              <w:jc w:val="center"/>
            </w:pPr>
          </w:p>
        </w:tc>
      </w:tr>
    </w:tbl>
    <w:p w14:paraId="46EA712C" w14:textId="77777777" w:rsidR="00376BC1" w:rsidRPr="00ED30AE" w:rsidRDefault="00376BC1" w:rsidP="00A341EA">
      <w:pPr>
        <w:pStyle w:val="paragraph"/>
        <w:spacing w:before="0" w:beforeAutospacing="0" w:after="0" w:afterAutospacing="0"/>
        <w:textAlignment w:val="baseline"/>
        <w:rPr>
          <w:rStyle w:val="normaltextrun"/>
          <w:rFonts w:ascii="Calibri" w:hAnsi="Calibri" w:cs="Calibri"/>
          <w:b/>
          <w:bCs/>
          <w:color w:val="FF0000"/>
          <w:sz w:val="36"/>
          <w:szCs w:val="36"/>
        </w:rPr>
      </w:pPr>
    </w:p>
    <w:p w14:paraId="38E1BE69" w14:textId="6111D2DC" w:rsidR="007B0AC7" w:rsidRPr="005E317D" w:rsidRDefault="007B0AC7" w:rsidP="007B0AC7">
      <w:pPr>
        <w:rPr>
          <w:b/>
        </w:rPr>
      </w:pPr>
      <w:r w:rsidRPr="005E317D">
        <w:rPr>
          <w:b/>
        </w:rPr>
        <w:t xml:space="preserve">Quality </w:t>
      </w:r>
      <w:r w:rsidRPr="005E317D">
        <w:br/>
        <w:t>Please outline in your proposal your approach to each of the quality criteria above. Bids will be assessed on the above following the below criteria and weighting: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7942"/>
      </w:tblGrid>
      <w:tr w:rsidR="005E317D" w:rsidRPr="005E317D" w14:paraId="58F7B94B" w14:textId="77777777" w:rsidTr="00353E8E">
        <w:tc>
          <w:tcPr>
            <w:tcW w:w="1099" w:type="dxa"/>
            <w:tcBorders>
              <w:top w:val="single" w:sz="4" w:space="0" w:color="auto"/>
              <w:left w:val="single" w:sz="4" w:space="0" w:color="auto"/>
              <w:bottom w:val="single" w:sz="4" w:space="0" w:color="auto"/>
              <w:right w:val="single" w:sz="4" w:space="0" w:color="auto"/>
            </w:tcBorders>
            <w:hideMark/>
          </w:tcPr>
          <w:p w14:paraId="47529C48" w14:textId="77777777" w:rsidR="007B0AC7" w:rsidRPr="005E317D" w:rsidRDefault="007B0AC7" w:rsidP="00353E8E">
            <w:pPr>
              <w:spacing w:line="276" w:lineRule="auto"/>
              <w:jc w:val="center"/>
            </w:pPr>
            <w:r w:rsidRPr="005E317D">
              <w:t>SCORE</w:t>
            </w:r>
          </w:p>
        </w:tc>
        <w:tc>
          <w:tcPr>
            <w:tcW w:w="8522" w:type="dxa"/>
            <w:tcBorders>
              <w:top w:val="single" w:sz="4" w:space="0" w:color="auto"/>
              <w:left w:val="single" w:sz="4" w:space="0" w:color="auto"/>
              <w:bottom w:val="single" w:sz="4" w:space="0" w:color="auto"/>
              <w:right w:val="single" w:sz="4" w:space="0" w:color="auto"/>
            </w:tcBorders>
            <w:hideMark/>
          </w:tcPr>
          <w:p w14:paraId="474263B4" w14:textId="77777777" w:rsidR="007B0AC7" w:rsidRPr="005E317D" w:rsidRDefault="007B0AC7" w:rsidP="00353E8E">
            <w:pPr>
              <w:spacing w:line="276" w:lineRule="auto"/>
              <w:jc w:val="center"/>
            </w:pPr>
            <w:r w:rsidRPr="005E317D">
              <w:t>DESCRIPTION</w:t>
            </w:r>
          </w:p>
        </w:tc>
      </w:tr>
      <w:tr w:rsidR="005E317D" w:rsidRPr="005E317D" w14:paraId="324478EE" w14:textId="77777777" w:rsidTr="00353E8E">
        <w:tc>
          <w:tcPr>
            <w:tcW w:w="1099" w:type="dxa"/>
            <w:tcBorders>
              <w:top w:val="single" w:sz="4" w:space="0" w:color="auto"/>
              <w:left w:val="single" w:sz="4" w:space="0" w:color="auto"/>
              <w:bottom w:val="single" w:sz="4" w:space="0" w:color="auto"/>
              <w:right w:val="single" w:sz="4" w:space="0" w:color="auto"/>
            </w:tcBorders>
            <w:hideMark/>
          </w:tcPr>
          <w:p w14:paraId="328C6856" w14:textId="77777777" w:rsidR="007B0AC7" w:rsidRPr="005E317D" w:rsidRDefault="007B0AC7" w:rsidP="00353E8E">
            <w:pPr>
              <w:spacing w:line="276" w:lineRule="auto"/>
              <w:jc w:val="center"/>
            </w:pPr>
            <w:r w:rsidRPr="005E317D">
              <w:t>5</w:t>
            </w:r>
          </w:p>
        </w:tc>
        <w:tc>
          <w:tcPr>
            <w:tcW w:w="8522" w:type="dxa"/>
            <w:tcBorders>
              <w:top w:val="single" w:sz="4" w:space="0" w:color="auto"/>
              <w:left w:val="single" w:sz="4" w:space="0" w:color="auto"/>
              <w:bottom w:val="single" w:sz="4" w:space="0" w:color="auto"/>
              <w:right w:val="single" w:sz="4" w:space="0" w:color="auto"/>
            </w:tcBorders>
            <w:hideMark/>
          </w:tcPr>
          <w:p w14:paraId="4F8B68E8" w14:textId="77777777" w:rsidR="007B0AC7" w:rsidRPr="005E317D" w:rsidRDefault="007B0AC7" w:rsidP="00353E8E">
            <w:pPr>
              <w:spacing w:line="276" w:lineRule="auto"/>
              <w:jc w:val="both"/>
            </w:pPr>
            <w:r w:rsidRPr="005E317D">
              <w:t xml:space="preserve">Response is of an excellent standard and goes above and beyond the criteria. </w:t>
            </w:r>
          </w:p>
        </w:tc>
      </w:tr>
      <w:tr w:rsidR="005E317D" w:rsidRPr="005E317D" w14:paraId="1CAB151A" w14:textId="77777777" w:rsidTr="00353E8E">
        <w:tc>
          <w:tcPr>
            <w:tcW w:w="1099" w:type="dxa"/>
            <w:tcBorders>
              <w:top w:val="single" w:sz="4" w:space="0" w:color="auto"/>
              <w:left w:val="single" w:sz="4" w:space="0" w:color="auto"/>
              <w:bottom w:val="single" w:sz="4" w:space="0" w:color="auto"/>
              <w:right w:val="single" w:sz="4" w:space="0" w:color="auto"/>
            </w:tcBorders>
            <w:hideMark/>
          </w:tcPr>
          <w:p w14:paraId="07E0047A" w14:textId="77777777" w:rsidR="007B0AC7" w:rsidRPr="005E317D" w:rsidRDefault="007B0AC7" w:rsidP="00353E8E">
            <w:pPr>
              <w:spacing w:line="276" w:lineRule="auto"/>
              <w:jc w:val="center"/>
            </w:pPr>
            <w:r w:rsidRPr="005E317D">
              <w:t>4</w:t>
            </w:r>
          </w:p>
        </w:tc>
        <w:tc>
          <w:tcPr>
            <w:tcW w:w="8522" w:type="dxa"/>
            <w:tcBorders>
              <w:top w:val="single" w:sz="4" w:space="0" w:color="auto"/>
              <w:left w:val="single" w:sz="4" w:space="0" w:color="auto"/>
              <w:bottom w:val="single" w:sz="4" w:space="0" w:color="auto"/>
              <w:right w:val="single" w:sz="4" w:space="0" w:color="auto"/>
            </w:tcBorders>
            <w:hideMark/>
          </w:tcPr>
          <w:p w14:paraId="381870C5" w14:textId="77777777" w:rsidR="007B0AC7" w:rsidRPr="005E317D" w:rsidRDefault="007B0AC7" w:rsidP="00353E8E">
            <w:pPr>
              <w:spacing w:line="276" w:lineRule="auto"/>
              <w:jc w:val="both"/>
            </w:pPr>
            <w:r w:rsidRPr="005E317D">
              <w:t xml:space="preserve">Response is of a high standard and meets all the criteria, with no reservations at all. </w:t>
            </w:r>
          </w:p>
        </w:tc>
      </w:tr>
      <w:tr w:rsidR="005E317D" w:rsidRPr="005E317D" w14:paraId="16ED980B" w14:textId="77777777" w:rsidTr="00353E8E">
        <w:tc>
          <w:tcPr>
            <w:tcW w:w="1099" w:type="dxa"/>
            <w:tcBorders>
              <w:top w:val="single" w:sz="4" w:space="0" w:color="auto"/>
              <w:left w:val="single" w:sz="4" w:space="0" w:color="auto"/>
              <w:bottom w:val="single" w:sz="4" w:space="0" w:color="auto"/>
              <w:right w:val="single" w:sz="4" w:space="0" w:color="auto"/>
            </w:tcBorders>
            <w:hideMark/>
          </w:tcPr>
          <w:p w14:paraId="6A55509F" w14:textId="77777777" w:rsidR="007B0AC7" w:rsidRPr="005E317D" w:rsidRDefault="007B0AC7" w:rsidP="00353E8E">
            <w:pPr>
              <w:spacing w:line="276" w:lineRule="auto"/>
              <w:jc w:val="center"/>
            </w:pPr>
            <w:r w:rsidRPr="005E317D">
              <w:t>3</w:t>
            </w:r>
          </w:p>
        </w:tc>
        <w:tc>
          <w:tcPr>
            <w:tcW w:w="8522" w:type="dxa"/>
            <w:tcBorders>
              <w:top w:val="single" w:sz="4" w:space="0" w:color="auto"/>
              <w:left w:val="single" w:sz="4" w:space="0" w:color="auto"/>
              <w:bottom w:val="single" w:sz="4" w:space="0" w:color="auto"/>
              <w:right w:val="single" w:sz="4" w:space="0" w:color="auto"/>
            </w:tcBorders>
            <w:hideMark/>
          </w:tcPr>
          <w:p w14:paraId="6602DD38" w14:textId="77777777" w:rsidR="007B0AC7" w:rsidRPr="005E317D" w:rsidRDefault="007B0AC7" w:rsidP="00353E8E">
            <w:pPr>
              <w:spacing w:line="276" w:lineRule="auto"/>
              <w:jc w:val="both"/>
            </w:pPr>
            <w:r w:rsidRPr="005E317D">
              <w:t>Good response however there is a minor reservation in one key area.</w:t>
            </w:r>
          </w:p>
        </w:tc>
      </w:tr>
      <w:tr w:rsidR="005E317D" w:rsidRPr="005E317D" w14:paraId="603D1524" w14:textId="77777777" w:rsidTr="00353E8E">
        <w:tc>
          <w:tcPr>
            <w:tcW w:w="1099" w:type="dxa"/>
            <w:tcBorders>
              <w:top w:val="single" w:sz="4" w:space="0" w:color="auto"/>
              <w:left w:val="single" w:sz="4" w:space="0" w:color="auto"/>
              <w:bottom w:val="single" w:sz="4" w:space="0" w:color="auto"/>
              <w:right w:val="single" w:sz="4" w:space="0" w:color="auto"/>
            </w:tcBorders>
            <w:hideMark/>
          </w:tcPr>
          <w:p w14:paraId="33EEAAA6" w14:textId="77777777" w:rsidR="007B0AC7" w:rsidRPr="005E317D" w:rsidRDefault="007B0AC7" w:rsidP="00353E8E">
            <w:pPr>
              <w:spacing w:line="276" w:lineRule="auto"/>
              <w:jc w:val="center"/>
            </w:pPr>
            <w:r w:rsidRPr="005E317D">
              <w:t>2</w:t>
            </w:r>
          </w:p>
        </w:tc>
        <w:tc>
          <w:tcPr>
            <w:tcW w:w="8522" w:type="dxa"/>
            <w:tcBorders>
              <w:top w:val="single" w:sz="4" w:space="0" w:color="auto"/>
              <w:left w:val="single" w:sz="4" w:space="0" w:color="auto"/>
              <w:bottom w:val="single" w:sz="4" w:space="0" w:color="auto"/>
              <w:right w:val="single" w:sz="4" w:space="0" w:color="auto"/>
            </w:tcBorders>
            <w:hideMark/>
          </w:tcPr>
          <w:p w14:paraId="6615752C" w14:textId="77777777" w:rsidR="007B0AC7" w:rsidRPr="005E317D" w:rsidRDefault="007B0AC7" w:rsidP="00353E8E">
            <w:pPr>
              <w:spacing w:line="276" w:lineRule="auto"/>
              <w:jc w:val="both"/>
            </w:pPr>
            <w:r w:rsidRPr="005E317D">
              <w:t xml:space="preserve">Acceptable </w:t>
            </w:r>
            <w:proofErr w:type="gramStart"/>
            <w:r w:rsidRPr="005E317D">
              <w:t>response;</w:t>
            </w:r>
            <w:proofErr w:type="gramEnd"/>
            <w:r w:rsidRPr="005E317D">
              <w:t xml:space="preserve"> however there are reservations in two or more key areas.</w:t>
            </w:r>
          </w:p>
        </w:tc>
      </w:tr>
      <w:tr w:rsidR="005E317D" w:rsidRPr="005E317D" w14:paraId="43834E97" w14:textId="77777777" w:rsidTr="00353E8E">
        <w:tc>
          <w:tcPr>
            <w:tcW w:w="1099" w:type="dxa"/>
            <w:tcBorders>
              <w:top w:val="single" w:sz="4" w:space="0" w:color="auto"/>
              <w:left w:val="single" w:sz="4" w:space="0" w:color="auto"/>
              <w:bottom w:val="single" w:sz="4" w:space="0" w:color="auto"/>
              <w:right w:val="single" w:sz="4" w:space="0" w:color="auto"/>
            </w:tcBorders>
            <w:hideMark/>
          </w:tcPr>
          <w:p w14:paraId="2260DF18" w14:textId="77777777" w:rsidR="007B0AC7" w:rsidRPr="005E317D" w:rsidRDefault="007B0AC7" w:rsidP="00353E8E">
            <w:pPr>
              <w:spacing w:line="276" w:lineRule="auto"/>
              <w:jc w:val="center"/>
            </w:pPr>
            <w:r w:rsidRPr="005E317D">
              <w:t>1</w:t>
            </w:r>
          </w:p>
        </w:tc>
        <w:tc>
          <w:tcPr>
            <w:tcW w:w="8522" w:type="dxa"/>
            <w:tcBorders>
              <w:top w:val="single" w:sz="4" w:space="0" w:color="auto"/>
              <w:left w:val="single" w:sz="4" w:space="0" w:color="auto"/>
              <w:bottom w:val="single" w:sz="4" w:space="0" w:color="auto"/>
              <w:right w:val="single" w:sz="4" w:space="0" w:color="auto"/>
            </w:tcBorders>
            <w:hideMark/>
          </w:tcPr>
          <w:p w14:paraId="795B6D76" w14:textId="77777777" w:rsidR="007B0AC7" w:rsidRPr="005E317D" w:rsidRDefault="007B0AC7" w:rsidP="00353E8E">
            <w:pPr>
              <w:spacing w:line="276" w:lineRule="auto"/>
              <w:jc w:val="both"/>
            </w:pPr>
            <w:r w:rsidRPr="005E317D">
              <w:t>Non-compliant – failed to provide a sufficient response/address the question.</w:t>
            </w:r>
          </w:p>
        </w:tc>
      </w:tr>
    </w:tbl>
    <w:p w14:paraId="5D7F293C" w14:textId="77777777" w:rsidR="007B0AC7" w:rsidRPr="00ED30AE" w:rsidRDefault="007B0AC7" w:rsidP="007B0AC7">
      <w:pPr>
        <w:spacing w:line="276" w:lineRule="auto"/>
        <w:jc w:val="both"/>
        <w:rPr>
          <w:b/>
          <w:color w:val="FF0000"/>
        </w:rPr>
      </w:pPr>
    </w:p>
    <w:p w14:paraId="130334E8" w14:textId="2D54DF60" w:rsidR="007B0AC7" w:rsidRPr="005E317D" w:rsidRDefault="007B0AC7" w:rsidP="007B0AC7">
      <w:pPr>
        <w:spacing w:line="276" w:lineRule="auto"/>
        <w:jc w:val="both"/>
      </w:pPr>
      <w:r w:rsidRPr="005E317D">
        <w:rPr>
          <w:b/>
        </w:rPr>
        <w:t>Price</w:t>
      </w:r>
      <w:r w:rsidRPr="005E317D">
        <w:t xml:space="preserve"> </w:t>
      </w:r>
    </w:p>
    <w:p w14:paraId="1C678542" w14:textId="565B284F" w:rsidR="007B0AC7" w:rsidRPr="005E317D" w:rsidRDefault="005E317D" w:rsidP="007B0AC7">
      <w:pPr>
        <w:spacing w:line="276" w:lineRule="auto"/>
        <w:jc w:val="both"/>
        <w:rPr>
          <w:b/>
        </w:rPr>
      </w:pPr>
      <w:r w:rsidRPr="005E317D">
        <w:rPr>
          <w:b/>
        </w:rPr>
        <w:t>3</w:t>
      </w:r>
      <w:r w:rsidR="007B0AC7" w:rsidRPr="005E317D">
        <w:rPr>
          <w:b/>
        </w:rPr>
        <w:t>0%</w:t>
      </w:r>
    </w:p>
    <w:p w14:paraId="7D425233" w14:textId="6586E584" w:rsidR="007B0AC7" w:rsidRPr="005E317D" w:rsidRDefault="007B0AC7" w:rsidP="007B0AC7">
      <w:pPr>
        <w:spacing w:line="276" w:lineRule="auto"/>
        <w:jc w:val="both"/>
      </w:pPr>
      <w:r w:rsidRPr="005E317D">
        <w:t xml:space="preserve">The maximum price score for this section is given to the provider who has submitted the </w:t>
      </w:r>
      <w:r w:rsidR="005E317D" w:rsidRPr="005E317D">
        <w:t>p</w:t>
      </w:r>
      <w:r w:rsidRPr="005E317D">
        <w:t>roposal with the lowest total cost for the duration of the contract. All other providers are awarded using the following formula:</w:t>
      </w:r>
    </w:p>
    <w:p w14:paraId="7EC5374D" w14:textId="34CDF698" w:rsidR="007B0AC7" w:rsidRPr="002E53D3" w:rsidRDefault="007B0AC7" w:rsidP="007B0AC7">
      <w:pPr>
        <w:spacing w:line="276" w:lineRule="auto"/>
        <w:rPr>
          <w:bCs/>
          <w:i/>
        </w:rPr>
      </w:pPr>
      <w:r w:rsidRPr="002E53D3">
        <w:rPr>
          <w:bCs/>
          <w:i/>
        </w:rPr>
        <w:t>(Lowest Bidder Price / Bidders Price) x Percentage Score Available</w:t>
      </w:r>
    </w:p>
    <w:p w14:paraId="4331DDFE" w14:textId="3AE5F407" w:rsidR="007B0AC7" w:rsidRPr="005E317D" w:rsidRDefault="007B0AC7" w:rsidP="005E317D">
      <w:pPr>
        <w:spacing w:line="276" w:lineRule="auto"/>
        <w:rPr>
          <w:b/>
          <w:i/>
        </w:rPr>
      </w:pPr>
      <w:r w:rsidRPr="005E317D">
        <w:rPr>
          <w:i/>
        </w:rPr>
        <w:t xml:space="preserve">Please </w:t>
      </w:r>
      <w:proofErr w:type="gramStart"/>
      <w:r w:rsidRPr="005E317D">
        <w:rPr>
          <w:i/>
        </w:rPr>
        <w:t>note:</w:t>
      </w:r>
      <w:proofErr w:type="gramEnd"/>
      <w:r w:rsidRPr="005E317D">
        <w:rPr>
          <w:i/>
        </w:rPr>
        <w:t xml:space="preserve"> costs should be inclusive of expenses and any other additional costs that may be incurred.</w:t>
      </w:r>
    </w:p>
    <w:p w14:paraId="2C9B6127" w14:textId="78DC4DA2" w:rsidR="00D54EB9" w:rsidRPr="00D54EB9" w:rsidRDefault="00D54EB9" w:rsidP="007B0AC7">
      <w:pPr>
        <w:spacing w:line="276" w:lineRule="auto"/>
        <w:rPr>
          <w:b/>
          <w:bCs/>
        </w:rPr>
      </w:pPr>
      <w:r w:rsidRPr="00D54EB9">
        <w:rPr>
          <w:b/>
          <w:bCs/>
        </w:rPr>
        <w:t xml:space="preserve">Please ensure that your submission is no longer than </w:t>
      </w:r>
      <w:r w:rsidR="00AD01AB">
        <w:rPr>
          <w:b/>
          <w:bCs/>
        </w:rPr>
        <w:t>6</w:t>
      </w:r>
      <w:r w:rsidRPr="00D54EB9">
        <w:rPr>
          <w:b/>
          <w:bCs/>
        </w:rPr>
        <w:t xml:space="preserve"> sides of A4, font size no smaller than 11. </w:t>
      </w:r>
      <w:r>
        <w:rPr>
          <w:b/>
          <w:bCs/>
        </w:rPr>
        <w:t xml:space="preserve">Please set out your submission based on the sub-criteria </w:t>
      </w:r>
      <w:r w:rsidR="002E53D3">
        <w:rPr>
          <w:b/>
          <w:bCs/>
        </w:rPr>
        <w:t xml:space="preserve">headings, providing your response to each </w:t>
      </w:r>
      <w:r w:rsidR="007B028F">
        <w:rPr>
          <w:b/>
          <w:bCs/>
        </w:rPr>
        <w:t xml:space="preserve">quality </w:t>
      </w:r>
      <w:r w:rsidR="002E53D3">
        <w:rPr>
          <w:b/>
          <w:bCs/>
        </w:rPr>
        <w:t>category</w:t>
      </w:r>
      <w:r w:rsidR="007B028F">
        <w:rPr>
          <w:b/>
          <w:bCs/>
        </w:rPr>
        <w:t xml:space="preserve"> and </w:t>
      </w:r>
      <w:r w:rsidR="00142B12">
        <w:rPr>
          <w:b/>
          <w:bCs/>
        </w:rPr>
        <w:t>please include a</w:t>
      </w:r>
      <w:r w:rsidR="007B028F">
        <w:rPr>
          <w:b/>
          <w:bCs/>
        </w:rPr>
        <w:t xml:space="preserve"> breakdown of costs of your submission</w:t>
      </w:r>
      <w:r w:rsidR="002E53D3">
        <w:rPr>
          <w:b/>
          <w:bCs/>
        </w:rPr>
        <w:t xml:space="preserve">. </w:t>
      </w:r>
    </w:p>
    <w:p w14:paraId="5FC5196E" w14:textId="77777777" w:rsidR="00D54EB9" w:rsidRPr="006126B5" w:rsidRDefault="00D54EB9" w:rsidP="007B0AC7">
      <w:pPr>
        <w:spacing w:line="276" w:lineRule="auto"/>
      </w:pPr>
    </w:p>
    <w:p w14:paraId="5E8D6B46" w14:textId="4763079C" w:rsidR="007B0AC7" w:rsidRPr="00457B6B" w:rsidRDefault="007B0AC7" w:rsidP="00457B6B">
      <w:pPr>
        <w:pStyle w:val="Heading1"/>
        <w:spacing w:after="0"/>
        <w:rPr>
          <w:color w:val="ED1080"/>
          <w:sz w:val="32"/>
        </w:rPr>
      </w:pPr>
      <w:r w:rsidRPr="00B52235">
        <w:rPr>
          <w:color w:val="ED1080"/>
          <w:sz w:val="32"/>
        </w:rPr>
        <w:t>Budget</w:t>
      </w:r>
    </w:p>
    <w:p w14:paraId="651074E4" w14:textId="7EB91965" w:rsidR="007B0AC7" w:rsidRDefault="007B0AC7" w:rsidP="00605573">
      <w:r w:rsidRPr="00ED30AE">
        <w:t>Our budget for this project is in the region of £2</w:t>
      </w:r>
      <w:r w:rsidR="0020162F">
        <w:t>5</w:t>
      </w:r>
      <w:r w:rsidRPr="00ED30AE">
        <w:t xml:space="preserve">,000. </w:t>
      </w:r>
    </w:p>
    <w:p w14:paraId="0473B438" w14:textId="77777777" w:rsidR="00605573" w:rsidRPr="006126B5" w:rsidRDefault="00605573" w:rsidP="00605573"/>
    <w:p w14:paraId="02536EEF" w14:textId="0A04665D" w:rsidR="007B0AC7" w:rsidRPr="00457B6B" w:rsidRDefault="007B0AC7" w:rsidP="00457B6B">
      <w:pPr>
        <w:pStyle w:val="Heading1"/>
        <w:spacing w:after="0" w:line="276" w:lineRule="auto"/>
        <w:rPr>
          <w:color w:val="ED1080"/>
        </w:rPr>
      </w:pPr>
      <w:r w:rsidRPr="00B52235">
        <w:rPr>
          <w:color w:val="ED1080"/>
        </w:rPr>
        <w:t>Contract conditions</w:t>
      </w:r>
    </w:p>
    <w:p w14:paraId="2CD3EFFA" w14:textId="35AE2918" w:rsidR="007B0AC7" w:rsidRPr="006126B5" w:rsidRDefault="007B0AC7" w:rsidP="00ED30AE">
      <w:pPr>
        <w:spacing w:line="276" w:lineRule="auto"/>
      </w:pPr>
      <w:r w:rsidRPr="006126B5">
        <w:t>The successful contractor must abide by Waltham Forest Council’s terms and conditions.</w:t>
      </w:r>
    </w:p>
    <w:p w14:paraId="6C669BC0" w14:textId="071D447E" w:rsidR="007B0AC7" w:rsidRPr="006126B5" w:rsidRDefault="007B0AC7" w:rsidP="007B0AC7">
      <w:pPr>
        <w:spacing w:line="276" w:lineRule="auto"/>
      </w:pPr>
      <w:r w:rsidRPr="006126B5">
        <w:t>We expect all consultants to comply fully with GDPR in the handling and storage of both existing data and new data collected and with the Market Research Society Code of Conduct.</w:t>
      </w:r>
    </w:p>
    <w:p w14:paraId="2A9E343A" w14:textId="7688A03F" w:rsidR="007B0AC7" w:rsidRDefault="007B0AC7" w:rsidP="00605573">
      <w:pPr>
        <w:spacing w:line="276" w:lineRule="auto"/>
      </w:pPr>
      <w:r w:rsidRPr="006126B5">
        <w:t>Waltham Forest Council will retain copyright and publication rights for the study results. The consultant must not issue press releases, nor disclose study information to a third party, without prior agreement with Waltham Forest Council.</w:t>
      </w:r>
    </w:p>
    <w:p w14:paraId="1729481B" w14:textId="77777777" w:rsidR="00605573" w:rsidRPr="006126B5" w:rsidRDefault="00605573" w:rsidP="00605573">
      <w:pPr>
        <w:spacing w:line="276" w:lineRule="auto"/>
      </w:pPr>
    </w:p>
    <w:p w14:paraId="2E0F0C63" w14:textId="4BF7753E" w:rsidR="007B0AC7" w:rsidRPr="00457B6B" w:rsidRDefault="007B0AC7" w:rsidP="00457B6B">
      <w:pPr>
        <w:pStyle w:val="Heading1"/>
        <w:spacing w:after="0" w:line="276" w:lineRule="auto"/>
        <w:rPr>
          <w:color w:val="ED1080"/>
        </w:rPr>
      </w:pPr>
      <w:r w:rsidRPr="00B52235">
        <w:rPr>
          <w:color w:val="ED1080"/>
        </w:rPr>
        <w:t xml:space="preserve">Submission and appointment </w:t>
      </w:r>
    </w:p>
    <w:p w14:paraId="4565C31C" w14:textId="5AA0CCFE" w:rsidR="007B0AC7" w:rsidRPr="00460989" w:rsidRDefault="007B0AC7" w:rsidP="007B0AC7">
      <w:pPr>
        <w:spacing w:line="276" w:lineRule="auto"/>
        <w:rPr>
          <w:b/>
        </w:rPr>
      </w:pPr>
      <w:r w:rsidRPr="006126B5">
        <w:t>Please submit tenders via the London Tenders website (</w:t>
      </w:r>
      <w:hyperlink r:id="rId12" w:history="1">
        <w:r w:rsidRPr="006126B5">
          <w:rPr>
            <w:rStyle w:val="Hyperlink"/>
            <w:rFonts w:ascii="Arial" w:hAnsi="Arial" w:cs="Arial"/>
          </w:rPr>
          <w:t>www.londontenders.org</w:t>
        </w:r>
      </w:hyperlink>
      <w:r w:rsidRPr="006126B5">
        <w:t xml:space="preserve">) by </w:t>
      </w:r>
      <w:r w:rsidRPr="006126B5">
        <w:rPr>
          <w:b/>
        </w:rPr>
        <w:t>5pm on</w:t>
      </w:r>
      <w:r w:rsidRPr="006126B5">
        <w:t xml:space="preserve"> </w:t>
      </w:r>
      <w:r w:rsidR="00ED30AE">
        <w:rPr>
          <w:b/>
        </w:rPr>
        <w:t>Friday</w:t>
      </w:r>
      <w:r w:rsidRPr="006126B5">
        <w:rPr>
          <w:b/>
        </w:rPr>
        <w:t xml:space="preserve"> </w:t>
      </w:r>
      <w:r w:rsidR="00460989">
        <w:rPr>
          <w:b/>
        </w:rPr>
        <w:t>17</w:t>
      </w:r>
      <w:r w:rsidR="00460989" w:rsidRPr="00460989">
        <w:rPr>
          <w:b/>
          <w:vertAlign w:val="superscript"/>
        </w:rPr>
        <w:t>th</w:t>
      </w:r>
      <w:r w:rsidR="00460989">
        <w:rPr>
          <w:b/>
        </w:rPr>
        <w:t xml:space="preserve"> February 2023.</w:t>
      </w:r>
      <w:r w:rsidRPr="006126B5">
        <w:rPr>
          <w:b/>
        </w:rPr>
        <w:t xml:space="preserve">  </w:t>
      </w:r>
    </w:p>
    <w:p w14:paraId="120665B9" w14:textId="252379D4" w:rsidR="007B0AC7" w:rsidRDefault="007B0AC7" w:rsidP="007B0AC7">
      <w:pPr>
        <w:spacing w:line="276" w:lineRule="auto"/>
      </w:pPr>
      <w:r w:rsidRPr="006126B5">
        <w:t>It is anticipated that the successful bidder will be notified</w:t>
      </w:r>
      <w:r>
        <w:t xml:space="preserve"> by Friday </w:t>
      </w:r>
      <w:r w:rsidR="00460989">
        <w:t>24</w:t>
      </w:r>
      <w:r w:rsidR="00460989" w:rsidRPr="00460989">
        <w:rPr>
          <w:vertAlign w:val="superscript"/>
        </w:rPr>
        <w:t>th</w:t>
      </w:r>
      <w:r w:rsidR="00460989">
        <w:t xml:space="preserve"> February</w:t>
      </w:r>
      <w:r>
        <w:t xml:space="preserve"> at the latest, </w:t>
      </w:r>
      <w:r w:rsidRPr="006126B5">
        <w:t>and</w:t>
      </w:r>
      <w:r>
        <w:t xml:space="preserve"> that</w:t>
      </w:r>
      <w:r w:rsidRPr="006126B5">
        <w:t xml:space="preserve"> unsuccessful bidders will be notified in writing the </w:t>
      </w:r>
      <w:r>
        <w:t>week after.</w:t>
      </w:r>
      <w:r w:rsidRPr="006126B5">
        <w:t xml:space="preserve"> </w:t>
      </w:r>
    </w:p>
    <w:p w14:paraId="37A78585" w14:textId="77777777" w:rsidR="00605573" w:rsidRPr="009C1024" w:rsidRDefault="00605573" w:rsidP="007B0AC7">
      <w:pPr>
        <w:spacing w:line="276" w:lineRule="auto"/>
      </w:pPr>
    </w:p>
    <w:p w14:paraId="34F5C2EB" w14:textId="40E428D7" w:rsidR="007B0AC7" w:rsidRPr="007B0AC7" w:rsidRDefault="007B0AC7" w:rsidP="007B0AC7">
      <w:pPr>
        <w:pStyle w:val="Heading1"/>
        <w:spacing w:after="0" w:line="276" w:lineRule="auto"/>
        <w:rPr>
          <w:color w:val="ED1080"/>
        </w:rPr>
      </w:pPr>
      <w:r w:rsidRPr="00B52235">
        <w:rPr>
          <w:color w:val="ED1080"/>
        </w:rPr>
        <w:t xml:space="preserve">Queries and further information </w:t>
      </w:r>
    </w:p>
    <w:p w14:paraId="1A39D8FD" w14:textId="77777777" w:rsidR="005E317D" w:rsidRDefault="007B0AC7" w:rsidP="00B4051F">
      <w:pPr>
        <w:spacing w:line="276" w:lineRule="auto"/>
        <w:jc w:val="both"/>
      </w:pPr>
      <w:r w:rsidRPr="006126B5">
        <w:t xml:space="preserve">Please raise any queries relating to this Invitation to Tender through the discussion forum on the London Tenders Portal. All queries relating to the tender documentation should be raised through the portal </w:t>
      </w:r>
      <w:r w:rsidRPr="006126B5">
        <w:rPr>
          <w:b/>
        </w:rPr>
        <w:t xml:space="preserve">before midday on </w:t>
      </w:r>
      <w:r w:rsidR="00B4051F">
        <w:rPr>
          <w:b/>
        </w:rPr>
        <w:t>Wednesday 15</w:t>
      </w:r>
      <w:r w:rsidR="00B4051F" w:rsidRPr="00B4051F">
        <w:rPr>
          <w:b/>
          <w:vertAlign w:val="superscript"/>
        </w:rPr>
        <w:t>th</w:t>
      </w:r>
      <w:r w:rsidR="00B4051F">
        <w:rPr>
          <w:b/>
        </w:rPr>
        <w:t xml:space="preserve"> February</w:t>
      </w:r>
      <w:r w:rsidRPr="006126B5">
        <w:rPr>
          <w:b/>
        </w:rPr>
        <w:t xml:space="preserve"> 20</w:t>
      </w:r>
      <w:r>
        <w:rPr>
          <w:b/>
        </w:rPr>
        <w:t>2</w:t>
      </w:r>
      <w:r w:rsidR="00B4051F">
        <w:rPr>
          <w:b/>
        </w:rPr>
        <w:t>3</w:t>
      </w:r>
      <w:r w:rsidRPr="006126B5">
        <w:t xml:space="preserve">.  </w:t>
      </w:r>
    </w:p>
    <w:p w14:paraId="0615E05C" w14:textId="522CC2CB" w:rsidR="00A341EA" w:rsidRPr="00B4051F" w:rsidRDefault="007B0AC7" w:rsidP="00B4051F">
      <w:pPr>
        <w:spacing w:line="276" w:lineRule="auto"/>
        <w:jc w:val="both"/>
      </w:pPr>
      <w:r w:rsidRPr="006126B5">
        <w:t>Thank you for taking the time to tender for this project.</w:t>
      </w:r>
    </w:p>
    <w:sectPr w:rsidR="00A341EA" w:rsidRPr="00B40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D7B"/>
    <w:multiLevelType w:val="multilevel"/>
    <w:tmpl w:val="5EA0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7F28ED"/>
    <w:multiLevelType w:val="hybridMultilevel"/>
    <w:tmpl w:val="7F16D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B6752C"/>
    <w:multiLevelType w:val="hybridMultilevel"/>
    <w:tmpl w:val="888039DA"/>
    <w:lvl w:ilvl="0" w:tplc="AFB40CC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540687"/>
    <w:multiLevelType w:val="multilevel"/>
    <w:tmpl w:val="1986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A82E70"/>
    <w:multiLevelType w:val="multilevel"/>
    <w:tmpl w:val="6C1E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570E08"/>
    <w:multiLevelType w:val="multilevel"/>
    <w:tmpl w:val="0656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052A7E"/>
    <w:multiLevelType w:val="hybridMultilevel"/>
    <w:tmpl w:val="9D765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CD03F1"/>
    <w:multiLevelType w:val="multilevel"/>
    <w:tmpl w:val="EA68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7C1CF0"/>
    <w:multiLevelType w:val="hybridMultilevel"/>
    <w:tmpl w:val="C388E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90FDB"/>
    <w:multiLevelType w:val="multilevel"/>
    <w:tmpl w:val="E2A8D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F64A93"/>
    <w:multiLevelType w:val="multilevel"/>
    <w:tmpl w:val="39BE9E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00753B"/>
    <w:multiLevelType w:val="multilevel"/>
    <w:tmpl w:val="64FCAB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C545C2"/>
    <w:multiLevelType w:val="hybridMultilevel"/>
    <w:tmpl w:val="574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3"/>
  </w:num>
  <w:num w:numId="5">
    <w:abstractNumId w:val="0"/>
  </w:num>
  <w:num w:numId="6">
    <w:abstractNumId w:val="5"/>
  </w:num>
  <w:num w:numId="7">
    <w:abstractNumId w:val="7"/>
  </w:num>
  <w:num w:numId="8">
    <w:abstractNumId w:val="4"/>
  </w:num>
  <w:num w:numId="9">
    <w:abstractNumId w:val="2"/>
  </w:num>
  <w:num w:numId="10">
    <w:abstractNumId w:val="12"/>
  </w:num>
  <w:num w:numId="11">
    <w:abstractNumId w:val="6"/>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9A"/>
    <w:rsid w:val="00016406"/>
    <w:rsid w:val="00025330"/>
    <w:rsid w:val="00031CB6"/>
    <w:rsid w:val="0003266A"/>
    <w:rsid w:val="00034D73"/>
    <w:rsid w:val="00035CC5"/>
    <w:rsid w:val="00036884"/>
    <w:rsid w:val="00037FBD"/>
    <w:rsid w:val="00054D5C"/>
    <w:rsid w:val="00082C7F"/>
    <w:rsid w:val="00085C81"/>
    <w:rsid w:val="00096C65"/>
    <w:rsid w:val="000A2410"/>
    <w:rsid w:val="000A724D"/>
    <w:rsid w:val="000B5BB2"/>
    <w:rsid w:val="000B61FE"/>
    <w:rsid w:val="000C799D"/>
    <w:rsid w:val="000E0BBE"/>
    <w:rsid w:val="000E50FD"/>
    <w:rsid w:val="000F38D7"/>
    <w:rsid w:val="00114EEA"/>
    <w:rsid w:val="001279FB"/>
    <w:rsid w:val="0013012B"/>
    <w:rsid w:val="00132E8C"/>
    <w:rsid w:val="00137222"/>
    <w:rsid w:val="00142B12"/>
    <w:rsid w:val="001513E9"/>
    <w:rsid w:val="001634EC"/>
    <w:rsid w:val="00177AF4"/>
    <w:rsid w:val="0018508B"/>
    <w:rsid w:val="00185610"/>
    <w:rsid w:val="001860C5"/>
    <w:rsid w:val="00191885"/>
    <w:rsid w:val="00194B84"/>
    <w:rsid w:val="001956D0"/>
    <w:rsid w:val="001A0267"/>
    <w:rsid w:val="001A05C6"/>
    <w:rsid w:val="001A30B9"/>
    <w:rsid w:val="001A5D06"/>
    <w:rsid w:val="001B3A34"/>
    <w:rsid w:val="001B3A3C"/>
    <w:rsid w:val="001B4A7E"/>
    <w:rsid w:val="001C15B8"/>
    <w:rsid w:val="001C4C41"/>
    <w:rsid w:val="001C7CB3"/>
    <w:rsid w:val="001D3713"/>
    <w:rsid w:val="001E530F"/>
    <w:rsid w:val="001F6A33"/>
    <w:rsid w:val="00200ACA"/>
    <w:rsid w:val="0020162F"/>
    <w:rsid w:val="00202089"/>
    <w:rsid w:val="00215601"/>
    <w:rsid w:val="002236F5"/>
    <w:rsid w:val="00224314"/>
    <w:rsid w:val="002307F6"/>
    <w:rsid w:val="002314ED"/>
    <w:rsid w:val="0025596A"/>
    <w:rsid w:val="002821A9"/>
    <w:rsid w:val="0028734E"/>
    <w:rsid w:val="00287352"/>
    <w:rsid w:val="0029217F"/>
    <w:rsid w:val="0029313B"/>
    <w:rsid w:val="00295C7C"/>
    <w:rsid w:val="002A6E22"/>
    <w:rsid w:val="002B013F"/>
    <w:rsid w:val="002B190A"/>
    <w:rsid w:val="002B528D"/>
    <w:rsid w:val="002B6DAE"/>
    <w:rsid w:val="002C0E8D"/>
    <w:rsid w:val="002C126F"/>
    <w:rsid w:val="002C22BD"/>
    <w:rsid w:val="002D48CF"/>
    <w:rsid w:val="002E5192"/>
    <w:rsid w:val="002E53D3"/>
    <w:rsid w:val="00300D6D"/>
    <w:rsid w:val="003130C9"/>
    <w:rsid w:val="00323926"/>
    <w:rsid w:val="00330057"/>
    <w:rsid w:val="003332F3"/>
    <w:rsid w:val="003333F3"/>
    <w:rsid w:val="00336ED0"/>
    <w:rsid w:val="003523E2"/>
    <w:rsid w:val="00353E8E"/>
    <w:rsid w:val="003618D4"/>
    <w:rsid w:val="0036277B"/>
    <w:rsid w:val="00362FA9"/>
    <w:rsid w:val="00373400"/>
    <w:rsid w:val="00376BC1"/>
    <w:rsid w:val="00377E27"/>
    <w:rsid w:val="003831B8"/>
    <w:rsid w:val="00384504"/>
    <w:rsid w:val="00395D69"/>
    <w:rsid w:val="00397F9A"/>
    <w:rsid w:val="003A0AF6"/>
    <w:rsid w:val="003A4989"/>
    <w:rsid w:val="003A5B4C"/>
    <w:rsid w:val="003A5D2F"/>
    <w:rsid w:val="003B0E96"/>
    <w:rsid w:val="003C3595"/>
    <w:rsid w:val="003D130D"/>
    <w:rsid w:val="003D4BB8"/>
    <w:rsid w:val="003E4373"/>
    <w:rsid w:val="003F000C"/>
    <w:rsid w:val="004033B2"/>
    <w:rsid w:val="00407C16"/>
    <w:rsid w:val="00420A2B"/>
    <w:rsid w:val="00444E01"/>
    <w:rsid w:val="00457B6B"/>
    <w:rsid w:val="00460989"/>
    <w:rsid w:val="00475E1E"/>
    <w:rsid w:val="00476760"/>
    <w:rsid w:val="00482C1E"/>
    <w:rsid w:val="00491600"/>
    <w:rsid w:val="00493DF3"/>
    <w:rsid w:val="004972E5"/>
    <w:rsid w:val="004B48B6"/>
    <w:rsid w:val="004B4FEC"/>
    <w:rsid w:val="004C0650"/>
    <w:rsid w:val="004D0601"/>
    <w:rsid w:val="004E4F3E"/>
    <w:rsid w:val="00503118"/>
    <w:rsid w:val="00504839"/>
    <w:rsid w:val="00504B00"/>
    <w:rsid w:val="00513F4C"/>
    <w:rsid w:val="00515976"/>
    <w:rsid w:val="00521DBF"/>
    <w:rsid w:val="005274C4"/>
    <w:rsid w:val="005306F6"/>
    <w:rsid w:val="00530DFF"/>
    <w:rsid w:val="00537BE6"/>
    <w:rsid w:val="00540B06"/>
    <w:rsid w:val="00540F7F"/>
    <w:rsid w:val="00542A7F"/>
    <w:rsid w:val="00551B98"/>
    <w:rsid w:val="00553442"/>
    <w:rsid w:val="0055678A"/>
    <w:rsid w:val="00570785"/>
    <w:rsid w:val="00573614"/>
    <w:rsid w:val="00582017"/>
    <w:rsid w:val="00583EBD"/>
    <w:rsid w:val="005E317D"/>
    <w:rsid w:val="005E36BA"/>
    <w:rsid w:val="005E6BBE"/>
    <w:rsid w:val="005F0CCB"/>
    <w:rsid w:val="005F48F5"/>
    <w:rsid w:val="006014BA"/>
    <w:rsid w:val="00601A04"/>
    <w:rsid w:val="00605573"/>
    <w:rsid w:val="00611F99"/>
    <w:rsid w:val="00612CD7"/>
    <w:rsid w:val="00620C1F"/>
    <w:rsid w:val="00626606"/>
    <w:rsid w:val="00634641"/>
    <w:rsid w:val="006352B4"/>
    <w:rsid w:val="006378E6"/>
    <w:rsid w:val="00640EF7"/>
    <w:rsid w:val="00642805"/>
    <w:rsid w:val="00645B38"/>
    <w:rsid w:val="0064774A"/>
    <w:rsid w:val="00653C4D"/>
    <w:rsid w:val="0066494D"/>
    <w:rsid w:val="00672809"/>
    <w:rsid w:val="00672C40"/>
    <w:rsid w:val="00682C8A"/>
    <w:rsid w:val="006901BD"/>
    <w:rsid w:val="006909F1"/>
    <w:rsid w:val="006A45B0"/>
    <w:rsid w:val="006A6240"/>
    <w:rsid w:val="006B17B3"/>
    <w:rsid w:val="006B5C90"/>
    <w:rsid w:val="006B6066"/>
    <w:rsid w:val="006C7C34"/>
    <w:rsid w:val="006E6EE3"/>
    <w:rsid w:val="0072379A"/>
    <w:rsid w:val="00725332"/>
    <w:rsid w:val="00725D0B"/>
    <w:rsid w:val="00726819"/>
    <w:rsid w:val="00731F54"/>
    <w:rsid w:val="00742137"/>
    <w:rsid w:val="00745B94"/>
    <w:rsid w:val="00745F92"/>
    <w:rsid w:val="00774067"/>
    <w:rsid w:val="007810D9"/>
    <w:rsid w:val="0078248F"/>
    <w:rsid w:val="00796C44"/>
    <w:rsid w:val="007B028F"/>
    <w:rsid w:val="007B0AC7"/>
    <w:rsid w:val="007D1E04"/>
    <w:rsid w:val="007E1F2C"/>
    <w:rsid w:val="007E2407"/>
    <w:rsid w:val="00811BF1"/>
    <w:rsid w:val="00820EC9"/>
    <w:rsid w:val="00821221"/>
    <w:rsid w:val="008223CF"/>
    <w:rsid w:val="008272A2"/>
    <w:rsid w:val="00827D27"/>
    <w:rsid w:val="00833012"/>
    <w:rsid w:val="00835742"/>
    <w:rsid w:val="00854DD7"/>
    <w:rsid w:val="0086298A"/>
    <w:rsid w:val="00864598"/>
    <w:rsid w:val="00865FB6"/>
    <w:rsid w:val="00875305"/>
    <w:rsid w:val="008810DA"/>
    <w:rsid w:val="008828B3"/>
    <w:rsid w:val="00886785"/>
    <w:rsid w:val="008A5FFC"/>
    <w:rsid w:val="008A66B4"/>
    <w:rsid w:val="008A7713"/>
    <w:rsid w:val="008F5F77"/>
    <w:rsid w:val="008F6F97"/>
    <w:rsid w:val="009001AF"/>
    <w:rsid w:val="00900D31"/>
    <w:rsid w:val="00912D16"/>
    <w:rsid w:val="009205A5"/>
    <w:rsid w:val="00922CC1"/>
    <w:rsid w:val="009267B2"/>
    <w:rsid w:val="009275DD"/>
    <w:rsid w:val="009375FB"/>
    <w:rsid w:val="009437BE"/>
    <w:rsid w:val="00945C2F"/>
    <w:rsid w:val="009518B8"/>
    <w:rsid w:val="00954E3B"/>
    <w:rsid w:val="00955349"/>
    <w:rsid w:val="009649D5"/>
    <w:rsid w:val="00972266"/>
    <w:rsid w:val="00994349"/>
    <w:rsid w:val="009A23BD"/>
    <w:rsid w:val="009A4E23"/>
    <w:rsid w:val="009A6EE7"/>
    <w:rsid w:val="009A754C"/>
    <w:rsid w:val="009B0901"/>
    <w:rsid w:val="009B1F32"/>
    <w:rsid w:val="009C1024"/>
    <w:rsid w:val="009C77DE"/>
    <w:rsid w:val="009C789E"/>
    <w:rsid w:val="009D2577"/>
    <w:rsid w:val="009D62AD"/>
    <w:rsid w:val="009E4CC0"/>
    <w:rsid w:val="009F3E7E"/>
    <w:rsid w:val="009F7088"/>
    <w:rsid w:val="00A136BE"/>
    <w:rsid w:val="00A1539D"/>
    <w:rsid w:val="00A2324B"/>
    <w:rsid w:val="00A24CA7"/>
    <w:rsid w:val="00A3290F"/>
    <w:rsid w:val="00A341EA"/>
    <w:rsid w:val="00A36E92"/>
    <w:rsid w:val="00A410F2"/>
    <w:rsid w:val="00A46186"/>
    <w:rsid w:val="00A50B40"/>
    <w:rsid w:val="00A54B28"/>
    <w:rsid w:val="00A57731"/>
    <w:rsid w:val="00A65C35"/>
    <w:rsid w:val="00A70D1D"/>
    <w:rsid w:val="00A874BD"/>
    <w:rsid w:val="00AA4D26"/>
    <w:rsid w:val="00AB09A6"/>
    <w:rsid w:val="00AC1EC2"/>
    <w:rsid w:val="00AD01AB"/>
    <w:rsid w:val="00AE1078"/>
    <w:rsid w:val="00AE1E2E"/>
    <w:rsid w:val="00B02C6A"/>
    <w:rsid w:val="00B163A7"/>
    <w:rsid w:val="00B32562"/>
    <w:rsid w:val="00B33852"/>
    <w:rsid w:val="00B4051F"/>
    <w:rsid w:val="00B51A6F"/>
    <w:rsid w:val="00B623F7"/>
    <w:rsid w:val="00B6261A"/>
    <w:rsid w:val="00B714A2"/>
    <w:rsid w:val="00B75026"/>
    <w:rsid w:val="00B873F3"/>
    <w:rsid w:val="00BB1CBA"/>
    <w:rsid w:val="00BB2274"/>
    <w:rsid w:val="00BB29E9"/>
    <w:rsid w:val="00BB6D5E"/>
    <w:rsid w:val="00BC2357"/>
    <w:rsid w:val="00BC3F90"/>
    <w:rsid w:val="00BD0885"/>
    <w:rsid w:val="00BD3789"/>
    <w:rsid w:val="00BE0E47"/>
    <w:rsid w:val="00C05276"/>
    <w:rsid w:val="00C0577E"/>
    <w:rsid w:val="00C1255F"/>
    <w:rsid w:val="00C218D4"/>
    <w:rsid w:val="00C3523E"/>
    <w:rsid w:val="00C475F4"/>
    <w:rsid w:val="00C47E52"/>
    <w:rsid w:val="00C50E0E"/>
    <w:rsid w:val="00C55C07"/>
    <w:rsid w:val="00C8289A"/>
    <w:rsid w:val="00C86E3C"/>
    <w:rsid w:val="00C90301"/>
    <w:rsid w:val="00CA2A8C"/>
    <w:rsid w:val="00CB1015"/>
    <w:rsid w:val="00CD23E2"/>
    <w:rsid w:val="00CD34A3"/>
    <w:rsid w:val="00CD4E22"/>
    <w:rsid w:val="00CE15CB"/>
    <w:rsid w:val="00CE6367"/>
    <w:rsid w:val="00CF050A"/>
    <w:rsid w:val="00CF41A5"/>
    <w:rsid w:val="00CF5B9C"/>
    <w:rsid w:val="00D0306F"/>
    <w:rsid w:val="00D055AE"/>
    <w:rsid w:val="00D0739C"/>
    <w:rsid w:val="00D167BA"/>
    <w:rsid w:val="00D22ABF"/>
    <w:rsid w:val="00D27AD5"/>
    <w:rsid w:val="00D32422"/>
    <w:rsid w:val="00D32CC6"/>
    <w:rsid w:val="00D37F98"/>
    <w:rsid w:val="00D4256E"/>
    <w:rsid w:val="00D432FE"/>
    <w:rsid w:val="00D44AAF"/>
    <w:rsid w:val="00D54EB9"/>
    <w:rsid w:val="00D60266"/>
    <w:rsid w:val="00D61050"/>
    <w:rsid w:val="00D615DF"/>
    <w:rsid w:val="00D66847"/>
    <w:rsid w:val="00D74C7B"/>
    <w:rsid w:val="00D95157"/>
    <w:rsid w:val="00DA47ED"/>
    <w:rsid w:val="00DA5A7A"/>
    <w:rsid w:val="00DB0230"/>
    <w:rsid w:val="00DD5ADD"/>
    <w:rsid w:val="00DE406F"/>
    <w:rsid w:val="00DE49E2"/>
    <w:rsid w:val="00DF38F1"/>
    <w:rsid w:val="00DF6854"/>
    <w:rsid w:val="00DF6F12"/>
    <w:rsid w:val="00E137BB"/>
    <w:rsid w:val="00E156EE"/>
    <w:rsid w:val="00E17675"/>
    <w:rsid w:val="00E529B8"/>
    <w:rsid w:val="00E545A9"/>
    <w:rsid w:val="00E54C20"/>
    <w:rsid w:val="00E55382"/>
    <w:rsid w:val="00E57C80"/>
    <w:rsid w:val="00E66F9C"/>
    <w:rsid w:val="00E67357"/>
    <w:rsid w:val="00E77F87"/>
    <w:rsid w:val="00E844F6"/>
    <w:rsid w:val="00EA6961"/>
    <w:rsid w:val="00EB4AC9"/>
    <w:rsid w:val="00EB74D9"/>
    <w:rsid w:val="00EC4DB6"/>
    <w:rsid w:val="00EC7B5D"/>
    <w:rsid w:val="00ED0AC5"/>
    <w:rsid w:val="00ED2C6F"/>
    <w:rsid w:val="00ED30AE"/>
    <w:rsid w:val="00EF46A2"/>
    <w:rsid w:val="00F13EF0"/>
    <w:rsid w:val="00F166A0"/>
    <w:rsid w:val="00F1674E"/>
    <w:rsid w:val="00F170C0"/>
    <w:rsid w:val="00F17376"/>
    <w:rsid w:val="00F4180D"/>
    <w:rsid w:val="00F4253E"/>
    <w:rsid w:val="00F459BC"/>
    <w:rsid w:val="00F518DA"/>
    <w:rsid w:val="00F559D0"/>
    <w:rsid w:val="00F644E1"/>
    <w:rsid w:val="00F66B8B"/>
    <w:rsid w:val="00F70226"/>
    <w:rsid w:val="00F81409"/>
    <w:rsid w:val="00F83494"/>
    <w:rsid w:val="00F853D2"/>
    <w:rsid w:val="00F951C2"/>
    <w:rsid w:val="00F961F3"/>
    <w:rsid w:val="00F977DA"/>
    <w:rsid w:val="00FA0EE6"/>
    <w:rsid w:val="00FA0F1C"/>
    <w:rsid w:val="00FA1081"/>
    <w:rsid w:val="00FB01F9"/>
    <w:rsid w:val="00FB3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6790"/>
  <w15:chartTrackingRefBased/>
  <w15:docId w15:val="{0E0BD211-B066-4C54-86EE-F73EEBC1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0AC7"/>
    <w:pPr>
      <w:spacing w:after="240" w:line="240" w:lineRule="auto"/>
      <w:outlineLvl w:val="0"/>
    </w:pPr>
    <w:rPr>
      <w:rFonts w:ascii="Arial" w:eastAsia="Calibri" w:hAnsi="Arial" w:cs="Arial"/>
      <w:b/>
      <w:bCs/>
      <w:color w:val="E5005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828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8289A"/>
  </w:style>
  <w:style w:type="character" w:customStyle="1" w:styleId="eop">
    <w:name w:val="eop"/>
    <w:basedOn w:val="DefaultParagraphFont"/>
    <w:rsid w:val="00C8289A"/>
  </w:style>
  <w:style w:type="character" w:styleId="CommentReference">
    <w:name w:val="annotation reference"/>
    <w:basedOn w:val="DefaultParagraphFont"/>
    <w:uiPriority w:val="99"/>
    <w:semiHidden/>
    <w:unhideWhenUsed/>
    <w:rsid w:val="00796C44"/>
    <w:rPr>
      <w:sz w:val="16"/>
      <w:szCs w:val="16"/>
    </w:rPr>
  </w:style>
  <w:style w:type="paragraph" w:styleId="CommentText">
    <w:name w:val="annotation text"/>
    <w:basedOn w:val="Normal"/>
    <w:link w:val="CommentTextChar"/>
    <w:uiPriority w:val="99"/>
    <w:semiHidden/>
    <w:unhideWhenUsed/>
    <w:rsid w:val="00796C44"/>
    <w:pPr>
      <w:spacing w:line="240" w:lineRule="auto"/>
    </w:pPr>
    <w:rPr>
      <w:sz w:val="20"/>
      <w:szCs w:val="20"/>
    </w:rPr>
  </w:style>
  <w:style w:type="character" w:customStyle="1" w:styleId="CommentTextChar">
    <w:name w:val="Comment Text Char"/>
    <w:basedOn w:val="DefaultParagraphFont"/>
    <w:link w:val="CommentText"/>
    <w:uiPriority w:val="99"/>
    <w:semiHidden/>
    <w:rsid w:val="00796C44"/>
    <w:rPr>
      <w:sz w:val="20"/>
      <w:szCs w:val="20"/>
    </w:rPr>
  </w:style>
  <w:style w:type="paragraph" w:styleId="CommentSubject">
    <w:name w:val="annotation subject"/>
    <w:basedOn w:val="CommentText"/>
    <w:next w:val="CommentText"/>
    <w:link w:val="CommentSubjectChar"/>
    <w:uiPriority w:val="99"/>
    <w:semiHidden/>
    <w:unhideWhenUsed/>
    <w:rsid w:val="00796C44"/>
    <w:rPr>
      <w:b/>
      <w:bCs/>
    </w:rPr>
  </w:style>
  <w:style w:type="character" w:customStyle="1" w:styleId="CommentSubjectChar">
    <w:name w:val="Comment Subject Char"/>
    <w:basedOn w:val="CommentTextChar"/>
    <w:link w:val="CommentSubject"/>
    <w:uiPriority w:val="99"/>
    <w:semiHidden/>
    <w:rsid w:val="00796C44"/>
    <w:rPr>
      <w:b/>
      <w:bCs/>
      <w:sz w:val="20"/>
      <w:szCs w:val="20"/>
    </w:rPr>
  </w:style>
  <w:style w:type="character" w:customStyle="1" w:styleId="Heading1Char">
    <w:name w:val="Heading 1 Char"/>
    <w:basedOn w:val="DefaultParagraphFont"/>
    <w:link w:val="Heading1"/>
    <w:uiPriority w:val="9"/>
    <w:rsid w:val="007B0AC7"/>
    <w:rPr>
      <w:rFonts w:ascii="Arial" w:eastAsia="Calibri" w:hAnsi="Arial" w:cs="Arial"/>
      <w:b/>
      <w:bCs/>
      <w:color w:val="E50051"/>
      <w:sz w:val="28"/>
      <w:szCs w:val="28"/>
    </w:rPr>
  </w:style>
  <w:style w:type="character" w:styleId="Hyperlink">
    <w:name w:val="Hyperlink"/>
    <w:uiPriority w:val="99"/>
    <w:unhideWhenUsed/>
    <w:rsid w:val="007B0AC7"/>
    <w:rPr>
      <w:rFonts w:ascii="Times New Roman" w:hAnsi="Times New Roman" w:cs="Times New Roman" w:hint="default"/>
      <w:color w:val="0000FF"/>
      <w:u w:val="single"/>
    </w:rPr>
  </w:style>
  <w:style w:type="paragraph" w:styleId="ListParagraph">
    <w:name w:val="List Paragraph"/>
    <w:basedOn w:val="Normal"/>
    <w:uiPriority w:val="34"/>
    <w:qFormat/>
    <w:rsid w:val="00CD4E22"/>
    <w:pPr>
      <w:spacing w:after="0" w:line="240" w:lineRule="auto"/>
      <w:ind w:left="720"/>
    </w:pPr>
    <w:rPr>
      <w:rFonts w:ascii="Calibri" w:hAnsi="Calibri" w:cs="Calibri"/>
    </w:rPr>
  </w:style>
  <w:style w:type="character" w:styleId="SmartLink">
    <w:name w:val="Smart Link"/>
    <w:basedOn w:val="DefaultParagraphFont"/>
    <w:uiPriority w:val="99"/>
    <w:semiHidden/>
    <w:unhideWhenUsed/>
    <w:rsid w:val="00CD4E22"/>
    <w:rPr>
      <w:color w:val="0000FF"/>
      <w:u w:val="single"/>
      <w:shd w:val="clear" w:color="auto" w:fill="F3F2F1"/>
    </w:rPr>
  </w:style>
  <w:style w:type="character" w:styleId="UnresolvedMention">
    <w:name w:val="Unresolved Mention"/>
    <w:basedOn w:val="DefaultParagraphFont"/>
    <w:uiPriority w:val="99"/>
    <w:semiHidden/>
    <w:unhideWhenUsed/>
    <w:rsid w:val="00DD5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178673">
      <w:bodyDiv w:val="1"/>
      <w:marLeft w:val="0"/>
      <w:marRight w:val="0"/>
      <w:marTop w:val="0"/>
      <w:marBottom w:val="0"/>
      <w:divBdr>
        <w:top w:val="none" w:sz="0" w:space="0" w:color="auto"/>
        <w:left w:val="none" w:sz="0" w:space="0" w:color="auto"/>
        <w:bottom w:val="none" w:sz="0" w:space="0" w:color="auto"/>
        <w:right w:val="none" w:sz="0" w:space="0" w:color="auto"/>
      </w:divBdr>
      <w:divsChild>
        <w:div w:id="34695536">
          <w:marLeft w:val="0"/>
          <w:marRight w:val="0"/>
          <w:marTop w:val="0"/>
          <w:marBottom w:val="0"/>
          <w:divBdr>
            <w:top w:val="none" w:sz="0" w:space="0" w:color="auto"/>
            <w:left w:val="none" w:sz="0" w:space="0" w:color="auto"/>
            <w:bottom w:val="none" w:sz="0" w:space="0" w:color="auto"/>
            <w:right w:val="none" w:sz="0" w:space="0" w:color="auto"/>
          </w:divBdr>
        </w:div>
        <w:div w:id="79180520">
          <w:marLeft w:val="0"/>
          <w:marRight w:val="0"/>
          <w:marTop w:val="0"/>
          <w:marBottom w:val="0"/>
          <w:divBdr>
            <w:top w:val="none" w:sz="0" w:space="0" w:color="auto"/>
            <w:left w:val="none" w:sz="0" w:space="0" w:color="auto"/>
            <w:bottom w:val="none" w:sz="0" w:space="0" w:color="auto"/>
            <w:right w:val="none" w:sz="0" w:space="0" w:color="auto"/>
          </w:divBdr>
        </w:div>
        <w:div w:id="160001810">
          <w:marLeft w:val="0"/>
          <w:marRight w:val="0"/>
          <w:marTop w:val="0"/>
          <w:marBottom w:val="0"/>
          <w:divBdr>
            <w:top w:val="none" w:sz="0" w:space="0" w:color="auto"/>
            <w:left w:val="none" w:sz="0" w:space="0" w:color="auto"/>
            <w:bottom w:val="none" w:sz="0" w:space="0" w:color="auto"/>
            <w:right w:val="none" w:sz="0" w:space="0" w:color="auto"/>
          </w:divBdr>
        </w:div>
        <w:div w:id="168761046">
          <w:marLeft w:val="0"/>
          <w:marRight w:val="0"/>
          <w:marTop w:val="0"/>
          <w:marBottom w:val="0"/>
          <w:divBdr>
            <w:top w:val="none" w:sz="0" w:space="0" w:color="auto"/>
            <w:left w:val="none" w:sz="0" w:space="0" w:color="auto"/>
            <w:bottom w:val="none" w:sz="0" w:space="0" w:color="auto"/>
            <w:right w:val="none" w:sz="0" w:space="0" w:color="auto"/>
          </w:divBdr>
        </w:div>
        <w:div w:id="261570601">
          <w:marLeft w:val="0"/>
          <w:marRight w:val="0"/>
          <w:marTop w:val="0"/>
          <w:marBottom w:val="0"/>
          <w:divBdr>
            <w:top w:val="none" w:sz="0" w:space="0" w:color="auto"/>
            <w:left w:val="none" w:sz="0" w:space="0" w:color="auto"/>
            <w:bottom w:val="none" w:sz="0" w:space="0" w:color="auto"/>
            <w:right w:val="none" w:sz="0" w:space="0" w:color="auto"/>
          </w:divBdr>
        </w:div>
        <w:div w:id="895972204">
          <w:marLeft w:val="0"/>
          <w:marRight w:val="0"/>
          <w:marTop w:val="0"/>
          <w:marBottom w:val="0"/>
          <w:divBdr>
            <w:top w:val="none" w:sz="0" w:space="0" w:color="auto"/>
            <w:left w:val="none" w:sz="0" w:space="0" w:color="auto"/>
            <w:bottom w:val="none" w:sz="0" w:space="0" w:color="auto"/>
            <w:right w:val="none" w:sz="0" w:space="0" w:color="auto"/>
          </w:divBdr>
        </w:div>
        <w:div w:id="905379997">
          <w:marLeft w:val="0"/>
          <w:marRight w:val="0"/>
          <w:marTop w:val="0"/>
          <w:marBottom w:val="0"/>
          <w:divBdr>
            <w:top w:val="none" w:sz="0" w:space="0" w:color="auto"/>
            <w:left w:val="none" w:sz="0" w:space="0" w:color="auto"/>
            <w:bottom w:val="none" w:sz="0" w:space="0" w:color="auto"/>
            <w:right w:val="none" w:sz="0" w:space="0" w:color="auto"/>
          </w:divBdr>
        </w:div>
        <w:div w:id="909267996">
          <w:marLeft w:val="0"/>
          <w:marRight w:val="0"/>
          <w:marTop w:val="0"/>
          <w:marBottom w:val="0"/>
          <w:divBdr>
            <w:top w:val="none" w:sz="0" w:space="0" w:color="auto"/>
            <w:left w:val="none" w:sz="0" w:space="0" w:color="auto"/>
            <w:bottom w:val="none" w:sz="0" w:space="0" w:color="auto"/>
            <w:right w:val="none" w:sz="0" w:space="0" w:color="auto"/>
          </w:divBdr>
        </w:div>
        <w:div w:id="1020738707">
          <w:marLeft w:val="0"/>
          <w:marRight w:val="0"/>
          <w:marTop w:val="0"/>
          <w:marBottom w:val="0"/>
          <w:divBdr>
            <w:top w:val="none" w:sz="0" w:space="0" w:color="auto"/>
            <w:left w:val="none" w:sz="0" w:space="0" w:color="auto"/>
            <w:bottom w:val="none" w:sz="0" w:space="0" w:color="auto"/>
            <w:right w:val="none" w:sz="0" w:space="0" w:color="auto"/>
          </w:divBdr>
        </w:div>
        <w:div w:id="1230076505">
          <w:marLeft w:val="0"/>
          <w:marRight w:val="0"/>
          <w:marTop w:val="0"/>
          <w:marBottom w:val="0"/>
          <w:divBdr>
            <w:top w:val="none" w:sz="0" w:space="0" w:color="auto"/>
            <w:left w:val="none" w:sz="0" w:space="0" w:color="auto"/>
            <w:bottom w:val="none" w:sz="0" w:space="0" w:color="auto"/>
            <w:right w:val="none" w:sz="0" w:space="0" w:color="auto"/>
          </w:divBdr>
        </w:div>
        <w:div w:id="1278952496">
          <w:marLeft w:val="0"/>
          <w:marRight w:val="0"/>
          <w:marTop w:val="0"/>
          <w:marBottom w:val="0"/>
          <w:divBdr>
            <w:top w:val="none" w:sz="0" w:space="0" w:color="auto"/>
            <w:left w:val="none" w:sz="0" w:space="0" w:color="auto"/>
            <w:bottom w:val="none" w:sz="0" w:space="0" w:color="auto"/>
            <w:right w:val="none" w:sz="0" w:space="0" w:color="auto"/>
          </w:divBdr>
        </w:div>
        <w:div w:id="1325089704">
          <w:marLeft w:val="0"/>
          <w:marRight w:val="0"/>
          <w:marTop w:val="0"/>
          <w:marBottom w:val="0"/>
          <w:divBdr>
            <w:top w:val="none" w:sz="0" w:space="0" w:color="auto"/>
            <w:left w:val="none" w:sz="0" w:space="0" w:color="auto"/>
            <w:bottom w:val="none" w:sz="0" w:space="0" w:color="auto"/>
            <w:right w:val="none" w:sz="0" w:space="0" w:color="auto"/>
          </w:divBdr>
        </w:div>
        <w:div w:id="1660232403">
          <w:marLeft w:val="0"/>
          <w:marRight w:val="0"/>
          <w:marTop w:val="0"/>
          <w:marBottom w:val="0"/>
          <w:divBdr>
            <w:top w:val="none" w:sz="0" w:space="0" w:color="auto"/>
            <w:left w:val="none" w:sz="0" w:space="0" w:color="auto"/>
            <w:bottom w:val="none" w:sz="0" w:space="0" w:color="auto"/>
            <w:right w:val="none" w:sz="0" w:space="0" w:color="auto"/>
          </w:divBdr>
        </w:div>
        <w:div w:id="1759866569">
          <w:marLeft w:val="0"/>
          <w:marRight w:val="0"/>
          <w:marTop w:val="0"/>
          <w:marBottom w:val="0"/>
          <w:divBdr>
            <w:top w:val="none" w:sz="0" w:space="0" w:color="auto"/>
            <w:left w:val="none" w:sz="0" w:space="0" w:color="auto"/>
            <w:bottom w:val="none" w:sz="0" w:space="0" w:color="auto"/>
            <w:right w:val="none" w:sz="0" w:space="0" w:color="auto"/>
          </w:divBdr>
        </w:div>
        <w:div w:id="1761026877">
          <w:marLeft w:val="0"/>
          <w:marRight w:val="0"/>
          <w:marTop w:val="0"/>
          <w:marBottom w:val="0"/>
          <w:divBdr>
            <w:top w:val="none" w:sz="0" w:space="0" w:color="auto"/>
            <w:left w:val="none" w:sz="0" w:space="0" w:color="auto"/>
            <w:bottom w:val="none" w:sz="0" w:space="0" w:color="auto"/>
            <w:right w:val="none" w:sz="0" w:space="0" w:color="auto"/>
          </w:divBdr>
        </w:div>
        <w:div w:id="1781022521">
          <w:marLeft w:val="0"/>
          <w:marRight w:val="0"/>
          <w:marTop w:val="0"/>
          <w:marBottom w:val="0"/>
          <w:divBdr>
            <w:top w:val="none" w:sz="0" w:space="0" w:color="auto"/>
            <w:left w:val="none" w:sz="0" w:space="0" w:color="auto"/>
            <w:bottom w:val="none" w:sz="0" w:space="0" w:color="auto"/>
            <w:right w:val="none" w:sz="0" w:space="0" w:color="auto"/>
          </w:divBdr>
        </w:div>
        <w:div w:id="1809742356">
          <w:marLeft w:val="0"/>
          <w:marRight w:val="0"/>
          <w:marTop w:val="0"/>
          <w:marBottom w:val="0"/>
          <w:divBdr>
            <w:top w:val="none" w:sz="0" w:space="0" w:color="auto"/>
            <w:left w:val="none" w:sz="0" w:space="0" w:color="auto"/>
            <w:bottom w:val="none" w:sz="0" w:space="0" w:color="auto"/>
            <w:right w:val="none" w:sz="0" w:space="0" w:color="auto"/>
          </w:divBdr>
        </w:div>
        <w:div w:id="2136675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ndontender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hyperlink" Target="https://www.youtube.com/watch?v=4kZ9yVbOW18" TargetMode="External"/><Relationship Id="rId4" Type="http://schemas.openxmlformats.org/officeDocument/2006/relationships/customXml" Target="../customXml/item4.xml"/><Relationship Id="rId9" Type="http://schemas.openxmlformats.org/officeDocument/2006/relationships/hyperlink" Target="https://crimerate.co.uk/lond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31EFDE099F714ABF736ADD27E19DD4" ma:contentTypeVersion="4" ma:contentTypeDescription="Create a new document." ma:contentTypeScope="" ma:versionID="9b6e0edf06130f72e848309f71ca6226">
  <xsd:schema xmlns:xsd="http://www.w3.org/2001/XMLSchema" xmlns:xs="http://www.w3.org/2001/XMLSchema" xmlns:p="http://schemas.microsoft.com/office/2006/metadata/properties" xmlns:ns2="2493c0f4-1847-49a3-bf77-ec9c4308af2a" xmlns:ns3="bb0297da-6251-4eb4-b206-977625ea0ccd" targetNamespace="http://schemas.microsoft.com/office/2006/metadata/properties" ma:root="true" ma:fieldsID="59ea027ce67eae6a6c5f08d24057177a" ns2:_="" ns3:_="">
    <xsd:import namespace="2493c0f4-1847-49a3-bf77-ec9c4308af2a"/>
    <xsd:import namespace="bb0297da-6251-4eb4-b206-977625ea0c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3c0f4-1847-49a3-bf77-ec9c4308a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0297da-6251-4eb4-b206-977625ea0c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A5B5CD-9EAA-4AB7-BCB1-B0C912522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3c0f4-1847-49a3-bf77-ec9c4308af2a"/>
    <ds:schemaRef ds:uri="bb0297da-6251-4eb4-b206-977625ea0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FE8AC-28FC-452B-876B-968390EA1AC8}">
  <ds:schemaRefs>
    <ds:schemaRef ds:uri="http://schemas.openxmlformats.org/officeDocument/2006/bibliography"/>
  </ds:schemaRefs>
</ds:datastoreItem>
</file>

<file path=customXml/itemProps3.xml><?xml version="1.0" encoding="utf-8"?>
<ds:datastoreItem xmlns:ds="http://schemas.openxmlformats.org/officeDocument/2006/customXml" ds:itemID="{3EB90C8D-2801-4A56-991A-0967DC92FEAB}">
  <ds:schemaRefs>
    <ds:schemaRef ds:uri="http://schemas.microsoft.com/sharepoint/v3/contenttype/forms"/>
  </ds:schemaRefs>
</ds:datastoreItem>
</file>

<file path=customXml/itemProps4.xml><?xml version="1.0" encoding="utf-8"?>
<ds:datastoreItem xmlns:ds="http://schemas.openxmlformats.org/officeDocument/2006/customXml" ds:itemID="{58DEB345-C45E-4DD8-9672-D8CF80E63CAE}">
  <ds:schemaRefs>
    <ds:schemaRef ds:uri="http://schemas.microsoft.com/office/infopath/2007/PartnerControls"/>
    <ds:schemaRef ds:uri="http://www.w3.org/XML/1998/namespace"/>
    <ds:schemaRef ds:uri="http://purl.org/dc/elements/1.1/"/>
    <ds:schemaRef ds:uri="http://schemas.microsoft.com/office/2006/documentManagement/types"/>
    <ds:schemaRef ds:uri="bb0297da-6251-4eb4-b206-977625ea0ccd"/>
    <ds:schemaRef ds:uri="2493c0f4-1847-49a3-bf77-ec9c4308af2a"/>
    <ds:schemaRef ds:uri="http://schemas.openxmlformats.org/package/2006/metadata/core-propertie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1991</Words>
  <Characters>11350</Characters>
  <Application>Microsoft Office Word</Application>
  <DocSecurity>0</DocSecurity>
  <Lines>94</Lines>
  <Paragraphs>26</Paragraphs>
  <ScaleCrop>false</ScaleCrop>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Hibbs-Woodings</dc:creator>
  <cp:keywords/>
  <dc:description/>
  <cp:lastModifiedBy>Toby Stone</cp:lastModifiedBy>
  <cp:revision>2</cp:revision>
  <dcterms:created xsi:type="dcterms:W3CDTF">2023-02-03T10:59:00Z</dcterms:created>
  <dcterms:modified xsi:type="dcterms:W3CDTF">2023-02-03T10:59:00Z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0x0101002A31EFDE099F714ABF736ADD27E19DD4</vt:lpwstr>
  </property>
</Properties>
</file>