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1B66" w14:textId="642BE907" w:rsidR="003067C9" w:rsidRPr="00D61CEA" w:rsidRDefault="00637491" w:rsidP="00D61CEA">
      <w:pPr>
        <w:spacing w:after="37"/>
        <w:jc w:val="center"/>
        <w:outlineLvl w:val="1"/>
        <w:rPr>
          <w:rFonts w:cs="Arial"/>
          <w:b/>
          <w:bCs/>
          <w:color w:val="FF0000"/>
          <w:sz w:val="36"/>
          <w:szCs w:val="36"/>
        </w:rPr>
      </w:pPr>
      <w:r w:rsidRPr="00C41107">
        <w:rPr>
          <w:rFonts w:cs="Arial"/>
          <w:b/>
          <w:bCs/>
          <w:color w:val="000000"/>
          <w:sz w:val="28"/>
          <w:szCs w:val="28"/>
        </w:rPr>
        <w:t xml:space="preserve">Reference </w:t>
      </w:r>
      <w:r w:rsidR="00DD3BE4">
        <w:rPr>
          <w:rFonts w:cs="Arial"/>
          <w:b/>
          <w:bCs/>
          <w:color w:val="000000"/>
          <w:sz w:val="28"/>
          <w:szCs w:val="28"/>
        </w:rPr>
        <w:t>–</w:t>
      </w:r>
      <w:r>
        <w:rPr>
          <w:rFonts w:cs="Arial"/>
          <w:b/>
          <w:bCs/>
          <w:color w:val="000000"/>
          <w:sz w:val="28"/>
          <w:szCs w:val="28"/>
        </w:rPr>
        <w:t xml:space="preserve"> </w:t>
      </w:r>
      <w:bookmarkStart w:id="0" w:name="_Hlk103005525"/>
      <w:r w:rsidR="003067C9" w:rsidRPr="003067C9">
        <w:rPr>
          <w:rFonts w:cs="Arial"/>
          <w:b/>
          <w:bCs/>
          <w:color w:val="FF0000"/>
          <w:sz w:val="28"/>
          <w:szCs w:val="28"/>
        </w:rPr>
        <w:t xml:space="preserve">5419 - Provision of Supported Living Services for those with a learning disability and or Autism at </w:t>
      </w:r>
      <w:proofErr w:type="spellStart"/>
      <w:r w:rsidR="003067C9" w:rsidRPr="003067C9">
        <w:rPr>
          <w:rFonts w:cs="Arial"/>
          <w:b/>
          <w:bCs/>
          <w:color w:val="FF0000"/>
          <w:sz w:val="28"/>
          <w:szCs w:val="28"/>
        </w:rPr>
        <w:t>Pengarth</w:t>
      </w:r>
      <w:proofErr w:type="spellEnd"/>
      <w:r w:rsidR="003067C9" w:rsidRPr="003067C9">
        <w:rPr>
          <w:rFonts w:cs="Arial"/>
          <w:b/>
          <w:bCs/>
          <w:color w:val="FF0000"/>
          <w:sz w:val="28"/>
          <w:szCs w:val="28"/>
        </w:rPr>
        <w:t xml:space="preserve"> Rd </w:t>
      </w:r>
    </w:p>
    <w:bookmarkEnd w:id="0"/>
    <w:p w14:paraId="4B4FF826" w14:textId="0D51F412" w:rsidR="00637491" w:rsidRDefault="00637491" w:rsidP="003067C9">
      <w:pPr>
        <w:rPr>
          <w:b/>
          <w:sz w:val="28"/>
          <w:szCs w:val="28"/>
        </w:rPr>
      </w:pPr>
    </w:p>
    <w:p w14:paraId="4B93EC81" w14:textId="77777777" w:rsidR="003E5FA4" w:rsidRPr="00D61CEA" w:rsidRDefault="00637491" w:rsidP="003E5FA4">
      <w:pPr>
        <w:autoSpaceDE w:val="0"/>
        <w:autoSpaceDN w:val="0"/>
        <w:rPr>
          <w:rFonts w:cs="Arial"/>
          <w:sz w:val="20"/>
          <w:szCs w:val="20"/>
        </w:rPr>
      </w:pPr>
      <w:r w:rsidRPr="00637491">
        <w:rPr>
          <w:b/>
          <w:sz w:val="28"/>
          <w:szCs w:val="28"/>
        </w:rPr>
        <w:t xml:space="preserve">Details - </w:t>
      </w:r>
      <w:bookmarkStart w:id="1" w:name="_Hlk103005140"/>
      <w:r w:rsidR="003E5FA4" w:rsidRPr="00D61CEA">
        <w:rPr>
          <w:rFonts w:cs="Arial"/>
          <w:sz w:val="20"/>
          <w:szCs w:val="20"/>
        </w:rPr>
        <w:t xml:space="preserve">People making the Transition from Children to Adults services are particularly in need of a bespoke service which will assist them to acquire and develop skills to help them to transition to independent living, maximise independence and seek employment options. The London Borough of Bexley is seeking a provider to deliver this service, at 57 </w:t>
      </w:r>
      <w:proofErr w:type="spellStart"/>
      <w:r w:rsidR="003E5FA4" w:rsidRPr="00D61CEA">
        <w:rPr>
          <w:rFonts w:cs="Arial"/>
          <w:sz w:val="20"/>
          <w:szCs w:val="20"/>
        </w:rPr>
        <w:t>Pengarth</w:t>
      </w:r>
      <w:proofErr w:type="spellEnd"/>
      <w:r w:rsidR="003E5FA4" w:rsidRPr="00D61CEA">
        <w:rPr>
          <w:rFonts w:cs="Arial"/>
          <w:sz w:val="20"/>
          <w:szCs w:val="20"/>
        </w:rPr>
        <w:t xml:space="preserve"> Road Bexley DA5 1DS. This is a five bedded supported living home, specifically dedicated for young people aged 18 to 27 years with a learning disability and or Autism. </w:t>
      </w:r>
    </w:p>
    <w:p w14:paraId="04E4E7DC" w14:textId="77777777" w:rsidR="003E5FA4" w:rsidRPr="00D61CEA" w:rsidRDefault="003E5FA4" w:rsidP="003E5FA4">
      <w:pPr>
        <w:spacing w:before="120" w:after="60"/>
        <w:jc w:val="both"/>
        <w:rPr>
          <w:rFonts w:cs="Arial"/>
          <w:sz w:val="20"/>
          <w:szCs w:val="20"/>
        </w:rPr>
      </w:pPr>
      <w:r w:rsidRPr="00D61CEA">
        <w:rPr>
          <w:rFonts w:cs="Arial"/>
          <w:sz w:val="20"/>
          <w:szCs w:val="20"/>
        </w:rPr>
        <w:t xml:space="preserve">Adult Social Care in Bexley is currently aware of 102 young people with learning disabilities, aged 14 to 18 years, which may potentially require this service </w:t>
      </w:r>
    </w:p>
    <w:p w14:paraId="5C9F91FA" w14:textId="77777777" w:rsidR="003E5FA4" w:rsidRPr="00D61CEA" w:rsidRDefault="003E5FA4" w:rsidP="003E5FA4">
      <w:pPr>
        <w:rPr>
          <w:rFonts w:cs="Arial"/>
          <w:sz w:val="20"/>
          <w:szCs w:val="20"/>
        </w:rPr>
      </w:pPr>
    </w:p>
    <w:p w14:paraId="70B0005B" w14:textId="77777777" w:rsidR="003E5FA4" w:rsidRPr="00D61CEA" w:rsidRDefault="003E5FA4" w:rsidP="003E5FA4">
      <w:pPr>
        <w:rPr>
          <w:rFonts w:cs="Arial"/>
          <w:sz w:val="20"/>
          <w:szCs w:val="20"/>
        </w:rPr>
      </w:pPr>
      <w:r w:rsidRPr="00D61CEA">
        <w:rPr>
          <w:rFonts w:cs="Arial"/>
          <w:sz w:val="20"/>
          <w:szCs w:val="20"/>
        </w:rPr>
        <w:t>This service is designed to achieve the maximum level of independence for young people transitioning to adult care services and is for agreed terms of one year or two/three years support, as indicated in the eligibility criteria. The maximum length of stay for an individual will be three years.</w:t>
      </w:r>
      <w:bookmarkEnd w:id="1"/>
    </w:p>
    <w:p w14:paraId="665FD75C" w14:textId="2B0A896A" w:rsidR="00637491" w:rsidRDefault="00637491" w:rsidP="003E5FA4">
      <w:pPr>
        <w:rPr>
          <w:rFonts w:cs="Arial"/>
          <w:i/>
          <w:color w:val="FF0000"/>
        </w:rPr>
      </w:pPr>
    </w:p>
    <w:p w14:paraId="05D5D6EB" w14:textId="77777777" w:rsidR="00637491" w:rsidRPr="00C41107" w:rsidRDefault="00637491" w:rsidP="00637491">
      <w:pPr>
        <w:spacing w:before="120" w:after="54"/>
        <w:rPr>
          <w:b/>
          <w:sz w:val="28"/>
          <w:szCs w:val="28"/>
        </w:rPr>
      </w:pPr>
      <w:r w:rsidRPr="00C41107">
        <w:rPr>
          <w:b/>
          <w:sz w:val="28"/>
          <w:szCs w:val="28"/>
        </w:rPr>
        <w:t>Contract period</w:t>
      </w:r>
    </w:p>
    <w:p w14:paraId="6FAB33CE" w14:textId="77777777" w:rsidR="00FA3F40" w:rsidRDefault="00FA3F40" w:rsidP="00637491">
      <w:pPr>
        <w:pStyle w:val="NormalWeb"/>
        <w:shd w:val="clear" w:color="auto" w:fill="FFFFFF"/>
        <w:spacing w:before="0" w:beforeAutospacing="0" w:after="0" w:afterAutospacing="0"/>
        <w:rPr>
          <w:rFonts w:ascii="Arial" w:hAnsi="Arial" w:cs="Arial"/>
          <w:sz w:val="20"/>
          <w:szCs w:val="20"/>
        </w:rPr>
      </w:pPr>
    </w:p>
    <w:p w14:paraId="292D40C5" w14:textId="481A9F41" w:rsidR="00D61CEA" w:rsidRPr="00D61CEA" w:rsidRDefault="00D61CEA" w:rsidP="00D61CEA">
      <w:pPr>
        <w:jc w:val="both"/>
        <w:rPr>
          <w:rFonts w:cs="Arial"/>
          <w:sz w:val="20"/>
          <w:szCs w:val="20"/>
        </w:rPr>
      </w:pPr>
      <w:r w:rsidRPr="00D61CEA">
        <w:rPr>
          <w:rFonts w:cs="Arial"/>
          <w:sz w:val="20"/>
          <w:szCs w:val="20"/>
        </w:rPr>
        <w:t xml:space="preserve">The contract will be for a period of three years 1st November 2022 – 31st October 2025 with the ability to extend for a further period or periods of up to 24 months </w:t>
      </w:r>
    </w:p>
    <w:p w14:paraId="224A5DC5" w14:textId="5193ABA9"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Contract value</w:t>
      </w:r>
    </w:p>
    <w:p w14:paraId="475AF83A" w14:textId="1CBBE780" w:rsidR="00D61CEA" w:rsidRDefault="00637491" w:rsidP="00D61CEA">
      <w:pPr>
        <w:shd w:val="clear" w:color="auto" w:fill="FFFFFF"/>
        <w:rPr>
          <w:rFonts w:cs="Arial"/>
          <w:color w:val="000000"/>
          <w:sz w:val="28"/>
          <w:szCs w:val="28"/>
        </w:rPr>
      </w:pPr>
      <w:r w:rsidRPr="00FA3F40">
        <w:rPr>
          <w:rFonts w:cs="Arial"/>
          <w:sz w:val="20"/>
          <w:szCs w:val="20"/>
        </w:rPr>
        <w:t>The estimated value of the contract is £</w:t>
      </w:r>
      <w:r w:rsidR="003676C8">
        <w:rPr>
          <w:rFonts w:cs="Arial"/>
          <w:sz w:val="20"/>
          <w:szCs w:val="20"/>
        </w:rPr>
        <w:t>208</w:t>
      </w:r>
      <w:r w:rsidR="00DD3BE4">
        <w:rPr>
          <w:rFonts w:cs="Arial"/>
          <w:sz w:val="20"/>
          <w:szCs w:val="20"/>
        </w:rPr>
        <w:t xml:space="preserve">,000 </w:t>
      </w:r>
      <w:r w:rsidRPr="00FA3F40">
        <w:rPr>
          <w:rFonts w:cs="Arial"/>
          <w:sz w:val="20"/>
          <w:szCs w:val="20"/>
        </w:rPr>
        <w:t>per annum.</w:t>
      </w:r>
      <w:r w:rsidRPr="00637491">
        <w:rPr>
          <w:rFonts w:cs="Arial"/>
          <w:sz w:val="20"/>
          <w:szCs w:val="20"/>
        </w:rPr>
        <w:br/>
      </w:r>
    </w:p>
    <w:p w14:paraId="78791D07" w14:textId="3476A9C0" w:rsidR="00637491" w:rsidRPr="00D61CEA" w:rsidRDefault="00637491" w:rsidP="00D61CEA">
      <w:pPr>
        <w:shd w:val="clear" w:color="auto" w:fill="FFFFFF"/>
        <w:rPr>
          <w:rFonts w:cs="Arial"/>
          <w:sz w:val="20"/>
          <w:szCs w:val="20"/>
        </w:rPr>
      </w:pPr>
      <w:r w:rsidRPr="00C41107">
        <w:rPr>
          <w:rFonts w:cs="Arial"/>
          <w:color w:val="000000"/>
          <w:sz w:val="28"/>
          <w:szCs w:val="28"/>
        </w:rPr>
        <w:t>Miscellaneous information</w:t>
      </w:r>
    </w:p>
    <w:p w14:paraId="595BA002" w14:textId="3B06FC9D"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C41107">
        <w:rPr>
          <w:rFonts w:ascii="Arial" w:hAnsi="Arial" w:cs="Arial"/>
          <w:color w:val="000000"/>
          <w:sz w:val="20"/>
          <w:szCs w:val="20"/>
        </w:rPr>
        <w:t xml:space="preserve">Tenders are being invited using the </w:t>
      </w:r>
      <w:r w:rsidR="00FA3F40">
        <w:rPr>
          <w:rFonts w:ascii="Arial" w:hAnsi="Arial" w:cs="Arial"/>
          <w:color w:val="000000"/>
          <w:sz w:val="20"/>
          <w:szCs w:val="20"/>
        </w:rPr>
        <w:t xml:space="preserve">Restricted </w:t>
      </w:r>
      <w:r w:rsidRPr="00C41107">
        <w:rPr>
          <w:rFonts w:ascii="Arial" w:hAnsi="Arial" w:cs="Arial"/>
          <w:color w:val="000000"/>
          <w:sz w:val="20"/>
          <w:szCs w:val="20"/>
        </w:rPr>
        <w:t xml:space="preserve">procedure and a contract notice has been </w:t>
      </w:r>
      <w:r w:rsidRPr="00637491">
        <w:rPr>
          <w:rFonts w:ascii="Arial" w:hAnsi="Arial" w:cs="Arial"/>
          <w:sz w:val="20"/>
          <w:szCs w:val="20"/>
        </w:rPr>
        <w:t>published in the</w:t>
      </w:r>
      <w:r w:rsidR="00D9385F">
        <w:rPr>
          <w:rFonts w:ascii="Arial" w:hAnsi="Arial" w:cs="Arial"/>
          <w:sz w:val="20"/>
          <w:szCs w:val="20"/>
        </w:rPr>
        <w:t xml:space="preserve"> Find a Tender. </w:t>
      </w:r>
    </w:p>
    <w:p w14:paraId="2B166058" w14:textId="45159913" w:rsidR="00637491" w:rsidRPr="00FA3F40" w:rsidRDefault="00637491" w:rsidP="00637491">
      <w:pPr>
        <w:pStyle w:val="NormalWeb"/>
        <w:shd w:val="clear" w:color="auto" w:fill="FFFFFF"/>
        <w:spacing w:before="0" w:beforeAutospacing="0" w:after="0" w:afterAutospacing="0"/>
        <w:rPr>
          <w:rFonts w:ascii="Arial" w:hAnsi="Arial" w:cs="Arial"/>
          <w:color w:val="000000"/>
          <w:sz w:val="20"/>
          <w:szCs w:val="20"/>
        </w:rPr>
      </w:pPr>
      <w:r w:rsidRPr="00FA3F40">
        <w:rPr>
          <w:rFonts w:ascii="Arial" w:hAnsi="Arial" w:cs="Arial"/>
          <w:color w:val="000000"/>
          <w:sz w:val="20"/>
          <w:szCs w:val="20"/>
        </w:rPr>
        <w:t>Potential providers must be aware that the transfer of undertakings (protection of employment) regulations (TUPE) will apply.</w:t>
      </w:r>
      <w:r w:rsidRPr="00FA3F40">
        <w:rPr>
          <w:rFonts w:ascii="Arial" w:hAnsi="Arial" w:cs="Arial"/>
          <w:color w:val="000000"/>
          <w:sz w:val="20"/>
          <w:szCs w:val="20"/>
        </w:rPr>
        <w:br/>
      </w:r>
    </w:p>
    <w:p w14:paraId="47C6F2D2" w14:textId="365E4FD6" w:rsidR="00D61CEA"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46384C1C"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In meeting the duties placed by the Health and Safety at Work etc Act 1974, and subordinate legislation, the London Borough of Bexley (</w:t>
      </w:r>
      <w:proofErr w:type="gramStart"/>
      <w:r w:rsidRPr="00C41107">
        <w:rPr>
          <w:rFonts w:cs="Arial"/>
          <w:i/>
          <w:snapToGrid w:val="0"/>
          <w:sz w:val="20"/>
        </w:rPr>
        <w:t>LBB)  has</w:t>
      </w:r>
      <w:proofErr w:type="gramEnd"/>
      <w:r w:rsidRPr="00C41107">
        <w:rPr>
          <w:rFonts w:cs="Arial"/>
          <w:i/>
          <w:snapToGrid w:val="0"/>
          <w:sz w:val="20"/>
        </w:rPr>
        <w:t xml:space="preserve"> selected the </w:t>
      </w:r>
      <w:proofErr w:type="spellStart"/>
      <w:r w:rsidRPr="00C41107">
        <w:rPr>
          <w:rFonts w:cs="Arial"/>
          <w:i/>
          <w:snapToGrid w:val="0"/>
          <w:sz w:val="20"/>
        </w:rPr>
        <w:t>pre qualification</w:t>
      </w:r>
      <w:proofErr w:type="spellEnd"/>
      <w:r w:rsidRPr="00C41107">
        <w:rPr>
          <w:rFonts w:cs="Arial"/>
          <w:i/>
          <w:snapToGrid w:val="0"/>
          <w:sz w:val="20"/>
        </w:rPr>
        <w:t xml:space="preserve"> schemes that form the Safety Schemes in Procurement Forum (SSIP) as the minimum standards of Health and Safety competence required.</w:t>
      </w:r>
    </w:p>
    <w:p w14:paraId="78CCAA2E"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w:t>
      </w:r>
      <w:proofErr w:type="spellStart"/>
      <w:proofErr w:type="gramStart"/>
      <w:r w:rsidRPr="00C41107">
        <w:rPr>
          <w:rFonts w:cs="Arial"/>
          <w:i/>
          <w:snapToGrid w:val="0"/>
          <w:sz w:val="20"/>
        </w:rPr>
        <w:t>it’s</w:t>
      </w:r>
      <w:proofErr w:type="spellEnd"/>
      <w:proofErr w:type="gramEnd"/>
      <w:r w:rsidRPr="00C41107">
        <w:rPr>
          <w:rFonts w:cs="Arial"/>
          <w:i/>
          <w:snapToGrid w:val="0"/>
          <w:sz w:val="20"/>
        </w:rPr>
        <w:t xml:space="preserve"> application in the working environment. As far as LBB is concerned the most common standards used are the Contractors </w:t>
      </w:r>
    </w:p>
    <w:p w14:paraId="5EA9A902"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2DC5AD23" w14:textId="77777777" w:rsidR="00637491" w:rsidRPr="00637491" w:rsidRDefault="00637491" w:rsidP="00637491">
      <w:pPr>
        <w:tabs>
          <w:tab w:val="left" w:pos="0"/>
          <w:tab w:val="left" w:pos="360"/>
        </w:tabs>
        <w:ind w:right="72"/>
        <w:rPr>
          <w:rFonts w:cs="Arial"/>
          <w:i/>
          <w:snapToGrid w:val="0"/>
          <w:sz w:val="20"/>
          <w:szCs w:val="20"/>
        </w:rPr>
      </w:pPr>
    </w:p>
    <w:p w14:paraId="138FD16A" w14:textId="77777777"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w:t>
      </w:r>
      <w:proofErr w:type="spellStart"/>
      <w:proofErr w:type="gramStart"/>
      <w:r w:rsidRPr="00637491">
        <w:rPr>
          <w:rFonts w:cs="Arial"/>
          <w:i/>
          <w:snapToGrid w:val="0"/>
          <w:sz w:val="20"/>
          <w:szCs w:val="20"/>
        </w:rPr>
        <w:t>ie</w:t>
      </w:r>
      <w:proofErr w:type="spellEnd"/>
      <w:proofErr w:type="gramEnd"/>
      <w:r w:rsidRPr="00637491">
        <w:rPr>
          <w:rFonts w:cs="Arial"/>
          <w:i/>
          <w:snapToGrid w:val="0"/>
          <w:sz w:val="20"/>
          <w:szCs w:val="20"/>
        </w:rPr>
        <w:t xml:space="preserv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0F617DBE" w14:textId="77777777" w:rsidR="00637491" w:rsidRPr="00C41107" w:rsidRDefault="00637491" w:rsidP="00637491">
      <w:pPr>
        <w:tabs>
          <w:tab w:val="left" w:pos="0"/>
          <w:tab w:val="left" w:pos="360"/>
        </w:tabs>
        <w:ind w:right="72"/>
        <w:rPr>
          <w:rFonts w:cs="Arial"/>
          <w:i/>
          <w:snapToGrid w:val="0"/>
          <w:sz w:val="20"/>
          <w:szCs w:val="20"/>
        </w:rPr>
      </w:pPr>
    </w:p>
    <w:p w14:paraId="2A219846"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t>Contractors are expected to maintain a compliant registration (with regards to Health and Safety) with an SSIP Forum member for the duration of any contract.</w:t>
      </w:r>
    </w:p>
    <w:p w14:paraId="65DB7C63" w14:textId="77777777" w:rsidR="00637491" w:rsidRPr="00C41107" w:rsidRDefault="00637491" w:rsidP="00637491">
      <w:pPr>
        <w:tabs>
          <w:tab w:val="left" w:pos="-720"/>
          <w:tab w:val="left" w:pos="0"/>
        </w:tabs>
        <w:suppressAutoHyphens/>
        <w:spacing w:line="240" w:lineRule="atLeast"/>
        <w:rPr>
          <w:rFonts w:cs="Arial"/>
          <w:i/>
          <w:sz w:val="20"/>
        </w:rPr>
      </w:pPr>
    </w:p>
    <w:p w14:paraId="303FBC54"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t>The SSIP Forum acts as an umbrella organisation to facilitate mutual recognition between health and safety pre-qualification schemes wherever it is practicable to do so.</w:t>
      </w:r>
    </w:p>
    <w:p w14:paraId="6951EEAF" w14:textId="77777777" w:rsidR="00D61CEA" w:rsidRDefault="00D61CEA" w:rsidP="00637491">
      <w:pPr>
        <w:pStyle w:val="Heading2"/>
        <w:shd w:val="clear" w:color="auto" w:fill="FFFFFF"/>
        <w:spacing w:after="54"/>
        <w:rPr>
          <w:rFonts w:ascii="Arial" w:hAnsi="Arial" w:cs="Arial"/>
          <w:color w:val="000000"/>
          <w:sz w:val="28"/>
          <w:szCs w:val="28"/>
        </w:rPr>
      </w:pPr>
    </w:p>
    <w:p w14:paraId="6E24FCD9" w14:textId="03979594"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1C05080C"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proofErr w:type="gramStart"/>
      <w:r w:rsidRPr="00C41107">
        <w:rPr>
          <w:rFonts w:ascii="Arial" w:hAnsi="Arial" w:cs="Arial"/>
          <w:color w:val="000000"/>
          <w:sz w:val="20"/>
          <w:szCs w:val="20"/>
        </w:rPr>
        <w:t>contract</w:t>
      </w:r>
      <w:proofErr w:type="gramEnd"/>
      <w:r w:rsidRPr="00C41107">
        <w:rPr>
          <w:rFonts w:ascii="Arial" w:hAnsi="Arial" w:cs="Arial"/>
          <w:color w:val="000000"/>
          <w:sz w:val="20"/>
          <w:szCs w:val="20"/>
        </w:rPr>
        <w:t xml:space="preserve"> please follow the steps below:</w:t>
      </w:r>
    </w:p>
    <w:p w14:paraId="0812678A"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51ACEE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30816A56"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FD931F7"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7A5ED0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282329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77DAEB78"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4885208"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1CBFC511"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03F7CD95"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54968DA4"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2EC4B57B"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B72EE8C"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5AF11B92" w14:textId="77777777" w:rsidR="00DD3BE4" w:rsidRPr="00C41107" w:rsidRDefault="00DD3BE4" w:rsidP="00637491">
      <w:pPr>
        <w:pStyle w:val="NormalWeb"/>
        <w:shd w:val="clear" w:color="auto" w:fill="FFFFFF"/>
        <w:spacing w:before="0" w:beforeAutospacing="0" w:after="0" w:afterAutospacing="0"/>
        <w:rPr>
          <w:rFonts w:ascii="Arial" w:hAnsi="Arial" w:cs="Arial"/>
          <w:color w:val="000000"/>
          <w:sz w:val="20"/>
          <w:szCs w:val="20"/>
        </w:rPr>
      </w:pPr>
    </w:p>
    <w:p w14:paraId="27240C73" w14:textId="37AD1096" w:rsidR="00637491" w:rsidRDefault="00DD3BE4" w:rsidP="00637491">
      <w:pPr>
        <w:pStyle w:val="Heading2"/>
        <w:shd w:val="clear" w:color="auto" w:fill="FFFFFF"/>
        <w:spacing w:after="54"/>
        <w:rPr>
          <w:rFonts w:ascii="Arial" w:hAnsi="Arial" w:cs="Arial"/>
          <w:color w:val="000000"/>
          <w:sz w:val="28"/>
          <w:szCs w:val="28"/>
        </w:rPr>
      </w:pPr>
      <w:r>
        <w:rPr>
          <w:rFonts w:ascii="Arial" w:hAnsi="Arial" w:cs="Arial"/>
          <w:color w:val="000000"/>
          <w:sz w:val="28"/>
          <w:szCs w:val="28"/>
        </w:rPr>
        <w:t xml:space="preserve">ANTICIPATED </w:t>
      </w:r>
      <w:r w:rsidR="00637491" w:rsidRPr="00C41107">
        <w:rPr>
          <w:rFonts w:ascii="Arial" w:hAnsi="Arial" w:cs="Arial"/>
          <w:color w:val="000000"/>
          <w:sz w:val="28"/>
          <w:szCs w:val="28"/>
        </w:rPr>
        <w:t>TIME</w:t>
      </w:r>
      <w:r w:rsidR="00637491">
        <w:rPr>
          <w:rFonts w:ascii="Arial" w:hAnsi="Arial" w:cs="Arial"/>
          <w:color w:val="000000"/>
          <w:sz w:val="28"/>
          <w:szCs w:val="28"/>
        </w:rPr>
        <w:t>TABLE</w:t>
      </w:r>
    </w:p>
    <w:p w14:paraId="164DC69E" w14:textId="05621F77" w:rsidR="00DD3BE4" w:rsidRDefault="00DD3BE4" w:rsidP="00DD3BE4"/>
    <w:tbl>
      <w:tblPr>
        <w:tblW w:w="6498" w:type="dxa"/>
        <w:tblCellMar>
          <w:left w:w="0" w:type="dxa"/>
          <w:right w:w="0" w:type="dxa"/>
        </w:tblCellMar>
        <w:tblLook w:val="04A0" w:firstRow="1" w:lastRow="0" w:firstColumn="1" w:lastColumn="0" w:noHBand="0" w:noVBand="1"/>
      </w:tblPr>
      <w:tblGrid>
        <w:gridCol w:w="3812"/>
        <w:gridCol w:w="2686"/>
      </w:tblGrid>
      <w:tr w:rsidR="00D61CEA" w14:paraId="0EBD97F7" w14:textId="77777777" w:rsidTr="00D61CEA">
        <w:trPr>
          <w:trHeight w:val="451"/>
        </w:trPr>
        <w:tc>
          <w:tcPr>
            <w:tcW w:w="3812" w:type="dxa"/>
            <w:tcBorders>
              <w:top w:val="single" w:sz="8" w:space="0" w:color="FFFFFF"/>
              <w:left w:val="single" w:sz="8" w:space="0" w:color="FFFFFF"/>
              <w:bottom w:val="single" w:sz="24" w:space="0" w:color="FFFFFF"/>
              <w:right w:val="single" w:sz="8" w:space="0" w:color="FFFFFF"/>
            </w:tcBorders>
            <w:shd w:val="clear" w:color="auto" w:fill="4F81BD"/>
            <w:tcMar>
              <w:top w:w="42" w:type="dxa"/>
              <w:left w:w="40" w:type="dxa"/>
              <w:bottom w:w="42" w:type="dxa"/>
              <w:right w:w="40" w:type="dxa"/>
            </w:tcMar>
            <w:vAlign w:val="center"/>
            <w:hideMark/>
          </w:tcPr>
          <w:p w14:paraId="4CE1475C" w14:textId="77777777" w:rsidR="00D61CEA" w:rsidRDefault="00D61CEA">
            <w:pPr>
              <w:ind w:left="360"/>
              <w:rPr>
                <w:rFonts w:ascii="Lato" w:hAnsi="Lato" w:cs="Calibri"/>
              </w:rPr>
            </w:pPr>
            <w:r>
              <w:rPr>
                <w:b/>
                <w:bCs/>
              </w:rPr>
              <w:t xml:space="preserve">Activity </w:t>
            </w:r>
          </w:p>
        </w:tc>
        <w:tc>
          <w:tcPr>
            <w:tcW w:w="2686" w:type="dxa"/>
            <w:tcBorders>
              <w:top w:val="single" w:sz="8" w:space="0" w:color="FFFFFF"/>
              <w:left w:val="nil"/>
              <w:bottom w:val="single" w:sz="24" w:space="0" w:color="FFFFFF"/>
              <w:right w:val="single" w:sz="8" w:space="0" w:color="FFFFFF"/>
            </w:tcBorders>
            <w:shd w:val="clear" w:color="auto" w:fill="4F81BD"/>
            <w:hideMark/>
          </w:tcPr>
          <w:p w14:paraId="797B6AD0" w14:textId="77777777" w:rsidR="00D61CEA" w:rsidRDefault="00D61CEA">
            <w:pPr>
              <w:rPr>
                <w:rFonts w:ascii="Lato" w:hAnsi="Lato"/>
                <w:b/>
                <w:bCs/>
              </w:rPr>
            </w:pPr>
            <w:r>
              <w:rPr>
                <w:b/>
                <w:bCs/>
                <w:color w:val="000000"/>
              </w:rPr>
              <w:t>Date</w:t>
            </w:r>
          </w:p>
        </w:tc>
      </w:tr>
      <w:tr w:rsidR="00D61CEA" w14:paraId="786F956C"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1A7B8F83"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t xml:space="preserve">Place OJEU Advert </w:t>
            </w:r>
          </w:p>
        </w:tc>
        <w:tc>
          <w:tcPr>
            <w:tcW w:w="2686" w:type="dxa"/>
            <w:tcBorders>
              <w:top w:val="nil"/>
              <w:left w:val="nil"/>
              <w:bottom w:val="single" w:sz="8" w:space="0" w:color="FFFFFF"/>
              <w:right w:val="single" w:sz="8" w:space="0" w:color="FFFFFF"/>
            </w:tcBorders>
            <w:shd w:val="clear" w:color="auto" w:fill="D0D8E8"/>
            <w:hideMark/>
          </w:tcPr>
          <w:p w14:paraId="113D5196" w14:textId="16E757DA" w:rsidR="00D61CEA" w:rsidRPr="00D61CEA" w:rsidRDefault="00D61CEA">
            <w:pPr>
              <w:rPr>
                <w:rFonts w:ascii="Calibri" w:eastAsiaTheme="minorHAnsi" w:hAnsi="Calibri"/>
                <w:color w:val="0070C0"/>
              </w:rPr>
            </w:pPr>
            <w:r w:rsidRPr="00D61CEA">
              <w:rPr>
                <w:color w:val="0070C0"/>
              </w:rPr>
              <w:t>23</w:t>
            </w:r>
            <w:r w:rsidRPr="00D61CEA">
              <w:rPr>
                <w:color w:val="0070C0"/>
                <w:vertAlign w:val="superscript"/>
              </w:rPr>
              <w:t>rd</w:t>
            </w:r>
            <w:r w:rsidRPr="00D61CEA">
              <w:rPr>
                <w:color w:val="0070C0"/>
              </w:rPr>
              <w:t xml:space="preserve"> May 2022</w:t>
            </w:r>
          </w:p>
        </w:tc>
      </w:tr>
      <w:tr w:rsidR="00D61CEA" w14:paraId="47C5D384"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6BC43755"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t xml:space="preserve">SQ Advertised </w:t>
            </w:r>
          </w:p>
        </w:tc>
        <w:tc>
          <w:tcPr>
            <w:tcW w:w="2686" w:type="dxa"/>
            <w:tcBorders>
              <w:top w:val="nil"/>
              <w:left w:val="nil"/>
              <w:bottom w:val="single" w:sz="8" w:space="0" w:color="FFFFFF"/>
              <w:right w:val="single" w:sz="8" w:space="0" w:color="FFFFFF"/>
            </w:tcBorders>
            <w:shd w:val="clear" w:color="auto" w:fill="E9EDF4"/>
            <w:hideMark/>
          </w:tcPr>
          <w:p w14:paraId="618BB5AF" w14:textId="77777777" w:rsidR="00D61CEA" w:rsidRPr="00D61CEA" w:rsidRDefault="00D61CEA">
            <w:pPr>
              <w:rPr>
                <w:rFonts w:ascii="Calibri" w:eastAsiaTheme="minorHAnsi" w:hAnsi="Calibri"/>
                <w:color w:val="0070C0"/>
              </w:rPr>
            </w:pPr>
            <w:r w:rsidRPr="00D61CEA">
              <w:rPr>
                <w:color w:val="0070C0"/>
              </w:rPr>
              <w:t>24</w:t>
            </w:r>
            <w:r w:rsidRPr="00D61CEA">
              <w:rPr>
                <w:color w:val="0070C0"/>
                <w:vertAlign w:val="superscript"/>
              </w:rPr>
              <w:t>th</w:t>
            </w:r>
            <w:r w:rsidRPr="00D61CEA">
              <w:rPr>
                <w:color w:val="0070C0"/>
              </w:rPr>
              <w:t xml:space="preserve"> May 2022</w:t>
            </w:r>
          </w:p>
        </w:tc>
      </w:tr>
      <w:tr w:rsidR="00D61CEA" w14:paraId="2EC76F3D"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0B5039BC" w14:textId="77777777" w:rsidR="00D61CEA" w:rsidRDefault="00D61CEA" w:rsidP="00D61CEA">
            <w:pPr>
              <w:numPr>
                <w:ilvl w:val="0"/>
                <w:numId w:val="2"/>
              </w:numPr>
              <w:spacing w:line="288" w:lineRule="auto"/>
              <w:contextualSpacing/>
              <w:rPr>
                <w:rFonts w:ascii="Lato" w:hAnsi="Lato"/>
                <w:b/>
                <w:bCs/>
              </w:rPr>
            </w:pPr>
            <w:r>
              <w:rPr>
                <w:rFonts w:ascii="Lato" w:hAnsi="Lato"/>
                <w:b/>
                <w:bCs/>
                <w:color w:val="000000"/>
              </w:rPr>
              <w:t>Deadline for receipt of SQ clarification questions</w:t>
            </w:r>
          </w:p>
        </w:tc>
        <w:tc>
          <w:tcPr>
            <w:tcW w:w="2686" w:type="dxa"/>
            <w:tcBorders>
              <w:top w:val="nil"/>
              <w:left w:val="nil"/>
              <w:bottom w:val="single" w:sz="8" w:space="0" w:color="FFFFFF"/>
              <w:right w:val="single" w:sz="8" w:space="0" w:color="FFFFFF"/>
            </w:tcBorders>
            <w:shd w:val="clear" w:color="auto" w:fill="D0D8E8"/>
            <w:hideMark/>
          </w:tcPr>
          <w:p w14:paraId="1FC39F6A" w14:textId="77777777" w:rsidR="00D61CEA" w:rsidRPr="00D61CEA" w:rsidRDefault="00D61CEA">
            <w:pPr>
              <w:rPr>
                <w:rFonts w:ascii="Calibri" w:eastAsiaTheme="minorHAnsi" w:hAnsi="Calibri"/>
                <w:color w:val="0070C0"/>
              </w:rPr>
            </w:pPr>
            <w:r w:rsidRPr="00D61CEA">
              <w:rPr>
                <w:color w:val="0070C0"/>
              </w:rPr>
              <w:t>10</w:t>
            </w:r>
            <w:r w:rsidRPr="00D61CEA">
              <w:rPr>
                <w:color w:val="0070C0"/>
                <w:vertAlign w:val="superscript"/>
              </w:rPr>
              <w:t>th</w:t>
            </w:r>
            <w:r w:rsidRPr="00D61CEA">
              <w:rPr>
                <w:color w:val="0070C0"/>
              </w:rPr>
              <w:t xml:space="preserve"> June 2022</w:t>
            </w:r>
          </w:p>
        </w:tc>
      </w:tr>
      <w:tr w:rsidR="00D61CEA" w14:paraId="78D3E4BE"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340346CF" w14:textId="77777777" w:rsidR="00D61CEA" w:rsidRDefault="00D61CEA" w:rsidP="00D61CEA">
            <w:pPr>
              <w:numPr>
                <w:ilvl w:val="0"/>
                <w:numId w:val="2"/>
              </w:numPr>
              <w:spacing w:line="288" w:lineRule="auto"/>
              <w:contextualSpacing/>
              <w:rPr>
                <w:rFonts w:ascii="Lato" w:hAnsi="Lato"/>
                <w:b/>
                <w:bCs/>
              </w:rPr>
            </w:pPr>
            <w:r>
              <w:rPr>
                <w:rFonts w:ascii="Lato" w:hAnsi="Lato"/>
                <w:b/>
                <w:bCs/>
                <w:color w:val="000000"/>
              </w:rPr>
              <w:t>Deadline to answer SQ clarification questions</w:t>
            </w:r>
          </w:p>
        </w:tc>
        <w:tc>
          <w:tcPr>
            <w:tcW w:w="2686" w:type="dxa"/>
            <w:tcBorders>
              <w:top w:val="nil"/>
              <w:left w:val="nil"/>
              <w:bottom w:val="single" w:sz="8" w:space="0" w:color="FFFFFF"/>
              <w:right w:val="single" w:sz="8" w:space="0" w:color="FFFFFF"/>
            </w:tcBorders>
            <w:shd w:val="clear" w:color="auto" w:fill="D0D8E8"/>
            <w:hideMark/>
          </w:tcPr>
          <w:p w14:paraId="7CC05042" w14:textId="77777777" w:rsidR="00D61CEA" w:rsidRPr="00D61CEA" w:rsidRDefault="00D61CEA">
            <w:pPr>
              <w:rPr>
                <w:rFonts w:ascii="Calibri" w:eastAsiaTheme="minorHAnsi" w:hAnsi="Calibri"/>
                <w:color w:val="0070C0"/>
              </w:rPr>
            </w:pPr>
            <w:r w:rsidRPr="00D61CEA">
              <w:rPr>
                <w:color w:val="0070C0"/>
              </w:rPr>
              <w:t>17</w:t>
            </w:r>
            <w:r w:rsidRPr="00D61CEA">
              <w:rPr>
                <w:color w:val="0070C0"/>
                <w:vertAlign w:val="superscript"/>
              </w:rPr>
              <w:t>th</w:t>
            </w:r>
            <w:r w:rsidRPr="00D61CEA">
              <w:rPr>
                <w:color w:val="0070C0"/>
              </w:rPr>
              <w:t xml:space="preserve"> June 2022</w:t>
            </w:r>
          </w:p>
        </w:tc>
      </w:tr>
      <w:tr w:rsidR="00D61CEA" w14:paraId="79DFB090"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73FB3519"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t xml:space="preserve">SQ Return Date </w:t>
            </w:r>
          </w:p>
        </w:tc>
        <w:tc>
          <w:tcPr>
            <w:tcW w:w="2686" w:type="dxa"/>
            <w:tcBorders>
              <w:top w:val="nil"/>
              <w:left w:val="nil"/>
              <w:bottom w:val="single" w:sz="8" w:space="0" w:color="FFFFFF"/>
              <w:right w:val="single" w:sz="8" w:space="0" w:color="FFFFFF"/>
            </w:tcBorders>
            <w:shd w:val="clear" w:color="auto" w:fill="D0D8E8"/>
            <w:hideMark/>
          </w:tcPr>
          <w:p w14:paraId="0730E577" w14:textId="32648419" w:rsidR="00D61CEA" w:rsidRPr="00D61CEA" w:rsidRDefault="00D61CEA">
            <w:pPr>
              <w:rPr>
                <w:rFonts w:ascii="Calibri" w:eastAsiaTheme="minorHAnsi" w:hAnsi="Calibri"/>
                <w:color w:val="0070C0"/>
              </w:rPr>
            </w:pPr>
            <w:r w:rsidRPr="00D61CEA">
              <w:rPr>
                <w:color w:val="0070C0"/>
              </w:rPr>
              <w:t>24</w:t>
            </w:r>
            <w:r w:rsidRPr="00D61CEA">
              <w:rPr>
                <w:color w:val="0070C0"/>
                <w:vertAlign w:val="superscript"/>
              </w:rPr>
              <w:t>th</w:t>
            </w:r>
            <w:r w:rsidRPr="00D61CEA">
              <w:rPr>
                <w:color w:val="0070C0"/>
              </w:rPr>
              <w:t xml:space="preserve"> June 2022</w:t>
            </w:r>
          </w:p>
        </w:tc>
      </w:tr>
      <w:tr w:rsidR="00D61CEA" w14:paraId="7A720B65"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15857635" w14:textId="77777777" w:rsidR="00D61CEA" w:rsidRDefault="00D61CEA" w:rsidP="00D61CEA">
            <w:pPr>
              <w:numPr>
                <w:ilvl w:val="0"/>
                <w:numId w:val="2"/>
              </w:numPr>
              <w:spacing w:line="288" w:lineRule="auto"/>
              <w:contextualSpacing/>
              <w:rPr>
                <w:rFonts w:ascii="Lato" w:hAnsi="Lato"/>
                <w:b/>
                <w:bCs/>
              </w:rPr>
            </w:pPr>
            <w:r>
              <w:rPr>
                <w:rFonts w:ascii="Lato" w:hAnsi="Lato"/>
                <w:b/>
                <w:bCs/>
                <w:color w:val="000000"/>
              </w:rPr>
              <w:t>References returned</w:t>
            </w:r>
          </w:p>
        </w:tc>
        <w:tc>
          <w:tcPr>
            <w:tcW w:w="2686" w:type="dxa"/>
            <w:tcBorders>
              <w:top w:val="nil"/>
              <w:left w:val="nil"/>
              <w:bottom w:val="single" w:sz="8" w:space="0" w:color="FFFFFF"/>
              <w:right w:val="single" w:sz="8" w:space="0" w:color="FFFFFF"/>
            </w:tcBorders>
            <w:shd w:val="clear" w:color="auto" w:fill="D0D8E8"/>
            <w:hideMark/>
          </w:tcPr>
          <w:p w14:paraId="3C148654" w14:textId="77777777" w:rsidR="00D61CEA" w:rsidRPr="00D61CEA" w:rsidRDefault="00D61CEA">
            <w:pPr>
              <w:rPr>
                <w:rFonts w:ascii="Calibri" w:eastAsiaTheme="minorHAnsi" w:hAnsi="Calibri"/>
                <w:color w:val="0070C0"/>
              </w:rPr>
            </w:pPr>
            <w:r w:rsidRPr="00D61CEA">
              <w:rPr>
                <w:color w:val="0070C0"/>
              </w:rPr>
              <w:t>27</w:t>
            </w:r>
            <w:r w:rsidRPr="00D61CEA">
              <w:rPr>
                <w:color w:val="0070C0"/>
                <w:vertAlign w:val="superscript"/>
              </w:rPr>
              <w:t>th</w:t>
            </w:r>
            <w:r w:rsidRPr="00D61CEA">
              <w:rPr>
                <w:color w:val="0070C0"/>
              </w:rPr>
              <w:t xml:space="preserve"> June 2022</w:t>
            </w:r>
          </w:p>
        </w:tc>
      </w:tr>
      <w:tr w:rsidR="00D61CEA" w14:paraId="68B787F2"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042C1B74" w14:textId="77777777" w:rsidR="00D61CEA" w:rsidRDefault="00D61CEA" w:rsidP="00D61CEA">
            <w:pPr>
              <w:numPr>
                <w:ilvl w:val="0"/>
                <w:numId w:val="2"/>
              </w:numPr>
              <w:spacing w:line="288" w:lineRule="auto"/>
              <w:contextualSpacing/>
              <w:rPr>
                <w:rFonts w:ascii="Lato" w:hAnsi="Lato"/>
                <w:highlight w:val="yellow"/>
              </w:rPr>
            </w:pPr>
            <w:r w:rsidRPr="00D61CEA">
              <w:rPr>
                <w:rFonts w:ascii="Lato" w:hAnsi="Lato"/>
                <w:b/>
                <w:bCs/>
                <w:color w:val="000000"/>
              </w:rPr>
              <w:t xml:space="preserve">SQ Evaluation Date </w:t>
            </w:r>
          </w:p>
        </w:tc>
        <w:tc>
          <w:tcPr>
            <w:tcW w:w="2686" w:type="dxa"/>
            <w:tcBorders>
              <w:top w:val="nil"/>
              <w:left w:val="nil"/>
              <w:bottom w:val="single" w:sz="8" w:space="0" w:color="FFFFFF"/>
              <w:right w:val="single" w:sz="8" w:space="0" w:color="FFFFFF"/>
            </w:tcBorders>
            <w:shd w:val="clear" w:color="auto" w:fill="E9EDF4"/>
            <w:hideMark/>
          </w:tcPr>
          <w:p w14:paraId="2B25EB10" w14:textId="499AFF7D" w:rsidR="00D61CEA" w:rsidRPr="00D61CEA" w:rsidRDefault="00D61CEA">
            <w:pPr>
              <w:rPr>
                <w:rFonts w:ascii="Calibri" w:eastAsiaTheme="minorHAnsi" w:hAnsi="Calibri"/>
                <w:color w:val="0070C0"/>
                <w:highlight w:val="yellow"/>
              </w:rPr>
            </w:pPr>
            <w:r w:rsidRPr="00D61CEA">
              <w:rPr>
                <w:color w:val="0070C0"/>
              </w:rPr>
              <w:t>15</w:t>
            </w:r>
            <w:r w:rsidRPr="00D61CEA">
              <w:rPr>
                <w:color w:val="0070C0"/>
                <w:vertAlign w:val="superscript"/>
              </w:rPr>
              <w:t>th</w:t>
            </w:r>
            <w:r w:rsidRPr="00D61CEA">
              <w:rPr>
                <w:color w:val="0070C0"/>
              </w:rPr>
              <w:t xml:space="preserve"> July 2022</w:t>
            </w:r>
          </w:p>
        </w:tc>
      </w:tr>
      <w:tr w:rsidR="00D61CEA" w14:paraId="0607DF6D"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63E74586"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t xml:space="preserve">Issue Tender Documents </w:t>
            </w:r>
          </w:p>
        </w:tc>
        <w:tc>
          <w:tcPr>
            <w:tcW w:w="2686" w:type="dxa"/>
            <w:tcBorders>
              <w:top w:val="nil"/>
              <w:left w:val="nil"/>
              <w:bottom w:val="single" w:sz="8" w:space="0" w:color="FFFFFF"/>
              <w:right w:val="single" w:sz="8" w:space="0" w:color="FFFFFF"/>
            </w:tcBorders>
            <w:shd w:val="clear" w:color="auto" w:fill="D0D8E8"/>
            <w:hideMark/>
          </w:tcPr>
          <w:p w14:paraId="3A631420" w14:textId="61CA145C" w:rsidR="00D61CEA" w:rsidRPr="00D61CEA" w:rsidRDefault="00D61CEA">
            <w:pPr>
              <w:rPr>
                <w:rFonts w:ascii="Calibri" w:eastAsiaTheme="minorHAnsi" w:hAnsi="Calibri"/>
                <w:color w:val="0070C0"/>
              </w:rPr>
            </w:pPr>
            <w:r w:rsidRPr="00D61CEA">
              <w:rPr>
                <w:color w:val="0070C0"/>
              </w:rPr>
              <w:t>18</w:t>
            </w:r>
            <w:r w:rsidRPr="00D61CEA">
              <w:rPr>
                <w:color w:val="0070C0"/>
                <w:vertAlign w:val="superscript"/>
              </w:rPr>
              <w:t>th</w:t>
            </w:r>
            <w:r w:rsidRPr="00D61CEA">
              <w:rPr>
                <w:color w:val="0070C0"/>
              </w:rPr>
              <w:t xml:space="preserve"> July 2022</w:t>
            </w:r>
          </w:p>
        </w:tc>
      </w:tr>
      <w:tr w:rsidR="00D61CEA" w14:paraId="69DCC7D4" w14:textId="77777777" w:rsidTr="00D61CE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77131D3B"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t>Deadline for receipt of clarification questions</w:t>
            </w:r>
          </w:p>
        </w:tc>
        <w:tc>
          <w:tcPr>
            <w:tcW w:w="2686" w:type="dxa"/>
            <w:tcBorders>
              <w:top w:val="nil"/>
              <w:left w:val="nil"/>
              <w:bottom w:val="single" w:sz="8" w:space="0" w:color="FFFFFF"/>
              <w:right w:val="single" w:sz="8" w:space="0" w:color="FFFFFF"/>
            </w:tcBorders>
            <w:shd w:val="clear" w:color="auto" w:fill="E9EDF4"/>
            <w:hideMark/>
          </w:tcPr>
          <w:p w14:paraId="335548F6" w14:textId="7A32A96E" w:rsidR="00D61CEA" w:rsidRPr="00D61CEA" w:rsidRDefault="00D61CEA">
            <w:pPr>
              <w:rPr>
                <w:rFonts w:ascii="Calibri" w:eastAsiaTheme="minorHAnsi" w:hAnsi="Calibri"/>
                <w:color w:val="0070C0"/>
              </w:rPr>
            </w:pPr>
            <w:r w:rsidRPr="00D61CEA">
              <w:rPr>
                <w:color w:val="0070C0"/>
              </w:rPr>
              <w:t>5</w:t>
            </w:r>
            <w:r w:rsidRPr="00D61CEA">
              <w:rPr>
                <w:color w:val="0070C0"/>
                <w:vertAlign w:val="superscript"/>
              </w:rPr>
              <w:t>th</w:t>
            </w:r>
            <w:r w:rsidRPr="00D61CEA">
              <w:rPr>
                <w:color w:val="0070C0"/>
              </w:rPr>
              <w:t xml:space="preserve"> </w:t>
            </w:r>
            <w:r w:rsidRPr="00D61CEA">
              <w:rPr>
                <w:color w:val="0070C0"/>
                <w:vertAlign w:val="superscript"/>
              </w:rPr>
              <w:t>August</w:t>
            </w:r>
            <w:r w:rsidRPr="00D61CEA">
              <w:rPr>
                <w:color w:val="0070C0"/>
              </w:rPr>
              <w:t xml:space="preserve"> 2022</w:t>
            </w:r>
          </w:p>
        </w:tc>
      </w:tr>
      <w:tr w:rsidR="00D61CEA" w14:paraId="658C405F" w14:textId="77777777" w:rsidTr="00D61CE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55EAEE46"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t>Deadline to answer clarification questions</w:t>
            </w:r>
          </w:p>
        </w:tc>
        <w:tc>
          <w:tcPr>
            <w:tcW w:w="2686" w:type="dxa"/>
            <w:tcBorders>
              <w:top w:val="nil"/>
              <w:left w:val="nil"/>
              <w:bottom w:val="single" w:sz="8" w:space="0" w:color="FFFFFF"/>
              <w:right w:val="single" w:sz="8" w:space="0" w:color="FFFFFF"/>
            </w:tcBorders>
            <w:shd w:val="clear" w:color="auto" w:fill="D0D8E8"/>
            <w:hideMark/>
          </w:tcPr>
          <w:p w14:paraId="30C3E09A" w14:textId="77777777" w:rsidR="00D61CEA" w:rsidRPr="00D61CEA" w:rsidRDefault="00D61CEA">
            <w:pPr>
              <w:rPr>
                <w:rFonts w:ascii="Calibri" w:eastAsiaTheme="minorHAnsi" w:hAnsi="Calibri"/>
                <w:color w:val="0070C0"/>
              </w:rPr>
            </w:pPr>
            <w:r w:rsidRPr="00D61CEA">
              <w:rPr>
                <w:color w:val="0070C0"/>
              </w:rPr>
              <w:t>12</w:t>
            </w:r>
            <w:r w:rsidRPr="00D61CEA">
              <w:rPr>
                <w:color w:val="0070C0"/>
                <w:vertAlign w:val="superscript"/>
              </w:rPr>
              <w:t>th</w:t>
            </w:r>
            <w:r w:rsidRPr="00D61CEA">
              <w:rPr>
                <w:color w:val="0070C0"/>
              </w:rPr>
              <w:t xml:space="preserve"> August 2022</w:t>
            </w:r>
          </w:p>
        </w:tc>
      </w:tr>
      <w:tr w:rsidR="00D61CEA" w14:paraId="28FEB43C" w14:textId="77777777" w:rsidTr="00D61CEA">
        <w:trPr>
          <w:trHeight w:val="451"/>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508E60D7"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t>Tender Closing Date -</w:t>
            </w:r>
          </w:p>
        </w:tc>
        <w:tc>
          <w:tcPr>
            <w:tcW w:w="2686" w:type="dxa"/>
            <w:tcBorders>
              <w:top w:val="nil"/>
              <w:left w:val="nil"/>
              <w:bottom w:val="single" w:sz="8" w:space="0" w:color="FFFFFF"/>
              <w:right w:val="single" w:sz="8" w:space="0" w:color="FFFFFF"/>
            </w:tcBorders>
            <w:shd w:val="clear" w:color="auto" w:fill="E9EDF4"/>
            <w:hideMark/>
          </w:tcPr>
          <w:p w14:paraId="0125FA44" w14:textId="77777777" w:rsidR="00D61CEA" w:rsidRPr="00D61CEA" w:rsidRDefault="00D61CEA">
            <w:pPr>
              <w:rPr>
                <w:rFonts w:ascii="Calibri" w:eastAsiaTheme="minorHAnsi" w:hAnsi="Calibri"/>
                <w:color w:val="0070C0"/>
              </w:rPr>
            </w:pPr>
            <w:r w:rsidRPr="00D61CEA">
              <w:rPr>
                <w:color w:val="0070C0"/>
              </w:rPr>
              <w:t>19</w:t>
            </w:r>
            <w:r w:rsidRPr="00D61CEA">
              <w:rPr>
                <w:color w:val="0070C0"/>
                <w:vertAlign w:val="superscript"/>
              </w:rPr>
              <w:t>th</w:t>
            </w:r>
            <w:r w:rsidRPr="00D61CEA">
              <w:rPr>
                <w:color w:val="0070C0"/>
              </w:rPr>
              <w:t xml:space="preserve"> </w:t>
            </w:r>
            <w:proofErr w:type="gramStart"/>
            <w:r w:rsidRPr="00D61CEA">
              <w:rPr>
                <w:color w:val="0070C0"/>
              </w:rPr>
              <w:t>August  2022</w:t>
            </w:r>
            <w:proofErr w:type="gramEnd"/>
          </w:p>
        </w:tc>
      </w:tr>
      <w:tr w:rsidR="00D61CEA" w14:paraId="1D5DD16A" w14:textId="77777777" w:rsidTr="00D61CE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4E5517BF" w14:textId="77777777" w:rsidR="00D61CEA" w:rsidRDefault="00D61CEA" w:rsidP="00D61CEA">
            <w:pPr>
              <w:numPr>
                <w:ilvl w:val="0"/>
                <w:numId w:val="2"/>
              </w:numPr>
              <w:spacing w:line="288" w:lineRule="auto"/>
              <w:contextualSpacing/>
              <w:rPr>
                <w:rFonts w:ascii="Lato" w:hAnsi="Lato"/>
                <w:highlight w:val="yellow"/>
              </w:rPr>
            </w:pPr>
            <w:r w:rsidRPr="00D61CEA">
              <w:rPr>
                <w:rFonts w:ascii="Lato" w:hAnsi="Lato"/>
                <w:b/>
                <w:bCs/>
                <w:color w:val="000000"/>
              </w:rPr>
              <w:t>ITT Evaluation</w:t>
            </w:r>
          </w:p>
        </w:tc>
        <w:tc>
          <w:tcPr>
            <w:tcW w:w="2686" w:type="dxa"/>
            <w:tcBorders>
              <w:top w:val="nil"/>
              <w:left w:val="nil"/>
              <w:bottom w:val="single" w:sz="8" w:space="0" w:color="FFFFFF"/>
              <w:right w:val="single" w:sz="8" w:space="0" w:color="FFFFFF"/>
            </w:tcBorders>
            <w:shd w:val="clear" w:color="auto" w:fill="D0D8E8"/>
            <w:hideMark/>
          </w:tcPr>
          <w:p w14:paraId="317CD756" w14:textId="77777777" w:rsidR="00D61CEA" w:rsidRPr="00D61CEA" w:rsidRDefault="00D61CEA">
            <w:pPr>
              <w:rPr>
                <w:rFonts w:ascii="Calibri" w:eastAsiaTheme="minorHAnsi" w:hAnsi="Calibri"/>
                <w:color w:val="0070C0"/>
              </w:rPr>
            </w:pPr>
            <w:r w:rsidRPr="00D61CEA">
              <w:rPr>
                <w:color w:val="0070C0"/>
              </w:rPr>
              <w:t>8</w:t>
            </w:r>
            <w:r w:rsidRPr="00D61CEA">
              <w:rPr>
                <w:color w:val="0070C0"/>
                <w:vertAlign w:val="superscript"/>
              </w:rPr>
              <w:t>th</w:t>
            </w:r>
            <w:r w:rsidRPr="00D61CEA">
              <w:rPr>
                <w:color w:val="0070C0"/>
              </w:rPr>
              <w:t xml:space="preserve"> September 2022</w:t>
            </w:r>
          </w:p>
        </w:tc>
      </w:tr>
      <w:tr w:rsidR="00D61CEA" w14:paraId="2999F9F7" w14:textId="77777777" w:rsidTr="00D61CEA">
        <w:trPr>
          <w:trHeight w:val="606"/>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center"/>
            <w:hideMark/>
          </w:tcPr>
          <w:p w14:paraId="33379AD0"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lastRenderedPageBreak/>
              <w:t>Alcatel (stand still) Period</w:t>
            </w:r>
          </w:p>
        </w:tc>
        <w:tc>
          <w:tcPr>
            <w:tcW w:w="2686" w:type="dxa"/>
            <w:tcBorders>
              <w:top w:val="nil"/>
              <w:left w:val="nil"/>
              <w:bottom w:val="single" w:sz="8" w:space="0" w:color="FFFFFF"/>
              <w:right w:val="single" w:sz="8" w:space="0" w:color="FFFFFF"/>
            </w:tcBorders>
            <w:shd w:val="clear" w:color="auto" w:fill="D0D8E8"/>
            <w:hideMark/>
          </w:tcPr>
          <w:p w14:paraId="773AE617" w14:textId="019F946B" w:rsidR="00D61CEA" w:rsidRDefault="00D61CEA">
            <w:pPr>
              <w:rPr>
                <w:rFonts w:ascii="Calibri" w:eastAsiaTheme="minorHAnsi" w:hAnsi="Calibri"/>
              </w:rPr>
            </w:pPr>
            <w:r>
              <w:rPr>
                <w:color w:val="4472C4"/>
              </w:rPr>
              <w:t>9</w:t>
            </w:r>
            <w:r>
              <w:rPr>
                <w:color w:val="4472C4"/>
                <w:vertAlign w:val="superscript"/>
              </w:rPr>
              <w:t>th</w:t>
            </w:r>
            <w:r>
              <w:rPr>
                <w:color w:val="4472C4"/>
              </w:rPr>
              <w:t xml:space="preserve"> – 19</w:t>
            </w:r>
            <w:r>
              <w:rPr>
                <w:color w:val="4472C4"/>
                <w:vertAlign w:val="superscript"/>
              </w:rPr>
              <w:t>th</w:t>
            </w:r>
            <w:r>
              <w:rPr>
                <w:color w:val="4472C4"/>
              </w:rPr>
              <w:t xml:space="preserve"> September </w:t>
            </w:r>
            <w:r>
              <w:rPr>
                <w:color w:val="000000"/>
              </w:rPr>
              <w:t>2022</w:t>
            </w:r>
          </w:p>
        </w:tc>
      </w:tr>
      <w:tr w:rsidR="00D61CEA" w14:paraId="6C86CE70" w14:textId="77777777" w:rsidTr="00D61CE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bottom"/>
            <w:hideMark/>
          </w:tcPr>
          <w:p w14:paraId="13174B14" w14:textId="77777777" w:rsidR="00D61CEA" w:rsidRDefault="00D61CEA" w:rsidP="00D61CEA">
            <w:pPr>
              <w:numPr>
                <w:ilvl w:val="0"/>
                <w:numId w:val="2"/>
              </w:numPr>
              <w:spacing w:line="288" w:lineRule="auto"/>
              <w:contextualSpacing/>
              <w:rPr>
                <w:rFonts w:ascii="Lato" w:hAnsi="Lato"/>
              </w:rPr>
            </w:pPr>
            <w:r>
              <w:rPr>
                <w:rFonts w:ascii="Lato" w:hAnsi="Lato"/>
                <w:b/>
                <w:bCs/>
                <w:color w:val="000000"/>
              </w:rPr>
              <w:t xml:space="preserve">Contract Awards </w:t>
            </w:r>
          </w:p>
        </w:tc>
        <w:tc>
          <w:tcPr>
            <w:tcW w:w="2686" w:type="dxa"/>
            <w:tcBorders>
              <w:top w:val="nil"/>
              <w:left w:val="nil"/>
              <w:bottom w:val="single" w:sz="8" w:space="0" w:color="FFFFFF"/>
              <w:right w:val="single" w:sz="8" w:space="0" w:color="FFFFFF"/>
            </w:tcBorders>
            <w:shd w:val="clear" w:color="auto" w:fill="D0D8E8"/>
            <w:hideMark/>
          </w:tcPr>
          <w:p w14:paraId="7FA809A4" w14:textId="691D5A33" w:rsidR="00D61CEA" w:rsidRDefault="00D61CEA">
            <w:pPr>
              <w:rPr>
                <w:rFonts w:ascii="Calibri" w:eastAsiaTheme="minorHAnsi" w:hAnsi="Calibri"/>
              </w:rPr>
            </w:pPr>
            <w:r>
              <w:rPr>
                <w:color w:val="4472C4"/>
              </w:rPr>
              <w:t>20</w:t>
            </w:r>
            <w:r>
              <w:rPr>
                <w:color w:val="000000"/>
                <w:vertAlign w:val="superscript"/>
              </w:rPr>
              <w:t>th</w:t>
            </w:r>
            <w:r>
              <w:rPr>
                <w:color w:val="000000"/>
              </w:rPr>
              <w:t xml:space="preserve"> </w:t>
            </w:r>
            <w:r>
              <w:rPr>
                <w:color w:val="4472C4"/>
              </w:rPr>
              <w:t>September 2022</w:t>
            </w:r>
          </w:p>
        </w:tc>
      </w:tr>
      <w:tr w:rsidR="00D61CEA" w14:paraId="0229C54A" w14:textId="77777777" w:rsidTr="00D61CEA">
        <w:trPr>
          <w:trHeight w:val="560"/>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bottom"/>
            <w:hideMark/>
          </w:tcPr>
          <w:p w14:paraId="0AAA9441" w14:textId="77777777" w:rsidR="00D61CEA" w:rsidRDefault="00D61CEA" w:rsidP="00D61CEA">
            <w:pPr>
              <w:numPr>
                <w:ilvl w:val="0"/>
                <w:numId w:val="2"/>
              </w:numPr>
              <w:spacing w:line="288" w:lineRule="auto"/>
              <w:contextualSpacing/>
              <w:rPr>
                <w:rFonts w:ascii="Lato" w:hAnsi="Lato"/>
                <w:b/>
                <w:bCs/>
                <w:color w:val="000000"/>
              </w:rPr>
            </w:pPr>
            <w:r>
              <w:rPr>
                <w:rFonts w:ascii="Lato" w:hAnsi="Lato"/>
                <w:b/>
                <w:bCs/>
                <w:color w:val="000000"/>
              </w:rPr>
              <w:t>Mobilisation</w:t>
            </w:r>
          </w:p>
        </w:tc>
        <w:tc>
          <w:tcPr>
            <w:tcW w:w="2686" w:type="dxa"/>
            <w:tcBorders>
              <w:top w:val="nil"/>
              <w:left w:val="nil"/>
              <w:bottom w:val="single" w:sz="8" w:space="0" w:color="FFFFFF"/>
              <w:right w:val="single" w:sz="8" w:space="0" w:color="FFFFFF"/>
            </w:tcBorders>
            <w:shd w:val="clear" w:color="auto" w:fill="D0D8E8"/>
            <w:hideMark/>
          </w:tcPr>
          <w:p w14:paraId="4D0634F0" w14:textId="509EB844" w:rsidR="00D61CEA" w:rsidRDefault="00D61CEA">
            <w:pPr>
              <w:rPr>
                <w:rFonts w:ascii="Calibri" w:eastAsiaTheme="minorHAnsi" w:hAnsi="Calibri"/>
                <w:color w:val="4472C4"/>
              </w:rPr>
            </w:pPr>
            <w:r>
              <w:rPr>
                <w:color w:val="4472C4"/>
              </w:rPr>
              <w:t>21</w:t>
            </w:r>
            <w:r>
              <w:rPr>
                <w:color w:val="4472C4"/>
                <w:vertAlign w:val="superscript"/>
              </w:rPr>
              <w:t>st</w:t>
            </w:r>
            <w:r>
              <w:rPr>
                <w:color w:val="4472C4"/>
              </w:rPr>
              <w:t xml:space="preserve"> September – 31</w:t>
            </w:r>
            <w:r>
              <w:rPr>
                <w:color w:val="4472C4"/>
                <w:vertAlign w:val="superscript"/>
              </w:rPr>
              <w:t>st</w:t>
            </w:r>
            <w:r>
              <w:rPr>
                <w:color w:val="4472C4"/>
              </w:rPr>
              <w:t xml:space="preserve"> October 2022</w:t>
            </w:r>
          </w:p>
        </w:tc>
      </w:tr>
      <w:tr w:rsidR="00D61CEA" w14:paraId="4AE04FBD" w14:textId="77777777" w:rsidTr="00D61CEA">
        <w:trPr>
          <w:trHeight w:val="314"/>
        </w:trPr>
        <w:tc>
          <w:tcPr>
            <w:tcW w:w="3812" w:type="dxa"/>
            <w:tcBorders>
              <w:top w:val="nil"/>
              <w:left w:val="single" w:sz="8" w:space="0" w:color="FFFFFF"/>
              <w:bottom w:val="nil"/>
              <w:right w:val="single" w:sz="8" w:space="0" w:color="FFFFFF"/>
            </w:tcBorders>
            <w:shd w:val="clear" w:color="auto" w:fill="4F81BD"/>
            <w:tcMar>
              <w:top w:w="42" w:type="dxa"/>
              <w:left w:w="40" w:type="dxa"/>
              <w:bottom w:w="42" w:type="dxa"/>
              <w:right w:w="40" w:type="dxa"/>
            </w:tcMar>
            <w:vAlign w:val="bottom"/>
            <w:hideMark/>
          </w:tcPr>
          <w:p w14:paraId="17826327" w14:textId="77777777" w:rsidR="00D61CEA" w:rsidRDefault="00D61CEA">
            <w:pPr>
              <w:rPr>
                <w:color w:val="4472C4"/>
              </w:rPr>
            </w:pPr>
          </w:p>
        </w:tc>
        <w:tc>
          <w:tcPr>
            <w:tcW w:w="2686" w:type="dxa"/>
            <w:tcBorders>
              <w:top w:val="nil"/>
              <w:left w:val="nil"/>
              <w:bottom w:val="nil"/>
              <w:right w:val="single" w:sz="8" w:space="0" w:color="FFFFFF"/>
            </w:tcBorders>
            <w:shd w:val="clear" w:color="auto" w:fill="E9EDF4"/>
            <w:hideMark/>
          </w:tcPr>
          <w:p w14:paraId="00229CA6" w14:textId="77777777" w:rsidR="00D61CEA" w:rsidRDefault="00D61CEA">
            <w:pPr>
              <w:rPr>
                <w:rFonts w:ascii="Times New Roman" w:hAnsi="Times New Roman" w:cs="Times New Roman"/>
                <w:sz w:val="20"/>
                <w:szCs w:val="20"/>
              </w:rPr>
            </w:pPr>
          </w:p>
        </w:tc>
      </w:tr>
      <w:tr w:rsidR="00D61CEA" w14:paraId="30E15CDE" w14:textId="77777777" w:rsidTr="00D61CEA">
        <w:trPr>
          <w:trHeight w:val="314"/>
        </w:trPr>
        <w:tc>
          <w:tcPr>
            <w:tcW w:w="3812" w:type="dxa"/>
            <w:tcBorders>
              <w:top w:val="nil"/>
              <w:left w:val="single" w:sz="8" w:space="0" w:color="FFFFFF"/>
              <w:bottom w:val="single" w:sz="8" w:space="0" w:color="FFFFFF"/>
              <w:right w:val="single" w:sz="8" w:space="0" w:color="FFFFFF"/>
            </w:tcBorders>
            <w:shd w:val="clear" w:color="auto" w:fill="4F81BD"/>
            <w:tcMar>
              <w:top w:w="42" w:type="dxa"/>
              <w:left w:w="40" w:type="dxa"/>
              <w:bottom w:w="42" w:type="dxa"/>
              <w:right w:w="40" w:type="dxa"/>
            </w:tcMar>
            <w:vAlign w:val="bottom"/>
            <w:hideMark/>
          </w:tcPr>
          <w:p w14:paraId="1A5FF1C9" w14:textId="77777777" w:rsidR="00D61CEA" w:rsidRDefault="00D61CEA" w:rsidP="00D61CEA">
            <w:pPr>
              <w:numPr>
                <w:ilvl w:val="0"/>
                <w:numId w:val="2"/>
              </w:numPr>
              <w:spacing w:line="288" w:lineRule="auto"/>
              <w:contextualSpacing/>
              <w:rPr>
                <w:rFonts w:ascii="Lato" w:hAnsi="Lato" w:cs="Calibri"/>
                <w:b/>
                <w:bCs/>
                <w:lang w:eastAsia="en-US"/>
              </w:rPr>
            </w:pPr>
            <w:r>
              <w:rPr>
                <w:rFonts w:ascii="Lato" w:hAnsi="Lato"/>
                <w:b/>
                <w:bCs/>
                <w:color w:val="000000"/>
              </w:rPr>
              <w:t>Contract Start date</w:t>
            </w:r>
          </w:p>
        </w:tc>
        <w:tc>
          <w:tcPr>
            <w:tcW w:w="2686" w:type="dxa"/>
            <w:tcBorders>
              <w:top w:val="nil"/>
              <w:left w:val="nil"/>
              <w:bottom w:val="single" w:sz="8" w:space="0" w:color="FFFFFF"/>
              <w:right w:val="single" w:sz="8" w:space="0" w:color="FFFFFF"/>
            </w:tcBorders>
            <w:shd w:val="clear" w:color="auto" w:fill="E9EDF4"/>
            <w:hideMark/>
          </w:tcPr>
          <w:p w14:paraId="6DCB7200" w14:textId="77777777" w:rsidR="00D61CEA" w:rsidRDefault="00D61CEA">
            <w:pPr>
              <w:rPr>
                <w:rFonts w:ascii="Lato" w:eastAsiaTheme="minorHAnsi" w:hAnsi="Lato"/>
                <w:b/>
                <w:bCs/>
              </w:rPr>
            </w:pPr>
            <w:r>
              <w:rPr>
                <w:rFonts w:ascii="Lato" w:hAnsi="Lato"/>
                <w:b/>
                <w:bCs/>
                <w:color w:val="4472C4"/>
              </w:rPr>
              <w:t>1</w:t>
            </w:r>
            <w:r>
              <w:rPr>
                <w:rFonts w:ascii="Lato" w:hAnsi="Lato"/>
                <w:b/>
                <w:bCs/>
                <w:color w:val="4472C4"/>
                <w:vertAlign w:val="superscript"/>
              </w:rPr>
              <w:t>st</w:t>
            </w:r>
            <w:r>
              <w:rPr>
                <w:rFonts w:ascii="Lato" w:hAnsi="Lato"/>
                <w:b/>
                <w:bCs/>
                <w:color w:val="4472C4"/>
              </w:rPr>
              <w:t xml:space="preserve"> November 2022 </w:t>
            </w:r>
          </w:p>
        </w:tc>
      </w:tr>
    </w:tbl>
    <w:p w14:paraId="4EBF2DF3" w14:textId="77777777" w:rsidR="00DD3BE4" w:rsidRDefault="00DD3BE4" w:rsidP="00DD3BE4">
      <w:pPr>
        <w:rPr>
          <w:rFonts w:eastAsiaTheme="minorHAnsi" w:cs="Arial"/>
          <w:color w:val="4472C4"/>
          <w:lang w:eastAsia="en-US"/>
        </w:rPr>
      </w:pPr>
    </w:p>
    <w:p w14:paraId="04908850" w14:textId="77777777" w:rsidR="00DD3BE4" w:rsidRPr="00DD3BE4" w:rsidRDefault="00DD3BE4" w:rsidP="00DD3BE4"/>
    <w:p w14:paraId="491BFFF5" w14:textId="77777777" w:rsidR="00637491" w:rsidRDefault="00637491" w:rsidP="00637491">
      <w:pPr>
        <w:shd w:val="clear" w:color="auto" w:fill="FFFFFF"/>
        <w:ind w:left="426"/>
        <w:rPr>
          <w:rFonts w:cs="Arial"/>
          <w:sz w:val="20"/>
          <w:szCs w:val="20"/>
        </w:rPr>
      </w:pPr>
    </w:p>
    <w:p w14:paraId="52373A96" w14:textId="77777777" w:rsidR="00637491" w:rsidRPr="00C41107" w:rsidRDefault="00637491" w:rsidP="00637491">
      <w:pPr>
        <w:shd w:val="clear" w:color="auto" w:fill="FFFFFF"/>
        <w:ind w:left="426"/>
        <w:rPr>
          <w:rFonts w:cs="Arial"/>
          <w:color w:val="333333"/>
          <w:sz w:val="20"/>
          <w:szCs w:val="20"/>
        </w:rPr>
      </w:pPr>
    </w:p>
    <w:p w14:paraId="2BCF6B81"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4F5BF3A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59E3112" w14:textId="77777777" w:rsidR="00194FEA" w:rsidRPr="00637491" w:rsidRDefault="00637491" w:rsidP="00637491">
      <w:pPr>
        <w:shd w:val="solid" w:color="FFFFFF" w:fill="FFFFFF"/>
        <w:rPr>
          <w:rFonts w:eastAsia="Calibri" w:cs="Arial"/>
          <w:noProof/>
          <w:color w:val="1D1B11"/>
          <w:lang w:eastAsia="en-US"/>
        </w:rPr>
      </w:pPr>
      <w:r w:rsidRPr="00C41107">
        <w:rPr>
          <w:rFonts w:cs="Arial"/>
          <w:sz w:val="20"/>
          <w:szCs w:val="20"/>
        </w:rPr>
        <w:t xml:space="preserve">If you wish to discuss any of the </w:t>
      </w:r>
      <w:proofErr w:type="gramStart"/>
      <w:r w:rsidRPr="00C41107">
        <w:rPr>
          <w:rFonts w:cs="Arial"/>
          <w:sz w:val="20"/>
          <w:szCs w:val="20"/>
        </w:rPr>
        <w:t>above</w:t>
      </w:r>
      <w:proofErr w:type="gramEnd"/>
      <w:r w:rsidRPr="00C41107">
        <w:rPr>
          <w:rFonts w:cs="Arial"/>
          <w:sz w:val="20"/>
          <w:szCs w:val="20"/>
        </w:rPr>
        <w:t xml:space="preserve"> please contact: procurement@bexley.gov.uk </w:t>
      </w:r>
    </w:p>
    <w:sectPr w:rsidR="00194FEA"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76D7"/>
    <w:multiLevelType w:val="hybridMultilevel"/>
    <w:tmpl w:val="B2AE7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0A5502"/>
    <w:rsid w:val="00194FEA"/>
    <w:rsid w:val="003067C9"/>
    <w:rsid w:val="003676C8"/>
    <w:rsid w:val="003E5FA4"/>
    <w:rsid w:val="00473CAB"/>
    <w:rsid w:val="006234FD"/>
    <w:rsid w:val="00637491"/>
    <w:rsid w:val="008F2870"/>
    <w:rsid w:val="00C21C58"/>
    <w:rsid w:val="00D47CEE"/>
    <w:rsid w:val="00D61CEA"/>
    <w:rsid w:val="00D9385F"/>
    <w:rsid w:val="00DA722A"/>
    <w:rsid w:val="00DD3BE4"/>
    <w:rsid w:val="00E044AB"/>
    <w:rsid w:val="00E44534"/>
    <w:rsid w:val="00EA57B5"/>
    <w:rsid w:val="00FA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198E"/>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3688">
      <w:bodyDiv w:val="1"/>
      <w:marLeft w:val="0"/>
      <w:marRight w:val="0"/>
      <w:marTop w:val="0"/>
      <w:marBottom w:val="0"/>
      <w:divBdr>
        <w:top w:val="none" w:sz="0" w:space="0" w:color="auto"/>
        <w:left w:val="none" w:sz="0" w:space="0" w:color="auto"/>
        <w:bottom w:val="none" w:sz="0" w:space="0" w:color="auto"/>
        <w:right w:val="none" w:sz="0" w:space="0" w:color="auto"/>
      </w:divBdr>
    </w:div>
    <w:div w:id="6746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Shahzad, Amir</cp:lastModifiedBy>
  <cp:revision>8</cp:revision>
  <dcterms:created xsi:type="dcterms:W3CDTF">2022-01-14T08:49:00Z</dcterms:created>
  <dcterms:modified xsi:type="dcterms:W3CDTF">2022-05-13T14:21:00Z</dcterms:modified>
</cp:coreProperties>
</file>