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14:paraId="75CF127B" w14:textId="77777777" w:rsidR="00E56E43" w:rsidRDefault="006F3D93">
      <w:pPr>
        <w:rPr>
          <w:rFonts w:ascii="Arial" w:eastAsia="Arial" w:hAnsi="Arial" w:cs="Arial"/>
          <w:b/>
          <w:smallCaps/>
          <w:sz w:val="24"/>
          <w:szCs w:val="24"/>
        </w:rPr>
        <w:sectPr w:rsidR="00E56E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CCB2B3E" wp14:editId="1946DBCB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</wp:posOffset>
                </wp:positionV>
                <wp:extent cx="6286500" cy="832040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2202750" y="0"/>
                          <a:chExt cx="628650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02750" y="0"/>
                            <a:ext cx="6286500" cy="7560000"/>
                            <a:chOff x="-133357" y="-2276513"/>
                            <a:chExt cx="6286835" cy="832054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133357" y="-2276513"/>
                              <a:ext cx="6286825" cy="832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3F4A36" w14:textId="77777777" w:rsidR="00E56E43" w:rsidRDefault="00E56E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980383" y="5629376"/>
                              <a:ext cx="3173095" cy="414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0C2791" w14:textId="77777777" w:rsidR="00E56E43" w:rsidRDefault="00E56E43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133357" y="-2276513"/>
                              <a:ext cx="5485128" cy="4615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1FCD1C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670C7726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6443CDAF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1836AD76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04A93727" w14:textId="77777777" w:rsidR="00E56E43" w:rsidRDefault="00E56E43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6AB577E1" w14:textId="77777777" w:rsidR="00E56E43" w:rsidRDefault="006F3D93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>Award Form</w:t>
                                </w:r>
                              </w:p>
                              <w:p w14:paraId="4EC4F317" w14:textId="77777777" w:rsidR="00E56E43" w:rsidRDefault="00E56E43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CB2B3E" id="Group 3" o:spid="_x0000_s1026" style="position:absolute;margin-left:-2pt;margin-top:26pt;width:495pt;height:655.15pt;z-index:251658240" coordorigin="22027" coordsize="6286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">
                <v:group id="Group 1" o:spid="_x0000_s1027" style="position:absolute;left:22027;width:62865;height:75600" coordorigin="-1333,-22765" coordsize="62868,8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-1333;top:-22765;width:62867;height:83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473F4A36" w14:textId="77777777" w:rsidR="00E56E43" w:rsidRDefault="00E56E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4lMEA&#10;AADaAAAADwAAAGRycy9kb3ducmV2LnhtbESPzWrDMBCE74W8g9hCb43skIbiRjYlpNAc6+SQ42Jt&#10;bVNpZST5J29fBQo9DjPzDbOvFmvERD70jhXk6wwEceN0z62Cy/nj+RVEiMgajWNScKMAVbl62GOh&#10;3cxfNNWxFQnCoUAFXYxDIWVoOrIY1m4gTt638xZjkr6V2uOc4NbITZbtpMWe00KHAx06an7q0SoY&#10;yOjRbOvs2sij53x3Osvbi1JPj8v7G4hIS/wP/7U/tYIt3K+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eJTBAAAA2gAAAA8AAAAAAAAAAAAAAAAAmAIAAGRycy9kb3du&#10;cmV2LnhtbFBLBQYAAAAABAAEAPUAAACGAwAAAAA=&#10;" filled="f" stroked="f">
                    <v:textbox inset="2.53958mm,1.2694mm,2.53958mm,1.2694mm">
                      <w:txbxContent>
                        <w:p w14:paraId="700C2791" w14:textId="77777777" w:rsidR="00E56E43" w:rsidRDefault="00E56E43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YicMA&#10;AADaAAAADwAAAGRycy9kb3ducmV2LnhtbESPwW7CMBBE75X4B2sr9VYcKEFpwCCoVMGlhwAfsIq3&#10;SWi8jmwDga/HSJU4jmbmjWa+7E0rzuR8Y1nBaJiAIC6tbrhScNh/v2cgfEDW2FomBVfysFwMXuaY&#10;a3vhgs67UIkIYZ+jgjqELpfSlzUZ9EPbEUfv1zqDIUpXSe3wEuGmleMkmUqDDceFGjv6qqn8252M&#10;gkmfrkbZR5GS+8ymflPcbuufo1Jvr/1qBiJQH57h//ZW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NYicMAAADaAAAADwAAAAAAAAAAAAAAAACYAgAAZHJzL2Rv&#10;d25yZXYueG1sUEsFBgAAAAAEAAQA9QAAAIgDAAAAAA==&#10;" filled="f" stroked="f">
                    <v:textbox inset="2.53958mm,1.2694mm,2.53958mm,1.2694mm">
                      <w:txbxContent>
                        <w:p w14:paraId="281FCD1C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670C7726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6443CDAF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1836AD76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04A93727" w14:textId="77777777" w:rsidR="00E56E43" w:rsidRDefault="00E56E43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6AB577E1" w14:textId="77777777" w:rsidR="00E56E43" w:rsidRDefault="006F3D93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72"/>
                            </w:rPr>
                            <w:t>Award Form</w:t>
                          </w:r>
                        </w:p>
                        <w:p w14:paraId="4EC4F317" w14:textId="77777777" w:rsidR="00E56E43" w:rsidRDefault="00E56E4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404F0A5" w14:textId="77777777" w:rsidR="00E56E43" w:rsidRDefault="00E56E43">
      <w:pPr>
        <w:rPr>
          <w:rFonts w:ascii="Arial" w:eastAsia="Arial" w:hAnsi="Arial" w:cs="Arial"/>
          <w:b/>
          <w:smallCaps/>
          <w:sz w:val="24"/>
          <w:szCs w:val="24"/>
        </w:rPr>
      </w:pPr>
    </w:p>
    <w:p w14:paraId="6C90BC6F" w14:textId="77777777" w:rsidR="00E56E43" w:rsidRDefault="006F3D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Award Form creates the Contract. It summarises the main features of the procurement and includes the Buyer and the Supplier’s contact details.</w:t>
      </w:r>
    </w:p>
    <w:tbl>
      <w:tblPr>
        <w:tblStyle w:val="a"/>
        <w:tblW w:w="1053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985"/>
        <w:gridCol w:w="8109"/>
      </w:tblGrid>
      <w:tr w:rsidR="00E56E43" w14:paraId="1E3AC25A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799EE01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C639F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Buyer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08969AA4" w14:textId="60C001EC" w:rsidR="00E56E43" w:rsidRDefault="0098757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Kent and Medway Towns Fire Authority</w:t>
            </w:r>
            <w:r w:rsidR="006F3D93">
              <w:rPr>
                <w:rFonts w:ascii="Arial" w:eastAsia="Arial" w:hAnsi="Arial" w:cs="Arial"/>
                <w:sz w:val="24"/>
                <w:szCs w:val="24"/>
              </w:rPr>
              <w:t xml:space="preserve"> (the Buyer). </w:t>
            </w:r>
          </w:p>
          <w:p w14:paraId="14B72AD2" w14:textId="77777777" w:rsidR="00E56E43" w:rsidRDefault="00E56E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F27854" w14:textId="1D149D22" w:rsidR="00E56E43" w:rsidRDefault="006F3D9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Its offices are on: </w:t>
            </w:r>
            <w:r w:rsidR="00987572">
              <w:rPr>
                <w:rFonts w:ascii="Arial" w:eastAsia="Arial" w:hAnsi="Arial" w:cs="Arial"/>
                <w:sz w:val="24"/>
                <w:szCs w:val="24"/>
              </w:rPr>
              <w:t>The Godlands, Straw Mill Hill, Maidstone, ME15 6XB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</w:t>
            </w:r>
          </w:p>
          <w:p w14:paraId="5DFF17A3" w14:textId="77777777" w:rsidR="00E56E43" w:rsidRDefault="00E56E43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56E43" w14:paraId="18033700" w14:textId="77777777" w:rsidTr="00A87069">
        <w:trPr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F3EAD05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8066BE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02F25D45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728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6"/>
              <w:gridCol w:w="4991"/>
            </w:tblGrid>
            <w:tr w:rsidR="00E56E43" w14:paraId="546DD530" w14:textId="77777777">
              <w:tc>
                <w:tcPr>
                  <w:tcW w:w="2296" w:type="dxa"/>
                  <w:shd w:val="clear" w:color="auto" w:fill="auto"/>
                </w:tcPr>
                <w:p w14:paraId="26F0D62B" w14:textId="77777777" w:rsidR="00E56E43" w:rsidRDefault="006F3D9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0054E8A6" w14:textId="77777777" w:rsidR="00E56E43" w:rsidRDefault="006F3D9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[Insert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name (registered name if registered)]</w:t>
                  </w:r>
                </w:p>
              </w:tc>
            </w:tr>
            <w:tr w:rsidR="00E56E43" w14:paraId="35CB1BD5" w14:textId="77777777">
              <w:tc>
                <w:tcPr>
                  <w:tcW w:w="2296" w:type="dxa"/>
                  <w:shd w:val="clear" w:color="auto" w:fill="auto"/>
                </w:tcPr>
                <w:p w14:paraId="149864B7" w14:textId="77777777" w:rsidR="00E56E43" w:rsidRDefault="006F3D9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Address: </w:t>
                  </w:r>
                </w:p>
              </w:tc>
              <w:tc>
                <w:tcPr>
                  <w:tcW w:w="4991" w:type="dxa"/>
                </w:tcPr>
                <w:p w14:paraId="355C6CEA" w14:textId="77777777" w:rsidR="00E56E43" w:rsidRDefault="006F3D9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Insert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address registered address if registered]</w:t>
                  </w:r>
                </w:p>
              </w:tc>
            </w:tr>
            <w:tr w:rsidR="00E56E43" w14:paraId="65877808" w14:textId="77777777">
              <w:tc>
                <w:tcPr>
                  <w:tcW w:w="2296" w:type="dxa"/>
                  <w:shd w:val="clear" w:color="auto" w:fill="auto"/>
                </w:tcPr>
                <w:p w14:paraId="4BF79784" w14:textId="77777777" w:rsidR="00E56E43" w:rsidRDefault="006F3D9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Registration number:    </w:t>
                  </w:r>
                </w:p>
              </w:tc>
              <w:tc>
                <w:tcPr>
                  <w:tcW w:w="4991" w:type="dxa"/>
                </w:tcPr>
                <w:p w14:paraId="747C7453" w14:textId="77777777" w:rsidR="00E56E43" w:rsidRDefault="006F3D9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registration number if registered]</w:t>
                  </w:r>
                </w:p>
              </w:tc>
            </w:tr>
            <w:tr w:rsidR="00E56E43" w14:paraId="5853369F" w14:textId="77777777">
              <w:tc>
                <w:tcPr>
                  <w:tcW w:w="2296" w:type="dxa"/>
                  <w:shd w:val="clear" w:color="auto" w:fill="auto"/>
                </w:tcPr>
                <w:p w14:paraId="1914A9B1" w14:textId="77777777" w:rsidR="00E56E43" w:rsidRDefault="006F3D9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SID4GOV ID:</w:t>
                  </w:r>
                </w:p>
              </w:tc>
              <w:tc>
                <w:tcPr>
                  <w:tcW w:w="4991" w:type="dxa"/>
                </w:tcPr>
                <w:p w14:paraId="48BEBC86" w14:textId="77777777" w:rsidR="00E56E43" w:rsidRDefault="006F3D9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SID4GOV ID if you have one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E56E43" w14:paraId="61A3FDA7" w14:textId="77777777">
              <w:tc>
                <w:tcPr>
                  <w:tcW w:w="2296" w:type="dxa"/>
                  <w:shd w:val="clear" w:color="auto" w:fill="auto"/>
                </w:tcPr>
                <w:p w14:paraId="0B6358B7" w14:textId="77777777" w:rsidR="00E56E43" w:rsidRDefault="00E56E43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14:paraId="7D4F2DFB" w14:textId="77777777" w:rsidR="00E56E43" w:rsidRDefault="00E56E43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6B46D917" w14:textId="77777777" w:rsidR="00E56E43" w:rsidRDefault="00E56E4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E43" w14:paraId="1F76D8F7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E61C75A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29A50F" w14:textId="77777777" w:rsidR="00E56E43" w:rsidRDefault="006F3D93" w:rsidP="0035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10ADF05E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Contract between the Buyer and the Supplier is for the supply of Deliverables.</w:t>
            </w:r>
          </w:p>
          <w:p w14:paraId="3B747B3B" w14:textId="77777777" w:rsidR="003504DD" w:rsidRDefault="0035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39CEC46" w14:textId="77777777" w:rsidR="003504DD" w:rsidRDefault="0035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This opportunity was first </w:t>
            </w:r>
            <w:r w:rsidR="006F3D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advertised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the OJEU as a PIN ref: </w:t>
            </w:r>
            <w:hyperlink r:id="rId17" w:tgtFrame="_blank" w:tooltip="2020/S 242-600239" w:history="1">
              <w:r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2020/S 242-600239</w:t>
              </w:r>
            </w:hyperlink>
          </w:p>
          <w:p w14:paraId="7F294182" w14:textId="77777777" w:rsidR="003504DD" w:rsidRDefault="00350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</w:p>
          <w:p w14:paraId="7BEAF74C" w14:textId="3FBDD24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3504DD"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 Contract Notice </w:t>
            </w:r>
            <w:r w:rsidR="003504D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was published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the </w:t>
            </w:r>
            <w:r w:rsidR="00335E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Find a Tender Service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reference </w:t>
            </w:r>
            <w:r w:rsidR="00350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2021/S 000-001480</w:t>
            </w:r>
            <w:r w:rsidR="00335E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 w:rsidR="00335EB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FTS Contract Notice) </w:t>
            </w:r>
          </w:p>
          <w:p w14:paraId="001E24CF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E56E43" w14:paraId="34A46676" w14:textId="77777777" w:rsidTr="00A87069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D6E4550" w14:textId="77777777" w:rsidR="00E56E43" w:rsidRDefault="00E56E43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65DE28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Contract reference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3108AB67" w14:textId="477B5C8E" w:rsidR="00E56E43" w:rsidRPr="00335EB2" w:rsidRDefault="0098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C19070 – Digital Experience Platform</w:t>
            </w:r>
          </w:p>
        </w:tc>
      </w:tr>
      <w:tr w:rsidR="00E56E43" w14:paraId="1126A269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1FB80C1" w14:textId="77777777" w:rsidR="00E56E43" w:rsidRDefault="00E56E43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873551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7AABC9B9" w14:textId="60F5F201" w:rsidR="00E56E43" w:rsidRPr="00335EB2" w:rsidRDefault="00335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Digital Experience Platform (DXP) which centralises and streamlines a number of currently separate tools and function, providing the flexibility for the Authority to adapt to new and emerging technologies.</w:t>
            </w:r>
          </w:p>
          <w:p w14:paraId="565208EC" w14:textId="77777777" w:rsidR="00335EB2" w:rsidRPr="00335EB2" w:rsidRDefault="00335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B66AC5A" w14:textId="45D3E1C0" w:rsidR="00E56E43" w:rsidRPr="00335EB2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See </w:t>
            </w:r>
            <w:r w:rsidR="00335EB2"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C19070 Experience Platform ITT for further details.</w:t>
            </w:r>
          </w:p>
          <w:p w14:paraId="1CEED323" w14:textId="77777777" w:rsidR="00E56E43" w:rsidRPr="00335EB2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E56E43" w14:paraId="7007E902" w14:textId="77777777" w:rsidTr="00A87069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2314E92" w14:textId="242D298A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9FE1E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Start Date</w:t>
            </w:r>
          </w:p>
          <w:p w14:paraId="78AA0A7F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2E619117" w14:textId="40E9BA95" w:rsidR="00E56E43" w:rsidRPr="00335EB2" w:rsidRDefault="00335EB2">
            <w:pPr>
              <w:spacing w:after="0"/>
              <w:ind w:right="936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5</w:t>
            </w: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  <w:vertAlign w:val="superscript"/>
              </w:rPr>
              <w:t>th</w:t>
            </w: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April 2021</w:t>
            </w:r>
          </w:p>
        </w:tc>
      </w:tr>
      <w:tr w:rsidR="00E56E43" w14:paraId="6050F6CC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82E0C4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F5C6E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End Date</w:t>
            </w:r>
          </w:p>
          <w:p w14:paraId="34DC3D99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0033DA79" w14:textId="6BD6655D" w:rsidR="00E56E43" w:rsidRPr="00335EB2" w:rsidRDefault="00335EB2" w:rsidP="00335EB2">
            <w:pPr>
              <w:spacing w:after="0"/>
              <w:ind w:right="936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4</w:t>
            </w: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  <w:vertAlign w:val="superscript"/>
              </w:rPr>
              <w:t>th</w:t>
            </w: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April 2026</w:t>
            </w:r>
          </w:p>
        </w:tc>
      </w:tr>
      <w:tr w:rsidR="00E56E43" w14:paraId="7714E447" w14:textId="77777777" w:rsidTr="00A87069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D18DBB6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B190AF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Extension</w:t>
            </w:r>
          </w:p>
          <w:p w14:paraId="000872ED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76D57C77" w14:textId="0234C0F0" w:rsidR="00E56E43" w:rsidRPr="00335EB2" w:rsidRDefault="00D42E20">
            <w:pPr>
              <w:spacing w:after="0"/>
              <w:ind w:right="936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2 potential extensions of up to 12 months only</w:t>
            </w:r>
          </w:p>
        </w:tc>
      </w:tr>
      <w:tr w:rsidR="00E56E43" w14:paraId="28E5F06E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866C27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F017D0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Incorporated Terms </w:t>
            </w:r>
          </w:p>
          <w:p w14:paraId="67CE8C4F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E99560" w14:textId="77777777" w:rsidR="00E56E43" w:rsidRDefault="006F3D9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(together these documents form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the ‘the Contract’)</w:t>
            </w:r>
          </w:p>
          <w:p w14:paraId="11148C8C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609652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73C23A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EED6E7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B73FBA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147F7E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6BABBC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A83685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406363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3182FD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7AFC53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2EE2E2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C2ACB4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683C7F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E5BC70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7AE889" w14:textId="77777777" w:rsidR="00E56E43" w:rsidRDefault="00E56E4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32378D10" w14:textId="77777777" w:rsidR="00E56E43" w:rsidRPr="00335EB2" w:rsidRDefault="006F3D93">
            <w:pP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The following documents are incorporated into the Contract. Where numbers are missing we are not using these Schedules. If the documents conflict, the following order of precedence applies:</w:t>
            </w:r>
          </w:p>
          <w:p w14:paraId="182B689F" w14:textId="77777777" w:rsidR="00E56E43" w:rsidRPr="00335EB2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This Award Form</w:t>
            </w:r>
          </w:p>
          <w:p w14:paraId="54594C04" w14:textId="77777777" w:rsidR="00E56E43" w:rsidRPr="00335EB2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Any Special Terms (see </w:t>
            </w:r>
            <w:r w:rsidRPr="00335EB2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Section 10 Special Terms</w:t>
            </w: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in this Award Form)</w:t>
            </w:r>
          </w:p>
          <w:p w14:paraId="00C60E66" w14:textId="77777777" w:rsidR="00E56E43" w:rsidRPr="00335EB2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 xml:space="preserve">Core Terms (version 1.0) </w:t>
            </w:r>
          </w:p>
          <w:p w14:paraId="49230378" w14:textId="77777777" w:rsidR="00E56E43" w:rsidRPr="00335EB2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Schedule 1 (Definitions) </w:t>
            </w:r>
          </w:p>
          <w:p w14:paraId="5F48F712" w14:textId="77777777" w:rsidR="00E56E43" w:rsidRPr="00335EB2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Schedule 20 (Processing Data) </w:t>
            </w:r>
          </w:p>
          <w:p w14:paraId="0D3B6919" w14:textId="77777777" w:rsidR="00E56E43" w:rsidRPr="00335EB2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The following Schedules (in equal order of precedence):</w:t>
            </w:r>
          </w:p>
          <w:p w14:paraId="3B3BABB7" w14:textId="3DD850AB" w:rsidR="00E56E43" w:rsidRPr="00335EB2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0" w:hanging="72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[</w:t>
            </w:r>
          </w:p>
          <w:p w14:paraId="7B3757D4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2 (Specification)</w:t>
            </w:r>
          </w:p>
          <w:p w14:paraId="153163BE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3 (Charges)</w:t>
            </w:r>
          </w:p>
          <w:p w14:paraId="22CC3017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5 (Commercially Sensitive Information)</w:t>
            </w:r>
          </w:p>
          <w:p w14:paraId="0E5DA173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6 (Transparency Reports)</w:t>
            </w:r>
          </w:p>
          <w:p w14:paraId="39076A02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7 (Staff Transfer)</w:t>
            </w:r>
          </w:p>
          <w:p w14:paraId="6C7A8F2A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8 (Implementation Plan &amp; Testing)</w:t>
            </w:r>
          </w:p>
          <w:p w14:paraId="2286BADD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10 (Service Levels)</w:t>
            </w:r>
          </w:p>
          <w:p w14:paraId="25BB7991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11 (Continuous Improvement)</w:t>
            </w:r>
          </w:p>
          <w:p w14:paraId="66243629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13 (Contract Management)</w:t>
            </w:r>
          </w:p>
          <w:p w14:paraId="7E290645" w14:textId="1B1EFA4C" w:rsidR="00E56E43" w:rsidRPr="00335EB2" w:rsidRDefault="006F3D93" w:rsidP="009875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14 (Business Continuity and Disaster Recovery)</w:t>
            </w:r>
          </w:p>
          <w:p w14:paraId="06E2924F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16 (Security)</w:t>
            </w:r>
          </w:p>
          <w:p w14:paraId="30BBAB1F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19 (Cyber Essentials Scheme)</w:t>
            </w:r>
          </w:p>
          <w:p w14:paraId="2AA09171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20 (Processing Data)</w:t>
            </w:r>
          </w:p>
          <w:p w14:paraId="6CF852F9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21 (Variation Form)</w:t>
            </w:r>
          </w:p>
          <w:p w14:paraId="0D93F9C5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22 (Insurance Requirements)</w:t>
            </w:r>
          </w:p>
          <w:p w14:paraId="0C533FE4" w14:textId="77777777" w:rsidR="00E56E43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25 (Rectification Plan)</w:t>
            </w:r>
          </w:p>
          <w:p w14:paraId="70C6CA4B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27 (Key Subcontractors)</w:t>
            </w:r>
          </w:p>
          <w:p w14:paraId="154B8F7E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28 (ICT Services)</w:t>
            </w:r>
          </w:p>
          <w:p w14:paraId="0ECC8C26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29 (Key Supplier Staff)</w:t>
            </w:r>
          </w:p>
          <w:p w14:paraId="58294A32" w14:textId="77777777" w:rsidR="00E56E43" w:rsidRPr="00335EB2" w:rsidRDefault="006F3D9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  <w:r w:rsidRPr="00335EB2">
              <w:rPr>
                <w:rFonts w:ascii="Arial" w:eastAsia="Arial" w:hAnsi="Arial" w:cs="Arial"/>
                <w:color w:val="auto"/>
              </w:rPr>
              <w:t>Schedule 30 (Exit Management)</w:t>
            </w:r>
          </w:p>
          <w:p w14:paraId="4DF2461F" w14:textId="77777777" w:rsidR="00E56E43" w:rsidRPr="00335EB2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Schedule 26 (Corporate Social Responsibility) </w:t>
            </w:r>
          </w:p>
          <w:p w14:paraId="6278EE5F" w14:textId="77777777" w:rsidR="00E56E43" w:rsidRPr="00335EB2" w:rsidRDefault="006F3D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Schedule 4 (Tender) as long as any part of the Tender that offers a better commercial position for the Buyer takes precedence over the documents above </w:t>
            </w:r>
          </w:p>
          <w:p w14:paraId="545DADEB" w14:textId="77777777" w:rsidR="00E56E43" w:rsidRPr="00335EB2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E56E43" w14:paraId="3F281E74" w14:textId="77777777" w:rsidTr="00A87069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 w:val="restart"/>
          </w:tcPr>
          <w:p w14:paraId="1845808F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D61A433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Special Terms</w:t>
            </w:r>
          </w:p>
          <w:p w14:paraId="65E4FF7C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D2A126A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7211223B" w14:textId="3CE62D20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Special Term 1 </w:t>
            </w:r>
            <w:r w:rsidR="00335EB2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35EB2">
              <w:rPr>
                <w:rFonts w:ascii="Arial" w:eastAsia="Arial" w:hAnsi="Arial" w:cs="Arial"/>
                <w:sz w:val="24"/>
                <w:szCs w:val="24"/>
              </w:rPr>
              <w:t xml:space="preserve">Cyber Essentials shall be an acceptable replacement for ISO27001, providing it meets the requirements as per Appendix A DXP Evaluation and Pricing Schedule - requirement 4.2.3. </w:t>
            </w:r>
          </w:p>
          <w:p w14:paraId="165B1458" w14:textId="77777777" w:rsidR="00E56E43" w:rsidRDefault="00E56E4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E56E43" w14:paraId="13D677FE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0125219C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14:paraId="08870C81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3FF7787F" w14:textId="4F48F0C0" w:rsidR="00E56E43" w:rsidRDefault="003504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References to UK hosting shall be subject to the UK being granted an adequacy decision by the EU.</w:t>
            </w:r>
          </w:p>
        </w:tc>
      </w:tr>
      <w:tr w:rsidR="00E56E43" w14:paraId="5BC1569F" w14:textId="77777777" w:rsidTr="00A87069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25C610F5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855DFF" w14:textId="77777777" w:rsidR="00E56E43" w:rsidRDefault="00E5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2973D50F" w14:textId="507EA375" w:rsidR="00E56E43" w:rsidRDefault="003504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 Brexit legislation may be incorporated into terms and conditions post award.</w:t>
            </w:r>
            <w:bookmarkStart w:id="1" w:name="_GoBack"/>
            <w:bookmarkEnd w:id="1"/>
          </w:p>
        </w:tc>
      </w:tr>
      <w:tr w:rsidR="00E56E43" w14:paraId="2F701C0C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324F81E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4F4F05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Buyer’s Environmental Policy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6CAC7778" w14:textId="50A0AF8A" w:rsidR="00E56E43" w:rsidRDefault="00586F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hyperlink r:id="rId18" w:history="1">
              <w:r w:rsidR="00D42E20" w:rsidRPr="00E858BE">
                <w:rPr>
                  <w:rStyle w:val="Hyperlink"/>
                </w:rPr>
                <w:t>http://www.kent.fire-uk.org/about-us/plans-policies-and-performance/corporate-plan/caring-for-the-environment/</w:t>
              </w:r>
            </w:hyperlink>
          </w:p>
        </w:tc>
      </w:tr>
      <w:tr w:rsidR="00E56E43" w14:paraId="75C510FC" w14:textId="77777777" w:rsidTr="00A8706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0D019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C43D3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Buyer’s Security Policy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28CF28A9" w14:textId="3F7B119B" w:rsidR="00E56E43" w:rsidRPr="00335EB2" w:rsidRDefault="006F3D93">
            <w:pPr>
              <w:tabs>
                <w:tab w:val="left" w:pos="2257"/>
              </w:tabs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Schedule 16</w:t>
            </w:r>
          </w:p>
          <w:p w14:paraId="2E57B4EF" w14:textId="77777777" w:rsidR="00E56E43" w:rsidRPr="00335EB2" w:rsidRDefault="00E56E4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  <w:highlight w:val="yellow"/>
              </w:rPr>
            </w:pPr>
          </w:p>
        </w:tc>
      </w:tr>
      <w:tr w:rsidR="00E56E43" w14:paraId="04C9CAB2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4297D6C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BD6509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Social Value Commitment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0AD9EB15" w14:textId="3E721E38" w:rsidR="00E56E43" w:rsidRPr="00335EB2" w:rsidRDefault="006F3D9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The Supplier agrees, in providing the Deliverables and performing its obligations under the Contract, that it will comply with the social value com</w:t>
            </w:r>
            <w:r w:rsidR="00D42E20" w:rsidRPr="00335EB2">
              <w:rPr>
                <w:rFonts w:ascii="Arial" w:eastAsia="Arial" w:hAnsi="Arial" w:cs="Arial"/>
                <w:color w:val="auto"/>
                <w:sz w:val="24"/>
                <w:szCs w:val="24"/>
              </w:rPr>
              <w:t>mitments in C19070 Digital Experience Platform ITT</w:t>
            </w:r>
          </w:p>
          <w:p w14:paraId="651C2BD1" w14:textId="77777777" w:rsidR="00E56E43" w:rsidRPr="00335EB2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E56E43" w14:paraId="4D86DD58" w14:textId="77777777" w:rsidTr="00A8706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C71B301" w14:textId="77777777" w:rsidR="00E56E43" w:rsidRDefault="006F3D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14:paraId="40ED0AE0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Commercially Sensitive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60C70139" w14:textId="4337AB51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Supplier’s Commercially Sensitive Information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Schedule 5</w:t>
            </w:r>
          </w:p>
        </w:tc>
      </w:tr>
      <w:tr w:rsidR="00E56E43" w14:paraId="3811E7F7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9E6598D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06553C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Charges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7F009E8F" w14:textId="49B4082F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E9AEA0E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42E20">
              <w:rPr>
                <w:rFonts w:ascii="Arial" w:eastAsia="Arial" w:hAnsi="Arial" w:cs="Arial"/>
                <w:color w:val="000000"/>
                <w:sz w:val="24"/>
                <w:szCs w:val="24"/>
              </w:rPr>
              <w:t>Details in Schedule 3 (Charges)</w:t>
            </w:r>
          </w:p>
        </w:tc>
      </w:tr>
      <w:tr w:rsidR="00E56E43" w14:paraId="71F7146C" w14:textId="77777777" w:rsidTr="00A87069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1FCB025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FE44DE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Reimbursable expenses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  <w:shd w:val="clear" w:color="auto" w:fill="auto"/>
          </w:tcPr>
          <w:p w14:paraId="36A4F927" w14:textId="26221792" w:rsidR="00E56E43" w:rsidRDefault="00D4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E56E43" w14:paraId="1DC9259A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ED76979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F612B6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Payment 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  <w:shd w:val="clear" w:color="auto" w:fill="auto"/>
          </w:tcPr>
          <w:p w14:paraId="33389C18" w14:textId="3AFBE17E" w:rsidR="00E56E43" w:rsidRDefault="00D4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BACS</w:t>
            </w:r>
          </w:p>
        </w:tc>
      </w:tr>
      <w:tr w:rsidR="00E56E43" w14:paraId="3E23055B" w14:textId="77777777" w:rsidTr="00A87069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8B45977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D8FFE0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Service Levels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  <w:shd w:val="clear" w:color="auto" w:fill="auto"/>
          </w:tcPr>
          <w:p w14:paraId="24DCFF75" w14:textId="660EA3A1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Service Credits will accrue in accordance wit</w:t>
            </w:r>
            <w:r w:rsidR="00D42E20">
              <w:rPr>
                <w:rFonts w:ascii="Arial" w:eastAsia="Arial" w:hAnsi="Arial" w:cs="Arial"/>
                <w:color w:val="000000"/>
                <w:sz w:val="24"/>
                <w:szCs w:val="24"/>
              </w:rPr>
              <w:t>h Schedule 10 (Service Levels)</w:t>
            </w:r>
          </w:p>
          <w:p w14:paraId="702A6B52" w14:textId="77777777" w:rsidR="00A87069" w:rsidRDefault="00A8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E179B23" w14:textId="77777777" w:rsidR="00A87069" w:rsidRPr="00A87069" w:rsidRDefault="006F3D93" w:rsidP="00A8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8706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The Service Credit Cap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is: </w:t>
            </w:r>
            <w:r w:rsidR="00A87069" w:rsidRP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(a) in the period from the Contract Start Date to the end of the first Contract Year fifteen thousand pounds (£15,000); and </w:t>
            </w:r>
          </w:p>
          <w:p w14:paraId="4D40DF21" w14:textId="0AA73FB2" w:rsidR="00E56E43" w:rsidRDefault="00A87069" w:rsidP="00A8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t>(b) during the remainder of the Contract Period, thirty five per cent (35%) of the Contract Charges payable to the Supplier under this Contract in the period of twelve (12) Months immediately preceding the Service Period in respect of which Service Credits are accrued;</w:t>
            </w:r>
          </w:p>
          <w:p w14:paraId="26641151" w14:textId="77777777" w:rsidR="00A87069" w:rsidRDefault="00A87069" w:rsidP="00A8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CBCD499" w14:textId="38D4A28E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8706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The Service Period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is </w:t>
            </w:r>
            <w:r w:rsidR="000C1BB4" w:rsidRP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Month(s)</w:t>
            </w:r>
          </w:p>
          <w:p w14:paraId="67F912E3" w14:textId="77777777" w:rsidR="00A87069" w:rsidRDefault="00A8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334C2BC" w14:textId="2E8CCFBD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8706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 Critical Service Level Failure is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A87069" w:rsidRP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deemed to have occurred if the performance of the Services falls below the same Service Failure </w:t>
            </w:r>
            <w:r w:rsidR="00A87069" w:rsidRP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Threshold on three (3) occasions in any six (6) consecutive Service Periods.</w:t>
            </w:r>
          </w:p>
          <w:p w14:paraId="1A1F4EE9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4F7BC220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0915431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7B75D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  <w:shd w:val="clear" w:color="auto" w:fill="auto"/>
          </w:tcPr>
          <w:p w14:paraId="3A22434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Details in Annex of Schedule 22 (Insurance Requirements).</w:t>
            </w:r>
          </w:p>
        </w:tc>
      </w:tr>
      <w:tr w:rsidR="00E56E43" w14:paraId="6C96C4B0" w14:textId="77777777" w:rsidTr="00A87069">
        <w:trPr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9D31C77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F7EF14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Liability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4C9B90AE" w14:textId="63A6CEA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accordance with Clause 11.1 of the Core Terms each Party's total aggregate liability in each Contract Year under the Contract (whether in tort, contract</w:t>
            </w:r>
            <w:r w:rsid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 otherwise) is no more than the greater of £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5 million</w:t>
            </w:r>
            <w:r w:rsid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150</w:t>
            </w:r>
            <w:r w:rsid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% </w:t>
            </w:r>
            <w:r w:rsidR="00A87069">
              <w:rPr>
                <w:rFonts w:ascii="Arial" w:eastAsia="Arial" w:hAnsi="Arial" w:cs="Arial"/>
                <w:color w:val="000000"/>
                <w:sz w:val="24"/>
                <w:szCs w:val="24"/>
              </w:rPr>
              <w:t>of the Estimated Yearly Charges</w:t>
            </w:r>
          </w:p>
          <w:p w14:paraId="070A48D1" w14:textId="77777777" w:rsidR="00E56E43" w:rsidRDefault="00E5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AD305EA" w14:textId="77777777" w:rsidR="00E56E43" w:rsidRDefault="00E56E43" w:rsidP="00A8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7FFF2EF2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F04763E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390E5B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Cyber </w:t>
            </w:r>
          </w:p>
          <w:p w14:paraId="3CE866D7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13A01981" w14:textId="01B41428" w:rsidR="00E56E43" w:rsidRDefault="00A87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Cyber Essentials Scheme Basic / Plus</w:t>
            </w:r>
            <w:r w:rsidR="006F3D93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Certificate (or equivalent). Details in Schedu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le 19 (Cyber Essentials Scheme)</w:t>
            </w:r>
          </w:p>
        </w:tc>
      </w:tr>
      <w:tr w:rsidR="00E56E43" w14:paraId="154034BD" w14:textId="77777777" w:rsidTr="00A87069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BB8FCE3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CA7DCA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Progress Meetings and Progress Reports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2D486276" w14:textId="5D30C642" w:rsidR="00E56E43" w:rsidRDefault="006F3D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Supplier shall attend Progress</w:t>
            </w:r>
            <w:r w:rsidR="00D42E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Meetings with the Buyer every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987572">
              <w:rPr>
                <w:rFonts w:ascii="Arial" w:eastAsia="Arial" w:hAnsi="Arial" w:cs="Arial"/>
                <w:color w:val="000000"/>
                <w:sz w:val="24"/>
                <w:szCs w:val="24"/>
              </w:rPr>
              <w:t>1 Calendar Month throughout discovery and Implementation. Thereafter, quarterly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]</w:t>
            </w:r>
          </w:p>
          <w:p w14:paraId="4CF60590" w14:textId="1570D316" w:rsidR="00E56E43" w:rsidRDefault="006F3D93" w:rsidP="009875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Supplier shall provide the Buy</w:t>
            </w:r>
            <w:r w:rsidR="00D42E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er with Progress Reports every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987572">
              <w:rPr>
                <w:rFonts w:ascii="Arial" w:eastAsia="Arial" w:hAnsi="Arial" w:cs="Arial"/>
                <w:color w:val="000000"/>
                <w:sz w:val="24"/>
                <w:szCs w:val="24"/>
              </w:rPr>
              <w:t>1 Calendar Month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]</w:t>
            </w:r>
          </w:p>
        </w:tc>
      </w:tr>
      <w:tr w:rsidR="00E56E43" w14:paraId="3C359BFC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33FED1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C36EB1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Guarantee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087A632E" w14:textId="3AA59AB6" w:rsidR="00E56E43" w:rsidRPr="00A87069" w:rsidRDefault="006F3D93">
            <w:pP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87069">
              <w:rPr>
                <w:rFonts w:ascii="Arial" w:eastAsia="Arial" w:hAnsi="Arial" w:cs="Arial"/>
                <w:color w:val="auto"/>
                <w:sz w:val="24"/>
                <w:szCs w:val="24"/>
              </w:rPr>
              <w:t>Not applicable</w:t>
            </w:r>
          </w:p>
          <w:p w14:paraId="5A3B9E52" w14:textId="3332B063" w:rsidR="00E56E43" w:rsidRDefault="00E56E4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E43" w14:paraId="4CBD3F21" w14:textId="77777777" w:rsidTr="00A87069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FADF779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FBD07E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14:paraId="7A7A7592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Contract</w:t>
            </w:r>
          </w:p>
          <w:p w14:paraId="46FD4F5C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7EDA56DB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194318FB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3E220DC1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3B768446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03CCE793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32BBCB1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F294C4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14:paraId="6841DB19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417F3B41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4910F90A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2B2ED8F7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3F463786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07BF8DCB" w14:textId="77777777" w:rsidTr="00A87069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6DCA859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35625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14:paraId="5E7C8DED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6B5D97AF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00910592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568F6238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55B7D051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6FE244C6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F5A78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2E9081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Data Protection </w:t>
            </w:r>
          </w:p>
          <w:p w14:paraId="596A4F59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5E72E2CB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7873814D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023454F9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2CAC7A72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4E663522" w14:textId="77777777" w:rsidTr="00A87069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6755D35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85AF11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14:paraId="7699FFD5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0CF87482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329A68E2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14:paraId="68B66EC8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14:paraId="39C4CFD7" w14:textId="77777777" w:rsidR="00E56E43" w:rsidRDefault="006F3D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56E43" w14:paraId="3818E947" w14:textId="77777777" w:rsidTr="00A8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21144E0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8C11F4" w14:textId="77777777" w:rsidR="00E56E43" w:rsidRDefault="006F3D93" w:rsidP="00D4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firstLine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  <w:shd w:val="clear" w:color="auto" w:fill="auto"/>
          </w:tcPr>
          <w:p w14:paraId="3799898B" w14:textId="77777777" w:rsidR="00E56E43" w:rsidRDefault="006F3D93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Subcontractor 1</w:t>
            </w:r>
          </w:p>
          <w:p w14:paraId="183E736A" w14:textId="77777777" w:rsidR="00E56E43" w:rsidRDefault="006F3D9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(Registered name if registered)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14:paraId="2EDE5BC9" w14:textId="77777777" w:rsidR="00E56E43" w:rsidRDefault="006F3D9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Registration number (if registered)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number]</w:t>
            </w:r>
          </w:p>
          <w:p w14:paraId="2374034A" w14:textId="77777777" w:rsidR="00E56E43" w:rsidRDefault="006F3D9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 of Subcontractor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role]</w:t>
            </w:r>
          </w:p>
          <w:p w14:paraId="34AEFC7C" w14:textId="77777777" w:rsidR="00E56E43" w:rsidRDefault="006F3D9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[Guidance: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copy above lines as needed]</w:t>
            </w:r>
          </w:p>
        </w:tc>
      </w:tr>
      <w:tr w:rsidR="00E56E43" w14:paraId="105A8C97" w14:textId="77777777" w:rsidTr="00A87069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EBA2688" w14:textId="77777777" w:rsidR="00E56E43" w:rsidRDefault="00E56E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64EBCD" w14:textId="77777777" w:rsidR="00E56E43" w:rsidRDefault="006F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Buyer </w:t>
            </w:r>
          </w:p>
          <w:p w14:paraId="58B6DA62" w14:textId="77777777" w:rsidR="00E56E43" w:rsidRDefault="006F3D93" w:rsidP="00A8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9" w:type="dxa"/>
          </w:tcPr>
          <w:p w14:paraId="3FB28CA9" w14:textId="120A5AE0" w:rsidR="00E56E43" w:rsidRDefault="00A870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Sally Conquest – ICT Category Manager</w:t>
            </w:r>
          </w:p>
          <w:p w14:paraId="08F75BE7" w14:textId="77777777" w:rsidR="00A87069" w:rsidRDefault="00586F78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9" w:history="1">
              <w:r w:rsidR="00A87069" w:rsidRPr="00E3450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Sally.conquest@kent.fire-uk.org</w:t>
              </w:r>
            </w:hyperlink>
            <w:r w:rsidR="00A870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E87F1F9" w14:textId="148D5DB3" w:rsidR="00A87069" w:rsidRDefault="00A870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01622 692121</w:t>
            </w:r>
          </w:p>
        </w:tc>
      </w:tr>
    </w:tbl>
    <w:p w14:paraId="7CD039FE" w14:textId="3FCB03D7" w:rsidR="00E56E43" w:rsidRDefault="00E56E43">
      <w:pPr>
        <w:rPr>
          <w:rFonts w:ascii="Arial" w:eastAsia="Arial" w:hAnsi="Arial" w:cs="Arial"/>
          <w:sz w:val="24"/>
          <w:szCs w:val="24"/>
        </w:rPr>
      </w:pPr>
    </w:p>
    <w:p w14:paraId="5B4DCDDE" w14:textId="77777777" w:rsidR="00E56E43" w:rsidRDefault="00E56E43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E56E43" w14:paraId="3C30E796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2DF9C95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6786DF49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56E43" w14:paraId="59B11C6E" w14:textId="77777777" w:rsidTr="00E56E43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B3126D5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7AB7BD7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38BAC55E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14:paraId="70326DF4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06F65D81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A9C8C49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2BED509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4DFFB8AC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14:paraId="665C88BB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3E8359EB" w14:textId="77777777" w:rsidTr="00E56E43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46DE319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76AE09A0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0DB42D46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14:paraId="54398A81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6E43" w14:paraId="03AC0124" w14:textId="77777777" w:rsidTr="00E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01D6B28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3A4AEC2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2FD0F80F" w14:textId="77777777" w:rsidR="00E56E43" w:rsidRDefault="006F3D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14:paraId="7EC91809" w14:textId="77777777" w:rsidR="00E56E43" w:rsidRDefault="00E56E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8B47CE5" w14:textId="77777777" w:rsidR="00E56E43" w:rsidRDefault="00E56E43">
      <w:pPr>
        <w:pBdr>
          <w:top w:val="nil"/>
          <w:left w:val="nil"/>
          <w:bottom w:val="nil"/>
          <w:right w:val="nil"/>
          <w:between w:val="nil"/>
        </w:pBdr>
        <w:ind w:left="792" w:hanging="720"/>
        <w:rPr>
          <w:rFonts w:ascii="Arial" w:eastAsia="Arial" w:hAnsi="Arial" w:cs="Arial"/>
          <w:i/>
          <w:color w:val="000000"/>
        </w:rPr>
      </w:pPr>
      <w:bookmarkStart w:id="2" w:name="bookmark=id.30j0zll" w:colFirst="0" w:colLast="0"/>
      <w:bookmarkEnd w:id="2"/>
    </w:p>
    <w:p w14:paraId="3F284D96" w14:textId="77777777" w:rsidR="00E56E43" w:rsidRDefault="00E56E43">
      <w:pPr>
        <w:pBdr>
          <w:top w:val="nil"/>
          <w:left w:val="nil"/>
          <w:bottom w:val="nil"/>
          <w:right w:val="nil"/>
          <w:between w:val="nil"/>
        </w:pBdr>
        <w:ind w:left="792" w:hanging="720"/>
        <w:rPr>
          <w:rFonts w:ascii="Arial" w:eastAsia="Arial" w:hAnsi="Arial" w:cs="Arial"/>
          <w:i/>
          <w:color w:val="000000"/>
        </w:rPr>
      </w:pPr>
    </w:p>
    <w:sectPr w:rsidR="00E56E43">
      <w:pgSz w:w="11906" w:h="16838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D834A" w14:textId="77777777" w:rsidR="00586F78" w:rsidRDefault="00586F78">
      <w:pPr>
        <w:spacing w:after="0" w:line="240" w:lineRule="auto"/>
      </w:pPr>
      <w:r>
        <w:separator/>
      </w:r>
    </w:p>
  </w:endnote>
  <w:endnote w:type="continuationSeparator" w:id="0">
    <w:p w14:paraId="29744E61" w14:textId="77777777" w:rsidR="00586F78" w:rsidRDefault="0058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9F918" w14:textId="77777777" w:rsidR="00D42E20" w:rsidRDefault="00D42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B5173" w14:textId="77777777" w:rsidR="00E56E43" w:rsidRDefault="00E56E43">
    <w:pPr>
      <w:tabs>
        <w:tab w:val="center" w:pos="4513"/>
        <w:tab w:val="right" w:pos="9026"/>
      </w:tabs>
      <w:spacing w:after="0"/>
      <w:rPr>
        <w:color w:val="A6A6A6"/>
      </w:rPr>
    </w:pPr>
  </w:p>
  <w:p w14:paraId="73A05E33" w14:textId="77777777" w:rsidR="00E56E43" w:rsidRDefault="006F3D9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Mid-tier Contract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A4AB7EC" w14:textId="77777777" w:rsidR="00E56E43" w:rsidRDefault="006F3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504DD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F7EBA11" w14:textId="77777777" w:rsidR="00E56E43" w:rsidRDefault="006F3D93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F832" w14:textId="77777777" w:rsidR="00E56E43" w:rsidRDefault="00E56E43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14:paraId="1F157C98" w14:textId="77777777" w:rsidR="00E56E43" w:rsidRDefault="006F3D93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</w:t>
    </w:r>
    <w:r>
      <w:rPr>
        <w:rFonts w:ascii="Arial" w:eastAsia="Arial" w:hAnsi="Arial" w:cs="Arial"/>
        <w:color w:val="A6A6A6"/>
        <w:sz w:val="20"/>
        <w:szCs w:val="20"/>
      </w:rPr>
      <w:tab/>
      <w:t xml:space="preserve">                                           </w:t>
    </w:r>
  </w:p>
  <w:p w14:paraId="16599250" w14:textId="77777777" w:rsidR="00E56E43" w:rsidRDefault="006F3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  <w:t xml:space="preserve"> </w:t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54EB84B" w14:textId="77777777" w:rsidR="00E56E43" w:rsidRDefault="006F3D93">
    <w:pPr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 : v2.9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EAF0" w14:textId="77777777" w:rsidR="00586F78" w:rsidRDefault="00586F78">
      <w:pPr>
        <w:spacing w:after="0" w:line="240" w:lineRule="auto"/>
      </w:pPr>
      <w:r>
        <w:separator/>
      </w:r>
    </w:p>
  </w:footnote>
  <w:footnote w:type="continuationSeparator" w:id="0">
    <w:p w14:paraId="66AEE37A" w14:textId="77777777" w:rsidR="00586F78" w:rsidRDefault="0058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CE36" w14:textId="58CCA19C" w:rsidR="00D42E20" w:rsidRDefault="00586F78">
    <w:pPr>
      <w:pStyle w:val="Header"/>
    </w:pPr>
    <w:r>
      <w:rPr>
        <w:noProof/>
      </w:rPr>
      <w:pict w14:anchorId="386D6B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20745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795B" w14:textId="4DD7896D" w:rsidR="00E56E43" w:rsidRDefault="00586F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3CBD86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20745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F3D93">
      <w:rPr>
        <w:color w:val="000000"/>
      </w:rPr>
      <w:t>Award Form</w:t>
    </w:r>
  </w:p>
  <w:p w14:paraId="5F30859A" w14:textId="77777777" w:rsidR="00E56E43" w:rsidRDefault="006F3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A65B" w14:textId="67275B8E" w:rsidR="00E56E43" w:rsidRDefault="00586F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A6A6A6"/>
        <w:sz w:val="20"/>
        <w:szCs w:val="20"/>
      </w:rPr>
    </w:pPr>
    <w:r>
      <w:rPr>
        <w:noProof/>
      </w:rPr>
      <w:pict w14:anchorId="7767E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20745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F3D93">
      <w:rPr>
        <w:rFonts w:ascii="Arial" w:eastAsia="Arial" w:hAnsi="Arial" w:cs="Arial"/>
        <w:b/>
        <w:color w:val="A6A6A6"/>
        <w:sz w:val="20"/>
        <w:szCs w:val="20"/>
      </w:rPr>
      <w:t>Award Form</w:t>
    </w:r>
  </w:p>
  <w:p w14:paraId="3C21E4C0" w14:textId="77777777" w:rsidR="00E56E43" w:rsidRDefault="006F3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Crown Copyright 2018</w:t>
    </w:r>
  </w:p>
  <w:p w14:paraId="7B515E9B" w14:textId="77777777" w:rsidR="00E56E43" w:rsidRDefault="00E56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766A"/>
    <w:multiLevelType w:val="multilevel"/>
    <w:tmpl w:val="4754E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D0447"/>
    <w:multiLevelType w:val="multilevel"/>
    <w:tmpl w:val="70AA8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A7C50"/>
    <w:multiLevelType w:val="multilevel"/>
    <w:tmpl w:val="CB724B2C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1064EB"/>
    <w:multiLevelType w:val="multilevel"/>
    <w:tmpl w:val="C0A2B1CE"/>
    <w:lvl w:ilvl="0">
      <w:start w:val="1"/>
      <w:numFmt w:val="decimal"/>
      <w:pStyle w:val="GPSL4boldheading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872B8C"/>
    <w:multiLevelType w:val="multilevel"/>
    <w:tmpl w:val="C9623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962EE0"/>
    <w:multiLevelType w:val="multilevel"/>
    <w:tmpl w:val="1AAA52BA"/>
    <w:lvl w:ilvl="0">
      <w:start w:val="1"/>
      <w:numFmt w:val="decimal"/>
      <w:pStyle w:val="11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23044"/>
    <w:rsid w:val="000C1BB4"/>
    <w:rsid w:val="00335EB2"/>
    <w:rsid w:val="003504DD"/>
    <w:rsid w:val="00586F78"/>
    <w:rsid w:val="006F3D93"/>
    <w:rsid w:val="007F1D59"/>
    <w:rsid w:val="00987572"/>
    <w:rsid w:val="00A87069"/>
    <w:rsid w:val="00D42E20"/>
    <w:rsid w:val="00E56E43"/>
    <w:rsid w:val="00E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22B10"/>
  <w15:docId w15:val="{02C641E3-864B-0849-9383-EFC6B575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uiPriority w:val="9"/>
    <w:semiHidden/>
    <w:unhideWhenUsed/>
    <w:qFormat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OutlineListStyle8">
    <w:name w:val="WW_OutlineListStyle_8"/>
    <w:basedOn w:val="NoList"/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6"/>
      </w:numPr>
      <w:suppressAutoHyphens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tabs>
        <w:tab w:val="clear" w:pos="1985"/>
        <w:tab w:val="clear" w:pos="3402"/>
        <w:tab w:val="num" w:pos="720"/>
        <w:tab w:val="left" w:pos="24049"/>
        <w:tab w:val="left" w:pos="25466"/>
        <w:tab w:val="left" w:pos="26317"/>
      </w:tabs>
      <w:ind w:left="720" w:hanging="720"/>
    </w:pPr>
  </w:style>
  <w:style w:type="paragraph" w:customStyle="1" w:styleId="Style1">
    <w:name w:val="Style1"/>
    <w:basedOn w:val="ListParagraph"/>
    <w:pPr>
      <w:tabs>
        <w:tab w:val="num" w:pos="720"/>
      </w:tabs>
      <w:ind w:hanging="720"/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tabs>
        <w:tab w:val="clear" w:pos="-576"/>
        <w:tab w:val="left" w:pos="-2316"/>
        <w:tab w:val="left" w:pos="-2100"/>
        <w:tab w:val="num" w:pos="720"/>
      </w:tabs>
      <w:ind w:left="720" w:hanging="720"/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tabs>
        <w:tab w:val="left" w:pos="-3895"/>
        <w:tab w:val="num" w:pos="720"/>
      </w:tabs>
      <w:suppressAutoHyphens w:val="0"/>
      <w:spacing w:after="240" w:line="360" w:lineRule="auto"/>
      <w:ind w:left="720" w:hanging="720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</w:style>
  <w:style w:type="numbering" w:customStyle="1" w:styleId="WWOutlineListStyle6">
    <w:name w:val="WW_OutlineListStyle_6"/>
    <w:basedOn w:val="NoList"/>
  </w:style>
  <w:style w:type="numbering" w:customStyle="1" w:styleId="WWOutlineListStyle5">
    <w:name w:val="WW_OutlineListStyle_5"/>
    <w:basedOn w:val="NoList"/>
  </w:style>
  <w:style w:type="numbering" w:customStyle="1" w:styleId="WWOutlineListStyle4">
    <w:name w:val="WW_OutlineListStyle_4"/>
    <w:basedOn w:val="NoList"/>
  </w:style>
  <w:style w:type="numbering" w:customStyle="1" w:styleId="WWOutlineListStyle3">
    <w:name w:val="WW_OutlineListStyle_3"/>
    <w:basedOn w:val="NoList"/>
  </w:style>
  <w:style w:type="numbering" w:customStyle="1" w:styleId="WWOutlineListStyle2">
    <w:name w:val="WW_OutlineListStyle_2"/>
    <w:basedOn w:val="NoList"/>
  </w:style>
  <w:style w:type="numbering" w:customStyle="1" w:styleId="WWOutlineListStyle1">
    <w:name w:val="WW_OutlineListStyle_1"/>
    <w:basedOn w:val="NoList"/>
  </w:style>
  <w:style w:type="numbering" w:customStyle="1" w:styleId="WWOutlineListStyle">
    <w:name w:val="WW_OutlineListStyle"/>
    <w:basedOn w:val="NoList"/>
  </w:style>
  <w:style w:type="numbering" w:customStyle="1" w:styleId="LFO7">
    <w:name w:val="LFO7"/>
    <w:basedOn w:val="NoList"/>
  </w:style>
  <w:style w:type="numbering" w:customStyle="1" w:styleId="LFO9">
    <w:name w:val="LFO9"/>
    <w:basedOn w:val="NoList"/>
  </w:style>
  <w:style w:type="numbering" w:customStyle="1" w:styleId="LFO10">
    <w:name w:val="LFO10"/>
    <w:basedOn w:val="NoList"/>
  </w:style>
  <w:style w:type="numbering" w:customStyle="1" w:styleId="LFO12">
    <w:name w:val="LFO12"/>
    <w:basedOn w:val="NoList"/>
  </w:style>
  <w:style w:type="numbering" w:customStyle="1" w:styleId="LFO13">
    <w:name w:val="LFO13"/>
    <w:basedOn w:val="NoList"/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404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table" w:customStyle="1" w:styleId="a1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kent.fire-uk.org/about-us/plans-policies-and-performance/corporate-plan/caring-for-the-environmen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ted.europa.eu/udl?uri=TED:NOTICE:600239-2020:TEXT:EN: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Sally.conquest@kent.fire-uk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DCB4F000F04498B49AEF881AF1919" ma:contentTypeVersion="14" ma:contentTypeDescription="Create a new document." ma:contentTypeScope="" ma:versionID="a74cb49b6a3845655597ca81ca230730">
  <xsd:schema xmlns:xsd="http://www.w3.org/2001/XMLSchema" xmlns:xs="http://www.w3.org/2001/XMLSchema" xmlns:p="http://schemas.microsoft.com/office/2006/metadata/properties" xmlns:ns2="1314b102-9cf7-45ad-9385-ab6543abff1f" xmlns:ns3="c098f24a-1cb3-4fc3-88f7-84ecf7f1a205" xmlns:ns4="8c771c9b-c7dc-4a04-9bbc-df5352bc637f" targetNamespace="http://schemas.microsoft.com/office/2006/metadata/properties" ma:root="true" ma:fieldsID="f5939c6c6de9ad2069f392623c478726" ns2:_="" ns3:_="" ns4:_="">
    <xsd:import namespace="1314b102-9cf7-45ad-9385-ab6543abff1f"/>
    <xsd:import namespace="c098f24a-1cb3-4fc3-88f7-84ecf7f1a205"/>
    <xsd:import namespace="8c771c9b-c7dc-4a04-9bbc-df5352bc637f"/>
    <xsd:element name="properties">
      <xsd:complexType>
        <xsd:sequence>
          <xsd:element name="documentManagement">
            <xsd:complexType>
              <xsd:all>
                <xsd:element ref="ns2:h84a697e6d7b4ed48a530dd00298cba1" minOccurs="0"/>
                <xsd:element ref="ns3:TaxCatchAll" minOccurs="0"/>
                <xsd:element ref="ns2:af10f1d85a454631afe6aa571549a5a5" minOccurs="0"/>
                <xsd:element ref="ns2:bfdee1b53b9c4c44a73719831716ac74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4b102-9cf7-45ad-9385-ab6543abff1f" elementFormDefault="qualified">
    <xsd:import namespace="http://schemas.microsoft.com/office/2006/documentManagement/types"/>
    <xsd:import namespace="http://schemas.microsoft.com/office/infopath/2007/PartnerControls"/>
    <xsd:element name="h84a697e6d7b4ed48a530dd00298cba1" ma:index="9" nillable="true" ma:taxonomy="true" ma:internalName="h84a697e6d7b4ed48a530dd00298cba1" ma:taxonomyFieldName="DocumentType" ma:displayName="DocumentType" ma:default="" ma:fieldId="{184a697e-6d7b-4ed4-8a53-0dd00298cba1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f10f1d85a454631afe6aa571549a5a5" ma:index="12" nillable="true" ma:taxonomy="true" ma:internalName="af10f1d85a454631afe6aa571549a5a5" ma:taxonomyFieldName="Topic" ma:displayName="Topic" ma:default="1;#163WEBSITE|a4f63b7e-0cd3-4c4a-b675-5e23ed43d230" ma:fieldId="{af10f1d8-5a45-4631-afe6-aa571549a5a5}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dee1b53b9c4c44a73719831716ac74" ma:index="14" nillable="true" ma:taxonomy="true" ma:internalName="bfdee1b53b9c4c44a73719831716ac74" ma:taxonomyFieldName="RelatedTopics" ma:displayName="RelatedTopics" ma:default="" ma:fieldId="{bfdee1b5-3b9c-4c44-a737-19831716ac74}" ma:taxonomyMulti="true" ma:sspId="273cd7ea-5514-489e-98f0-acd0d6f7a540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To be discussed" ma:description="Review Status" ma:format="Dropdown" ma:internalName="Status">
      <xsd:simpleType>
        <xsd:restriction base="dms:Choice">
          <xsd:enumeration value="Complete"/>
          <xsd:enumeration value="To do - procurement"/>
          <xsd:enumeration value="To do - Business"/>
          <xsd:enumeration value="Ready for final review"/>
          <xsd:enumeration value="To be discus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fec5aa-8a50-419f-b4c4-091631e5934d}" ma:internalName="TaxCatchAll" ma:showField="CatchAllData" ma:web="8c771c9b-c7dc-4a04-9bbc-df5352bc6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1c9b-c7dc-4a04-9bbc-df5352bc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8BWtRDNCeAZDW5WHgzXbOPOJew==">AMUW2mUcLDuWRijahJC9/BAPNmzxvtFPPJDxBpNovfn35K/FPigIRvsoO5yVBhzeZccEUW2WD/MGaQbE3bgvoCZgTHKxK+YLhiQ6mAiJ/Ick/iuEAPWhsR0baci94mYDEIPD3pwrRs1zzfnuOdWKaCyZAKxeQhY5U55QAkxx561VzTOU+PmpTr2vsRbzdolRt0BQgCn1Fz/xiRJywqa0GAChPz4/phsMYb+XFkf51RTnQ/HFe10bJqfso2DyLfy9yduITLfc7+hEOZuByFohxzQrenR23wyhBAJzeOSLAldmaAmFhYTqjxnNuoLrqx2tgbjzqiIj1EnK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4a697e6d7b4ed48a530dd00298cba1 xmlns="1314b102-9cf7-45ad-9385-ab6543abff1f">
      <Terms xmlns="http://schemas.microsoft.com/office/infopath/2007/PartnerControls"/>
    </h84a697e6d7b4ed48a530dd00298cba1>
    <TaxCatchAll xmlns="c098f24a-1cb3-4fc3-88f7-84ecf7f1a205">
      <Value>1</Value>
    </TaxCatchAll>
    <bfdee1b53b9c4c44a73719831716ac74 xmlns="1314b102-9cf7-45ad-9385-ab6543abff1f">
      <Terms xmlns="http://schemas.microsoft.com/office/infopath/2007/PartnerControls"/>
    </bfdee1b53b9c4c44a73719831716ac74>
    <af10f1d85a454631afe6aa571549a5a5 xmlns="1314b102-9cf7-45ad-9385-ab6543abff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163WEBSITE</TermName>
          <TermId xmlns="http://schemas.microsoft.com/office/infopath/2007/PartnerControls">a4f63b7e-0cd3-4c4a-b675-5e23ed43d230</TermId>
        </TermInfo>
      </Terms>
    </af10f1d85a454631afe6aa571549a5a5>
    <Status xmlns="1314b102-9cf7-45ad-9385-ab6543abff1f">Complete</Status>
  </documentManagement>
</p:properties>
</file>

<file path=customXml/itemProps1.xml><?xml version="1.0" encoding="utf-8"?>
<ds:datastoreItem xmlns:ds="http://schemas.openxmlformats.org/officeDocument/2006/customXml" ds:itemID="{604195D3-93FF-46EF-8794-2F0722A5F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4b102-9cf7-45ad-9385-ab6543abff1f"/>
    <ds:schemaRef ds:uri="c098f24a-1cb3-4fc3-88f7-84ecf7f1a205"/>
    <ds:schemaRef ds:uri="8c771c9b-c7dc-4a04-9bbc-df5352bc6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3D5A62B-4084-4F26-85CC-EFA965FBD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02F32-0F6E-4B52-9780-0B33D4CB5558}">
  <ds:schemaRefs>
    <ds:schemaRef ds:uri="http://schemas.microsoft.com/office/2006/metadata/properties"/>
    <ds:schemaRef ds:uri="http://schemas.microsoft.com/office/infopath/2007/PartnerControls"/>
    <ds:schemaRef ds:uri="1314b102-9cf7-45ad-9385-ab6543abff1f"/>
    <ds:schemaRef ds:uri="c098f24a-1cb3-4fc3-88f7-84ecf7f1a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Conquest, Sally</dc:creator>
  <cp:lastModifiedBy>Conquest, Sally</cp:lastModifiedBy>
  <cp:revision>3</cp:revision>
  <dcterms:created xsi:type="dcterms:W3CDTF">2021-01-25T14:18:00Z</dcterms:created>
  <dcterms:modified xsi:type="dcterms:W3CDTF">2021-01-25T17:10:00Z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  <property fmtid="{D5CDD505-2E9C-101B-9397-08002B2CF9AE}" pid="3" name="ContentTypeId">
    <vt:lpwstr>0x010100A29DCB4F000F04498B49AEF881AF1919</vt:lpwstr>
  </property>
  <property fmtid="{D5CDD505-2E9C-101B-9397-08002B2CF9AE}" pid="4" name="Topic">
    <vt:lpwstr>1;#163WEBSITE|a4f63b7e-0cd3-4c4a-b675-5e23ed43d230</vt:lpwstr>
  </property>
  <property fmtid="{D5CDD505-2E9C-101B-9397-08002B2CF9AE}" pid="5" name="RelatedTopics">
    <vt:lpwstr/>
  </property>
  <property fmtid="{D5CDD505-2E9C-101B-9397-08002B2CF9AE}" pid="6" name="DocumentType">
    <vt:lpwstr/>
  </property>
</Properties>
</file>