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4D56" w14:textId="068D524E" w:rsidR="00A33DF9" w:rsidRPr="00A33DF9" w:rsidRDefault="00997BC1" w:rsidP="00A33DF9">
      <w:pPr>
        <w:jc w:val="center"/>
        <w:rPr>
          <w:b/>
          <w:sz w:val="44"/>
          <w:szCs w:val="44"/>
          <w:lang w:val="en-US"/>
        </w:rPr>
      </w:pPr>
      <w:r>
        <w:rPr>
          <w:b/>
          <w:sz w:val="44"/>
          <w:szCs w:val="44"/>
          <w:lang w:val="en-US"/>
        </w:rPr>
        <w:t xml:space="preserve">  </w:t>
      </w:r>
      <w:r w:rsidR="002678D9">
        <w:rPr>
          <w:b/>
          <w:sz w:val="44"/>
          <w:szCs w:val="44"/>
          <w:lang w:val="en-US"/>
        </w:rPr>
        <w:t xml:space="preserve"> </w:t>
      </w:r>
      <w:r w:rsidR="00A33DF9" w:rsidRPr="00A33DF9">
        <w:rPr>
          <w:b/>
          <w:sz w:val="44"/>
          <w:szCs w:val="44"/>
          <w:lang w:val="en-US"/>
        </w:rPr>
        <w:t>Invitation to Quote</w:t>
      </w:r>
    </w:p>
    <w:p w14:paraId="12DBD57B" w14:textId="77777777" w:rsidR="00A33DF9" w:rsidRDefault="00A33DF9">
      <w:pPr>
        <w:rPr>
          <w:b/>
          <w:sz w:val="28"/>
          <w:szCs w:val="28"/>
          <w:lang w:val="en-US"/>
        </w:rPr>
      </w:pPr>
    </w:p>
    <w:tbl>
      <w:tblPr>
        <w:tblStyle w:val="TableGrid"/>
        <w:tblW w:w="0" w:type="auto"/>
        <w:tblLook w:val="04A0" w:firstRow="1" w:lastRow="0" w:firstColumn="1" w:lastColumn="0" w:noHBand="0" w:noVBand="1"/>
      </w:tblPr>
      <w:tblGrid>
        <w:gridCol w:w="9016"/>
      </w:tblGrid>
      <w:tr w:rsidR="00A33DF9" w14:paraId="4F186103" w14:textId="77777777" w:rsidTr="0027117F">
        <w:tc>
          <w:tcPr>
            <w:tcW w:w="9016" w:type="dxa"/>
            <w:shd w:val="clear" w:color="auto" w:fill="F2F2F2" w:themeFill="background1" w:themeFillShade="F2"/>
          </w:tcPr>
          <w:p w14:paraId="16997F1E" w14:textId="77777777" w:rsidR="00A33DF9" w:rsidRDefault="00A33DF9">
            <w:pPr>
              <w:rPr>
                <w:b/>
                <w:sz w:val="28"/>
                <w:szCs w:val="28"/>
                <w:lang w:val="en-US"/>
              </w:rPr>
            </w:pPr>
          </w:p>
          <w:p w14:paraId="19AE548D" w14:textId="77777777" w:rsidR="00A33DF9" w:rsidRDefault="00A33DF9" w:rsidP="00A33DF9">
            <w:pPr>
              <w:jc w:val="center"/>
              <w:rPr>
                <w:b/>
                <w:sz w:val="28"/>
                <w:szCs w:val="28"/>
                <w:lang w:val="en-US"/>
              </w:rPr>
            </w:pPr>
            <w:r>
              <w:rPr>
                <w:b/>
                <w:sz w:val="28"/>
                <w:szCs w:val="28"/>
                <w:lang w:val="en-US"/>
              </w:rPr>
              <w:t>Name of Council:</w:t>
            </w:r>
          </w:p>
          <w:p w14:paraId="4FEE76F8" w14:textId="77777777" w:rsidR="00A33DF9" w:rsidRDefault="00A33DF9" w:rsidP="00A33DF9">
            <w:pPr>
              <w:jc w:val="center"/>
              <w:rPr>
                <w:b/>
                <w:sz w:val="28"/>
                <w:szCs w:val="28"/>
                <w:lang w:val="en-US"/>
              </w:rPr>
            </w:pPr>
          </w:p>
          <w:p w14:paraId="0A56E875" w14:textId="77777777" w:rsidR="00A33DF9" w:rsidRPr="00A33DF9" w:rsidRDefault="00A33DF9" w:rsidP="00A33DF9">
            <w:pPr>
              <w:jc w:val="center"/>
              <w:rPr>
                <w:sz w:val="28"/>
                <w:szCs w:val="28"/>
                <w:lang w:val="en-US"/>
              </w:rPr>
            </w:pPr>
            <w:r w:rsidRPr="00A33DF9">
              <w:rPr>
                <w:sz w:val="28"/>
                <w:szCs w:val="28"/>
                <w:lang w:val="en-US"/>
              </w:rPr>
              <w:t>Gosport Borough Council</w:t>
            </w:r>
          </w:p>
          <w:p w14:paraId="4320743F" w14:textId="77777777" w:rsidR="00A33DF9" w:rsidRDefault="00A33DF9">
            <w:pPr>
              <w:rPr>
                <w:b/>
                <w:sz w:val="28"/>
                <w:szCs w:val="28"/>
                <w:lang w:val="en-US"/>
              </w:rPr>
            </w:pPr>
          </w:p>
        </w:tc>
      </w:tr>
      <w:tr w:rsidR="00A33DF9" w14:paraId="6D2C9A58" w14:textId="77777777" w:rsidTr="0027117F">
        <w:tc>
          <w:tcPr>
            <w:tcW w:w="9016" w:type="dxa"/>
            <w:shd w:val="clear" w:color="auto" w:fill="F2F2F2" w:themeFill="background1" w:themeFillShade="F2"/>
          </w:tcPr>
          <w:p w14:paraId="754E9EE8" w14:textId="77777777" w:rsidR="00A33DF9" w:rsidRDefault="00A33DF9">
            <w:pPr>
              <w:rPr>
                <w:b/>
                <w:sz w:val="28"/>
                <w:szCs w:val="28"/>
                <w:lang w:val="en-US"/>
              </w:rPr>
            </w:pPr>
          </w:p>
          <w:p w14:paraId="64331CEB" w14:textId="3FE43BD5" w:rsidR="00A33DF9" w:rsidRDefault="00A33DF9" w:rsidP="00A33DF9">
            <w:pPr>
              <w:jc w:val="center"/>
              <w:rPr>
                <w:b/>
                <w:sz w:val="28"/>
                <w:szCs w:val="28"/>
                <w:lang w:val="en-US"/>
              </w:rPr>
            </w:pPr>
            <w:r>
              <w:rPr>
                <w:b/>
                <w:sz w:val="28"/>
                <w:szCs w:val="28"/>
                <w:lang w:val="en-US"/>
              </w:rPr>
              <w:t>Invitation to Quote</w:t>
            </w:r>
            <w:r w:rsidR="006C26A6">
              <w:rPr>
                <w:b/>
                <w:sz w:val="28"/>
                <w:szCs w:val="28"/>
                <w:lang w:val="en-US"/>
              </w:rPr>
              <w:t xml:space="preserve"> </w:t>
            </w:r>
            <w:r w:rsidR="00DD3496">
              <w:rPr>
                <w:b/>
                <w:sz w:val="28"/>
                <w:szCs w:val="28"/>
                <w:lang w:val="en-US"/>
              </w:rPr>
              <w:t>(ITQ)</w:t>
            </w:r>
            <w:r>
              <w:rPr>
                <w:b/>
                <w:sz w:val="28"/>
                <w:szCs w:val="28"/>
                <w:lang w:val="en-US"/>
              </w:rPr>
              <w:t xml:space="preserve"> for:</w:t>
            </w:r>
          </w:p>
          <w:p w14:paraId="17E96048" w14:textId="77777777" w:rsidR="00A33DF9" w:rsidRDefault="00A33DF9">
            <w:pPr>
              <w:rPr>
                <w:b/>
                <w:sz w:val="28"/>
                <w:szCs w:val="28"/>
                <w:lang w:val="en-US"/>
              </w:rPr>
            </w:pPr>
          </w:p>
          <w:p w14:paraId="08923CA1" w14:textId="7B7AD912" w:rsidR="00A33DF9" w:rsidRDefault="00A33DF9" w:rsidP="00492CE4">
            <w:pPr>
              <w:jc w:val="center"/>
              <w:rPr>
                <w:b/>
                <w:sz w:val="28"/>
                <w:szCs w:val="28"/>
                <w:lang w:val="en-US"/>
              </w:rPr>
            </w:pPr>
            <w:r w:rsidRPr="00A33DF9">
              <w:rPr>
                <w:sz w:val="28"/>
                <w:szCs w:val="28"/>
                <w:lang w:val="en-US"/>
              </w:rPr>
              <w:t xml:space="preserve">Consultancy Services: </w:t>
            </w:r>
            <w:r w:rsidR="00492CE4">
              <w:rPr>
                <w:sz w:val="28"/>
                <w:szCs w:val="28"/>
                <w:lang w:val="en-US"/>
              </w:rPr>
              <w:t>Blockhouse Modal Shift Transport Study</w:t>
            </w:r>
          </w:p>
        </w:tc>
      </w:tr>
      <w:tr w:rsidR="00A33DF9" w14:paraId="7E06E326" w14:textId="77777777" w:rsidTr="0027117F">
        <w:tc>
          <w:tcPr>
            <w:tcW w:w="9016" w:type="dxa"/>
            <w:shd w:val="clear" w:color="auto" w:fill="F2F2F2" w:themeFill="background1" w:themeFillShade="F2"/>
          </w:tcPr>
          <w:p w14:paraId="632A021A" w14:textId="77777777" w:rsidR="00A33DF9" w:rsidRDefault="00A33DF9">
            <w:pPr>
              <w:rPr>
                <w:b/>
                <w:sz w:val="28"/>
                <w:szCs w:val="28"/>
                <w:lang w:val="en-US"/>
              </w:rPr>
            </w:pPr>
          </w:p>
          <w:p w14:paraId="5D9F7B15" w14:textId="77777777" w:rsidR="00A33DF9" w:rsidRDefault="00A33DF9" w:rsidP="00A33DF9">
            <w:pPr>
              <w:jc w:val="center"/>
              <w:rPr>
                <w:b/>
                <w:sz w:val="28"/>
                <w:szCs w:val="28"/>
                <w:lang w:val="en-US"/>
              </w:rPr>
            </w:pPr>
            <w:r>
              <w:rPr>
                <w:b/>
                <w:sz w:val="28"/>
                <w:szCs w:val="28"/>
                <w:lang w:val="en-US"/>
              </w:rPr>
              <w:t>Invitation to Quote for Return Date and Time (Deadline)</w:t>
            </w:r>
          </w:p>
          <w:p w14:paraId="4A41B416" w14:textId="77777777" w:rsidR="00A33DF9" w:rsidRDefault="00A33DF9">
            <w:pPr>
              <w:rPr>
                <w:b/>
                <w:sz w:val="28"/>
                <w:szCs w:val="28"/>
                <w:lang w:val="en-US"/>
              </w:rPr>
            </w:pPr>
          </w:p>
          <w:p w14:paraId="55A69991" w14:textId="18E81AE6" w:rsidR="00A33DF9" w:rsidRPr="0027117F" w:rsidRDefault="0027117F" w:rsidP="00A33DF9">
            <w:pPr>
              <w:jc w:val="center"/>
              <w:rPr>
                <w:sz w:val="28"/>
                <w:szCs w:val="28"/>
                <w:lang w:val="en-US"/>
              </w:rPr>
            </w:pPr>
            <w:r w:rsidRPr="0082583F">
              <w:rPr>
                <w:sz w:val="28"/>
                <w:szCs w:val="28"/>
                <w:lang w:val="en-US"/>
              </w:rPr>
              <w:t xml:space="preserve">Noon – </w:t>
            </w:r>
            <w:r w:rsidR="002D441B" w:rsidRPr="0082583F">
              <w:rPr>
                <w:sz w:val="28"/>
                <w:szCs w:val="28"/>
                <w:lang w:val="en-US"/>
              </w:rPr>
              <w:t>16</w:t>
            </w:r>
            <w:r w:rsidR="00FA4B1A" w:rsidRPr="0082583F">
              <w:rPr>
                <w:sz w:val="28"/>
                <w:szCs w:val="28"/>
                <w:vertAlign w:val="superscript"/>
                <w:lang w:val="en-US"/>
              </w:rPr>
              <w:t>th</w:t>
            </w:r>
            <w:r w:rsidR="00FA4B1A" w:rsidRPr="0082583F">
              <w:rPr>
                <w:sz w:val="28"/>
                <w:szCs w:val="28"/>
                <w:lang w:val="en-US"/>
              </w:rPr>
              <w:t xml:space="preserve"> May</w:t>
            </w:r>
            <w:r w:rsidR="00492CE4" w:rsidRPr="0082583F">
              <w:rPr>
                <w:sz w:val="28"/>
                <w:szCs w:val="28"/>
                <w:lang w:val="en-US"/>
              </w:rPr>
              <w:t xml:space="preserve"> </w:t>
            </w:r>
            <w:r w:rsidR="00473328" w:rsidRPr="0082583F">
              <w:rPr>
                <w:sz w:val="28"/>
                <w:szCs w:val="28"/>
                <w:lang w:val="en-US"/>
              </w:rPr>
              <w:t xml:space="preserve"> 2023</w:t>
            </w:r>
          </w:p>
          <w:p w14:paraId="735E26E4" w14:textId="77777777" w:rsidR="00A33DF9" w:rsidRDefault="00A33DF9">
            <w:pPr>
              <w:rPr>
                <w:b/>
                <w:sz w:val="28"/>
                <w:szCs w:val="28"/>
                <w:lang w:val="en-US"/>
              </w:rPr>
            </w:pPr>
          </w:p>
        </w:tc>
      </w:tr>
    </w:tbl>
    <w:p w14:paraId="69451F6A" w14:textId="77777777" w:rsidR="00A33DF9" w:rsidRDefault="00A33DF9">
      <w:pPr>
        <w:rPr>
          <w:b/>
          <w:sz w:val="28"/>
          <w:szCs w:val="28"/>
          <w:lang w:val="en-US"/>
        </w:rPr>
      </w:pPr>
    </w:p>
    <w:p w14:paraId="1BD31408" w14:textId="77777777" w:rsidR="00A33DF9" w:rsidRDefault="00A33DF9">
      <w:pPr>
        <w:rPr>
          <w:b/>
          <w:sz w:val="28"/>
          <w:szCs w:val="28"/>
          <w:lang w:val="en-US"/>
        </w:rPr>
      </w:pPr>
    </w:p>
    <w:p w14:paraId="0BB42750" w14:textId="77777777" w:rsidR="00A33DF9" w:rsidRDefault="00A33DF9">
      <w:pPr>
        <w:rPr>
          <w:b/>
          <w:sz w:val="28"/>
          <w:szCs w:val="28"/>
          <w:lang w:val="en-US"/>
        </w:rPr>
      </w:pPr>
    </w:p>
    <w:p w14:paraId="1954E894" w14:textId="77777777" w:rsidR="00A33DF9" w:rsidRDefault="00A33DF9">
      <w:pPr>
        <w:rPr>
          <w:b/>
          <w:sz w:val="28"/>
          <w:szCs w:val="28"/>
          <w:lang w:val="en-US"/>
        </w:rPr>
      </w:pPr>
    </w:p>
    <w:p w14:paraId="696B384D" w14:textId="77777777" w:rsidR="00A33DF9" w:rsidRDefault="00A33DF9">
      <w:pPr>
        <w:rPr>
          <w:b/>
          <w:sz w:val="28"/>
          <w:szCs w:val="28"/>
          <w:lang w:val="en-US"/>
        </w:rPr>
      </w:pPr>
    </w:p>
    <w:p w14:paraId="515BC733" w14:textId="77777777" w:rsidR="00A33DF9" w:rsidRDefault="00A33DF9">
      <w:pPr>
        <w:rPr>
          <w:b/>
          <w:sz w:val="28"/>
          <w:szCs w:val="28"/>
          <w:lang w:val="en-US"/>
        </w:rPr>
      </w:pPr>
    </w:p>
    <w:p w14:paraId="48F5D894" w14:textId="77777777" w:rsidR="00A33DF9" w:rsidRDefault="00A33DF9">
      <w:pPr>
        <w:rPr>
          <w:b/>
          <w:sz w:val="28"/>
          <w:szCs w:val="28"/>
          <w:lang w:val="en-US"/>
        </w:rPr>
      </w:pPr>
    </w:p>
    <w:p w14:paraId="1A827292" w14:textId="77777777" w:rsidR="00A33DF9" w:rsidRDefault="00A33DF9">
      <w:pPr>
        <w:rPr>
          <w:b/>
          <w:sz w:val="28"/>
          <w:szCs w:val="28"/>
          <w:lang w:val="en-US"/>
        </w:rPr>
      </w:pPr>
    </w:p>
    <w:p w14:paraId="1972057C" w14:textId="77777777" w:rsidR="00A33DF9" w:rsidRDefault="00A33DF9">
      <w:pPr>
        <w:rPr>
          <w:b/>
          <w:sz w:val="28"/>
          <w:szCs w:val="28"/>
          <w:lang w:val="en-US"/>
        </w:rPr>
      </w:pPr>
    </w:p>
    <w:p w14:paraId="46493399" w14:textId="77777777" w:rsidR="00A33DF9" w:rsidRDefault="00A33DF9">
      <w:pPr>
        <w:rPr>
          <w:b/>
          <w:sz w:val="28"/>
          <w:szCs w:val="28"/>
          <w:lang w:val="en-US"/>
        </w:rPr>
      </w:pPr>
    </w:p>
    <w:p w14:paraId="014D4E5A" w14:textId="77777777" w:rsidR="00A33DF9" w:rsidRDefault="00A33DF9">
      <w:pPr>
        <w:rPr>
          <w:b/>
          <w:sz w:val="28"/>
          <w:szCs w:val="28"/>
          <w:lang w:val="en-US"/>
        </w:rPr>
      </w:pPr>
    </w:p>
    <w:p w14:paraId="0DC3770A" w14:textId="77777777" w:rsidR="00A33DF9" w:rsidRDefault="00A33DF9">
      <w:pPr>
        <w:rPr>
          <w:b/>
          <w:sz w:val="28"/>
          <w:szCs w:val="28"/>
          <w:lang w:val="en-US"/>
        </w:rPr>
      </w:pPr>
    </w:p>
    <w:p w14:paraId="1EBA71C9" w14:textId="77777777" w:rsidR="00A33DF9" w:rsidRDefault="00A33DF9">
      <w:pPr>
        <w:rPr>
          <w:b/>
          <w:sz w:val="28"/>
          <w:szCs w:val="28"/>
          <w:lang w:val="en-US"/>
        </w:rPr>
      </w:pPr>
    </w:p>
    <w:p w14:paraId="71ABDF01" w14:textId="77777777" w:rsidR="00A33DF9" w:rsidRDefault="00A33DF9">
      <w:pPr>
        <w:rPr>
          <w:b/>
          <w:sz w:val="28"/>
          <w:szCs w:val="28"/>
          <w:lang w:val="en-US"/>
        </w:rPr>
      </w:pPr>
    </w:p>
    <w:p w14:paraId="69972DA6" w14:textId="77777777" w:rsidR="00A33DF9" w:rsidRDefault="00A33DF9">
      <w:pPr>
        <w:rPr>
          <w:b/>
          <w:sz w:val="28"/>
          <w:szCs w:val="28"/>
          <w:lang w:val="en-US"/>
        </w:rPr>
      </w:pPr>
    </w:p>
    <w:p w14:paraId="67BF1A56" w14:textId="6463BB87" w:rsidR="00A33DF9" w:rsidRPr="006A227E" w:rsidRDefault="00A33DF9">
      <w:pPr>
        <w:rPr>
          <w:b/>
          <w:sz w:val="40"/>
          <w:szCs w:val="40"/>
          <w:lang w:val="en-US"/>
        </w:rPr>
      </w:pPr>
    </w:p>
    <w:p w14:paraId="63FA96C9" w14:textId="196F561F" w:rsidR="00A33DF9" w:rsidRDefault="00A33DF9">
      <w:pPr>
        <w:rPr>
          <w:b/>
          <w:sz w:val="28"/>
          <w:szCs w:val="28"/>
          <w:lang w:val="en-US"/>
        </w:rPr>
      </w:pPr>
    </w:p>
    <w:p w14:paraId="1F779655" w14:textId="1FDE65DB" w:rsidR="00A33DF9" w:rsidRDefault="00A33DF9">
      <w:pPr>
        <w:rPr>
          <w:b/>
          <w:sz w:val="28"/>
          <w:szCs w:val="28"/>
          <w:lang w:val="en-US"/>
        </w:rPr>
      </w:pPr>
    </w:p>
    <w:p w14:paraId="49CEF147" w14:textId="77777777" w:rsidR="00A33DF9" w:rsidRDefault="00A33DF9">
      <w:pPr>
        <w:rPr>
          <w:b/>
          <w:sz w:val="28"/>
          <w:szCs w:val="28"/>
          <w:lang w:val="en-US"/>
        </w:rPr>
      </w:pPr>
    </w:p>
    <w:p w14:paraId="230B05B0" w14:textId="77777777" w:rsidR="00A33DF9" w:rsidRDefault="00A33DF9">
      <w:pPr>
        <w:rPr>
          <w:b/>
          <w:sz w:val="28"/>
          <w:szCs w:val="28"/>
          <w:lang w:val="en-US"/>
        </w:rPr>
      </w:pPr>
    </w:p>
    <w:p w14:paraId="78E6030E" w14:textId="77777777" w:rsidR="00A33DF9" w:rsidRDefault="00A33DF9">
      <w:pPr>
        <w:rPr>
          <w:b/>
          <w:sz w:val="28"/>
          <w:szCs w:val="28"/>
          <w:lang w:val="en-US"/>
        </w:rPr>
      </w:pPr>
    </w:p>
    <w:p w14:paraId="2B103349" w14:textId="77777777" w:rsidR="00A33DF9" w:rsidRDefault="00A33DF9">
      <w:pPr>
        <w:rPr>
          <w:b/>
          <w:sz w:val="28"/>
          <w:szCs w:val="28"/>
          <w:lang w:val="en-US"/>
        </w:rPr>
      </w:pPr>
    </w:p>
    <w:p w14:paraId="19861F47" w14:textId="77777777" w:rsidR="00492CE4" w:rsidRDefault="00492CE4" w:rsidP="00C8442B">
      <w:pPr>
        <w:jc w:val="center"/>
        <w:rPr>
          <w:b/>
          <w:sz w:val="36"/>
          <w:szCs w:val="36"/>
          <w:lang w:val="en-US"/>
        </w:rPr>
      </w:pPr>
    </w:p>
    <w:p w14:paraId="37671978" w14:textId="77777777" w:rsidR="00D64633" w:rsidRDefault="00D64633" w:rsidP="00C8442B">
      <w:pPr>
        <w:jc w:val="center"/>
        <w:rPr>
          <w:b/>
          <w:sz w:val="36"/>
          <w:szCs w:val="36"/>
          <w:lang w:val="en-US"/>
        </w:rPr>
      </w:pPr>
    </w:p>
    <w:p w14:paraId="2746A6D1" w14:textId="77777777" w:rsidR="00970544" w:rsidRDefault="00970544" w:rsidP="00C8442B">
      <w:pPr>
        <w:jc w:val="center"/>
        <w:rPr>
          <w:b/>
          <w:sz w:val="36"/>
          <w:szCs w:val="36"/>
          <w:lang w:val="en-US"/>
        </w:rPr>
      </w:pPr>
    </w:p>
    <w:p w14:paraId="153E08AB" w14:textId="0BD5E1DE" w:rsidR="004B751E" w:rsidRDefault="004B751E" w:rsidP="00C8442B">
      <w:pPr>
        <w:jc w:val="center"/>
        <w:rPr>
          <w:b/>
          <w:sz w:val="36"/>
          <w:szCs w:val="36"/>
          <w:lang w:val="en-US"/>
        </w:rPr>
      </w:pPr>
      <w:r>
        <w:rPr>
          <w:b/>
          <w:sz w:val="36"/>
          <w:szCs w:val="36"/>
          <w:lang w:val="en-US"/>
        </w:rPr>
        <w:t>GOSPORT BOROUGH COUNCIL/                 DEFENCE INFRASTRUCTURE ORGANISATION</w:t>
      </w:r>
    </w:p>
    <w:p w14:paraId="609A2256" w14:textId="77777777" w:rsidR="004B751E" w:rsidRDefault="004B751E" w:rsidP="00C8442B">
      <w:pPr>
        <w:jc w:val="center"/>
        <w:rPr>
          <w:b/>
          <w:sz w:val="36"/>
          <w:szCs w:val="36"/>
          <w:lang w:val="en-US"/>
        </w:rPr>
      </w:pPr>
    </w:p>
    <w:p w14:paraId="23CC3C69" w14:textId="79473688" w:rsidR="004B751E" w:rsidRDefault="00492CE4" w:rsidP="00C8442B">
      <w:pPr>
        <w:jc w:val="center"/>
        <w:rPr>
          <w:b/>
          <w:sz w:val="36"/>
          <w:szCs w:val="36"/>
          <w:lang w:val="en-US"/>
        </w:rPr>
      </w:pPr>
      <w:r>
        <w:rPr>
          <w:b/>
          <w:sz w:val="36"/>
          <w:szCs w:val="36"/>
          <w:lang w:val="en-US"/>
        </w:rPr>
        <w:t>Blockhouse Modal Shift Transport</w:t>
      </w:r>
      <w:r w:rsidR="004B751E" w:rsidRPr="004B751E">
        <w:rPr>
          <w:b/>
          <w:sz w:val="36"/>
          <w:szCs w:val="36"/>
          <w:lang w:val="en-US"/>
        </w:rPr>
        <w:t xml:space="preserve"> </w:t>
      </w:r>
    </w:p>
    <w:p w14:paraId="178BBB6F" w14:textId="76728E5B" w:rsidR="00C8442B" w:rsidRPr="004B751E" w:rsidRDefault="004B751E" w:rsidP="00C8442B">
      <w:pPr>
        <w:jc w:val="center"/>
        <w:rPr>
          <w:b/>
          <w:sz w:val="36"/>
          <w:szCs w:val="36"/>
          <w:lang w:val="en-US"/>
        </w:rPr>
      </w:pPr>
      <w:r w:rsidRPr="004B751E">
        <w:rPr>
          <w:b/>
          <w:sz w:val="36"/>
          <w:szCs w:val="36"/>
          <w:lang w:val="en-US"/>
        </w:rPr>
        <w:t>Study</w:t>
      </w:r>
      <w:r>
        <w:rPr>
          <w:b/>
          <w:sz w:val="36"/>
          <w:szCs w:val="36"/>
          <w:lang w:val="en-US"/>
        </w:rPr>
        <w:t xml:space="preserve"> Brief</w:t>
      </w:r>
    </w:p>
    <w:p w14:paraId="467A00F8" w14:textId="77777777" w:rsidR="004B751E" w:rsidRDefault="004B751E" w:rsidP="00C8442B">
      <w:pPr>
        <w:jc w:val="center"/>
        <w:rPr>
          <w:b/>
          <w:sz w:val="36"/>
          <w:szCs w:val="36"/>
          <w:lang w:val="en-US"/>
        </w:rPr>
      </w:pPr>
    </w:p>
    <w:p w14:paraId="4D6A8479" w14:textId="77777777" w:rsidR="00532EC3" w:rsidRDefault="00532EC3">
      <w:pPr>
        <w:rPr>
          <w:lang w:val="en-US"/>
        </w:rPr>
      </w:pPr>
    </w:p>
    <w:p w14:paraId="0A68EF0D" w14:textId="77777777" w:rsidR="00532EC3" w:rsidRDefault="00532EC3">
      <w:pPr>
        <w:rPr>
          <w:lang w:val="en-US"/>
        </w:rPr>
      </w:pPr>
    </w:p>
    <w:p w14:paraId="76A77812" w14:textId="77777777" w:rsidR="00532EC3" w:rsidRPr="00C8442B" w:rsidRDefault="00532EC3" w:rsidP="0027117F">
      <w:pPr>
        <w:jc w:val="center"/>
        <w:rPr>
          <w:b/>
          <w:sz w:val="28"/>
          <w:szCs w:val="28"/>
          <w:u w:val="single"/>
          <w:lang w:val="en-US"/>
        </w:rPr>
      </w:pPr>
      <w:r w:rsidRPr="00C8442B">
        <w:rPr>
          <w:b/>
          <w:sz w:val="28"/>
          <w:szCs w:val="28"/>
          <w:u w:val="single"/>
          <w:lang w:val="en-US"/>
        </w:rPr>
        <w:t>CONTENTS</w:t>
      </w:r>
    </w:p>
    <w:p w14:paraId="11B64D24" w14:textId="49AC555E" w:rsidR="00532EC3" w:rsidRDefault="00532EC3">
      <w:pPr>
        <w:rPr>
          <w:lang w:val="en-US"/>
        </w:rPr>
      </w:pPr>
    </w:p>
    <w:tbl>
      <w:tblPr>
        <w:tblStyle w:val="TableGrid"/>
        <w:tblW w:w="0" w:type="auto"/>
        <w:tblInd w:w="988" w:type="dxa"/>
        <w:tblLook w:val="04A0" w:firstRow="1" w:lastRow="0" w:firstColumn="1" w:lastColumn="0" w:noHBand="0" w:noVBand="1"/>
      </w:tblPr>
      <w:tblGrid>
        <w:gridCol w:w="5811"/>
        <w:gridCol w:w="1560"/>
      </w:tblGrid>
      <w:tr w:rsidR="001441D9" w14:paraId="48E13374" w14:textId="77777777" w:rsidTr="001441D9">
        <w:tc>
          <w:tcPr>
            <w:tcW w:w="5811" w:type="dxa"/>
          </w:tcPr>
          <w:p w14:paraId="72C1D675" w14:textId="1859B294" w:rsidR="001441D9" w:rsidRPr="001441D9" w:rsidRDefault="001441D9" w:rsidP="001441D9">
            <w:pPr>
              <w:ind w:left="34"/>
              <w:rPr>
                <w:lang w:val="en-US"/>
              </w:rPr>
            </w:pPr>
            <w:r>
              <w:rPr>
                <w:lang w:val="en-US"/>
              </w:rPr>
              <w:t>1.0</w:t>
            </w:r>
            <w:r>
              <w:rPr>
                <w:lang w:val="en-US"/>
              </w:rPr>
              <w:tab/>
            </w:r>
            <w:r w:rsidRPr="001441D9">
              <w:rPr>
                <w:lang w:val="en-US"/>
              </w:rPr>
              <w:t>Introduction and Context</w:t>
            </w:r>
          </w:p>
          <w:p w14:paraId="2204367F" w14:textId="77777777" w:rsidR="001441D9" w:rsidRDefault="001441D9">
            <w:pPr>
              <w:rPr>
                <w:lang w:val="en-US"/>
              </w:rPr>
            </w:pPr>
          </w:p>
        </w:tc>
        <w:tc>
          <w:tcPr>
            <w:tcW w:w="1560" w:type="dxa"/>
          </w:tcPr>
          <w:p w14:paraId="16AB68D3" w14:textId="4B7CC8D5" w:rsidR="001441D9" w:rsidRPr="008F3521" w:rsidRDefault="001441D9" w:rsidP="001441D9">
            <w:pPr>
              <w:jc w:val="center"/>
              <w:rPr>
                <w:lang w:val="en-US"/>
              </w:rPr>
            </w:pPr>
            <w:r w:rsidRPr="008F3521">
              <w:rPr>
                <w:lang w:val="en-US"/>
              </w:rPr>
              <w:t>4</w:t>
            </w:r>
          </w:p>
        </w:tc>
      </w:tr>
      <w:tr w:rsidR="001441D9" w14:paraId="0EF16AC9" w14:textId="77777777" w:rsidTr="001441D9">
        <w:tc>
          <w:tcPr>
            <w:tcW w:w="5811" w:type="dxa"/>
          </w:tcPr>
          <w:p w14:paraId="648390F7" w14:textId="235507E3" w:rsidR="001441D9" w:rsidRPr="001441D9" w:rsidRDefault="001441D9" w:rsidP="001441D9">
            <w:pPr>
              <w:ind w:left="34"/>
              <w:rPr>
                <w:lang w:val="en-US"/>
              </w:rPr>
            </w:pPr>
            <w:r>
              <w:rPr>
                <w:lang w:val="en-US"/>
              </w:rPr>
              <w:t>2.0</w:t>
            </w:r>
            <w:r>
              <w:rPr>
                <w:lang w:val="en-US"/>
              </w:rPr>
              <w:tab/>
            </w:r>
            <w:r w:rsidRPr="001441D9">
              <w:rPr>
                <w:lang w:val="en-US"/>
              </w:rPr>
              <w:t>Project Scope</w:t>
            </w:r>
            <w:r w:rsidR="00D4385B">
              <w:rPr>
                <w:lang w:val="en-US"/>
              </w:rPr>
              <w:t xml:space="preserve"> and Requirements</w:t>
            </w:r>
          </w:p>
          <w:p w14:paraId="027FC9F4" w14:textId="77777777" w:rsidR="001441D9" w:rsidRDefault="001441D9">
            <w:pPr>
              <w:rPr>
                <w:lang w:val="en-US"/>
              </w:rPr>
            </w:pPr>
          </w:p>
        </w:tc>
        <w:tc>
          <w:tcPr>
            <w:tcW w:w="1560" w:type="dxa"/>
          </w:tcPr>
          <w:p w14:paraId="7B733CD3" w14:textId="08254248" w:rsidR="001441D9" w:rsidRPr="008F3521" w:rsidRDefault="008F3521" w:rsidP="001441D9">
            <w:pPr>
              <w:jc w:val="center"/>
              <w:rPr>
                <w:lang w:val="en-US"/>
              </w:rPr>
            </w:pPr>
            <w:r w:rsidRPr="008F3521">
              <w:rPr>
                <w:lang w:val="en-US"/>
              </w:rPr>
              <w:t>9</w:t>
            </w:r>
          </w:p>
        </w:tc>
      </w:tr>
      <w:tr w:rsidR="001441D9" w14:paraId="3C4B8000" w14:textId="77777777" w:rsidTr="001441D9">
        <w:tc>
          <w:tcPr>
            <w:tcW w:w="5811" w:type="dxa"/>
          </w:tcPr>
          <w:p w14:paraId="27619847" w14:textId="11667271" w:rsidR="001441D9" w:rsidRPr="001441D9" w:rsidRDefault="001441D9" w:rsidP="001441D9">
            <w:pPr>
              <w:rPr>
                <w:lang w:val="en-US"/>
              </w:rPr>
            </w:pPr>
            <w:r>
              <w:rPr>
                <w:lang w:val="en-US"/>
              </w:rPr>
              <w:t xml:space="preserve"> 3.0</w:t>
            </w:r>
            <w:r>
              <w:rPr>
                <w:lang w:val="en-US"/>
              </w:rPr>
              <w:tab/>
            </w:r>
            <w:r w:rsidRPr="001441D9">
              <w:rPr>
                <w:lang w:val="en-US"/>
              </w:rPr>
              <w:t>Timetable</w:t>
            </w:r>
          </w:p>
          <w:p w14:paraId="5E9A5C70" w14:textId="77777777" w:rsidR="001441D9" w:rsidRDefault="001441D9">
            <w:pPr>
              <w:rPr>
                <w:lang w:val="en-US"/>
              </w:rPr>
            </w:pPr>
          </w:p>
        </w:tc>
        <w:tc>
          <w:tcPr>
            <w:tcW w:w="1560" w:type="dxa"/>
          </w:tcPr>
          <w:p w14:paraId="62D91019" w14:textId="4774788D" w:rsidR="001441D9" w:rsidRPr="008F3521" w:rsidRDefault="008F3521" w:rsidP="001441D9">
            <w:pPr>
              <w:jc w:val="center"/>
              <w:rPr>
                <w:lang w:val="en-US"/>
              </w:rPr>
            </w:pPr>
            <w:r w:rsidRPr="008F3521">
              <w:rPr>
                <w:lang w:val="en-US"/>
              </w:rPr>
              <w:t>15</w:t>
            </w:r>
          </w:p>
        </w:tc>
      </w:tr>
      <w:tr w:rsidR="001441D9" w14:paraId="6FF326A9" w14:textId="77777777" w:rsidTr="001441D9">
        <w:tc>
          <w:tcPr>
            <w:tcW w:w="5811" w:type="dxa"/>
          </w:tcPr>
          <w:p w14:paraId="0C26720C" w14:textId="084BE82C" w:rsidR="001441D9" w:rsidRPr="001441D9" w:rsidRDefault="001441D9" w:rsidP="001441D9">
            <w:pPr>
              <w:rPr>
                <w:lang w:val="en-US"/>
              </w:rPr>
            </w:pPr>
            <w:r>
              <w:rPr>
                <w:lang w:val="en-US"/>
              </w:rPr>
              <w:t xml:space="preserve"> 4.0</w:t>
            </w:r>
            <w:r>
              <w:rPr>
                <w:lang w:val="en-US"/>
              </w:rPr>
              <w:tab/>
            </w:r>
            <w:r w:rsidR="008F3521">
              <w:rPr>
                <w:lang w:val="en-US"/>
              </w:rPr>
              <w:t>Quote</w:t>
            </w:r>
            <w:r w:rsidRPr="001441D9">
              <w:rPr>
                <w:lang w:val="en-US"/>
              </w:rPr>
              <w:t xml:space="preserve"> Completion Information</w:t>
            </w:r>
          </w:p>
          <w:p w14:paraId="377A4F93" w14:textId="77777777" w:rsidR="001441D9" w:rsidRDefault="001441D9">
            <w:pPr>
              <w:rPr>
                <w:lang w:val="en-US"/>
              </w:rPr>
            </w:pPr>
          </w:p>
        </w:tc>
        <w:tc>
          <w:tcPr>
            <w:tcW w:w="1560" w:type="dxa"/>
          </w:tcPr>
          <w:p w14:paraId="6A4B907E" w14:textId="39115356" w:rsidR="001441D9" w:rsidRPr="008F3521" w:rsidRDefault="008F3521" w:rsidP="001441D9">
            <w:pPr>
              <w:jc w:val="center"/>
              <w:rPr>
                <w:lang w:val="en-US"/>
              </w:rPr>
            </w:pPr>
            <w:r w:rsidRPr="008F3521">
              <w:rPr>
                <w:lang w:val="en-US"/>
              </w:rPr>
              <w:t>17</w:t>
            </w:r>
          </w:p>
        </w:tc>
      </w:tr>
      <w:tr w:rsidR="001441D9" w14:paraId="6F0847B2" w14:textId="77777777" w:rsidTr="001441D9">
        <w:tc>
          <w:tcPr>
            <w:tcW w:w="5811" w:type="dxa"/>
          </w:tcPr>
          <w:p w14:paraId="4256B88F" w14:textId="4C45E890" w:rsidR="001441D9" w:rsidRPr="001441D9" w:rsidRDefault="001441D9" w:rsidP="001441D9">
            <w:pPr>
              <w:rPr>
                <w:lang w:val="en-US"/>
              </w:rPr>
            </w:pPr>
            <w:r>
              <w:rPr>
                <w:lang w:val="en-US"/>
              </w:rPr>
              <w:t xml:space="preserve"> 5.0</w:t>
            </w:r>
            <w:r>
              <w:rPr>
                <w:lang w:val="en-US"/>
              </w:rPr>
              <w:tab/>
            </w:r>
            <w:r w:rsidR="008F3521">
              <w:rPr>
                <w:lang w:val="en-US"/>
              </w:rPr>
              <w:t>Quote</w:t>
            </w:r>
            <w:r w:rsidRPr="001441D9">
              <w:rPr>
                <w:lang w:val="en-US"/>
              </w:rPr>
              <w:t xml:space="preserve"> Evaluation Model</w:t>
            </w:r>
          </w:p>
          <w:p w14:paraId="10638A0D" w14:textId="77777777" w:rsidR="001441D9" w:rsidRDefault="001441D9">
            <w:pPr>
              <w:rPr>
                <w:lang w:val="en-US"/>
              </w:rPr>
            </w:pPr>
          </w:p>
        </w:tc>
        <w:tc>
          <w:tcPr>
            <w:tcW w:w="1560" w:type="dxa"/>
          </w:tcPr>
          <w:p w14:paraId="55B3D53C" w14:textId="1AC7758A" w:rsidR="001441D9" w:rsidRPr="008F3521" w:rsidRDefault="008F3521" w:rsidP="001441D9">
            <w:pPr>
              <w:jc w:val="center"/>
              <w:rPr>
                <w:lang w:val="en-US"/>
              </w:rPr>
            </w:pPr>
            <w:r w:rsidRPr="008F3521">
              <w:rPr>
                <w:lang w:val="en-US"/>
              </w:rPr>
              <w:t>22</w:t>
            </w:r>
          </w:p>
        </w:tc>
      </w:tr>
      <w:tr w:rsidR="001441D9" w14:paraId="42D43C81" w14:textId="77777777" w:rsidTr="001441D9">
        <w:tc>
          <w:tcPr>
            <w:tcW w:w="5811" w:type="dxa"/>
          </w:tcPr>
          <w:p w14:paraId="15023489" w14:textId="78689A78" w:rsidR="001441D9" w:rsidRPr="0027117F" w:rsidRDefault="001441D9" w:rsidP="001441D9">
            <w:pPr>
              <w:rPr>
                <w:lang w:val="en-US"/>
              </w:rPr>
            </w:pPr>
            <w:r>
              <w:rPr>
                <w:lang w:val="en-US"/>
              </w:rPr>
              <w:t>6.0</w:t>
            </w:r>
            <w:r>
              <w:rPr>
                <w:lang w:val="en-US"/>
              </w:rPr>
              <w:tab/>
            </w:r>
            <w:r w:rsidRPr="001441D9">
              <w:rPr>
                <w:lang w:val="en-US"/>
              </w:rPr>
              <w:t>Evaluation Process</w:t>
            </w:r>
          </w:p>
          <w:p w14:paraId="259C83A1" w14:textId="77777777" w:rsidR="001441D9" w:rsidRDefault="001441D9">
            <w:pPr>
              <w:rPr>
                <w:lang w:val="en-US"/>
              </w:rPr>
            </w:pPr>
          </w:p>
        </w:tc>
        <w:tc>
          <w:tcPr>
            <w:tcW w:w="1560" w:type="dxa"/>
          </w:tcPr>
          <w:p w14:paraId="00727A8E" w14:textId="64427F8A" w:rsidR="001441D9" w:rsidRPr="008F3521" w:rsidRDefault="002647B2" w:rsidP="001441D9">
            <w:pPr>
              <w:jc w:val="center"/>
              <w:rPr>
                <w:lang w:val="en-US"/>
              </w:rPr>
            </w:pPr>
            <w:r>
              <w:rPr>
                <w:lang w:val="en-US"/>
              </w:rPr>
              <w:t>23</w:t>
            </w:r>
          </w:p>
        </w:tc>
      </w:tr>
      <w:tr w:rsidR="001441D9" w14:paraId="43C944BB" w14:textId="77777777" w:rsidTr="001441D9">
        <w:tc>
          <w:tcPr>
            <w:tcW w:w="7371" w:type="dxa"/>
            <w:gridSpan w:val="2"/>
          </w:tcPr>
          <w:p w14:paraId="57250F50" w14:textId="6F1C9509" w:rsidR="001441D9" w:rsidRPr="005D0826" w:rsidRDefault="001441D9" w:rsidP="001441D9">
            <w:pPr>
              <w:jc w:val="center"/>
              <w:rPr>
                <w:b/>
                <w:lang w:val="en-US"/>
              </w:rPr>
            </w:pPr>
            <w:r w:rsidRPr="005D0826">
              <w:rPr>
                <w:b/>
                <w:lang w:val="en-US"/>
              </w:rPr>
              <w:t>Appendices</w:t>
            </w:r>
            <w:r w:rsidR="006C26A6">
              <w:rPr>
                <w:b/>
                <w:lang w:val="en-US"/>
              </w:rPr>
              <w:t xml:space="preserve"> (included within this ITQ)</w:t>
            </w:r>
          </w:p>
        </w:tc>
      </w:tr>
      <w:tr w:rsidR="006C26A6" w14:paraId="751454D1" w14:textId="77777777" w:rsidTr="006C26A6">
        <w:tc>
          <w:tcPr>
            <w:tcW w:w="5811" w:type="dxa"/>
          </w:tcPr>
          <w:p w14:paraId="76C4F480" w14:textId="77777777" w:rsidR="006C26A6" w:rsidRPr="00DD702A" w:rsidRDefault="006C26A6">
            <w:pPr>
              <w:rPr>
                <w:lang w:val="en-US"/>
              </w:rPr>
            </w:pPr>
            <w:r w:rsidRPr="00DD702A">
              <w:rPr>
                <w:lang w:val="en-US"/>
              </w:rPr>
              <w:t xml:space="preserve">Appendix 1: Plan of Blockhouse within the </w:t>
            </w:r>
            <w:proofErr w:type="spellStart"/>
            <w:r w:rsidRPr="00DD702A">
              <w:rPr>
                <w:lang w:val="en-US"/>
              </w:rPr>
              <w:t>Haslar</w:t>
            </w:r>
            <w:proofErr w:type="spellEnd"/>
            <w:r w:rsidRPr="00DD702A">
              <w:rPr>
                <w:lang w:val="en-US"/>
              </w:rPr>
              <w:t xml:space="preserve"> Peninsula, Gosport</w:t>
            </w:r>
          </w:p>
        </w:tc>
        <w:tc>
          <w:tcPr>
            <w:tcW w:w="1560" w:type="dxa"/>
          </w:tcPr>
          <w:p w14:paraId="50F57EF5" w14:textId="21C61F9B" w:rsidR="006C26A6" w:rsidRPr="00DD702A" w:rsidRDefault="002647B2" w:rsidP="002647B2">
            <w:pPr>
              <w:jc w:val="center"/>
              <w:rPr>
                <w:lang w:val="en-US"/>
              </w:rPr>
            </w:pPr>
            <w:r>
              <w:rPr>
                <w:lang w:val="en-US"/>
              </w:rPr>
              <w:t>24</w:t>
            </w:r>
          </w:p>
        </w:tc>
      </w:tr>
      <w:tr w:rsidR="006C26A6" w14:paraId="171CA73B" w14:textId="77777777" w:rsidTr="006C26A6">
        <w:tc>
          <w:tcPr>
            <w:tcW w:w="5811" w:type="dxa"/>
          </w:tcPr>
          <w:p w14:paraId="4316CE4C" w14:textId="77777777" w:rsidR="006C26A6" w:rsidRPr="00DD702A" w:rsidRDefault="006C26A6">
            <w:pPr>
              <w:rPr>
                <w:lang w:val="en-US"/>
              </w:rPr>
            </w:pPr>
            <w:r w:rsidRPr="00DD702A">
              <w:rPr>
                <w:lang w:val="en-US"/>
              </w:rPr>
              <w:t>Appendix 2: National and Local Planning Policy Context: Overview</w:t>
            </w:r>
          </w:p>
        </w:tc>
        <w:tc>
          <w:tcPr>
            <w:tcW w:w="1560" w:type="dxa"/>
          </w:tcPr>
          <w:p w14:paraId="3FC8D83E" w14:textId="64D5BCFA" w:rsidR="006C26A6" w:rsidRPr="00DD702A" w:rsidRDefault="002647B2" w:rsidP="002647B2">
            <w:pPr>
              <w:jc w:val="center"/>
              <w:rPr>
                <w:lang w:val="en-US"/>
              </w:rPr>
            </w:pPr>
            <w:r>
              <w:rPr>
                <w:lang w:val="en-US"/>
              </w:rPr>
              <w:t>25</w:t>
            </w:r>
            <w:bookmarkStart w:id="0" w:name="_GoBack"/>
            <w:bookmarkEnd w:id="0"/>
          </w:p>
        </w:tc>
      </w:tr>
      <w:tr w:rsidR="00DD702A" w14:paraId="04D651D8" w14:textId="77777777" w:rsidTr="001441D9">
        <w:tc>
          <w:tcPr>
            <w:tcW w:w="7371" w:type="dxa"/>
            <w:gridSpan w:val="2"/>
          </w:tcPr>
          <w:p w14:paraId="6EC89DFC" w14:textId="77777777" w:rsidR="00DD702A" w:rsidRDefault="00DD702A" w:rsidP="00DD702A">
            <w:pPr>
              <w:ind w:left="567" w:firstLine="426"/>
              <w:rPr>
                <w:rFonts w:cs="Arial"/>
                <w:lang w:val="en-US"/>
              </w:rPr>
            </w:pPr>
          </w:p>
          <w:p w14:paraId="2BBA6291" w14:textId="480A76BF" w:rsidR="00DD702A" w:rsidRPr="006C26A6" w:rsidRDefault="006C26A6" w:rsidP="006C26A6">
            <w:pPr>
              <w:rPr>
                <w:lang w:val="en-US"/>
              </w:rPr>
            </w:pPr>
            <w:r>
              <w:rPr>
                <w:lang w:val="en-US"/>
              </w:rPr>
              <w:t>See also a</w:t>
            </w:r>
            <w:r w:rsidRPr="006C26A6">
              <w:rPr>
                <w:lang w:val="en-US"/>
              </w:rPr>
              <w:t>ttached:</w:t>
            </w:r>
          </w:p>
          <w:p w14:paraId="28641C89" w14:textId="77777777" w:rsidR="00DD702A" w:rsidRPr="006C26A6" w:rsidRDefault="00DD702A" w:rsidP="006C26A6">
            <w:pPr>
              <w:pStyle w:val="ListParagraph"/>
              <w:numPr>
                <w:ilvl w:val="0"/>
                <w:numId w:val="32"/>
              </w:numPr>
              <w:rPr>
                <w:lang w:val="en-US"/>
              </w:rPr>
            </w:pPr>
            <w:r w:rsidRPr="006C26A6">
              <w:rPr>
                <w:lang w:val="en-US"/>
              </w:rPr>
              <w:t>Quotation response document, including</w:t>
            </w:r>
          </w:p>
          <w:p w14:paraId="23A76EAA" w14:textId="77777777" w:rsidR="00DD702A" w:rsidRPr="006C26A6" w:rsidRDefault="00DD702A" w:rsidP="006C26A6">
            <w:pPr>
              <w:pStyle w:val="ListParagraph"/>
              <w:numPr>
                <w:ilvl w:val="1"/>
                <w:numId w:val="33"/>
              </w:numPr>
              <w:rPr>
                <w:lang w:val="en-US"/>
              </w:rPr>
            </w:pPr>
            <w:r w:rsidRPr="006C26A6">
              <w:rPr>
                <w:lang w:val="en-US"/>
              </w:rPr>
              <w:t>Schedule 1: Commercially Sensitive Form</w:t>
            </w:r>
          </w:p>
          <w:p w14:paraId="694D40C1" w14:textId="0D9F37E6" w:rsidR="00DD702A" w:rsidRDefault="00DD702A" w:rsidP="006C26A6">
            <w:pPr>
              <w:pStyle w:val="ListParagraph"/>
              <w:numPr>
                <w:ilvl w:val="1"/>
                <w:numId w:val="33"/>
              </w:numPr>
              <w:rPr>
                <w:lang w:val="en-US"/>
              </w:rPr>
            </w:pPr>
            <w:r w:rsidRPr="006C26A6">
              <w:rPr>
                <w:lang w:val="en-US"/>
              </w:rPr>
              <w:t>Schedule 2: Form of Quote</w:t>
            </w:r>
          </w:p>
          <w:p w14:paraId="303026C8" w14:textId="1551CF7F" w:rsidR="006C26A6" w:rsidRPr="006C26A6" w:rsidRDefault="006C26A6" w:rsidP="006C26A6">
            <w:pPr>
              <w:pStyle w:val="ListParagraph"/>
              <w:numPr>
                <w:ilvl w:val="0"/>
                <w:numId w:val="33"/>
              </w:numPr>
              <w:rPr>
                <w:lang w:val="en-US"/>
              </w:rPr>
            </w:pPr>
            <w:r>
              <w:rPr>
                <w:lang w:val="en-US"/>
              </w:rPr>
              <w:t>Contract Draft</w:t>
            </w:r>
          </w:p>
          <w:p w14:paraId="561BD564" w14:textId="77777777" w:rsidR="00DD702A" w:rsidRPr="001B0CFD" w:rsidRDefault="00DD702A" w:rsidP="00B35EEB">
            <w:pPr>
              <w:pStyle w:val="ListParagraph"/>
              <w:ind w:left="993"/>
              <w:rPr>
                <w:highlight w:val="yellow"/>
                <w:lang w:val="en-US"/>
              </w:rPr>
            </w:pPr>
          </w:p>
        </w:tc>
      </w:tr>
    </w:tbl>
    <w:p w14:paraId="7353DF85" w14:textId="77665818" w:rsidR="001441D9" w:rsidRDefault="001441D9">
      <w:pPr>
        <w:rPr>
          <w:lang w:val="en-US"/>
        </w:rPr>
      </w:pPr>
    </w:p>
    <w:p w14:paraId="2C4E85E8" w14:textId="77777777" w:rsidR="001441D9" w:rsidRPr="0027117F" w:rsidRDefault="001441D9">
      <w:pPr>
        <w:rPr>
          <w:lang w:val="en-US"/>
        </w:rPr>
      </w:pPr>
    </w:p>
    <w:p w14:paraId="38FF4EB0" w14:textId="77777777" w:rsidR="00532EC3" w:rsidRPr="00DE5952" w:rsidRDefault="00532EC3">
      <w:pPr>
        <w:rPr>
          <w:lang w:val="en-US"/>
        </w:rPr>
      </w:pPr>
    </w:p>
    <w:p w14:paraId="357A7C72" w14:textId="77777777" w:rsidR="00532EC3" w:rsidRPr="00B703F0" w:rsidRDefault="00532EC3">
      <w:pPr>
        <w:rPr>
          <w:highlight w:val="yellow"/>
          <w:lang w:val="en-US"/>
        </w:rPr>
      </w:pPr>
    </w:p>
    <w:p w14:paraId="3704F855" w14:textId="77777777" w:rsidR="00532EC3" w:rsidRDefault="00532EC3" w:rsidP="00532EC3">
      <w:pPr>
        <w:rPr>
          <w:lang w:val="en-US"/>
        </w:rPr>
      </w:pPr>
    </w:p>
    <w:p w14:paraId="54B7A354" w14:textId="77777777" w:rsidR="00CC4D5A" w:rsidRDefault="00CC4D5A" w:rsidP="00532EC3">
      <w:pPr>
        <w:rPr>
          <w:lang w:val="en-US"/>
        </w:rPr>
      </w:pPr>
    </w:p>
    <w:p w14:paraId="2401AE2D" w14:textId="77777777" w:rsidR="00DE5952" w:rsidRDefault="00DE5952" w:rsidP="00532EC3">
      <w:pPr>
        <w:rPr>
          <w:lang w:val="en-US"/>
        </w:rPr>
      </w:pPr>
    </w:p>
    <w:p w14:paraId="6F83B3F6" w14:textId="77777777" w:rsidR="00DE5952" w:rsidRDefault="00DE5952" w:rsidP="00532EC3">
      <w:pPr>
        <w:rPr>
          <w:lang w:val="en-US"/>
        </w:rPr>
      </w:pPr>
    </w:p>
    <w:p w14:paraId="2A9BC660" w14:textId="22C04223" w:rsidR="00DE5952" w:rsidRDefault="00DE5952" w:rsidP="00532EC3">
      <w:pPr>
        <w:rPr>
          <w:lang w:val="en-US"/>
        </w:rPr>
      </w:pPr>
    </w:p>
    <w:p w14:paraId="44B603DE" w14:textId="0417F728" w:rsidR="00492CE4" w:rsidRDefault="00492CE4" w:rsidP="00532EC3">
      <w:pPr>
        <w:rPr>
          <w:lang w:val="en-US"/>
        </w:rPr>
      </w:pPr>
    </w:p>
    <w:p w14:paraId="21F26A94" w14:textId="16084042" w:rsidR="00DF07C8" w:rsidRDefault="00DF07C8" w:rsidP="00C4579C">
      <w:pPr>
        <w:jc w:val="both"/>
        <w:rPr>
          <w:b/>
          <w:sz w:val="28"/>
          <w:szCs w:val="28"/>
          <w:lang w:val="en-US"/>
        </w:rPr>
      </w:pPr>
      <w:r>
        <w:rPr>
          <w:b/>
          <w:sz w:val="28"/>
          <w:szCs w:val="28"/>
          <w:lang w:val="en-US"/>
        </w:rPr>
        <w:lastRenderedPageBreak/>
        <w:t>Summary</w:t>
      </w:r>
    </w:p>
    <w:p w14:paraId="0899F3F5" w14:textId="41D9E9C7" w:rsidR="00DF07C8" w:rsidRDefault="00DF07C8" w:rsidP="00C4579C">
      <w:pPr>
        <w:jc w:val="both"/>
        <w:rPr>
          <w:b/>
          <w:sz w:val="28"/>
          <w:szCs w:val="28"/>
          <w:lang w:val="en-US"/>
        </w:rPr>
      </w:pPr>
    </w:p>
    <w:p w14:paraId="00AC1D73" w14:textId="3EBE0A6B" w:rsidR="004B751E" w:rsidRDefault="004B751E" w:rsidP="00C4579C">
      <w:pPr>
        <w:jc w:val="both"/>
      </w:pPr>
      <w:r>
        <w:t>Gosport Borough Council (GBC) and the Defence Infrastructure Organisation (DIO</w:t>
      </w:r>
      <w:r w:rsidR="0071488E">
        <w:t>) are issuing a joint ‘Invitation to Quote’ (ITQ)</w:t>
      </w:r>
      <w:r w:rsidR="00053635">
        <w:t xml:space="preserve"> </w:t>
      </w:r>
      <w:r>
        <w:t xml:space="preserve">to </w:t>
      </w:r>
      <w:r w:rsidR="00492CE4">
        <w:t xml:space="preserve">better understand the opportunities in relation to traffic and transport as part of the likely site wide redevelopment of Fort Blockhouse (FBH) </w:t>
      </w:r>
      <w:r w:rsidR="00793DF4">
        <w:t xml:space="preserve">(referred to herein as ‘Blockhouse’) </w:t>
      </w:r>
      <w:r w:rsidR="00492CE4">
        <w:t xml:space="preserve">in Gosport.  </w:t>
      </w:r>
    </w:p>
    <w:p w14:paraId="65F27F38" w14:textId="77777777" w:rsidR="004B751E" w:rsidRDefault="004B751E" w:rsidP="00C4579C">
      <w:pPr>
        <w:jc w:val="both"/>
      </w:pPr>
    </w:p>
    <w:p w14:paraId="27A0A08F" w14:textId="5B7BEDF0" w:rsidR="00F06F44" w:rsidRDefault="00F06F44" w:rsidP="00C4579C">
      <w:pPr>
        <w:jc w:val="both"/>
      </w:pPr>
      <w:r>
        <w:t>The prime purpose of the study is to explore solutions to reduce</w:t>
      </w:r>
      <w:r w:rsidR="008158BA">
        <w:t xml:space="preserve"> the use of private cars associated with new</w:t>
      </w:r>
      <w:r>
        <w:t xml:space="preserve"> development</w:t>
      </w:r>
      <w:r w:rsidR="008158BA">
        <w:t xml:space="preserve"> arising from the planned regeneration of</w:t>
      </w:r>
      <w:r>
        <w:t xml:space="preserve"> Blockhouse, </w:t>
      </w:r>
      <w:r w:rsidR="008158BA">
        <w:t>and to explore th</w:t>
      </w:r>
      <w:r>
        <w:t xml:space="preserve">e use of more sustainable forms of transport and reduce the number of additional trips by private vehicles over the </w:t>
      </w:r>
      <w:proofErr w:type="spellStart"/>
      <w:r>
        <w:t>Haslar</w:t>
      </w:r>
      <w:proofErr w:type="spellEnd"/>
      <w:r>
        <w:t xml:space="preserve"> Bridge which is a traffic signal controlled, single carriageway linking the </w:t>
      </w:r>
      <w:proofErr w:type="spellStart"/>
      <w:r>
        <w:t>Haslar</w:t>
      </w:r>
      <w:proofErr w:type="spellEnd"/>
      <w:r>
        <w:t xml:space="preserve"> Peninsula including Blockhouse with most of Gosport and beyond.</w:t>
      </w:r>
    </w:p>
    <w:p w14:paraId="6D24854A" w14:textId="77777777" w:rsidR="00492CE4" w:rsidRDefault="00492CE4" w:rsidP="00C4579C">
      <w:pPr>
        <w:jc w:val="both"/>
      </w:pPr>
    </w:p>
    <w:p w14:paraId="23077B43" w14:textId="6B83D20E" w:rsidR="004B751E" w:rsidRDefault="004B751E" w:rsidP="00C4579C">
      <w:pPr>
        <w:jc w:val="both"/>
      </w:pPr>
      <w:r>
        <w:t xml:space="preserve">It is envisaged that this </w:t>
      </w:r>
      <w:r w:rsidRPr="00AE3E7B">
        <w:t xml:space="preserve">study will inform </w:t>
      </w:r>
      <w:r w:rsidR="008158BA">
        <w:t xml:space="preserve">the proposed Regulation 19 Draft Local Plan and </w:t>
      </w:r>
      <w:r w:rsidRPr="00AE3E7B">
        <w:t xml:space="preserve">a comprehensive masterplan for the site </w:t>
      </w:r>
      <w:r>
        <w:t xml:space="preserve">which </w:t>
      </w:r>
      <w:r w:rsidRPr="00AE3E7B">
        <w:t>will comprise a mixed</w:t>
      </w:r>
      <w:r>
        <w:t>-</w:t>
      </w:r>
      <w:r w:rsidRPr="00AE3E7B">
        <w:t xml:space="preserve">use development including residential, employment and commercial/community uses with associated open spaces and public realm.  </w:t>
      </w:r>
    </w:p>
    <w:p w14:paraId="71107834" w14:textId="77777777" w:rsidR="004B751E" w:rsidRDefault="004B751E" w:rsidP="00C4579C">
      <w:pPr>
        <w:jc w:val="both"/>
      </w:pPr>
    </w:p>
    <w:p w14:paraId="1FE04BF1" w14:textId="77777777" w:rsidR="004B751E" w:rsidRPr="00064C88" w:rsidRDefault="004B751E" w:rsidP="00C4579C">
      <w:pPr>
        <w:jc w:val="both"/>
      </w:pPr>
      <w:r>
        <w:t xml:space="preserve">We </w:t>
      </w:r>
      <w:r w:rsidRPr="00064C88">
        <w:t>would be grateful if you would submit a quotation in accordance with the following brief</w:t>
      </w:r>
      <w:r>
        <w:t>.</w:t>
      </w:r>
    </w:p>
    <w:p w14:paraId="5FEA3DCD" w14:textId="77777777" w:rsidR="004B751E" w:rsidRPr="00506F60" w:rsidRDefault="004B751E" w:rsidP="00C4579C">
      <w:pPr>
        <w:jc w:val="both"/>
        <w:rPr>
          <w:b/>
          <w:szCs w:val="24"/>
          <w:lang w:val="en-US"/>
        </w:rPr>
      </w:pPr>
    </w:p>
    <w:p w14:paraId="61BDFF88" w14:textId="1C684EF5" w:rsidR="00E867B4" w:rsidRPr="00DD702A" w:rsidRDefault="0071488E" w:rsidP="00C4579C">
      <w:pPr>
        <w:jc w:val="both"/>
        <w:rPr>
          <w:szCs w:val="24"/>
          <w:lang w:val="en-US"/>
        </w:rPr>
      </w:pPr>
      <w:r w:rsidRPr="00DD702A">
        <w:rPr>
          <w:szCs w:val="24"/>
          <w:lang w:val="en-US"/>
        </w:rPr>
        <w:t xml:space="preserve">The work the GBC and DIO wish to commission is </w:t>
      </w:r>
      <w:r w:rsidR="00506F60" w:rsidRPr="00DD702A">
        <w:rPr>
          <w:szCs w:val="24"/>
          <w:lang w:val="en-US"/>
        </w:rPr>
        <w:t>s</w:t>
      </w:r>
      <w:r w:rsidRPr="00DD702A">
        <w:rPr>
          <w:szCs w:val="24"/>
          <w:lang w:val="en-US"/>
        </w:rPr>
        <w:t xml:space="preserve">et out in </w:t>
      </w:r>
      <w:r w:rsidR="00DD702A" w:rsidRPr="00DD702A">
        <w:rPr>
          <w:szCs w:val="24"/>
          <w:lang w:val="en-US"/>
        </w:rPr>
        <w:t>Section 2.1</w:t>
      </w:r>
      <w:r w:rsidR="00E867B4" w:rsidRPr="00DD702A">
        <w:rPr>
          <w:szCs w:val="24"/>
          <w:lang w:val="en-US"/>
        </w:rPr>
        <w:t xml:space="preserve"> </w:t>
      </w:r>
      <w:r w:rsidR="00506F60" w:rsidRPr="00DD702A">
        <w:rPr>
          <w:szCs w:val="24"/>
          <w:lang w:val="en-US"/>
        </w:rPr>
        <w:t xml:space="preserve">which identifies </w:t>
      </w:r>
      <w:r w:rsidR="001F4089" w:rsidRPr="00DD702A">
        <w:rPr>
          <w:szCs w:val="24"/>
          <w:lang w:val="en-US"/>
        </w:rPr>
        <w:t>the following components</w:t>
      </w:r>
      <w:r w:rsidR="009E7E93" w:rsidRPr="00DD702A">
        <w:rPr>
          <w:szCs w:val="24"/>
          <w:lang w:val="en-US"/>
        </w:rPr>
        <w:t>:</w:t>
      </w:r>
    </w:p>
    <w:p w14:paraId="3DDBA84C" w14:textId="03C88FBB" w:rsidR="009E7E93" w:rsidRDefault="009E7E93" w:rsidP="00C4579C">
      <w:pPr>
        <w:jc w:val="both"/>
        <w:rPr>
          <w:szCs w:val="24"/>
          <w:highlight w:val="yellow"/>
          <w:lang w:val="en-US"/>
        </w:rPr>
      </w:pPr>
    </w:p>
    <w:p w14:paraId="1C08B183" w14:textId="34AC8C51" w:rsidR="009E7E93" w:rsidRPr="009E7E93" w:rsidRDefault="009E7E93" w:rsidP="00C4579C">
      <w:pPr>
        <w:pStyle w:val="ListParagraph"/>
        <w:numPr>
          <w:ilvl w:val="0"/>
          <w:numId w:val="22"/>
        </w:numPr>
        <w:jc w:val="both"/>
      </w:pPr>
      <w:r>
        <w:rPr>
          <w:bCs/>
        </w:rPr>
        <w:t>Outline the background c</w:t>
      </w:r>
      <w:r w:rsidRPr="009E7E93">
        <w:rPr>
          <w:bCs/>
        </w:rPr>
        <w:t xml:space="preserve">ontext </w:t>
      </w:r>
      <w:r>
        <w:rPr>
          <w:bCs/>
        </w:rPr>
        <w:t>in relation to the Blockhouse site including a consideration of currently available information</w:t>
      </w:r>
      <w:r w:rsidR="00E76BF2">
        <w:rPr>
          <w:bCs/>
        </w:rPr>
        <w:t>;</w:t>
      </w:r>
    </w:p>
    <w:p w14:paraId="0556E63C" w14:textId="22332BB3" w:rsidR="009E7E93" w:rsidRPr="009E7E93" w:rsidRDefault="009E7E93" w:rsidP="00C4579C">
      <w:pPr>
        <w:pStyle w:val="ListParagraph"/>
        <w:jc w:val="both"/>
      </w:pPr>
    </w:p>
    <w:p w14:paraId="735637A1" w14:textId="164B0DB8" w:rsidR="009E7E93" w:rsidRDefault="009E7E93" w:rsidP="00C4579C">
      <w:pPr>
        <w:pStyle w:val="ListParagraph"/>
        <w:numPr>
          <w:ilvl w:val="0"/>
          <w:numId w:val="22"/>
        </w:numPr>
        <w:jc w:val="both"/>
      </w:pPr>
      <w:r>
        <w:t>Consideration of current transport and travel challenges and constraints and how these can be overcome through modal shift</w:t>
      </w:r>
      <w:r w:rsidR="00E76BF2">
        <w:t>;</w:t>
      </w:r>
    </w:p>
    <w:p w14:paraId="05A948B6" w14:textId="77777777" w:rsidR="009E7E93" w:rsidRDefault="009E7E93" w:rsidP="00C4579C">
      <w:pPr>
        <w:pStyle w:val="ListParagraph"/>
        <w:jc w:val="both"/>
      </w:pPr>
    </w:p>
    <w:p w14:paraId="123F7D08" w14:textId="0B82CBC8" w:rsidR="009E7E93" w:rsidRDefault="009E7E93" w:rsidP="00C4579C">
      <w:pPr>
        <w:pStyle w:val="ListParagraph"/>
        <w:numPr>
          <w:ilvl w:val="0"/>
          <w:numId w:val="22"/>
        </w:numPr>
        <w:jc w:val="both"/>
      </w:pPr>
      <w:r>
        <w:t>Consideration of each of the modal shift and other transport interventions including  the following information:</w:t>
      </w:r>
    </w:p>
    <w:p w14:paraId="4826EBE4" w14:textId="77777777" w:rsidR="009E7E93" w:rsidRDefault="009E7E93" w:rsidP="00C4579C">
      <w:pPr>
        <w:pStyle w:val="ListParagraph"/>
        <w:jc w:val="both"/>
      </w:pPr>
    </w:p>
    <w:p w14:paraId="698D9484" w14:textId="77777777" w:rsidR="009E7E93" w:rsidRPr="007253B8" w:rsidRDefault="009E7E93"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capital and ongoing costs; </w:t>
      </w:r>
    </w:p>
    <w:p w14:paraId="7787754D" w14:textId="77777777" w:rsidR="009E7E93" w:rsidRPr="007253B8" w:rsidRDefault="009E7E93"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management issues;</w:t>
      </w:r>
    </w:p>
    <w:p w14:paraId="22ABF3A6" w14:textId="77777777" w:rsidR="009E7E93" w:rsidRPr="007253B8" w:rsidRDefault="009E7E93"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land use requirements (ownership, planning, costs); </w:t>
      </w:r>
    </w:p>
    <w:p w14:paraId="39AEF7B4" w14:textId="77777777" w:rsidR="009E7E93" w:rsidRPr="007253B8" w:rsidRDefault="009E7E93"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timescales associated with delivery; and</w:t>
      </w:r>
    </w:p>
    <w:p w14:paraId="08618A69" w14:textId="77777777" w:rsidR="009E7E93" w:rsidRPr="007253B8" w:rsidRDefault="009E7E93"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proofErr w:type="gramStart"/>
      <w:r w:rsidRPr="007253B8">
        <w:rPr>
          <w:rFonts w:ascii="Arial" w:hAnsi="Arial" w:cs="Arial"/>
          <w:lang w:eastAsia="en-US"/>
        </w:rPr>
        <w:t>any</w:t>
      </w:r>
      <w:proofErr w:type="gramEnd"/>
      <w:r w:rsidRPr="007253B8">
        <w:rPr>
          <w:rFonts w:ascii="Arial" w:hAnsi="Arial" w:cs="Arial"/>
          <w:lang w:eastAsia="en-US"/>
        </w:rPr>
        <w:t xml:space="preserve"> other potential issues/considerations. </w:t>
      </w:r>
    </w:p>
    <w:p w14:paraId="7D416F51" w14:textId="6ACE26D2" w:rsidR="009E7E93" w:rsidRDefault="009E7E93" w:rsidP="00C4579C">
      <w:pPr>
        <w:jc w:val="both"/>
      </w:pPr>
    </w:p>
    <w:p w14:paraId="3A72233B" w14:textId="693CE72C" w:rsidR="00015F67" w:rsidRPr="00E76BF2" w:rsidRDefault="00015F67" w:rsidP="00C4579C">
      <w:pPr>
        <w:pStyle w:val="ListParagraph"/>
        <w:numPr>
          <w:ilvl w:val="0"/>
          <w:numId w:val="22"/>
        </w:numPr>
        <w:jc w:val="both"/>
        <w:rPr>
          <w:rFonts w:cs="Arial"/>
        </w:rPr>
      </w:pPr>
      <w:r w:rsidRPr="00E76BF2">
        <w:rPr>
          <w:rFonts w:cs="Arial"/>
        </w:rPr>
        <w:t>Conclusions</w:t>
      </w:r>
      <w:r w:rsidR="00E76BF2">
        <w:rPr>
          <w:rFonts w:cs="Arial"/>
        </w:rPr>
        <w:t xml:space="preserve">- </w:t>
      </w:r>
      <w:r w:rsidRPr="00E76BF2">
        <w:rPr>
          <w:lang w:val="en-US"/>
        </w:rPr>
        <w:t xml:space="preserve">The selected consultant to make recommendations on which mix of solutions have a viable long-term future within the context of likely development </w:t>
      </w:r>
      <w:r w:rsidR="00623A83">
        <w:rPr>
          <w:lang w:val="en-US"/>
        </w:rPr>
        <w:t>at Blockhouse</w:t>
      </w:r>
      <w:r w:rsidR="008158BA">
        <w:rPr>
          <w:lang w:val="en-US"/>
        </w:rPr>
        <w:t xml:space="preserve"> development </w:t>
      </w:r>
      <w:r w:rsidR="00623A83">
        <w:rPr>
          <w:lang w:val="en-US"/>
        </w:rPr>
        <w:t xml:space="preserve">either planned or under construction </w:t>
      </w:r>
      <w:r w:rsidRPr="00E76BF2">
        <w:rPr>
          <w:lang w:val="en-US"/>
        </w:rPr>
        <w:t>on the</w:t>
      </w:r>
      <w:r w:rsidR="008158BA">
        <w:rPr>
          <w:lang w:val="en-US"/>
        </w:rPr>
        <w:t xml:space="preserve"> wider</w:t>
      </w:r>
      <w:r w:rsidRPr="00E76BF2">
        <w:rPr>
          <w:lang w:val="en-US"/>
        </w:rPr>
        <w:t xml:space="preserve"> </w:t>
      </w:r>
      <w:proofErr w:type="spellStart"/>
      <w:r w:rsidRPr="00E76BF2">
        <w:rPr>
          <w:lang w:val="en-US"/>
        </w:rPr>
        <w:t>Haslar</w:t>
      </w:r>
      <w:proofErr w:type="spellEnd"/>
      <w:r w:rsidRPr="00E76BF2">
        <w:rPr>
          <w:lang w:val="en-US"/>
        </w:rPr>
        <w:t xml:space="preserve"> peninsula. </w:t>
      </w:r>
    </w:p>
    <w:p w14:paraId="1BFE4B55" w14:textId="7D61ECDD" w:rsidR="003549A5" w:rsidRDefault="003549A5" w:rsidP="00C4579C">
      <w:pPr>
        <w:jc w:val="both"/>
        <w:rPr>
          <w:b/>
          <w:sz w:val="28"/>
          <w:szCs w:val="28"/>
          <w:lang w:val="en-US"/>
        </w:rPr>
      </w:pPr>
    </w:p>
    <w:p w14:paraId="36A1017D" w14:textId="242E264A" w:rsidR="004B751E" w:rsidRPr="00506F60" w:rsidRDefault="00506F60" w:rsidP="00C4579C">
      <w:pPr>
        <w:jc w:val="both"/>
        <w:rPr>
          <w:szCs w:val="24"/>
          <w:lang w:val="en-US"/>
        </w:rPr>
      </w:pPr>
      <w:r w:rsidRPr="00506F60">
        <w:rPr>
          <w:szCs w:val="24"/>
          <w:lang w:val="en-US"/>
        </w:rPr>
        <w:t xml:space="preserve">The remainder of the ITQ sets out all the requirements in relation to submitting an ITQ, how it will be evaluated and various contractual requirements. </w:t>
      </w:r>
    </w:p>
    <w:p w14:paraId="3A61EBFF" w14:textId="77777777" w:rsidR="004B751E" w:rsidRPr="004B751E" w:rsidRDefault="004B751E" w:rsidP="00C4579C">
      <w:pPr>
        <w:jc w:val="both"/>
        <w:rPr>
          <w:b/>
          <w:sz w:val="28"/>
          <w:szCs w:val="28"/>
          <w:lang w:val="en-US"/>
        </w:rPr>
      </w:pPr>
    </w:p>
    <w:p w14:paraId="204F3CFD" w14:textId="65CC26A4" w:rsidR="00CA4C85" w:rsidRDefault="00CA4C85" w:rsidP="00C4579C">
      <w:pPr>
        <w:jc w:val="both"/>
        <w:rPr>
          <w:b/>
          <w:sz w:val="28"/>
          <w:szCs w:val="28"/>
          <w:lang w:val="en-US"/>
        </w:rPr>
      </w:pPr>
    </w:p>
    <w:p w14:paraId="0E7EB870" w14:textId="1DF471DD" w:rsidR="00532EC3" w:rsidRPr="00872A2E" w:rsidRDefault="00DE5952" w:rsidP="00C4579C">
      <w:pPr>
        <w:jc w:val="both"/>
        <w:rPr>
          <w:b/>
          <w:sz w:val="28"/>
          <w:szCs w:val="28"/>
          <w:u w:val="single"/>
          <w:lang w:val="en-US"/>
        </w:rPr>
      </w:pPr>
      <w:r w:rsidRPr="00872A2E">
        <w:rPr>
          <w:b/>
          <w:sz w:val="28"/>
          <w:szCs w:val="28"/>
          <w:lang w:val="en-US"/>
        </w:rPr>
        <w:t>1.0</w:t>
      </w:r>
      <w:r w:rsidRPr="00872A2E">
        <w:rPr>
          <w:b/>
          <w:sz w:val="28"/>
          <w:szCs w:val="28"/>
          <w:lang w:val="en-US"/>
        </w:rPr>
        <w:tab/>
      </w:r>
      <w:r w:rsidR="00CC4D5A" w:rsidRPr="00872A2E">
        <w:rPr>
          <w:b/>
          <w:sz w:val="28"/>
          <w:szCs w:val="28"/>
          <w:u w:val="single"/>
          <w:lang w:val="en-US"/>
        </w:rPr>
        <w:t>I</w:t>
      </w:r>
      <w:r w:rsidRPr="00872A2E">
        <w:rPr>
          <w:b/>
          <w:sz w:val="28"/>
          <w:szCs w:val="28"/>
          <w:u w:val="single"/>
          <w:lang w:val="en-US"/>
        </w:rPr>
        <w:t>NTRODUCTION and CONTEXT</w:t>
      </w:r>
    </w:p>
    <w:p w14:paraId="2E7664E0" w14:textId="2BC9D6FD" w:rsidR="00CC4D5A" w:rsidRDefault="00CC4D5A" w:rsidP="00C4579C">
      <w:pPr>
        <w:jc w:val="both"/>
        <w:rPr>
          <w:u w:val="single"/>
          <w:lang w:val="en-US"/>
        </w:rPr>
      </w:pPr>
    </w:p>
    <w:p w14:paraId="79497515" w14:textId="4735C530" w:rsidR="00872A2E" w:rsidRDefault="000C698D" w:rsidP="00C4579C">
      <w:pPr>
        <w:jc w:val="both"/>
        <w:rPr>
          <w:u w:val="single"/>
          <w:lang w:val="en-US"/>
        </w:rPr>
      </w:pPr>
      <w:r>
        <w:rPr>
          <w:u w:val="single"/>
          <w:lang w:val="en-US"/>
        </w:rPr>
        <w:t xml:space="preserve"> </w:t>
      </w:r>
    </w:p>
    <w:p w14:paraId="0F08A418" w14:textId="77777777" w:rsidR="00A33DF9" w:rsidRPr="00A33DF9" w:rsidRDefault="00A33DF9" w:rsidP="00C4579C">
      <w:pPr>
        <w:jc w:val="both"/>
        <w:rPr>
          <w:b/>
          <w:lang w:val="en-US"/>
        </w:rPr>
      </w:pPr>
      <w:r w:rsidRPr="00A33DF9">
        <w:rPr>
          <w:b/>
          <w:lang w:val="en-US"/>
        </w:rPr>
        <w:t>1.1</w:t>
      </w:r>
      <w:r w:rsidRPr="00A33DF9">
        <w:rPr>
          <w:b/>
          <w:lang w:val="en-US"/>
        </w:rPr>
        <w:tab/>
        <w:t>Introduction</w:t>
      </w:r>
    </w:p>
    <w:p w14:paraId="598BE178" w14:textId="77777777" w:rsidR="00A33DF9" w:rsidRDefault="00A33DF9" w:rsidP="00C4579C">
      <w:pPr>
        <w:jc w:val="both"/>
        <w:rPr>
          <w:u w:val="single"/>
          <w:lang w:val="en-US"/>
        </w:rPr>
      </w:pPr>
    </w:p>
    <w:p w14:paraId="768978CB" w14:textId="15C3193A" w:rsidR="00492CE4" w:rsidRDefault="00492CE4" w:rsidP="00C4579C">
      <w:pPr>
        <w:jc w:val="both"/>
      </w:pPr>
      <w:r>
        <w:t xml:space="preserve">Gosport Borough Council (GBC) and the Defence Infrastructure Organisation (DIO) are issuing a joint ‘Invitation to Quote’ (ITQ) to better understand the opportunities in relation to traffic and transport as part of the likely site wide redevelopment of Fort Blockhouse (FBH) </w:t>
      </w:r>
      <w:r w:rsidR="00793DF4">
        <w:t xml:space="preserve">(referred to herein as ‘Blockhouse’) </w:t>
      </w:r>
      <w:r>
        <w:t xml:space="preserve">in Gosport.  </w:t>
      </w:r>
    </w:p>
    <w:p w14:paraId="12EC0C91" w14:textId="77777777" w:rsidR="00492CE4" w:rsidRDefault="00492CE4" w:rsidP="00C4579C">
      <w:pPr>
        <w:jc w:val="both"/>
      </w:pPr>
    </w:p>
    <w:p w14:paraId="1D116E67" w14:textId="77777777" w:rsidR="008158BA" w:rsidRDefault="008158BA" w:rsidP="00C4579C">
      <w:pPr>
        <w:jc w:val="both"/>
      </w:pPr>
      <w:r>
        <w:t xml:space="preserve">The prime purpose of the study is to explore solutions to reduce the use of private cars associated with new development arising from the planned regeneration of Blockhouse, and to explore the use of more sustainable forms of transport and reduce the number of additional trips by private vehicles over the </w:t>
      </w:r>
      <w:proofErr w:type="spellStart"/>
      <w:r>
        <w:t>Haslar</w:t>
      </w:r>
      <w:proofErr w:type="spellEnd"/>
      <w:r>
        <w:t xml:space="preserve"> Bridge which is a traffic signal controlled, single carriageway linking the </w:t>
      </w:r>
      <w:proofErr w:type="spellStart"/>
      <w:r>
        <w:t>Haslar</w:t>
      </w:r>
      <w:proofErr w:type="spellEnd"/>
      <w:r>
        <w:t xml:space="preserve"> Peninsula including Blockhouse with most of Gosport and beyond.</w:t>
      </w:r>
    </w:p>
    <w:p w14:paraId="1791AA15" w14:textId="77777777" w:rsidR="00492CE4" w:rsidRDefault="00492CE4" w:rsidP="00C4579C">
      <w:pPr>
        <w:jc w:val="both"/>
      </w:pPr>
    </w:p>
    <w:p w14:paraId="4A36A286" w14:textId="77777777" w:rsidR="00492CE4" w:rsidRDefault="00492CE4" w:rsidP="00C4579C">
      <w:pPr>
        <w:jc w:val="both"/>
      </w:pPr>
      <w:r>
        <w:t xml:space="preserve">Consequently the need to address modal shift at the proposed Blockhouse allocation sites, as set out in the Gosport Borough Local Plan 2038 Consultation Draft (Regulation 18) (September 2021), is considered essential as part of the </w:t>
      </w:r>
      <w:proofErr w:type="spellStart"/>
      <w:r>
        <w:t>masterplanning</w:t>
      </w:r>
      <w:proofErr w:type="spellEnd"/>
      <w:r>
        <w:t xml:space="preserve"> of the Blockhouse site.  </w:t>
      </w:r>
    </w:p>
    <w:p w14:paraId="2D05BFAE" w14:textId="77777777" w:rsidR="00492CE4" w:rsidRDefault="00492CE4" w:rsidP="00C4579C">
      <w:pPr>
        <w:jc w:val="both"/>
      </w:pPr>
    </w:p>
    <w:p w14:paraId="5097373F" w14:textId="0A76E6A7" w:rsidR="00492CE4" w:rsidRPr="00DD702A" w:rsidRDefault="00492CE4" w:rsidP="00C4579C">
      <w:pPr>
        <w:jc w:val="both"/>
      </w:pPr>
      <w:r w:rsidRPr="00DD702A">
        <w:t xml:space="preserve">The study will therefore need to </w:t>
      </w:r>
      <w:r w:rsidR="00015F67" w:rsidRPr="00DD702A">
        <w:t>include</w:t>
      </w:r>
      <w:r w:rsidRPr="00DD702A">
        <w:t xml:space="preserve"> the following</w:t>
      </w:r>
      <w:r w:rsidR="004C584A">
        <w:t xml:space="preserve"> (see Section 2.1 for further details)</w:t>
      </w:r>
      <w:r w:rsidRPr="00DD702A">
        <w:t>:-</w:t>
      </w:r>
    </w:p>
    <w:p w14:paraId="542F5F33" w14:textId="77777777" w:rsidR="00492CE4" w:rsidRPr="00A63BBC" w:rsidRDefault="00492CE4" w:rsidP="00C4579C">
      <w:pPr>
        <w:jc w:val="both"/>
        <w:rPr>
          <w:highlight w:val="yellow"/>
        </w:rPr>
      </w:pPr>
    </w:p>
    <w:p w14:paraId="12270874" w14:textId="77777777" w:rsidR="00015F67" w:rsidRDefault="00015F67" w:rsidP="00C4579C">
      <w:pPr>
        <w:jc w:val="both"/>
        <w:rPr>
          <w:szCs w:val="24"/>
          <w:highlight w:val="yellow"/>
          <w:lang w:val="en-US"/>
        </w:rPr>
      </w:pPr>
    </w:p>
    <w:p w14:paraId="7E7BF54C" w14:textId="5C79880B" w:rsidR="00015F67" w:rsidRPr="009E7E93" w:rsidRDefault="00015F67" w:rsidP="00C4579C">
      <w:pPr>
        <w:pStyle w:val="ListParagraph"/>
        <w:numPr>
          <w:ilvl w:val="0"/>
          <w:numId w:val="23"/>
        </w:numPr>
        <w:jc w:val="both"/>
      </w:pPr>
      <w:r w:rsidRPr="00015F67">
        <w:rPr>
          <w:bCs/>
        </w:rPr>
        <w:t>Outline the background context in relation to the Blockhouse site including a consideration of currently available information</w:t>
      </w:r>
    </w:p>
    <w:p w14:paraId="747E566C" w14:textId="77777777" w:rsidR="00015F67" w:rsidRPr="009E7E93" w:rsidRDefault="00015F67" w:rsidP="00C4579C">
      <w:pPr>
        <w:pStyle w:val="ListParagraph"/>
        <w:jc w:val="both"/>
      </w:pPr>
    </w:p>
    <w:p w14:paraId="2DC66A24" w14:textId="77777777" w:rsidR="00015F67" w:rsidRDefault="00015F67" w:rsidP="00C4579C">
      <w:pPr>
        <w:pStyle w:val="ListParagraph"/>
        <w:numPr>
          <w:ilvl w:val="0"/>
          <w:numId w:val="23"/>
        </w:numPr>
        <w:jc w:val="both"/>
      </w:pPr>
      <w:r>
        <w:t>Consideration of current transport and travel challenges and constraints and how these can be overcome through modal shift</w:t>
      </w:r>
    </w:p>
    <w:p w14:paraId="2FE2B920" w14:textId="77777777" w:rsidR="00015F67" w:rsidRDefault="00015F67" w:rsidP="00C4579C">
      <w:pPr>
        <w:pStyle w:val="ListParagraph"/>
        <w:jc w:val="both"/>
      </w:pPr>
    </w:p>
    <w:p w14:paraId="27E4D67F" w14:textId="77777777" w:rsidR="00015F67" w:rsidRDefault="00015F67" w:rsidP="00C4579C">
      <w:pPr>
        <w:pStyle w:val="ListParagraph"/>
        <w:numPr>
          <w:ilvl w:val="0"/>
          <w:numId w:val="23"/>
        </w:numPr>
        <w:jc w:val="both"/>
      </w:pPr>
      <w:r>
        <w:t>Consideration of each of the modal shift and other transport interventions including  the following information:</w:t>
      </w:r>
    </w:p>
    <w:p w14:paraId="11057FC3" w14:textId="77777777" w:rsidR="00015F67" w:rsidRDefault="00015F67" w:rsidP="00C4579C">
      <w:pPr>
        <w:pStyle w:val="ListParagraph"/>
        <w:jc w:val="both"/>
      </w:pPr>
    </w:p>
    <w:p w14:paraId="1B03031B" w14:textId="77777777" w:rsidR="00015F67" w:rsidRPr="007253B8" w:rsidRDefault="00015F67"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capital and ongoing costs; </w:t>
      </w:r>
    </w:p>
    <w:p w14:paraId="5D9ADD2D" w14:textId="77777777" w:rsidR="00015F67" w:rsidRPr="007253B8" w:rsidRDefault="00015F67"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management issues;</w:t>
      </w:r>
    </w:p>
    <w:p w14:paraId="1923F44C" w14:textId="77777777" w:rsidR="00015F67" w:rsidRPr="007253B8" w:rsidRDefault="00015F67"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land use requirements (ownership, planning, costs); </w:t>
      </w:r>
    </w:p>
    <w:p w14:paraId="135FBF22" w14:textId="77777777" w:rsidR="00015F67" w:rsidRPr="007253B8" w:rsidRDefault="00015F67"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timescales associated with delivery; and</w:t>
      </w:r>
    </w:p>
    <w:p w14:paraId="5B3445AE" w14:textId="77777777" w:rsidR="00015F67" w:rsidRPr="007253B8" w:rsidRDefault="00015F67"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proofErr w:type="gramStart"/>
      <w:r w:rsidRPr="007253B8">
        <w:rPr>
          <w:rFonts w:ascii="Arial" w:hAnsi="Arial" w:cs="Arial"/>
          <w:lang w:eastAsia="en-US"/>
        </w:rPr>
        <w:t>any</w:t>
      </w:r>
      <w:proofErr w:type="gramEnd"/>
      <w:r w:rsidRPr="007253B8">
        <w:rPr>
          <w:rFonts w:ascii="Arial" w:hAnsi="Arial" w:cs="Arial"/>
          <w:lang w:eastAsia="en-US"/>
        </w:rPr>
        <w:t xml:space="preserve"> other potential issues/considerations. </w:t>
      </w:r>
    </w:p>
    <w:p w14:paraId="7F62053D" w14:textId="77777777" w:rsidR="00015F67" w:rsidRPr="00015F67" w:rsidRDefault="00015F67" w:rsidP="00C4579C">
      <w:pPr>
        <w:jc w:val="both"/>
      </w:pPr>
    </w:p>
    <w:p w14:paraId="6E6FFDFA" w14:textId="77777777" w:rsidR="00015F67" w:rsidRPr="00015F67" w:rsidRDefault="00015F67" w:rsidP="00C4579C">
      <w:pPr>
        <w:pStyle w:val="ListParagraph"/>
        <w:numPr>
          <w:ilvl w:val="0"/>
          <w:numId w:val="23"/>
        </w:numPr>
        <w:jc w:val="both"/>
        <w:rPr>
          <w:rFonts w:cs="Arial"/>
        </w:rPr>
      </w:pPr>
      <w:r w:rsidRPr="00015F67">
        <w:rPr>
          <w:rFonts w:cs="Arial"/>
        </w:rPr>
        <w:t>Conclusions</w:t>
      </w:r>
    </w:p>
    <w:p w14:paraId="596F53BC" w14:textId="77777777" w:rsidR="00015F67" w:rsidRDefault="00015F67" w:rsidP="00C4579C">
      <w:pPr>
        <w:ind w:left="720"/>
        <w:jc w:val="both"/>
        <w:rPr>
          <w:rFonts w:cs="Calibri"/>
          <w:lang w:val="en-US"/>
        </w:rPr>
      </w:pPr>
      <w:r>
        <w:rPr>
          <w:lang w:val="en-US"/>
        </w:rPr>
        <w:t xml:space="preserve">The selected consultant to make recommendations on which mix of solutions have a viable long-term future within the context of likely development on the </w:t>
      </w:r>
      <w:proofErr w:type="spellStart"/>
      <w:r>
        <w:rPr>
          <w:lang w:val="en-US"/>
        </w:rPr>
        <w:t>Haslar</w:t>
      </w:r>
      <w:proofErr w:type="spellEnd"/>
      <w:r>
        <w:rPr>
          <w:lang w:val="en-US"/>
        </w:rPr>
        <w:t xml:space="preserve"> peninsula. </w:t>
      </w:r>
    </w:p>
    <w:p w14:paraId="6A0139B9" w14:textId="77777777" w:rsidR="004B751E" w:rsidRDefault="004B751E" w:rsidP="00C4579C">
      <w:pPr>
        <w:jc w:val="both"/>
      </w:pPr>
    </w:p>
    <w:p w14:paraId="4C1064BE" w14:textId="1A3D0308" w:rsidR="004B751E" w:rsidRDefault="004B751E" w:rsidP="00C4579C">
      <w:pPr>
        <w:jc w:val="both"/>
      </w:pPr>
      <w:r>
        <w:t xml:space="preserve">We </w:t>
      </w:r>
      <w:r w:rsidRPr="00064C88">
        <w:t>would be grateful if you would submit a quotation in accordance with the following brief</w:t>
      </w:r>
      <w:r>
        <w:t>.</w:t>
      </w:r>
    </w:p>
    <w:p w14:paraId="31A9FFDB" w14:textId="77777777" w:rsidR="00DD702A" w:rsidRPr="00064C88" w:rsidRDefault="00DD702A" w:rsidP="00C4579C">
      <w:pPr>
        <w:jc w:val="both"/>
      </w:pPr>
    </w:p>
    <w:p w14:paraId="42A8C2DE" w14:textId="77777777" w:rsidR="00B76F0E" w:rsidRDefault="00B76F0E" w:rsidP="00C4579C">
      <w:pPr>
        <w:jc w:val="both"/>
      </w:pPr>
    </w:p>
    <w:p w14:paraId="138675BF" w14:textId="62EB0748" w:rsidR="004B751E" w:rsidRPr="004B751E" w:rsidRDefault="003D1FEF" w:rsidP="00C4579C">
      <w:pPr>
        <w:jc w:val="both"/>
        <w:rPr>
          <w:b/>
          <w:bCs/>
        </w:rPr>
      </w:pPr>
      <w:r w:rsidRPr="004B751E">
        <w:rPr>
          <w:b/>
        </w:rPr>
        <w:t>1.2</w:t>
      </w:r>
      <w:r w:rsidR="00DE5952" w:rsidRPr="004B751E">
        <w:rPr>
          <w:b/>
        </w:rPr>
        <w:tab/>
      </w:r>
      <w:r w:rsidR="004B751E" w:rsidRPr="004B751E">
        <w:rPr>
          <w:b/>
          <w:bCs/>
        </w:rPr>
        <w:t>Background</w:t>
      </w:r>
    </w:p>
    <w:p w14:paraId="76EFCB66" w14:textId="7F1E95E7" w:rsidR="00DE5952" w:rsidRDefault="00DE5952" w:rsidP="00C4579C">
      <w:pPr>
        <w:jc w:val="both"/>
        <w:rPr>
          <w:b/>
          <w:u w:val="single"/>
        </w:rPr>
      </w:pPr>
    </w:p>
    <w:p w14:paraId="69C726E7" w14:textId="4F1C18C6" w:rsidR="001A642F" w:rsidRDefault="001A642F" w:rsidP="00C4579C">
      <w:pPr>
        <w:jc w:val="both"/>
      </w:pPr>
      <w:r w:rsidRPr="00064C88">
        <w:t>Blockhouse</w:t>
      </w:r>
      <w:r>
        <w:t xml:space="preserve"> is located at the end of the </w:t>
      </w:r>
      <w:proofErr w:type="spellStart"/>
      <w:r>
        <w:t>Haslar</w:t>
      </w:r>
      <w:proofErr w:type="spellEnd"/>
      <w:r>
        <w:t xml:space="preserve"> peninsula and has been in the defence ownership since the 1500’s.  Part of the site –</w:t>
      </w:r>
      <w:r w:rsidR="00ED656F">
        <w:t xml:space="preserve"> </w:t>
      </w:r>
      <w:r>
        <w:t>Blockhouse 1 – was scheduled for closure in 2016 and it is anticipated that it will be formally closed in 2025.</w:t>
      </w:r>
    </w:p>
    <w:p w14:paraId="182C5BDD" w14:textId="77777777" w:rsidR="001A642F" w:rsidRDefault="001A642F" w:rsidP="00C4579C">
      <w:pPr>
        <w:jc w:val="both"/>
      </w:pPr>
    </w:p>
    <w:p w14:paraId="78CCEEFE" w14:textId="1FD996FE" w:rsidR="001A642F" w:rsidRDefault="001A642F" w:rsidP="00C4579C">
      <w:pPr>
        <w:jc w:val="both"/>
      </w:pPr>
      <w:r>
        <w:t xml:space="preserve">As the landowner, the DIO has appointed a Project Team to </w:t>
      </w:r>
      <w:proofErr w:type="gramStart"/>
      <w:r>
        <w:t>advise</w:t>
      </w:r>
      <w:proofErr w:type="gramEnd"/>
      <w:r>
        <w:t xml:space="preserve"> on the disposal strategy associated with the site. This includes JLL (commercial and planning advisors); W</w:t>
      </w:r>
      <w:r w:rsidR="00274208">
        <w:t>SP</w:t>
      </w:r>
      <w:r>
        <w:t xml:space="preserve"> (technical and environmental advisors); PRP (</w:t>
      </w:r>
      <w:proofErr w:type="spellStart"/>
      <w:r>
        <w:t>masterplanners</w:t>
      </w:r>
      <w:proofErr w:type="spellEnd"/>
      <w:r>
        <w:t xml:space="preserve">); as well as a range of relevant expertise from within DIO and MOD.  </w:t>
      </w:r>
    </w:p>
    <w:p w14:paraId="68F991F0" w14:textId="77777777" w:rsidR="001A642F" w:rsidRDefault="001A642F" w:rsidP="00C4579C">
      <w:pPr>
        <w:jc w:val="both"/>
      </w:pPr>
    </w:p>
    <w:p w14:paraId="49609434" w14:textId="7EDF6003" w:rsidR="001A642F" w:rsidRDefault="001A642F" w:rsidP="00C4579C">
      <w:pPr>
        <w:jc w:val="both"/>
      </w:pPr>
      <w:r>
        <w:t>The Project Team is engaging with GBC (as Local Planning Authority (LPA)) in relation to the future plans of this site which includes actively participating in the Reg</w:t>
      </w:r>
      <w:r w:rsidR="005420AE">
        <w:t>ulation</w:t>
      </w:r>
      <w:r>
        <w:t xml:space="preserve"> 19 / Local Plan review. The emerging GBC Local Plan 2038 states that that the ‘</w:t>
      </w:r>
      <w:r w:rsidRPr="008523BC">
        <w:rPr>
          <w:i/>
          <w:iCs/>
        </w:rPr>
        <w:t xml:space="preserve">Gosport Waterfront and the </w:t>
      </w:r>
      <w:proofErr w:type="spellStart"/>
      <w:r w:rsidRPr="008523BC">
        <w:rPr>
          <w:i/>
          <w:iCs/>
        </w:rPr>
        <w:t>Haslar</w:t>
      </w:r>
      <w:proofErr w:type="spellEnd"/>
      <w:r w:rsidRPr="008523BC">
        <w:rPr>
          <w:i/>
          <w:iCs/>
        </w:rPr>
        <w:t xml:space="preserve"> Peninsula will aim to be world-class locale for marine industries and sailing and be redeveloped to provide new mixed-use neighbourhoods and marine employment’.</w:t>
      </w:r>
    </w:p>
    <w:p w14:paraId="19227DF0" w14:textId="77777777" w:rsidR="001A642F" w:rsidRDefault="001A642F" w:rsidP="00C4579C">
      <w:pPr>
        <w:jc w:val="both"/>
      </w:pPr>
    </w:p>
    <w:p w14:paraId="712908A2" w14:textId="0B6F23C6" w:rsidR="001A642F" w:rsidRDefault="001A642F" w:rsidP="00C4579C">
      <w:pPr>
        <w:jc w:val="both"/>
      </w:pPr>
      <w:r>
        <w:t xml:space="preserve">In parallel with this, JLL is advising the DIO on the disposal strategy.  This includes considering the potential mix of uses which </w:t>
      </w:r>
      <w:r w:rsidR="0017561C">
        <w:t>Blockhouse 1</w:t>
      </w:r>
      <w:r>
        <w:t xml:space="preserve"> could acco</w:t>
      </w:r>
      <w:r w:rsidR="005420AE">
        <w:t>mmodate</w:t>
      </w:r>
      <w:r w:rsidR="007324D2">
        <w:t xml:space="preserve">.  This work needs to be </w:t>
      </w:r>
      <w:r w:rsidR="005420AE">
        <w:t xml:space="preserve"> mindful of </w:t>
      </w:r>
      <w:r>
        <w:t>a number of challenges the site has (which includes Listed buildings such as the S</w:t>
      </w:r>
      <w:r w:rsidR="002F39F9">
        <w:t xml:space="preserve">ubmarine </w:t>
      </w:r>
      <w:r>
        <w:t>E</w:t>
      </w:r>
      <w:r w:rsidR="002F39F9">
        <w:t xml:space="preserve">scape </w:t>
      </w:r>
      <w:r>
        <w:t>T</w:t>
      </w:r>
      <w:r w:rsidR="002F39F9">
        <w:t xml:space="preserve">raining </w:t>
      </w:r>
      <w:r>
        <w:t>T</w:t>
      </w:r>
      <w:r w:rsidR="005B470B">
        <w:t>ower</w:t>
      </w:r>
      <w:r w:rsidR="002F39F9">
        <w:t xml:space="preserve"> (SETT)</w:t>
      </w:r>
      <w:r>
        <w:t xml:space="preserve"> and other heritage issues; sea wall; enduring operat</w:t>
      </w:r>
      <w:r w:rsidR="005420AE">
        <w:t>ional requirements; and access)</w:t>
      </w:r>
      <w:r w:rsidR="007324D2">
        <w:t xml:space="preserve"> as well as </w:t>
      </w:r>
      <w:r>
        <w:t>seeking to maximise the opportunities the s</w:t>
      </w:r>
      <w:r w:rsidR="005420AE">
        <w:t>ite offers (which include water</w:t>
      </w:r>
      <w:r>
        <w:t>front position and access</w:t>
      </w:r>
      <w:r w:rsidR="007324D2">
        <w:t>,</w:t>
      </w:r>
      <w:r>
        <w:t xml:space="preserve"> and heritage).</w:t>
      </w:r>
    </w:p>
    <w:p w14:paraId="11BB72AC" w14:textId="77777777" w:rsidR="001A642F" w:rsidRDefault="001A642F" w:rsidP="00C4579C">
      <w:pPr>
        <w:ind w:left="720"/>
        <w:jc w:val="both"/>
      </w:pPr>
    </w:p>
    <w:p w14:paraId="5788FA89" w14:textId="405A93CC" w:rsidR="001B0CFD" w:rsidRPr="001B0CFD" w:rsidRDefault="001B0CFD" w:rsidP="00C4579C">
      <w:pPr>
        <w:ind w:left="709" w:hanging="709"/>
        <w:jc w:val="both"/>
        <w:rPr>
          <w:b/>
          <w:bCs/>
        </w:rPr>
      </w:pPr>
      <w:r w:rsidRPr="001B0CFD">
        <w:rPr>
          <w:b/>
          <w:bCs/>
        </w:rPr>
        <w:t xml:space="preserve">1.3  </w:t>
      </w:r>
      <w:r>
        <w:rPr>
          <w:b/>
          <w:bCs/>
        </w:rPr>
        <w:t xml:space="preserve"> </w:t>
      </w:r>
      <w:r w:rsidRPr="001B0CFD">
        <w:rPr>
          <w:b/>
          <w:bCs/>
        </w:rPr>
        <w:t>Gosport context</w:t>
      </w:r>
    </w:p>
    <w:p w14:paraId="5C852A5B" w14:textId="002CF393" w:rsidR="001B0CFD" w:rsidRDefault="001B0CFD" w:rsidP="00C4579C">
      <w:pPr>
        <w:jc w:val="both"/>
      </w:pPr>
      <w:r>
        <w:t>Gosport is a large urban town located within the South Hampshire sub-region serving a population of over 84,000. Covering over 27.6 square kilometres (10.6 square miles or 2,761 hectares)</w:t>
      </w:r>
      <w:r>
        <w:rPr>
          <w:vertAlign w:val="superscript"/>
        </w:rPr>
        <w:footnoteReference w:id="1"/>
      </w:r>
      <w:r>
        <w:t>, Gosport Borough is the twelfth smallest district in England and the smallest in Hampshire. The Borough sits on a peninsula adjacent to Fareham Borough and is surrounded on three sides by the Solent and Portsmouth Harbour, with 39 kilometres (24 miles) of coastline.</w:t>
      </w:r>
    </w:p>
    <w:p w14:paraId="7BB6CA82" w14:textId="77777777" w:rsidR="001B0CFD" w:rsidRDefault="001B0CFD" w:rsidP="00C4579C">
      <w:pPr>
        <w:jc w:val="both"/>
        <w:rPr>
          <w:u w:val="single"/>
          <w:lang w:val="en-US"/>
        </w:rPr>
      </w:pPr>
    </w:p>
    <w:p w14:paraId="2E83DB2F" w14:textId="77777777" w:rsidR="001B0CFD" w:rsidRDefault="001B0CFD" w:rsidP="00C4579C">
      <w:pPr>
        <w:jc w:val="both"/>
      </w:pPr>
      <w:r>
        <w:t xml:space="preserve">There are two main settlements, Gosport and Lee-on-the-Solent, which are separated by the rural </w:t>
      </w:r>
      <w:proofErr w:type="spellStart"/>
      <w:r>
        <w:t>Alver</w:t>
      </w:r>
      <w:proofErr w:type="spellEnd"/>
      <w:r>
        <w:t xml:space="preserve"> Valley. The Borough is predominantly urban in character, with over 80% ‘built on’</w:t>
      </w:r>
      <w:r>
        <w:rPr>
          <w:vertAlign w:val="superscript"/>
        </w:rPr>
        <w:footnoteReference w:id="2"/>
      </w:r>
      <w:r>
        <w:t>. Space is at a premium so must be used effectively. Significant natural assets, a prime waterfront location, plus a large stock of vacant heritage buildings provide a strong platform for ‘economic ‘re-invention and repositioning’, allowing Gosport to ultimately make a much greater contribution towards both the regional and UK economy.</w:t>
      </w:r>
    </w:p>
    <w:p w14:paraId="137C5A97" w14:textId="77777777" w:rsidR="001B0CFD" w:rsidRDefault="001B0CFD" w:rsidP="00C4579C">
      <w:pPr>
        <w:jc w:val="both"/>
        <w:rPr>
          <w:u w:val="single"/>
          <w:lang w:val="en-US"/>
        </w:rPr>
      </w:pPr>
    </w:p>
    <w:p w14:paraId="24AC1565" w14:textId="77777777" w:rsidR="001B0CFD" w:rsidRDefault="001B0CFD" w:rsidP="00C4579C">
      <w:pPr>
        <w:jc w:val="both"/>
      </w:pPr>
      <w:r>
        <w:t xml:space="preserve">Spatial challenges arising from its peninsula location restrict Gosport’s efforts to diversify its economy or attract significant inward investment, driving a need to develop </w:t>
      </w:r>
      <w:r>
        <w:lastRenderedPageBreak/>
        <w:t>a bespoke and innovative approach towards future economic development. Social challenges and health issues, affect parts of the Borough.</w:t>
      </w:r>
    </w:p>
    <w:p w14:paraId="19466AA3" w14:textId="77777777" w:rsidR="001B0CFD" w:rsidRDefault="001B0CFD" w:rsidP="00C4579C">
      <w:pPr>
        <w:jc w:val="both"/>
      </w:pPr>
      <w:r>
        <w:t>Despite these challenges, Gosport benefits from a strong local community, a belief that it has an economic asset base capable of increased, sustainable exploitation, plus the support of national, regional and sub-regional partners encouraging and supporting the Borough to make the transition towards becoming a modern, forward-looking local economy.</w:t>
      </w:r>
    </w:p>
    <w:p w14:paraId="3D75BC2B" w14:textId="77777777" w:rsidR="001B0CFD" w:rsidRDefault="001B0CFD" w:rsidP="00C4579C">
      <w:pPr>
        <w:jc w:val="both"/>
        <w:rPr>
          <w:lang w:val="en-US"/>
        </w:rPr>
      </w:pPr>
    </w:p>
    <w:p w14:paraId="7DC465A3" w14:textId="7DA772BC" w:rsidR="001A642F" w:rsidRDefault="001A642F" w:rsidP="00C4579C">
      <w:pPr>
        <w:jc w:val="both"/>
        <w:rPr>
          <w:b/>
          <w:bCs/>
        </w:rPr>
      </w:pPr>
      <w:r>
        <w:rPr>
          <w:b/>
        </w:rPr>
        <w:t>1.</w:t>
      </w:r>
      <w:r w:rsidR="001B0CFD">
        <w:rPr>
          <w:b/>
        </w:rPr>
        <w:t>4</w:t>
      </w:r>
      <w:r w:rsidRPr="004B751E">
        <w:rPr>
          <w:b/>
        </w:rPr>
        <w:tab/>
      </w:r>
      <w:r>
        <w:rPr>
          <w:b/>
          <w:bCs/>
        </w:rPr>
        <w:t>Site description</w:t>
      </w:r>
    </w:p>
    <w:p w14:paraId="2283881B" w14:textId="1F97E86E" w:rsidR="001A642F" w:rsidRDefault="001A642F" w:rsidP="00C4579C">
      <w:pPr>
        <w:jc w:val="both"/>
        <w:rPr>
          <w:b/>
          <w:bCs/>
        </w:rPr>
      </w:pPr>
    </w:p>
    <w:p w14:paraId="2B77472F" w14:textId="77E3F909" w:rsidR="007350A5" w:rsidRDefault="007350A5" w:rsidP="00C4579C">
      <w:pPr>
        <w:jc w:val="both"/>
      </w:pPr>
      <w:r>
        <w:t xml:space="preserve">Blockhouse is located on the </w:t>
      </w:r>
      <w:proofErr w:type="spellStart"/>
      <w:r>
        <w:t>Haslar</w:t>
      </w:r>
      <w:proofErr w:type="spellEnd"/>
      <w:r>
        <w:t xml:space="preserve"> peninsula located in the south-east part of Gosport. Other neighbouring sites of note include the </w:t>
      </w:r>
      <w:proofErr w:type="spellStart"/>
      <w:r>
        <w:t>Haslar</w:t>
      </w:r>
      <w:proofErr w:type="spellEnd"/>
      <w:r>
        <w:t xml:space="preserve"> Hospital development and the former MOJ site which has recently been identified as an Immigration Centre. Other sites which may come forward in the future</w:t>
      </w:r>
      <w:r w:rsidR="0032602A">
        <w:t>,</w:t>
      </w:r>
      <w:r>
        <w:t xml:space="preserve"> include the Gunboat Sheds</w:t>
      </w:r>
      <w:r w:rsidR="0032602A">
        <w:t xml:space="preserve"> and Piggeries sites</w:t>
      </w:r>
      <w:r>
        <w:t xml:space="preserve">. </w:t>
      </w:r>
    </w:p>
    <w:p w14:paraId="0BFD9095" w14:textId="77777777" w:rsidR="007350A5" w:rsidRDefault="007350A5" w:rsidP="00C4579C">
      <w:pPr>
        <w:jc w:val="both"/>
      </w:pPr>
    </w:p>
    <w:p w14:paraId="78C26830" w14:textId="300238CA" w:rsidR="001A642F" w:rsidRDefault="0017561C" w:rsidP="00C4579C">
      <w:pPr>
        <w:jc w:val="both"/>
      </w:pPr>
      <w:r>
        <w:t>Blockhouse</w:t>
      </w:r>
      <w:r w:rsidR="001A642F">
        <w:t xml:space="preserve"> is located, approximately a 10 minute walk from Gosport town centre</w:t>
      </w:r>
      <w:r w:rsidR="00793DF4">
        <w:t xml:space="preserve"> via </w:t>
      </w:r>
      <w:proofErr w:type="spellStart"/>
      <w:r w:rsidR="00940E5C">
        <w:t>Haslar</w:t>
      </w:r>
      <w:proofErr w:type="spellEnd"/>
      <w:r w:rsidR="00940E5C">
        <w:t xml:space="preserve"> Road / </w:t>
      </w:r>
      <w:proofErr w:type="spellStart"/>
      <w:r w:rsidR="00793DF4">
        <w:t>Haslar</w:t>
      </w:r>
      <w:proofErr w:type="spellEnd"/>
      <w:r w:rsidR="00793DF4">
        <w:t xml:space="preserve"> Bridge</w:t>
      </w:r>
      <w:r w:rsidR="001A642F">
        <w:t xml:space="preserve">.  The most convenient access to Portsmouth is via passenger ferry.  The site is bound by </w:t>
      </w:r>
      <w:proofErr w:type="spellStart"/>
      <w:r w:rsidR="001A642F">
        <w:t>Haslar</w:t>
      </w:r>
      <w:proofErr w:type="spellEnd"/>
      <w:r w:rsidR="001A642F">
        <w:t xml:space="preserve"> Lake and Portsmouth Harbour to the north and east. The Solent is located to the south and the building associated with the former Royal </w:t>
      </w:r>
      <w:proofErr w:type="spellStart"/>
      <w:r w:rsidR="001A642F">
        <w:t>Haslar</w:t>
      </w:r>
      <w:proofErr w:type="spellEnd"/>
      <w:r w:rsidR="001A642F">
        <w:t xml:space="preserve"> Hospital is to the west. </w:t>
      </w:r>
    </w:p>
    <w:p w14:paraId="5523E196" w14:textId="77777777" w:rsidR="001A642F" w:rsidRDefault="001A642F" w:rsidP="00C4579C">
      <w:pPr>
        <w:jc w:val="both"/>
      </w:pPr>
      <w:r>
        <w:t xml:space="preserve"> </w:t>
      </w:r>
    </w:p>
    <w:p w14:paraId="5C9223E9" w14:textId="0DF90DFD" w:rsidR="001A642F" w:rsidRDefault="001A642F" w:rsidP="00C4579C">
      <w:pPr>
        <w:jc w:val="both"/>
      </w:pPr>
      <w:r>
        <w:t>Blockhouse comprises one site but is split into three distinct land parcels.  These are known as Blockhouse 1, 2 and 3 (</w:t>
      </w:r>
      <w:r w:rsidRPr="007324D2">
        <w:t>Appendix 1).</w:t>
      </w:r>
      <w:r>
        <w:t xml:space="preserve">  Further description of the three parcels is as follows:</w:t>
      </w:r>
    </w:p>
    <w:p w14:paraId="6D789B7A" w14:textId="77777777" w:rsidR="001A642F" w:rsidRDefault="001A642F" w:rsidP="00C4579C">
      <w:pPr>
        <w:jc w:val="both"/>
      </w:pPr>
    </w:p>
    <w:p w14:paraId="46F17E7F" w14:textId="3D6A95B4" w:rsidR="001A642F" w:rsidRDefault="00ED656F" w:rsidP="00C4579C">
      <w:pPr>
        <w:pStyle w:val="ListParagraph"/>
        <w:numPr>
          <w:ilvl w:val="0"/>
          <w:numId w:val="9"/>
        </w:numPr>
        <w:contextualSpacing w:val="0"/>
        <w:jc w:val="both"/>
      </w:pPr>
      <w:r>
        <w:rPr>
          <w:b/>
          <w:bCs/>
        </w:rPr>
        <w:t>Blockhouse 1</w:t>
      </w:r>
      <w:r w:rsidR="001A642F" w:rsidRPr="00064C88">
        <w:rPr>
          <w:b/>
          <w:bCs/>
        </w:rPr>
        <w:t>.</w:t>
      </w:r>
      <w:r w:rsidR="001A642F">
        <w:t xml:space="preserve">  Formerly known as HMS Dolphin, this part of the site is not currently in substantial use.   It previously accommodated a former training facility which was then reused more recently to support a Field Hospital base.  A proportion of the buildings are in poor condition, many of which are redundant.  This part of the site al</w:t>
      </w:r>
      <w:r w:rsidR="0032602A">
        <w:t>so accommodates several Listed B</w:t>
      </w:r>
      <w:r w:rsidR="001A642F">
        <w:t>uildings</w:t>
      </w:r>
      <w:r w:rsidR="00A63BBC">
        <w:t>.</w:t>
      </w:r>
    </w:p>
    <w:p w14:paraId="398EAC9F" w14:textId="77777777" w:rsidR="001A642F" w:rsidRDefault="001A642F" w:rsidP="00C4579C">
      <w:pPr>
        <w:pStyle w:val="ListParagraph"/>
        <w:jc w:val="both"/>
      </w:pPr>
    </w:p>
    <w:p w14:paraId="31812B7A" w14:textId="742C3A4B" w:rsidR="001A642F" w:rsidRDefault="00ED656F" w:rsidP="00C4579C">
      <w:pPr>
        <w:pStyle w:val="ListParagraph"/>
        <w:numPr>
          <w:ilvl w:val="0"/>
          <w:numId w:val="9"/>
        </w:numPr>
        <w:contextualSpacing w:val="0"/>
        <w:jc w:val="both"/>
      </w:pPr>
      <w:r>
        <w:rPr>
          <w:b/>
          <w:bCs/>
        </w:rPr>
        <w:t>Blockhouse 2</w:t>
      </w:r>
      <w:r w:rsidR="001A642F" w:rsidRPr="00064C88">
        <w:rPr>
          <w:b/>
          <w:bCs/>
        </w:rPr>
        <w:t>.</w:t>
      </w:r>
      <w:r w:rsidR="001A642F">
        <w:t xml:space="preserve">  This site is currently occupied by the Army as well as accommodating the Submarine Museum, the Hornet Sailing Club and the Joint Services Adventurous Sailing Training Centre (JSASTC). </w:t>
      </w:r>
    </w:p>
    <w:p w14:paraId="436DA762" w14:textId="77777777" w:rsidR="001A642F" w:rsidRDefault="001A642F" w:rsidP="00C4579C">
      <w:pPr>
        <w:jc w:val="both"/>
      </w:pPr>
    </w:p>
    <w:p w14:paraId="60BB400E" w14:textId="54813288" w:rsidR="001A642F" w:rsidRPr="00A63BBC" w:rsidRDefault="00ED656F" w:rsidP="00C4579C">
      <w:pPr>
        <w:pStyle w:val="ListParagraph"/>
        <w:numPr>
          <w:ilvl w:val="0"/>
          <w:numId w:val="9"/>
        </w:numPr>
        <w:contextualSpacing w:val="0"/>
        <w:jc w:val="both"/>
        <w:rPr>
          <w:b/>
          <w:bCs/>
        </w:rPr>
      </w:pPr>
      <w:r>
        <w:rPr>
          <w:b/>
          <w:bCs/>
        </w:rPr>
        <w:t>Blockhouse 3</w:t>
      </w:r>
      <w:r w:rsidR="001A642F" w:rsidRPr="00064C88">
        <w:rPr>
          <w:b/>
          <w:bCs/>
        </w:rPr>
        <w:t>.</w:t>
      </w:r>
      <w:r w:rsidR="001A642F">
        <w:t xml:space="preserve">  This site is currently occupied by the Army and located on the northern side of </w:t>
      </w:r>
      <w:proofErr w:type="spellStart"/>
      <w:r w:rsidR="001A642F">
        <w:t>Haslar</w:t>
      </w:r>
      <w:proofErr w:type="spellEnd"/>
      <w:r w:rsidR="001A642F">
        <w:t xml:space="preserve"> Road. The site is used to store JSASTC and Hornet Sailing Club yachts and is home to the Gosport Sea Cadets. </w:t>
      </w:r>
    </w:p>
    <w:p w14:paraId="49BA4158" w14:textId="77777777" w:rsidR="00A63BBC" w:rsidRPr="00A63BBC" w:rsidRDefault="00A63BBC" w:rsidP="00C4579C">
      <w:pPr>
        <w:pStyle w:val="ListParagraph"/>
        <w:jc w:val="both"/>
        <w:rPr>
          <w:b/>
          <w:bCs/>
        </w:rPr>
      </w:pPr>
    </w:p>
    <w:p w14:paraId="67E4E5E7" w14:textId="77777777" w:rsidR="00A63BBC" w:rsidRDefault="00A63BBC" w:rsidP="00C4579C">
      <w:pPr>
        <w:ind w:left="360"/>
        <w:jc w:val="both"/>
      </w:pPr>
      <w:r>
        <w:t xml:space="preserve">All three parcels benefit from access to the water.   </w:t>
      </w:r>
    </w:p>
    <w:p w14:paraId="5354C78D" w14:textId="77777777" w:rsidR="00A63BBC" w:rsidRDefault="00A63BBC" w:rsidP="00C4579C">
      <w:pPr>
        <w:ind w:left="360"/>
        <w:jc w:val="both"/>
      </w:pPr>
    </w:p>
    <w:p w14:paraId="767856FE" w14:textId="431F2511" w:rsidR="00A63BBC" w:rsidRDefault="00A63BBC" w:rsidP="00C4579C">
      <w:pPr>
        <w:pStyle w:val="ListParagraph"/>
        <w:numPr>
          <w:ilvl w:val="1"/>
          <w:numId w:val="10"/>
        </w:numPr>
        <w:ind w:left="720"/>
        <w:contextualSpacing w:val="0"/>
        <w:jc w:val="both"/>
      </w:pPr>
      <w:r>
        <w:rPr>
          <w:b/>
          <w:bCs/>
        </w:rPr>
        <w:t>Blockhouse 1</w:t>
      </w:r>
      <w:r>
        <w:t xml:space="preserve"> – This parcel benefits from five existing jetties.  These are </w:t>
      </w:r>
      <w:proofErr w:type="spellStart"/>
      <w:r>
        <w:t>Pierhead</w:t>
      </w:r>
      <w:proofErr w:type="spellEnd"/>
      <w:r>
        <w:t xml:space="preserve">, Trot 1, 2 and 3; and Petrol Pier. None of the jetties are currently in active use. It is anticipated they will be subject to condition surveys (which will likely include underwater assessments) as part of the ongoing Site Closure works. </w:t>
      </w:r>
    </w:p>
    <w:p w14:paraId="01AE4843" w14:textId="77777777" w:rsidR="00A63BBC" w:rsidRDefault="00A63BBC" w:rsidP="00C4579C">
      <w:pPr>
        <w:jc w:val="both"/>
      </w:pPr>
      <w:r>
        <w:t xml:space="preserve"> </w:t>
      </w:r>
    </w:p>
    <w:p w14:paraId="1616DABB" w14:textId="50EE8832" w:rsidR="00A63BBC" w:rsidRDefault="00A63BBC" w:rsidP="00C4579C">
      <w:pPr>
        <w:pStyle w:val="ListParagraph"/>
        <w:numPr>
          <w:ilvl w:val="0"/>
          <w:numId w:val="10"/>
        </w:numPr>
        <w:contextualSpacing w:val="0"/>
        <w:jc w:val="both"/>
      </w:pPr>
      <w:r>
        <w:rPr>
          <w:b/>
          <w:bCs/>
        </w:rPr>
        <w:lastRenderedPageBreak/>
        <w:t>Blockhouse 2</w:t>
      </w:r>
      <w:r>
        <w:t xml:space="preserve"> – This parcel benefits from a number of small jetties and pontoons which are the responsibility of the various occupational interests related to marine leisure users.</w:t>
      </w:r>
    </w:p>
    <w:p w14:paraId="05D1E7BE" w14:textId="77777777" w:rsidR="00A63BBC" w:rsidRDefault="00A63BBC" w:rsidP="00C4579C">
      <w:pPr>
        <w:pStyle w:val="ListParagraph"/>
        <w:jc w:val="both"/>
      </w:pPr>
    </w:p>
    <w:p w14:paraId="60B42A28" w14:textId="4EE5FD28" w:rsidR="00A63BBC" w:rsidRDefault="00A63BBC" w:rsidP="00C4579C">
      <w:pPr>
        <w:pStyle w:val="ListParagraph"/>
        <w:numPr>
          <w:ilvl w:val="0"/>
          <w:numId w:val="10"/>
        </w:numPr>
        <w:contextualSpacing w:val="0"/>
        <w:jc w:val="both"/>
      </w:pPr>
      <w:r>
        <w:rPr>
          <w:b/>
          <w:bCs/>
        </w:rPr>
        <w:t>Blockhouse 3</w:t>
      </w:r>
      <w:r>
        <w:t xml:space="preserve"> – This parcel benefits from a slipway which provides direct access to </w:t>
      </w:r>
      <w:proofErr w:type="spellStart"/>
      <w:r>
        <w:t>Haslar</w:t>
      </w:r>
      <w:proofErr w:type="spellEnd"/>
      <w:r>
        <w:t xml:space="preserve"> Marina. </w:t>
      </w:r>
    </w:p>
    <w:p w14:paraId="7AC21AF7" w14:textId="77777777" w:rsidR="00A63BBC" w:rsidRDefault="00A63BBC" w:rsidP="00C4579C">
      <w:pPr>
        <w:ind w:left="360"/>
        <w:jc w:val="both"/>
      </w:pPr>
    </w:p>
    <w:p w14:paraId="03917F27" w14:textId="2D83696F" w:rsidR="00A63BBC" w:rsidRDefault="00A63BBC" w:rsidP="00C4579C">
      <w:pPr>
        <w:ind w:left="360"/>
        <w:jc w:val="both"/>
      </w:pPr>
      <w:r>
        <w:t>The response to this brief should consider all three parcels i.e. Blockhouse 1, 2 and 3.</w:t>
      </w:r>
    </w:p>
    <w:p w14:paraId="25709B8C" w14:textId="77777777" w:rsidR="004C584A" w:rsidRDefault="004C584A" w:rsidP="00C4579C">
      <w:pPr>
        <w:ind w:left="360"/>
        <w:jc w:val="both"/>
      </w:pPr>
    </w:p>
    <w:p w14:paraId="1F46CA78" w14:textId="46DBB34C" w:rsidR="00CA4C85" w:rsidRPr="00780A9C" w:rsidRDefault="00780A9C" w:rsidP="00C4579C">
      <w:pPr>
        <w:pStyle w:val="Default"/>
        <w:jc w:val="both"/>
        <w:rPr>
          <w:b/>
        </w:rPr>
      </w:pPr>
      <w:r w:rsidRPr="00780A9C">
        <w:rPr>
          <w:b/>
        </w:rPr>
        <w:t>1.</w:t>
      </w:r>
      <w:r w:rsidR="001B0CFD">
        <w:rPr>
          <w:b/>
        </w:rPr>
        <w:t>5</w:t>
      </w:r>
      <w:r w:rsidRPr="00780A9C">
        <w:rPr>
          <w:b/>
        </w:rPr>
        <w:t xml:space="preserve"> National and Local Policy</w:t>
      </w:r>
    </w:p>
    <w:p w14:paraId="17B45814" w14:textId="2E80FB6F" w:rsidR="00780A9C" w:rsidRDefault="00780A9C" w:rsidP="00C4579C">
      <w:pPr>
        <w:pStyle w:val="Default"/>
        <w:jc w:val="both"/>
      </w:pPr>
    </w:p>
    <w:p w14:paraId="253A9D4E" w14:textId="093E5781" w:rsidR="00780A9C" w:rsidRDefault="00780A9C" w:rsidP="00C4579C">
      <w:pPr>
        <w:pStyle w:val="Default"/>
        <w:jc w:val="both"/>
        <w:rPr>
          <w:lang w:val="en-US"/>
        </w:rPr>
      </w:pPr>
      <w:r>
        <w:t xml:space="preserve">It will be necessary to consider national and local policy when </w:t>
      </w:r>
      <w:r w:rsidR="00A63BBC">
        <w:t>undertaking this study</w:t>
      </w:r>
      <w:r w:rsidR="00A608ED">
        <w:t>.</w:t>
      </w:r>
      <w:r w:rsidR="00A63BBC">
        <w:t xml:space="preserve"> This includes national guidance included in the </w:t>
      </w:r>
      <w:r w:rsidR="00A63BBC">
        <w:rPr>
          <w:lang w:val="en-US"/>
        </w:rPr>
        <w:t xml:space="preserve">NPPF (July 2021) and associated Planning Practice Guidance (PPG), various Hampshire County Council (the local highway authority) transport planning documents </w:t>
      </w:r>
      <w:r w:rsidR="008158BA">
        <w:rPr>
          <w:lang w:val="en-US"/>
        </w:rPr>
        <w:t>including</w:t>
      </w:r>
      <w:r w:rsidR="002F39F9">
        <w:rPr>
          <w:lang w:val="en-US"/>
        </w:rPr>
        <w:t xml:space="preserve"> </w:t>
      </w:r>
      <w:r w:rsidR="005B470B">
        <w:rPr>
          <w:lang w:val="en-US"/>
        </w:rPr>
        <w:t xml:space="preserve">the </w:t>
      </w:r>
      <w:r w:rsidR="002F39F9">
        <w:rPr>
          <w:lang w:val="en-US"/>
        </w:rPr>
        <w:t xml:space="preserve">emerging Local Transport Plan (LTP4) </w:t>
      </w:r>
      <w:r w:rsidR="00A63BBC">
        <w:rPr>
          <w:lang w:val="en-US"/>
        </w:rPr>
        <w:t>and Gosport Borough Council’s adopted and emerging Local Plans.  An overview of these documents are contained in Appendix 2.</w:t>
      </w:r>
    </w:p>
    <w:p w14:paraId="0E3A579D" w14:textId="3336028A" w:rsidR="00015F67" w:rsidRDefault="00015F67" w:rsidP="00C4579C">
      <w:pPr>
        <w:pStyle w:val="Default"/>
        <w:jc w:val="both"/>
        <w:rPr>
          <w:lang w:val="en-US"/>
        </w:rPr>
      </w:pPr>
    </w:p>
    <w:p w14:paraId="07A6E9BC" w14:textId="56DCD649" w:rsidR="00015F67" w:rsidRDefault="00DD702A" w:rsidP="00C4579C">
      <w:pPr>
        <w:jc w:val="both"/>
        <w:rPr>
          <w:b/>
          <w:bCs/>
        </w:rPr>
      </w:pPr>
      <w:r>
        <w:rPr>
          <w:b/>
          <w:bCs/>
        </w:rPr>
        <w:t>1.6</w:t>
      </w:r>
      <w:r w:rsidR="00015F67">
        <w:rPr>
          <w:b/>
          <w:bCs/>
        </w:rPr>
        <w:t xml:space="preserve"> Key drivers for encouraging modal shift </w:t>
      </w:r>
    </w:p>
    <w:p w14:paraId="29618E84" w14:textId="77777777" w:rsidR="00015F67" w:rsidRDefault="00015F67" w:rsidP="00C4579C">
      <w:pPr>
        <w:jc w:val="both"/>
      </w:pPr>
    </w:p>
    <w:p w14:paraId="1EA520CB" w14:textId="7257D44D" w:rsidR="00015F67" w:rsidRDefault="00015F67" w:rsidP="00C4579C">
      <w:pPr>
        <w:jc w:val="both"/>
      </w:pPr>
      <w:r>
        <w:t xml:space="preserve">There are a number of key considerations behind the Council’s aim of encouraging more journeys to be made by sustainable travel modes other than the private car. </w:t>
      </w:r>
      <w:r w:rsidR="004C584A">
        <w:t xml:space="preserve"> For this particular study the Blockhouse site has significant accessibility constraints relating to the signalled single carriageway over </w:t>
      </w:r>
      <w:proofErr w:type="spellStart"/>
      <w:r w:rsidR="004C584A">
        <w:t>Haslar</w:t>
      </w:r>
      <w:proofErr w:type="spellEnd"/>
      <w:r w:rsidR="004C584A">
        <w:t xml:space="preserve"> Bridge which connects the </w:t>
      </w:r>
      <w:proofErr w:type="spellStart"/>
      <w:r w:rsidR="004C584A">
        <w:t>Haslar</w:t>
      </w:r>
      <w:proofErr w:type="spellEnd"/>
      <w:r w:rsidR="004C584A">
        <w:t xml:space="preserve"> Peninsula with the Town Centre as well as limitations on the road network to the west along Fort Road and </w:t>
      </w:r>
      <w:proofErr w:type="spellStart"/>
      <w:r w:rsidR="004C584A">
        <w:t>Clayhall</w:t>
      </w:r>
      <w:proofErr w:type="spellEnd"/>
      <w:r w:rsidR="004C584A">
        <w:t xml:space="preserve"> Road. Consequently the Council together with the DIO and HCC would like to explore option</w:t>
      </w:r>
      <w:r w:rsidR="00897B6B">
        <w:t>s</w:t>
      </w:r>
      <w:r w:rsidR="004C584A">
        <w:t xml:space="preserve"> at an early stage.  Potential measures could therefore deliver a number of benefits including</w:t>
      </w:r>
      <w:r>
        <w:t xml:space="preserve">: </w:t>
      </w:r>
    </w:p>
    <w:p w14:paraId="3FE7C01F" w14:textId="77777777" w:rsidR="00015F67" w:rsidRDefault="00015F67" w:rsidP="00C4579C">
      <w:pPr>
        <w:jc w:val="both"/>
      </w:pPr>
    </w:p>
    <w:p w14:paraId="38C23DD4" w14:textId="77777777" w:rsidR="00015F67" w:rsidRDefault="00015F67" w:rsidP="00C4579C">
      <w:pPr>
        <w:jc w:val="both"/>
      </w:pPr>
      <w:r>
        <w:rPr>
          <w:i/>
        </w:rPr>
        <w:t>Improving accessibility and connectivity</w:t>
      </w:r>
      <w:r>
        <w:t xml:space="preserve">:- </w:t>
      </w:r>
    </w:p>
    <w:p w14:paraId="0ECABC52" w14:textId="77777777" w:rsidR="00015F67" w:rsidRDefault="00015F67" w:rsidP="00C4579C">
      <w:pPr>
        <w:jc w:val="both"/>
      </w:pPr>
    </w:p>
    <w:p w14:paraId="12A74226" w14:textId="77777777" w:rsidR="00015F67" w:rsidRDefault="00015F67" w:rsidP="00C4579C">
      <w:pPr>
        <w:jc w:val="both"/>
      </w:pPr>
      <w:r>
        <w:t>Facilitating modal shift to cycling, walking and public transport could provide greater levels of connectivity between communities and areas of economic activity and could open up parts of the Borough by making them more accessible to all (e.g. the Gosport Waterfront).</w:t>
      </w:r>
    </w:p>
    <w:p w14:paraId="35A173A9" w14:textId="77777777" w:rsidR="00015F67" w:rsidRDefault="00015F67" w:rsidP="00C4579C">
      <w:pPr>
        <w:jc w:val="both"/>
      </w:pPr>
    </w:p>
    <w:p w14:paraId="5E318F28" w14:textId="77777777" w:rsidR="00015F67" w:rsidRDefault="00015F67" w:rsidP="00C4579C">
      <w:pPr>
        <w:jc w:val="both"/>
      </w:pPr>
      <w:r>
        <w:rPr>
          <w:i/>
        </w:rPr>
        <w:t>Sustainability benefits</w:t>
      </w:r>
      <w:r>
        <w:t xml:space="preserve">:- </w:t>
      </w:r>
    </w:p>
    <w:p w14:paraId="2E4DE4D9" w14:textId="77777777" w:rsidR="00015F67" w:rsidRDefault="00015F67" w:rsidP="00C4579C">
      <w:pPr>
        <w:jc w:val="both"/>
      </w:pPr>
    </w:p>
    <w:p w14:paraId="7D512136" w14:textId="77777777" w:rsidR="00015F67" w:rsidRDefault="00015F67" w:rsidP="00C4579C">
      <w:pPr>
        <w:jc w:val="both"/>
      </w:pPr>
      <w:r>
        <w:t>Reducing the number of journeys made by car would contribute to reducing CO</w:t>
      </w:r>
      <w:r>
        <w:rPr>
          <w:vertAlign w:val="subscript"/>
        </w:rPr>
        <w:t>2</w:t>
      </w:r>
      <w:r>
        <w:t xml:space="preserve"> levels and consequent impacts on the environment, such as climate change. </w:t>
      </w:r>
    </w:p>
    <w:p w14:paraId="2C74004A" w14:textId="77777777" w:rsidR="00015F67" w:rsidRDefault="00015F67" w:rsidP="00C4579C">
      <w:pPr>
        <w:jc w:val="both"/>
      </w:pPr>
    </w:p>
    <w:p w14:paraId="793BF178" w14:textId="77777777" w:rsidR="00015F67" w:rsidRDefault="00015F67" w:rsidP="00C4579C">
      <w:pPr>
        <w:jc w:val="both"/>
        <w:rPr>
          <w:i/>
        </w:rPr>
      </w:pPr>
      <w:r>
        <w:rPr>
          <w:i/>
        </w:rPr>
        <w:t xml:space="preserve">Air quality benefits:- </w:t>
      </w:r>
    </w:p>
    <w:p w14:paraId="0BAB7997" w14:textId="77777777" w:rsidR="00015F67" w:rsidRDefault="00015F67" w:rsidP="00C4579C">
      <w:pPr>
        <w:jc w:val="both"/>
        <w:rPr>
          <w:i/>
        </w:rPr>
      </w:pPr>
    </w:p>
    <w:p w14:paraId="4C644609" w14:textId="77777777" w:rsidR="00015F67" w:rsidRDefault="00015F67" w:rsidP="00C4579C">
      <w:pPr>
        <w:jc w:val="both"/>
      </w:pPr>
      <w:r>
        <w:t xml:space="preserve">Air pollution has been described as the second-biggest public health threat after smoking. Car exhaust gases can include Carbon Monoxide (CO), Nitrogen Oxide and Nitrogen Dioxide (NOx), Particulate Matter (PM) and Hydrocarbons (HC). Whilst dirty air does not directly kill people, it is estimated in the UK to contribute to the shortening of the lives of around 40,000 people a year, principally by undermining the health of </w:t>
      </w:r>
      <w:r>
        <w:lastRenderedPageBreak/>
        <w:t>people with heart or lung problems. It also compromises the health of people suffering from ailments like asthma and hay fever.</w:t>
      </w:r>
    </w:p>
    <w:p w14:paraId="3DDF993E" w14:textId="77777777" w:rsidR="00015F67" w:rsidRDefault="00015F67" w:rsidP="00C4579C">
      <w:pPr>
        <w:jc w:val="both"/>
      </w:pPr>
    </w:p>
    <w:p w14:paraId="4606AE6C" w14:textId="0AE758B6" w:rsidR="00015F67" w:rsidRDefault="00015F67" w:rsidP="00C4579C">
      <w:pPr>
        <w:jc w:val="both"/>
      </w:pPr>
      <w:r>
        <w:t xml:space="preserve">It is acknowledged that this may change over time, with the introduction and growth in more hybrid and wholly-electric vehicles that do not have the same polluting impacts at location of use. </w:t>
      </w:r>
    </w:p>
    <w:p w14:paraId="6842E574" w14:textId="77777777" w:rsidR="00940E5C" w:rsidRDefault="00940E5C" w:rsidP="00C4579C">
      <w:pPr>
        <w:jc w:val="both"/>
      </w:pPr>
    </w:p>
    <w:p w14:paraId="5FB1BC82" w14:textId="707593CA" w:rsidR="004C584A" w:rsidRDefault="004C584A" w:rsidP="00C4579C">
      <w:pPr>
        <w:jc w:val="both"/>
      </w:pPr>
      <w:r>
        <w:t>There are potential concerns that queued</w:t>
      </w:r>
      <w:r w:rsidR="00940E5C">
        <w:t xml:space="preserve"> / idling</w:t>
      </w:r>
      <w:r>
        <w:t xml:space="preserve"> </w:t>
      </w:r>
      <w:r w:rsidR="00940E5C">
        <w:t>vehicles</w:t>
      </w:r>
      <w:r>
        <w:t xml:space="preserve"> at the </w:t>
      </w:r>
      <w:proofErr w:type="spellStart"/>
      <w:r>
        <w:t>Haslar</w:t>
      </w:r>
      <w:proofErr w:type="spellEnd"/>
      <w:r>
        <w:t xml:space="preserve"> Bridge traffic lights could </w:t>
      </w:r>
      <w:r w:rsidR="005B470B">
        <w:t xml:space="preserve">also have the potential to cause localised air quality issues and therefore an additional reason that it is imperative </w:t>
      </w:r>
      <w:r w:rsidR="00897B6B">
        <w:t>to consider mo</w:t>
      </w:r>
      <w:r>
        <w:t>dal shift options.</w:t>
      </w:r>
    </w:p>
    <w:p w14:paraId="095E4958" w14:textId="77777777" w:rsidR="00015F67" w:rsidRDefault="00015F67" w:rsidP="00C4579C">
      <w:pPr>
        <w:jc w:val="both"/>
      </w:pPr>
    </w:p>
    <w:p w14:paraId="01305BDC" w14:textId="77777777" w:rsidR="00015F67" w:rsidRDefault="00015F67" w:rsidP="00C4579C">
      <w:pPr>
        <w:jc w:val="both"/>
      </w:pPr>
      <w:r>
        <w:rPr>
          <w:i/>
        </w:rPr>
        <w:t>Health benefits</w:t>
      </w:r>
      <w:r>
        <w:t xml:space="preserve">:- </w:t>
      </w:r>
    </w:p>
    <w:p w14:paraId="3740C4D0" w14:textId="77777777" w:rsidR="00015F67" w:rsidRDefault="00015F67" w:rsidP="00C4579C">
      <w:pPr>
        <w:jc w:val="both"/>
      </w:pPr>
    </w:p>
    <w:p w14:paraId="4ACB3AC0" w14:textId="77777777" w:rsidR="00015F67" w:rsidRDefault="00015F67" w:rsidP="00C4579C">
      <w:pPr>
        <w:jc w:val="both"/>
      </w:pPr>
      <w:r>
        <w:t xml:space="preserve">Both from reduced air pollution (see above) and from encouraging greater levels of exercise (e.g. walking, cycling, and even walking to the bus stop). </w:t>
      </w:r>
    </w:p>
    <w:p w14:paraId="7199BF39" w14:textId="77777777" w:rsidR="00015F67" w:rsidRDefault="00015F67" w:rsidP="00C4579C">
      <w:pPr>
        <w:jc w:val="both"/>
      </w:pPr>
    </w:p>
    <w:p w14:paraId="3249E7FE" w14:textId="77777777" w:rsidR="00015F67" w:rsidRDefault="00015F67" w:rsidP="00C4579C">
      <w:pPr>
        <w:jc w:val="both"/>
      </w:pPr>
      <w:r>
        <w:rPr>
          <w:i/>
        </w:rPr>
        <w:t>Reducing congestion</w:t>
      </w:r>
      <w:r>
        <w:t>:-</w:t>
      </w:r>
    </w:p>
    <w:p w14:paraId="5855BF88" w14:textId="77777777" w:rsidR="00015F67" w:rsidRDefault="00015F67" w:rsidP="00C4579C">
      <w:pPr>
        <w:jc w:val="both"/>
      </w:pPr>
    </w:p>
    <w:p w14:paraId="6CA1B073" w14:textId="49540CD5" w:rsidR="00015F67" w:rsidRDefault="00015F67" w:rsidP="00C4579C">
      <w:pPr>
        <w:jc w:val="both"/>
      </w:pPr>
      <w:r>
        <w:t>Encouraging a greater proportion of journeys to be made by other travel modes, especially via public transport, could make a meaningful contribution towards reducing congestion levels in the town, particularly at peak times. There is currently very limited, if any, capacity within Gosport’s main road network. Traffic congestion is most acute on the A32</w:t>
      </w:r>
      <w:r w:rsidR="00793DF4">
        <w:t>,</w:t>
      </w:r>
      <w:r>
        <w:t xml:space="preserve"> the main route between Gosport Town Centre and Fareham. This means that it is difficult to support further growth and development without suitable mitigation, in the form of enhanced modal shift measures, being delivered to assist in freeing up some of this capacity.</w:t>
      </w:r>
    </w:p>
    <w:p w14:paraId="11FB2923" w14:textId="77777777" w:rsidR="00015F67" w:rsidRDefault="00015F67" w:rsidP="00C4579C">
      <w:pPr>
        <w:jc w:val="both"/>
      </w:pPr>
    </w:p>
    <w:p w14:paraId="6B65D2D8" w14:textId="77777777" w:rsidR="00015F67" w:rsidRDefault="00015F67" w:rsidP="00C4579C">
      <w:pPr>
        <w:jc w:val="both"/>
      </w:pPr>
      <w:r>
        <w:rPr>
          <w:i/>
        </w:rPr>
        <w:t>Social benefits</w:t>
      </w:r>
      <w:r>
        <w:t xml:space="preserve">:- </w:t>
      </w:r>
    </w:p>
    <w:p w14:paraId="3C568BF9" w14:textId="77777777" w:rsidR="00015F67" w:rsidRDefault="00015F67" w:rsidP="00C4579C">
      <w:pPr>
        <w:jc w:val="both"/>
      </w:pPr>
    </w:p>
    <w:p w14:paraId="5F44B1B0" w14:textId="77777777" w:rsidR="00015F67" w:rsidRDefault="00015F67" w:rsidP="00C4579C">
      <w:pPr>
        <w:jc w:val="both"/>
      </w:pPr>
      <w:r>
        <w:t>Whilst Gosport’s demographic means that car ownership levels in the Borough are relatively high – like most of Southern England - the cost of owning and running a car (insurance, tax, rising fuel prices, etc.) means that this option is out of reach for some residents. Local plan evidence also suggests that Gosport’s demographics are changing towards an older population overall with a potentially less mobile population. It is therefore important that other realistic modes of travel, such as good and reliable public transport are available.</w:t>
      </w:r>
    </w:p>
    <w:p w14:paraId="69618BCB" w14:textId="77777777" w:rsidR="00015F67" w:rsidRDefault="00015F67" w:rsidP="00C4579C">
      <w:pPr>
        <w:jc w:val="both"/>
      </w:pPr>
    </w:p>
    <w:p w14:paraId="5E3CE94C" w14:textId="77777777" w:rsidR="00015F67" w:rsidRDefault="00015F67" w:rsidP="00C4579C">
      <w:pPr>
        <w:jc w:val="both"/>
      </w:pPr>
    </w:p>
    <w:p w14:paraId="61CF00CB" w14:textId="77777777" w:rsidR="00015F67" w:rsidRDefault="00015F67" w:rsidP="00C4579C">
      <w:pPr>
        <w:jc w:val="both"/>
      </w:pPr>
    </w:p>
    <w:p w14:paraId="5D5E5312" w14:textId="77777777" w:rsidR="00015F67" w:rsidRDefault="00015F67" w:rsidP="00C4579C">
      <w:pPr>
        <w:jc w:val="both"/>
      </w:pPr>
    </w:p>
    <w:p w14:paraId="06A5C5E4" w14:textId="77777777" w:rsidR="00015F67" w:rsidRDefault="00015F67" w:rsidP="00C4579C">
      <w:pPr>
        <w:jc w:val="both"/>
      </w:pPr>
    </w:p>
    <w:p w14:paraId="20A561F8" w14:textId="77777777" w:rsidR="00015F67" w:rsidRDefault="00015F67" w:rsidP="00C4579C">
      <w:pPr>
        <w:jc w:val="both"/>
      </w:pPr>
    </w:p>
    <w:p w14:paraId="3A0C30AA" w14:textId="77777777" w:rsidR="00015F67" w:rsidRDefault="00015F67" w:rsidP="00C4579C">
      <w:pPr>
        <w:pStyle w:val="Default"/>
        <w:jc w:val="both"/>
      </w:pPr>
    </w:p>
    <w:p w14:paraId="3A3E3693" w14:textId="3908DFCE" w:rsidR="00780A9C" w:rsidRDefault="00780A9C" w:rsidP="00C4579C">
      <w:pPr>
        <w:pStyle w:val="Default"/>
        <w:jc w:val="both"/>
      </w:pPr>
    </w:p>
    <w:p w14:paraId="0A7BD9B7" w14:textId="19FE85CA" w:rsidR="00A71CBE" w:rsidRDefault="00A71CBE" w:rsidP="00C4579C">
      <w:pPr>
        <w:pStyle w:val="Default"/>
        <w:ind w:left="720"/>
        <w:jc w:val="both"/>
      </w:pPr>
    </w:p>
    <w:p w14:paraId="545F692D" w14:textId="0926F339" w:rsidR="00A71CBE" w:rsidRDefault="00A71CBE" w:rsidP="00C4579C">
      <w:pPr>
        <w:pStyle w:val="Default"/>
        <w:ind w:left="720"/>
        <w:jc w:val="both"/>
      </w:pPr>
    </w:p>
    <w:p w14:paraId="364D8569" w14:textId="23F84C40" w:rsidR="00A71CBE" w:rsidRDefault="00A71CBE" w:rsidP="00C4579C">
      <w:pPr>
        <w:pStyle w:val="Default"/>
        <w:ind w:left="720"/>
        <w:jc w:val="both"/>
      </w:pPr>
    </w:p>
    <w:p w14:paraId="0791F69D" w14:textId="3E15B17F" w:rsidR="00A71CBE" w:rsidRDefault="00A71CBE" w:rsidP="00C4579C">
      <w:pPr>
        <w:pStyle w:val="Default"/>
        <w:ind w:left="720"/>
        <w:jc w:val="both"/>
      </w:pPr>
    </w:p>
    <w:p w14:paraId="5F4396AC" w14:textId="77777777" w:rsidR="000C698D" w:rsidRDefault="000C698D" w:rsidP="00C4579C">
      <w:pPr>
        <w:jc w:val="both"/>
        <w:rPr>
          <w:b/>
          <w:sz w:val="28"/>
          <w:szCs w:val="28"/>
          <w:lang w:val="en-US"/>
        </w:rPr>
      </w:pPr>
    </w:p>
    <w:p w14:paraId="76F0A945" w14:textId="77777777" w:rsidR="000C698D" w:rsidRDefault="000C698D" w:rsidP="00C4579C">
      <w:pPr>
        <w:jc w:val="both"/>
        <w:rPr>
          <w:b/>
          <w:sz w:val="28"/>
          <w:szCs w:val="28"/>
          <w:lang w:val="en-US"/>
        </w:rPr>
      </w:pPr>
    </w:p>
    <w:p w14:paraId="0224810F" w14:textId="77777777" w:rsidR="000C698D" w:rsidRDefault="000C698D" w:rsidP="00C4579C">
      <w:pPr>
        <w:jc w:val="both"/>
        <w:rPr>
          <w:b/>
          <w:sz w:val="28"/>
          <w:szCs w:val="28"/>
          <w:lang w:val="en-US"/>
        </w:rPr>
      </w:pPr>
    </w:p>
    <w:p w14:paraId="661E2D01" w14:textId="3F6D139C" w:rsidR="0005703B" w:rsidRPr="003D1FEF" w:rsidRDefault="00847888" w:rsidP="00C4579C">
      <w:pPr>
        <w:jc w:val="both"/>
        <w:rPr>
          <w:sz w:val="28"/>
          <w:szCs w:val="28"/>
          <w:lang w:val="en-US"/>
        </w:rPr>
      </w:pPr>
      <w:r w:rsidRPr="003D1FEF">
        <w:rPr>
          <w:b/>
          <w:sz w:val="28"/>
          <w:szCs w:val="28"/>
          <w:lang w:val="en-US"/>
        </w:rPr>
        <w:t>2.0</w:t>
      </w:r>
      <w:r w:rsidRPr="003D1FEF">
        <w:rPr>
          <w:b/>
          <w:sz w:val="28"/>
          <w:szCs w:val="28"/>
          <w:lang w:val="en-US"/>
        </w:rPr>
        <w:tab/>
      </w:r>
      <w:r w:rsidR="00874FCE" w:rsidRPr="003D1FEF">
        <w:rPr>
          <w:b/>
          <w:sz w:val="28"/>
          <w:szCs w:val="28"/>
          <w:u w:val="single"/>
          <w:lang w:val="en-US"/>
        </w:rPr>
        <w:t xml:space="preserve">PROJECT </w:t>
      </w:r>
      <w:r w:rsidRPr="003D1FEF">
        <w:rPr>
          <w:b/>
          <w:sz w:val="28"/>
          <w:szCs w:val="28"/>
          <w:u w:val="single"/>
          <w:lang w:val="en-US"/>
        </w:rPr>
        <w:t>SCOPE</w:t>
      </w:r>
      <w:r w:rsidR="006B012D">
        <w:rPr>
          <w:b/>
          <w:sz w:val="28"/>
          <w:szCs w:val="28"/>
          <w:u w:val="single"/>
          <w:lang w:val="en-US"/>
        </w:rPr>
        <w:t xml:space="preserve"> AND REQUIREMENTS</w:t>
      </w:r>
    </w:p>
    <w:p w14:paraId="37418C86" w14:textId="6C949BB7" w:rsidR="003D1FEF" w:rsidRDefault="003D1FEF" w:rsidP="00C4579C">
      <w:pPr>
        <w:jc w:val="both"/>
        <w:rPr>
          <w:lang w:val="en-US"/>
        </w:rPr>
      </w:pPr>
    </w:p>
    <w:p w14:paraId="6A359252" w14:textId="2B2B0D05" w:rsidR="009912DD" w:rsidRPr="00756EDE" w:rsidRDefault="00836661" w:rsidP="00C4579C">
      <w:pPr>
        <w:jc w:val="both"/>
        <w:rPr>
          <w:b/>
        </w:rPr>
      </w:pPr>
      <w:r>
        <w:rPr>
          <w:b/>
        </w:rPr>
        <w:t xml:space="preserve">2.1 </w:t>
      </w:r>
      <w:r>
        <w:rPr>
          <w:b/>
        </w:rPr>
        <w:tab/>
      </w:r>
      <w:r w:rsidR="009912DD" w:rsidRPr="00756EDE">
        <w:rPr>
          <w:b/>
        </w:rPr>
        <w:t>Scope of the Project</w:t>
      </w:r>
    </w:p>
    <w:p w14:paraId="243B3F3D" w14:textId="221CC085" w:rsidR="009912DD" w:rsidRDefault="009912DD" w:rsidP="00C4579C">
      <w:pPr>
        <w:ind w:left="720" w:hanging="720"/>
        <w:jc w:val="both"/>
      </w:pPr>
    </w:p>
    <w:p w14:paraId="0EAF17CA" w14:textId="77777777" w:rsidR="007253B8" w:rsidRDefault="007253B8" w:rsidP="00C4579C">
      <w:pPr>
        <w:jc w:val="both"/>
      </w:pPr>
      <w:r>
        <w:t xml:space="preserve">The purpose of this exercise is, having regard to the historic, current and potential future position in relation to traffic and transport on the </w:t>
      </w:r>
      <w:proofErr w:type="spellStart"/>
      <w:r>
        <w:t>Haslar</w:t>
      </w:r>
      <w:proofErr w:type="spellEnd"/>
      <w:r>
        <w:t xml:space="preserve"> peninsula, to establish what the opportunities could be to develop multi-modal transport options which provide links to Gosport, Portsmouth and the surrounding area. </w:t>
      </w:r>
    </w:p>
    <w:p w14:paraId="6E30689C" w14:textId="77777777" w:rsidR="007253B8" w:rsidRDefault="007253B8" w:rsidP="00C4579C">
      <w:pPr>
        <w:jc w:val="both"/>
      </w:pPr>
    </w:p>
    <w:p w14:paraId="522A2CC5" w14:textId="1DE99800" w:rsidR="007253B8" w:rsidRDefault="007253B8" w:rsidP="00C4579C">
      <w:pPr>
        <w:jc w:val="both"/>
      </w:pPr>
      <w:r>
        <w:t>The report will help inform GBC’s wider transport strategy as well as the DIO’s work on the disposal strategy for the</w:t>
      </w:r>
      <w:r w:rsidR="008158BA">
        <w:t xml:space="preserve"> Blockhouse</w:t>
      </w:r>
      <w:r>
        <w:t xml:space="preserve"> site. This includes helping to inform discussions between DIO and GBC about the potential future use of the site. </w:t>
      </w:r>
    </w:p>
    <w:p w14:paraId="37046466" w14:textId="77777777" w:rsidR="007253B8" w:rsidRDefault="007253B8" w:rsidP="00C4579C">
      <w:pPr>
        <w:jc w:val="both"/>
      </w:pPr>
    </w:p>
    <w:p w14:paraId="3E8C66EF" w14:textId="77777777" w:rsidR="007253B8" w:rsidRDefault="007253B8" w:rsidP="00C4579C">
      <w:pPr>
        <w:jc w:val="both"/>
        <w:rPr>
          <w:b/>
          <w:bCs/>
        </w:rPr>
      </w:pPr>
      <w:r>
        <w:t>To deliver these objectives, the successful consultancy will be asked to provide a desk-based report which addresses the points set out below.</w:t>
      </w:r>
    </w:p>
    <w:p w14:paraId="2B55BC69" w14:textId="77777777" w:rsidR="007253B8" w:rsidRDefault="007253B8" w:rsidP="00C4579C">
      <w:pPr>
        <w:jc w:val="both"/>
        <w:rPr>
          <w:b/>
          <w:bCs/>
        </w:rPr>
      </w:pPr>
    </w:p>
    <w:p w14:paraId="1329DCF7" w14:textId="77777777" w:rsidR="007253B8" w:rsidRDefault="007253B8" w:rsidP="00C4579C">
      <w:pPr>
        <w:jc w:val="both"/>
      </w:pPr>
      <w:r>
        <w:rPr>
          <w:b/>
          <w:bCs/>
        </w:rPr>
        <w:t xml:space="preserve">Background Context.  </w:t>
      </w:r>
      <w:r>
        <w:t>The consultant is to provide:</w:t>
      </w:r>
    </w:p>
    <w:p w14:paraId="480EBAE2" w14:textId="77777777" w:rsidR="007253B8" w:rsidRDefault="007253B8" w:rsidP="00C4579C">
      <w:pPr>
        <w:pStyle w:val="ListParagraph"/>
        <w:jc w:val="both"/>
        <w:rPr>
          <w:rFonts w:cs="Arial"/>
          <w:b/>
        </w:rPr>
      </w:pPr>
    </w:p>
    <w:p w14:paraId="7824510E" w14:textId="1F5B896B" w:rsidR="007253B8" w:rsidRDefault="007253B8" w:rsidP="00C4579C">
      <w:pPr>
        <w:pStyle w:val="ListParagraph"/>
        <w:numPr>
          <w:ilvl w:val="0"/>
          <w:numId w:val="25"/>
        </w:numPr>
        <w:jc w:val="both"/>
        <w:rPr>
          <w:rFonts w:cs="Arial"/>
          <w:b/>
          <w:szCs w:val="24"/>
        </w:rPr>
      </w:pPr>
      <w:r w:rsidRPr="00E76BF2">
        <w:rPr>
          <w:rFonts w:cs="Arial"/>
          <w:b/>
          <w:szCs w:val="24"/>
        </w:rPr>
        <w:t xml:space="preserve"> Background information</w:t>
      </w:r>
    </w:p>
    <w:p w14:paraId="15B3A0AB" w14:textId="617A4528" w:rsidR="00E76BF2" w:rsidRDefault="00E76BF2" w:rsidP="00C4579C">
      <w:pPr>
        <w:pStyle w:val="ListParagraph"/>
        <w:jc w:val="both"/>
        <w:rPr>
          <w:rFonts w:cs="Arial"/>
          <w:b/>
          <w:szCs w:val="24"/>
        </w:rPr>
      </w:pPr>
    </w:p>
    <w:p w14:paraId="2ABC0BFD" w14:textId="799AD3CF" w:rsidR="00E76BF2" w:rsidRPr="00E76BF2" w:rsidRDefault="00E76BF2" w:rsidP="00C4579C">
      <w:pPr>
        <w:pStyle w:val="ListParagraph"/>
        <w:jc w:val="both"/>
        <w:rPr>
          <w:rFonts w:cs="Arial"/>
          <w:szCs w:val="24"/>
        </w:rPr>
      </w:pPr>
      <w:r w:rsidRPr="00E76BF2">
        <w:rPr>
          <w:rFonts w:cs="Arial"/>
          <w:szCs w:val="24"/>
        </w:rPr>
        <w:t>This includes the following elements</w:t>
      </w:r>
    </w:p>
    <w:p w14:paraId="244687F0" w14:textId="0C17276A" w:rsidR="007253B8" w:rsidRDefault="00E76BF2" w:rsidP="00C4579C">
      <w:pPr>
        <w:pStyle w:val="NormalWeb"/>
        <w:numPr>
          <w:ilvl w:val="0"/>
          <w:numId w:val="11"/>
        </w:numPr>
        <w:shd w:val="clear" w:color="auto" w:fill="FFFFFF"/>
        <w:spacing w:before="0" w:beforeAutospacing="0" w:after="0" w:afterAutospacing="0"/>
        <w:ind w:hanging="357"/>
        <w:jc w:val="both"/>
        <w:rPr>
          <w:rFonts w:ascii="Arial" w:hAnsi="Arial" w:cs="Arial"/>
          <w:lang w:eastAsia="en-US"/>
        </w:rPr>
      </w:pPr>
      <w:r>
        <w:rPr>
          <w:rFonts w:ascii="Arial" w:hAnsi="Arial" w:cs="Arial"/>
          <w:lang w:eastAsia="en-US"/>
        </w:rPr>
        <w:t>A s</w:t>
      </w:r>
      <w:r w:rsidR="007253B8" w:rsidRPr="007253B8">
        <w:rPr>
          <w:rFonts w:ascii="Arial" w:hAnsi="Arial" w:cs="Arial"/>
          <w:lang w:eastAsia="en-US"/>
        </w:rPr>
        <w:t>ummary of the existing available baseline information</w:t>
      </w:r>
      <w:r w:rsidR="00CE1D88">
        <w:rPr>
          <w:rFonts w:ascii="Arial" w:hAnsi="Arial" w:cs="Arial"/>
          <w:lang w:eastAsia="en-US"/>
        </w:rPr>
        <w:t xml:space="preserve"> and which will be made available to the successful tenderer</w:t>
      </w:r>
      <w:r w:rsidR="007253B8" w:rsidRPr="007253B8">
        <w:rPr>
          <w:rFonts w:ascii="Arial" w:hAnsi="Arial" w:cs="Arial"/>
          <w:lang w:eastAsia="en-US"/>
        </w:rPr>
        <w:t xml:space="preserve">. This should include: </w:t>
      </w:r>
    </w:p>
    <w:p w14:paraId="6F4FD7AF" w14:textId="77777777" w:rsidR="00940E5C" w:rsidRPr="007253B8" w:rsidRDefault="00940E5C" w:rsidP="00C4579C">
      <w:pPr>
        <w:pStyle w:val="NormalWeb"/>
        <w:shd w:val="clear" w:color="auto" w:fill="FFFFFF"/>
        <w:spacing w:before="0" w:beforeAutospacing="0" w:after="0" w:afterAutospacing="0"/>
        <w:ind w:left="720"/>
        <w:jc w:val="both"/>
        <w:rPr>
          <w:rFonts w:ascii="Arial" w:hAnsi="Arial" w:cs="Arial"/>
          <w:lang w:eastAsia="en-US"/>
        </w:rPr>
      </w:pPr>
    </w:p>
    <w:p w14:paraId="40D9D3C9" w14:textId="77777777"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DIO’s </w:t>
      </w:r>
      <w:proofErr w:type="spellStart"/>
      <w:r w:rsidRPr="007253B8">
        <w:rPr>
          <w:rFonts w:ascii="Arial" w:hAnsi="Arial" w:cs="Arial"/>
          <w:lang w:eastAsia="en-US"/>
        </w:rPr>
        <w:t>Stantec</w:t>
      </w:r>
      <w:proofErr w:type="spellEnd"/>
      <w:r w:rsidRPr="007253B8">
        <w:rPr>
          <w:rFonts w:ascii="Arial" w:hAnsi="Arial" w:cs="Arial"/>
          <w:lang w:eastAsia="en-US"/>
        </w:rPr>
        <w:t xml:space="preserve"> Study.</w:t>
      </w:r>
    </w:p>
    <w:p w14:paraId="7F9E9870" w14:textId="77777777"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Previous planning applications relating to </w:t>
      </w:r>
      <w:proofErr w:type="spellStart"/>
      <w:r w:rsidRPr="007253B8">
        <w:rPr>
          <w:rFonts w:ascii="Arial" w:hAnsi="Arial" w:cs="Arial"/>
          <w:lang w:eastAsia="en-US"/>
        </w:rPr>
        <w:t>Haslar</w:t>
      </w:r>
      <w:proofErr w:type="spellEnd"/>
      <w:r w:rsidRPr="007253B8">
        <w:rPr>
          <w:rFonts w:ascii="Arial" w:hAnsi="Arial" w:cs="Arial"/>
          <w:lang w:eastAsia="en-US"/>
        </w:rPr>
        <w:t xml:space="preserve"> Hospital and HCC’s comments.  </w:t>
      </w:r>
    </w:p>
    <w:p w14:paraId="024AF967" w14:textId="17FA62EF"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proofErr w:type="spellStart"/>
      <w:r w:rsidRPr="007253B8">
        <w:rPr>
          <w:rFonts w:ascii="Arial" w:hAnsi="Arial" w:cs="Arial"/>
          <w:lang w:eastAsia="en-US"/>
        </w:rPr>
        <w:t>Systra</w:t>
      </w:r>
      <w:proofErr w:type="spellEnd"/>
      <w:r w:rsidRPr="007253B8">
        <w:rPr>
          <w:rFonts w:ascii="Arial" w:hAnsi="Arial" w:cs="Arial"/>
          <w:lang w:eastAsia="en-US"/>
        </w:rPr>
        <w:t xml:space="preserve"> Modelling</w:t>
      </w:r>
      <w:r w:rsidR="00B364D7">
        <w:rPr>
          <w:rFonts w:ascii="Arial" w:hAnsi="Arial" w:cs="Arial"/>
          <w:lang w:eastAsia="en-US"/>
        </w:rPr>
        <w:t xml:space="preserve"> commissioned by the Council for its Regulation 18 Local plan consultation in 2021</w:t>
      </w:r>
      <w:r w:rsidRPr="007253B8">
        <w:rPr>
          <w:rFonts w:ascii="Arial" w:hAnsi="Arial" w:cs="Arial"/>
          <w:lang w:eastAsia="en-US"/>
        </w:rPr>
        <w:t xml:space="preserve">. </w:t>
      </w:r>
    </w:p>
    <w:p w14:paraId="114E8983" w14:textId="1D782C0D"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Reference to </w:t>
      </w:r>
      <w:r w:rsidR="002F39F9">
        <w:rPr>
          <w:rFonts w:ascii="Arial" w:hAnsi="Arial" w:cs="Arial"/>
          <w:lang w:eastAsia="en-US"/>
        </w:rPr>
        <w:t xml:space="preserve">the Gosport </w:t>
      </w:r>
      <w:r w:rsidRPr="007253B8">
        <w:rPr>
          <w:rFonts w:ascii="Arial" w:hAnsi="Arial" w:cs="Arial"/>
          <w:lang w:eastAsia="en-US"/>
        </w:rPr>
        <w:t xml:space="preserve">LCWIP and GBC Living List of cycle and pedestrian improvements. </w:t>
      </w:r>
    </w:p>
    <w:p w14:paraId="0CFE16B3" w14:textId="22B6E2F6" w:rsidR="007253B8" w:rsidRPr="007253B8" w:rsidRDefault="00E76BF2" w:rsidP="00C4579C">
      <w:pPr>
        <w:pStyle w:val="NormalWeb"/>
        <w:numPr>
          <w:ilvl w:val="0"/>
          <w:numId w:val="11"/>
        </w:numPr>
        <w:shd w:val="clear" w:color="auto" w:fill="FFFFFF"/>
        <w:spacing w:before="300" w:beforeAutospacing="0" w:after="300" w:afterAutospacing="0"/>
        <w:jc w:val="both"/>
        <w:rPr>
          <w:rFonts w:ascii="Arial" w:hAnsi="Arial" w:cs="Arial"/>
          <w:lang w:eastAsia="en-US"/>
        </w:rPr>
      </w:pPr>
      <w:r>
        <w:rPr>
          <w:rFonts w:ascii="Arial" w:hAnsi="Arial" w:cs="Arial"/>
          <w:lang w:eastAsia="en-US"/>
        </w:rPr>
        <w:t>A consideration</w:t>
      </w:r>
      <w:r w:rsidR="007253B8" w:rsidRPr="007253B8">
        <w:rPr>
          <w:rFonts w:ascii="Arial" w:hAnsi="Arial" w:cs="Arial"/>
          <w:lang w:eastAsia="en-US"/>
        </w:rPr>
        <w:t xml:space="preserve"> of recent major development consents on the </w:t>
      </w:r>
      <w:proofErr w:type="spellStart"/>
      <w:r w:rsidR="007253B8" w:rsidRPr="007253B8">
        <w:rPr>
          <w:rFonts w:ascii="Arial" w:hAnsi="Arial" w:cs="Arial"/>
          <w:lang w:eastAsia="en-US"/>
        </w:rPr>
        <w:t>Haslar</w:t>
      </w:r>
      <w:proofErr w:type="spellEnd"/>
      <w:r w:rsidR="007253B8" w:rsidRPr="007253B8">
        <w:rPr>
          <w:rFonts w:ascii="Arial" w:hAnsi="Arial" w:cs="Arial"/>
          <w:lang w:eastAsia="en-US"/>
        </w:rPr>
        <w:t xml:space="preserve"> peninsula including </w:t>
      </w:r>
      <w:proofErr w:type="spellStart"/>
      <w:r w:rsidR="007253B8" w:rsidRPr="007253B8">
        <w:rPr>
          <w:rFonts w:ascii="Arial" w:hAnsi="Arial" w:cs="Arial"/>
          <w:lang w:eastAsia="en-US"/>
        </w:rPr>
        <w:t>Haslar</w:t>
      </w:r>
      <w:proofErr w:type="spellEnd"/>
      <w:r w:rsidR="007253B8" w:rsidRPr="007253B8">
        <w:rPr>
          <w:rFonts w:ascii="Arial" w:hAnsi="Arial" w:cs="Arial"/>
          <w:lang w:eastAsia="en-US"/>
        </w:rPr>
        <w:t xml:space="preserve"> Hospital and whether there is any synthesis or critical mass arising to support modal shift. </w:t>
      </w:r>
    </w:p>
    <w:p w14:paraId="0B566C71" w14:textId="39745F3D" w:rsidR="007253B8" w:rsidRDefault="00E76BF2" w:rsidP="00C4579C">
      <w:pPr>
        <w:pStyle w:val="NormalWeb"/>
        <w:numPr>
          <w:ilvl w:val="0"/>
          <w:numId w:val="11"/>
        </w:numPr>
        <w:shd w:val="clear" w:color="auto" w:fill="FFFFFF"/>
        <w:spacing w:before="300" w:beforeAutospacing="0" w:after="300" w:afterAutospacing="0"/>
        <w:jc w:val="both"/>
        <w:rPr>
          <w:rFonts w:ascii="Arial" w:hAnsi="Arial" w:cs="Arial"/>
          <w:lang w:eastAsia="en-US"/>
        </w:rPr>
      </w:pPr>
      <w:r>
        <w:rPr>
          <w:rFonts w:ascii="Arial" w:hAnsi="Arial" w:cs="Arial"/>
          <w:lang w:eastAsia="en-US"/>
        </w:rPr>
        <w:t>Liaising</w:t>
      </w:r>
      <w:r w:rsidR="007253B8" w:rsidRPr="007253B8">
        <w:rPr>
          <w:rFonts w:ascii="Arial" w:hAnsi="Arial" w:cs="Arial"/>
          <w:lang w:eastAsia="en-US"/>
        </w:rPr>
        <w:t xml:space="preserve"> with </w:t>
      </w:r>
      <w:r w:rsidR="00FE555E">
        <w:rPr>
          <w:rFonts w:ascii="Arial" w:hAnsi="Arial" w:cs="Arial"/>
          <w:lang w:eastAsia="en-US"/>
        </w:rPr>
        <w:t xml:space="preserve">DIO, </w:t>
      </w:r>
      <w:r w:rsidR="007253B8" w:rsidRPr="007253B8">
        <w:rPr>
          <w:rFonts w:ascii="Arial" w:hAnsi="Arial" w:cs="Arial"/>
          <w:lang w:eastAsia="en-US"/>
        </w:rPr>
        <w:t xml:space="preserve">GBC </w:t>
      </w:r>
      <w:r>
        <w:rPr>
          <w:rFonts w:ascii="Arial" w:hAnsi="Arial" w:cs="Arial"/>
          <w:lang w:eastAsia="en-US"/>
        </w:rPr>
        <w:t>and HCC on</w:t>
      </w:r>
      <w:r w:rsidR="007253B8" w:rsidRPr="007253B8">
        <w:rPr>
          <w:rFonts w:ascii="Arial" w:hAnsi="Arial" w:cs="Arial"/>
          <w:lang w:eastAsia="en-US"/>
        </w:rPr>
        <w:t xml:space="preserve"> </w:t>
      </w:r>
      <w:r w:rsidR="00741CDC">
        <w:rPr>
          <w:rFonts w:ascii="Arial" w:hAnsi="Arial" w:cs="Arial"/>
          <w:lang w:eastAsia="en-US"/>
        </w:rPr>
        <w:t xml:space="preserve">two </w:t>
      </w:r>
      <w:r w:rsidR="00741CDC" w:rsidRPr="007253B8">
        <w:rPr>
          <w:rFonts w:ascii="Arial" w:hAnsi="Arial" w:cs="Arial"/>
          <w:lang w:eastAsia="en-US"/>
        </w:rPr>
        <w:t>assumed</w:t>
      </w:r>
      <w:r w:rsidR="007253B8" w:rsidRPr="007253B8">
        <w:rPr>
          <w:rFonts w:ascii="Arial" w:hAnsi="Arial" w:cs="Arial"/>
          <w:lang w:eastAsia="en-US"/>
        </w:rPr>
        <w:t xml:space="preserve"> development scenario</w:t>
      </w:r>
      <w:r w:rsidR="00E15426">
        <w:rPr>
          <w:rFonts w:ascii="Arial" w:hAnsi="Arial" w:cs="Arial"/>
          <w:lang w:eastAsia="en-US"/>
        </w:rPr>
        <w:t>s</w:t>
      </w:r>
      <w:r w:rsidR="003D4D7A">
        <w:rPr>
          <w:rFonts w:ascii="Arial" w:hAnsi="Arial" w:cs="Arial"/>
          <w:lang w:eastAsia="en-US"/>
        </w:rPr>
        <w:t xml:space="preserve">, which this study should be based on.  The </w:t>
      </w:r>
      <w:r w:rsidR="008B5B4C">
        <w:rPr>
          <w:rFonts w:ascii="Arial" w:hAnsi="Arial" w:cs="Arial"/>
          <w:lang w:eastAsia="en-US"/>
        </w:rPr>
        <w:t xml:space="preserve">growth </w:t>
      </w:r>
      <w:r w:rsidR="00E15426">
        <w:rPr>
          <w:rFonts w:ascii="Arial" w:hAnsi="Arial" w:cs="Arial"/>
          <w:lang w:eastAsia="en-US"/>
        </w:rPr>
        <w:t xml:space="preserve">figures </w:t>
      </w:r>
      <w:r w:rsidR="008B5B4C">
        <w:rPr>
          <w:rFonts w:ascii="Arial" w:hAnsi="Arial" w:cs="Arial"/>
          <w:lang w:eastAsia="en-US"/>
        </w:rPr>
        <w:t xml:space="preserve">to be modelled </w:t>
      </w:r>
      <w:r w:rsidR="00E15426">
        <w:rPr>
          <w:rFonts w:ascii="Arial" w:hAnsi="Arial" w:cs="Arial"/>
          <w:lang w:eastAsia="en-US"/>
        </w:rPr>
        <w:t>will be provided at the inception meeting</w:t>
      </w:r>
      <w:r w:rsidR="003D4D7A">
        <w:rPr>
          <w:rFonts w:ascii="Arial" w:hAnsi="Arial" w:cs="Arial"/>
          <w:lang w:eastAsia="en-US"/>
        </w:rPr>
        <w:t xml:space="preserve">, but will be based on the Regulation 18 version of the emerging Local Plan and figures derived from the current </w:t>
      </w:r>
      <w:proofErr w:type="spellStart"/>
      <w:r w:rsidR="00F97004">
        <w:rPr>
          <w:rFonts w:ascii="Arial" w:hAnsi="Arial" w:cs="Arial"/>
          <w:lang w:eastAsia="en-US"/>
        </w:rPr>
        <w:t>m</w:t>
      </w:r>
      <w:r w:rsidR="003D4D7A">
        <w:rPr>
          <w:rFonts w:ascii="Arial" w:hAnsi="Arial" w:cs="Arial"/>
          <w:lang w:eastAsia="en-US"/>
        </w:rPr>
        <w:t>asterplanning</w:t>
      </w:r>
      <w:proofErr w:type="spellEnd"/>
      <w:r w:rsidR="003D4D7A">
        <w:rPr>
          <w:rFonts w:ascii="Arial" w:hAnsi="Arial" w:cs="Arial"/>
          <w:lang w:eastAsia="en-US"/>
        </w:rPr>
        <w:t xml:space="preserve"> for the site.</w:t>
      </w:r>
      <w:r w:rsidR="007253B8" w:rsidRPr="007253B8">
        <w:rPr>
          <w:rFonts w:ascii="Arial" w:hAnsi="Arial" w:cs="Arial"/>
          <w:lang w:eastAsia="en-US"/>
        </w:rPr>
        <w:t xml:space="preserve">  </w:t>
      </w:r>
      <w:r w:rsidR="007253B8" w:rsidRPr="00E76BF2">
        <w:rPr>
          <w:rFonts w:ascii="Arial" w:hAnsi="Arial" w:cs="Arial"/>
          <w:lang w:eastAsia="en-US"/>
        </w:rPr>
        <w:t xml:space="preserve">This includes agreeing </w:t>
      </w:r>
      <w:r w:rsidR="00B364D7" w:rsidRPr="00E76BF2">
        <w:rPr>
          <w:rFonts w:ascii="Arial" w:hAnsi="Arial" w:cs="Arial"/>
          <w:lang w:eastAsia="en-US"/>
        </w:rPr>
        <w:t xml:space="preserve">trip generation assumptions associated </w:t>
      </w:r>
      <w:r w:rsidR="002F39F9">
        <w:rPr>
          <w:rFonts w:ascii="Arial" w:hAnsi="Arial" w:cs="Arial"/>
          <w:lang w:eastAsia="en-US"/>
        </w:rPr>
        <w:t>with other</w:t>
      </w:r>
      <w:r w:rsidR="00B364D7">
        <w:rPr>
          <w:rFonts w:ascii="Arial" w:hAnsi="Arial" w:cs="Arial"/>
          <w:lang w:eastAsia="en-US"/>
        </w:rPr>
        <w:t xml:space="preserve"> </w:t>
      </w:r>
      <w:r w:rsidR="007253B8" w:rsidRPr="00E76BF2">
        <w:rPr>
          <w:rFonts w:ascii="Arial" w:hAnsi="Arial" w:cs="Arial"/>
          <w:lang w:eastAsia="en-US"/>
        </w:rPr>
        <w:t>sites on the peninsula which have not yet come forward</w:t>
      </w:r>
      <w:r w:rsidR="00CC6F42">
        <w:rPr>
          <w:rFonts w:ascii="Arial" w:hAnsi="Arial" w:cs="Arial"/>
          <w:lang w:eastAsia="en-US"/>
        </w:rPr>
        <w:t xml:space="preserve">. </w:t>
      </w:r>
      <w:r w:rsidR="007253B8" w:rsidRPr="00E76BF2">
        <w:rPr>
          <w:rFonts w:ascii="Arial" w:hAnsi="Arial" w:cs="Arial"/>
          <w:lang w:eastAsia="en-US"/>
        </w:rPr>
        <w:t xml:space="preserve"> Where sites have already been granted planning permission but have not yet been delivered, the consultant should refer to the Transport Assessment which formed part of the planning application. </w:t>
      </w:r>
    </w:p>
    <w:p w14:paraId="65B7D63B" w14:textId="4D91198C" w:rsidR="00940E5C" w:rsidRDefault="00940E5C" w:rsidP="00C4579C">
      <w:pPr>
        <w:pStyle w:val="NormalWeb"/>
        <w:shd w:val="clear" w:color="auto" w:fill="FFFFFF"/>
        <w:spacing w:before="300" w:beforeAutospacing="0" w:after="300" w:afterAutospacing="0"/>
        <w:ind w:left="720"/>
        <w:jc w:val="both"/>
        <w:rPr>
          <w:rFonts w:ascii="Arial" w:hAnsi="Arial" w:cs="Arial"/>
          <w:lang w:eastAsia="en-US"/>
        </w:rPr>
      </w:pPr>
    </w:p>
    <w:p w14:paraId="0D8AE93F" w14:textId="77777777" w:rsidR="007253B8" w:rsidRPr="007253B8" w:rsidRDefault="007253B8" w:rsidP="00C4579C">
      <w:pPr>
        <w:pStyle w:val="ListParagraph"/>
        <w:numPr>
          <w:ilvl w:val="0"/>
          <w:numId w:val="25"/>
        </w:numPr>
        <w:contextualSpacing w:val="0"/>
        <w:jc w:val="both"/>
        <w:rPr>
          <w:rFonts w:cs="Arial"/>
          <w:b/>
          <w:szCs w:val="24"/>
        </w:rPr>
      </w:pPr>
      <w:r w:rsidRPr="007253B8">
        <w:rPr>
          <w:rFonts w:cs="Arial"/>
          <w:b/>
          <w:szCs w:val="24"/>
        </w:rPr>
        <w:t>Modal shift</w:t>
      </w:r>
    </w:p>
    <w:p w14:paraId="2522C039" w14:textId="77777777" w:rsidR="007253B8" w:rsidRPr="007253B8" w:rsidRDefault="007253B8" w:rsidP="00C4579C">
      <w:pPr>
        <w:pStyle w:val="NormalWeb"/>
        <w:numPr>
          <w:ilvl w:val="0"/>
          <w:numId w:val="11"/>
        </w:numPr>
        <w:shd w:val="clear" w:color="auto" w:fill="FFFFFF"/>
        <w:spacing w:before="300" w:beforeAutospacing="0" w:after="300" w:afterAutospacing="0"/>
        <w:jc w:val="both"/>
        <w:rPr>
          <w:rFonts w:ascii="Arial" w:hAnsi="Arial" w:cs="Arial"/>
          <w:lang w:eastAsia="en-US"/>
        </w:rPr>
      </w:pPr>
      <w:r w:rsidRPr="007253B8">
        <w:rPr>
          <w:rFonts w:ascii="Arial" w:hAnsi="Arial" w:cs="Arial"/>
          <w:lang w:eastAsia="en-US"/>
        </w:rPr>
        <w:t xml:space="preserve">Outline what current challenges and constraints are in relation to transport and travel on the </w:t>
      </w:r>
      <w:proofErr w:type="spellStart"/>
      <w:r w:rsidRPr="007253B8">
        <w:rPr>
          <w:rFonts w:ascii="Arial" w:hAnsi="Arial" w:cs="Arial"/>
          <w:lang w:eastAsia="en-US"/>
        </w:rPr>
        <w:t>Haslar</w:t>
      </w:r>
      <w:proofErr w:type="spellEnd"/>
      <w:r w:rsidRPr="007253B8">
        <w:rPr>
          <w:rFonts w:ascii="Arial" w:hAnsi="Arial" w:cs="Arial"/>
          <w:lang w:eastAsia="en-US"/>
        </w:rPr>
        <w:t xml:space="preserve"> peninsula. </w:t>
      </w:r>
    </w:p>
    <w:p w14:paraId="44ED406C" w14:textId="32A21716" w:rsidR="00A15989" w:rsidRPr="00A15989" w:rsidRDefault="007253B8" w:rsidP="00A15989">
      <w:pPr>
        <w:pStyle w:val="NormalWeb"/>
        <w:numPr>
          <w:ilvl w:val="0"/>
          <w:numId w:val="11"/>
        </w:numPr>
        <w:shd w:val="clear" w:color="auto" w:fill="FFFFFF"/>
        <w:spacing w:before="300" w:beforeAutospacing="0" w:after="300" w:afterAutospacing="0"/>
        <w:jc w:val="both"/>
        <w:rPr>
          <w:rFonts w:ascii="Arial" w:hAnsi="Arial" w:cs="Arial"/>
          <w:lang w:eastAsia="en-US"/>
        </w:rPr>
      </w:pPr>
      <w:r w:rsidRPr="007253B8">
        <w:rPr>
          <w:rFonts w:ascii="Arial" w:hAnsi="Arial" w:cs="Arial"/>
          <w:lang w:eastAsia="en-US"/>
        </w:rPr>
        <w:t xml:space="preserve">Outline potential barriers to modal shift and how these can be overcome. This section should consider the existing as well as potential new populations on the </w:t>
      </w:r>
      <w:proofErr w:type="spellStart"/>
      <w:r w:rsidRPr="007253B8">
        <w:rPr>
          <w:rFonts w:ascii="Arial" w:hAnsi="Arial" w:cs="Arial"/>
          <w:lang w:eastAsia="en-US"/>
        </w:rPr>
        <w:t>Haslar</w:t>
      </w:r>
      <w:proofErr w:type="spellEnd"/>
      <w:r w:rsidRPr="007253B8">
        <w:rPr>
          <w:rFonts w:ascii="Arial" w:hAnsi="Arial" w:cs="Arial"/>
          <w:lang w:eastAsia="en-US"/>
        </w:rPr>
        <w:t xml:space="preserve"> peninsula. </w:t>
      </w:r>
    </w:p>
    <w:p w14:paraId="483C93CD" w14:textId="77777777" w:rsidR="00A15989" w:rsidRDefault="00A15989" w:rsidP="00A15989">
      <w:pPr>
        <w:pStyle w:val="ListParagraph"/>
        <w:contextualSpacing w:val="0"/>
        <w:jc w:val="both"/>
        <w:rPr>
          <w:rFonts w:cs="Arial"/>
          <w:b/>
          <w:szCs w:val="24"/>
        </w:rPr>
      </w:pPr>
    </w:p>
    <w:p w14:paraId="2CA2D93C" w14:textId="2DBD0A30" w:rsidR="007253B8" w:rsidRPr="007253B8" w:rsidRDefault="007253B8" w:rsidP="00C4579C">
      <w:pPr>
        <w:pStyle w:val="ListParagraph"/>
        <w:numPr>
          <w:ilvl w:val="0"/>
          <w:numId w:val="25"/>
        </w:numPr>
        <w:contextualSpacing w:val="0"/>
        <w:jc w:val="both"/>
        <w:rPr>
          <w:rFonts w:cs="Arial"/>
          <w:b/>
          <w:szCs w:val="24"/>
        </w:rPr>
      </w:pPr>
      <w:r w:rsidRPr="007253B8">
        <w:rPr>
          <w:rFonts w:cs="Arial"/>
          <w:b/>
          <w:szCs w:val="24"/>
        </w:rPr>
        <w:t xml:space="preserve">Potential transport interventions </w:t>
      </w:r>
    </w:p>
    <w:p w14:paraId="7E7499AD" w14:textId="1A8BE6F8" w:rsidR="007253B8" w:rsidRPr="007253B8" w:rsidRDefault="007253B8" w:rsidP="00C4579C">
      <w:pPr>
        <w:pStyle w:val="NormalWeb"/>
        <w:numPr>
          <w:ilvl w:val="0"/>
          <w:numId w:val="11"/>
        </w:numPr>
        <w:shd w:val="clear" w:color="auto" w:fill="FFFFFF"/>
        <w:spacing w:before="300" w:beforeAutospacing="0" w:after="300" w:afterAutospacing="0"/>
        <w:jc w:val="both"/>
        <w:rPr>
          <w:rFonts w:ascii="Arial" w:hAnsi="Arial" w:cs="Arial"/>
          <w:lang w:eastAsia="en-US"/>
        </w:rPr>
      </w:pPr>
      <w:r w:rsidRPr="007253B8">
        <w:rPr>
          <w:rFonts w:ascii="Arial" w:hAnsi="Arial" w:cs="Arial"/>
          <w:lang w:eastAsia="en-US"/>
        </w:rPr>
        <w:t xml:space="preserve">The selected consultant is to consider each of the transport modes </w:t>
      </w:r>
      <w:r w:rsidR="006F1BC3">
        <w:rPr>
          <w:rFonts w:ascii="Arial" w:hAnsi="Arial" w:cs="Arial"/>
          <w:lang w:eastAsia="en-US"/>
        </w:rPr>
        <w:t xml:space="preserve">identified below </w:t>
      </w:r>
      <w:r w:rsidRPr="007253B8">
        <w:rPr>
          <w:rFonts w:ascii="Arial" w:hAnsi="Arial" w:cs="Arial"/>
          <w:lang w:eastAsia="en-US"/>
        </w:rPr>
        <w:t xml:space="preserve">in relation to the </w:t>
      </w:r>
      <w:r w:rsidR="00F12186">
        <w:rPr>
          <w:rFonts w:ascii="Arial" w:hAnsi="Arial" w:cs="Arial"/>
          <w:lang w:eastAsia="en-US"/>
        </w:rPr>
        <w:t xml:space="preserve">two </w:t>
      </w:r>
      <w:r w:rsidRPr="007253B8">
        <w:rPr>
          <w:rFonts w:ascii="Arial" w:hAnsi="Arial" w:cs="Arial"/>
          <w:lang w:eastAsia="en-US"/>
        </w:rPr>
        <w:t>assumed development scenario</w:t>
      </w:r>
      <w:r w:rsidR="00F12186">
        <w:rPr>
          <w:rFonts w:ascii="Arial" w:hAnsi="Arial" w:cs="Arial"/>
          <w:lang w:eastAsia="en-US"/>
        </w:rPr>
        <w:t>s</w:t>
      </w:r>
      <w:r w:rsidRPr="007253B8">
        <w:rPr>
          <w:rFonts w:ascii="Arial" w:hAnsi="Arial" w:cs="Arial"/>
          <w:lang w:eastAsia="en-US"/>
        </w:rPr>
        <w:t xml:space="preserve"> outlined in Section</w:t>
      </w:r>
      <w:r w:rsidR="00A233E1">
        <w:rPr>
          <w:rFonts w:ascii="Arial" w:hAnsi="Arial" w:cs="Arial"/>
          <w:lang w:eastAsia="en-US"/>
        </w:rPr>
        <w:t xml:space="preserve"> 1</w:t>
      </w:r>
      <w:r w:rsidRPr="007253B8">
        <w:rPr>
          <w:rFonts w:ascii="Arial" w:hAnsi="Arial" w:cs="Arial"/>
          <w:lang w:eastAsia="en-US"/>
        </w:rPr>
        <w:t xml:space="preserve"> above.  </w:t>
      </w:r>
    </w:p>
    <w:p w14:paraId="5A387B9B" w14:textId="2559FF2F" w:rsidR="007253B8" w:rsidRPr="007253B8" w:rsidRDefault="007253B8" w:rsidP="00C4579C">
      <w:pPr>
        <w:pStyle w:val="NormalWeb"/>
        <w:numPr>
          <w:ilvl w:val="0"/>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Each option should consider the </w:t>
      </w:r>
      <w:r w:rsidR="00CE1D88">
        <w:rPr>
          <w:rFonts w:ascii="Arial" w:hAnsi="Arial" w:cs="Arial"/>
          <w:lang w:eastAsia="en-US"/>
        </w:rPr>
        <w:t xml:space="preserve">opportunities and constraints </w:t>
      </w:r>
      <w:r w:rsidRPr="007253B8">
        <w:rPr>
          <w:rFonts w:ascii="Arial" w:hAnsi="Arial" w:cs="Arial"/>
          <w:lang w:eastAsia="en-US"/>
        </w:rPr>
        <w:t>relating to each potential solution including:</w:t>
      </w:r>
    </w:p>
    <w:p w14:paraId="43EAC997" w14:textId="77777777"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capital and ongoing costs; </w:t>
      </w:r>
    </w:p>
    <w:p w14:paraId="21448F5B" w14:textId="77777777"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management issues;</w:t>
      </w:r>
    </w:p>
    <w:p w14:paraId="5E3C664E" w14:textId="77777777"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 xml:space="preserve">land use requirements (ownership, planning, costs); </w:t>
      </w:r>
    </w:p>
    <w:p w14:paraId="4E2DACC8" w14:textId="77777777"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r w:rsidRPr="007253B8">
        <w:rPr>
          <w:rFonts w:ascii="Arial" w:hAnsi="Arial" w:cs="Arial"/>
          <w:lang w:eastAsia="en-US"/>
        </w:rPr>
        <w:t>timescales associated with delivery; and</w:t>
      </w:r>
    </w:p>
    <w:p w14:paraId="494A4474" w14:textId="77777777" w:rsidR="007253B8" w:rsidRPr="007253B8" w:rsidRDefault="007253B8" w:rsidP="00C4579C">
      <w:pPr>
        <w:pStyle w:val="NormalWeb"/>
        <w:numPr>
          <w:ilvl w:val="1"/>
          <w:numId w:val="11"/>
        </w:numPr>
        <w:shd w:val="clear" w:color="auto" w:fill="FFFFFF"/>
        <w:spacing w:before="0" w:beforeAutospacing="0" w:after="0" w:afterAutospacing="0"/>
        <w:ind w:hanging="357"/>
        <w:jc w:val="both"/>
        <w:rPr>
          <w:rFonts w:ascii="Arial" w:hAnsi="Arial" w:cs="Arial"/>
          <w:lang w:eastAsia="en-US"/>
        </w:rPr>
      </w:pPr>
      <w:proofErr w:type="gramStart"/>
      <w:r w:rsidRPr="007253B8">
        <w:rPr>
          <w:rFonts w:ascii="Arial" w:hAnsi="Arial" w:cs="Arial"/>
          <w:lang w:eastAsia="en-US"/>
        </w:rPr>
        <w:t>any</w:t>
      </w:r>
      <w:proofErr w:type="gramEnd"/>
      <w:r w:rsidRPr="007253B8">
        <w:rPr>
          <w:rFonts w:ascii="Arial" w:hAnsi="Arial" w:cs="Arial"/>
          <w:lang w:eastAsia="en-US"/>
        </w:rPr>
        <w:t xml:space="preserve"> other potential issues/considerations. </w:t>
      </w:r>
    </w:p>
    <w:p w14:paraId="41310123" w14:textId="77777777" w:rsidR="007253B8" w:rsidRDefault="007253B8" w:rsidP="00C4579C">
      <w:pPr>
        <w:jc w:val="both"/>
        <w:rPr>
          <w:rFonts w:ascii="Calibri" w:hAnsi="Calibri" w:cs="Calibri"/>
          <w:b/>
          <w:sz w:val="22"/>
          <w:u w:val="single"/>
          <w:lang w:val="en-US"/>
        </w:rPr>
      </w:pPr>
    </w:p>
    <w:p w14:paraId="1005843E" w14:textId="77777777" w:rsidR="007253B8" w:rsidRPr="007253B8" w:rsidRDefault="007253B8" w:rsidP="00C4579C">
      <w:pPr>
        <w:ind w:firstLine="720"/>
        <w:jc w:val="both"/>
        <w:rPr>
          <w:b/>
          <w:i/>
          <w:u w:val="single"/>
          <w:lang w:val="en-US"/>
        </w:rPr>
      </w:pPr>
      <w:r w:rsidRPr="007253B8">
        <w:rPr>
          <w:b/>
          <w:i/>
          <w:u w:val="single"/>
          <w:lang w:val="en-US"/>
        </w:rPr>
        <w:t xml:space="preserve">Bus Transport </w:t>
      </w:r>
    </w:p>
    <w:p w14:paraId="3EAF00E9" w14:textId="3784BCD1" w:rsidR="007253B8" w:rsidRDefault="007253B8" w:rsidP="00C4579C">
      <w:pPr>
        <w:ind w:left="714"/>
        <w:jc w:val="both"/>
        <w:rPr>
          <w:lang w:val="en-US"/>
        </w:rPr>
      </w:pPr>
      <w:r>
        <w:rPr>
          <w:lang w:val="en-US"/>
        </w:rPr>
        <w:t xml:space="preserve">Selected consultant to review existing bus provision which provides links from the </w:t>
      </w:r>
      <w:proofErr w:type="spellStart"/>
      <w:r>
        <w:rPr>
          <w:lang w:val="en-US"/>
        </w:rPr>
        <w:t>Haslar</w:t>
      </w:r>
      <w:proofErr w:type="spellEnd"/>
      <w:r>
        <w:rPr>
          <w:lang w:val="en-US"/>
        </w:rPr>
        <w:t xml:space="preserve"> peninsula to the Gosport Transport Interchange.</w:t>
      </w:r>
      <w:r w:rsidR="005145C7">
        <w:rPr>
          <w:lang w:val="en-US"/>
        </w:rPr>
        <w:t xml:space="preserve"> It is noted that current timetabling and routing see no buses currently </w:t>
      </w:r>
      <w:proofErr w:type="spellStart"/>
      <w:r w:rsidR="005145C7">
        <w:rPr>
          <w:lang w:val="en-US"/>
        </w:rPr>
        <w:t>utilising</w:t>
      </w:r>
      <w:proofErr w:type="spellEnd"/>
      <w:r w:rsidR="005145C7">
        <w:rPr>
          <w:lang w:val="en-US"/>
        </w:rPr>
        <w:t xml:space="preserve"> </w:t>
      </w:r>
      <w:proofErr w:type="spellStart"/>
      <w:r w:rsidR="005145C7">
        <w:rPr>
          <w:lang w:val="en-US"/>
        </w:rPr>
        <w:t>Haslar</w:t>
      </w:r>
      <w:proofErr w:type="spellEnd"/>
      <w:r w:rsidR="005145C7">
        <w:rPr>
          <w:lang w:val="en-US"/>
        </w:rPr>
        <w:t xml:space="preserve"> Road, therefore there are no buses directly passing the </w:t>
      </w:r>
      <w:r w:rsidR="0082583F">
        <w:rPr>
          <w:lang w:val="en-US"/>
        </w:rPr>
        <w:t>site</w:t>
      </w:r>
      <w:r w:rsidR="005145C7">
        <w:rPr>
          <w:lang w:val="en-US"/>
        </w:rPr>
        <w:t xml:space="preserve">.  Considerations </w:t>
      </w:r>
      <w:r>
        <w:rPr>
          <w:lang w:val="en-US"/>
        </w:rPr>
        <w:t>should include:</w:t>
      </w:r>
    </w:p>
    <w:p w14:paraId="5AC2C1EF" w14:textId="77777777" w:rsidR="007253B8" w:rsidRDefault="007253B8" w:rsidP="00C4579C">
      <w:pPr>
        <w:jc w:val="both"/>
        <w:rPr>
          <w:lang w:val="en-US"/>
        </w:rPr>
      </w:pPr>
    </w:p>
    <w:p w14:paraId="7C96DF1D" w14:textId="48FD34B3" w:rsidR="007253B8" w:rsidRDefault="002F39F9" w:rsidP="00C4579C">
      <w:pPr>
        <w:pStyle w:val="ListParagraph"/>
        <w:numPr>
          <w:ilvl w:val="0"/>
          <w:numId w:val="12"/>
        </w:numPr>
        <w:ind w:left="714" w:hanging="357"/>
        <w:jc w:val="both"/>
        <w:rPr>
          <w:lang w:val="en-US"/>
        </w:rPr>
      </w:pPr>
      <w:r>
        <w:rPr>
          <w:lang w:val="en-US"/>
        </w:rPr>
        <w:t>The operational and comm</w:t>
      </w:r>
      <w:r w:rsidR="00741CDC">
        <w:rPr>
          <w:lang w:val="en-US"/>
        </w:rPr>
        <w:t>ercial feasibility of extending</w:t>
      </w:r>
      <w:r>
        <w:rPr>
          <w:lang w:val="en-US"/>
        </w:rPr>
        <w:t xml:space="preserve"> the Eclipse services</w:t>
      </w:r>
      <w:r w:rsidR="007253B8">
        <w:rPr>
          <w:lang w:val="en-US"/>
        </w:rPr>
        <w:t xml:space="preserve"> E1 and/or E2 route to include Blockhouse/</w:t>
      </w:r>
      <w:proofErr w:type="spellStart"/>
      <w:r w:rsidR="007253B8">
        <w:rPr>
          <w:lang w:val="en-US"/>
        </w:rPr>
        <w:t>Haslar</w:t>
      </w:r>
      <w:proofErr w:type="spellEnd"/>
      <w:r w:rsidR="007253B8">
        <w:rPr>
          <w:lang w:val="en-US"/>
        </w:rPr>
        <w:t xml:space="preserve"> Hospital Loop. </w:t>
      </w:r>
    </w:p>
    <w:p w14:paraId="4BB32B1E" w14:textId="058C9638" w:rsidR="002F39F9" w:rsidRDefault="007253B8" w:rsidP="00C4579C">
      <w:pPr>
        <w:pStyle w:val="ListParagraph"/>
        <w:numPr>
          <w:ilvl w:val="0"/>
          <w:numId w:val="12"/>
        </w:numPr>
        <w:ind w:left="714" w:hanging="357"/>
        <w:jc w:val="both"/>
        <w:rPr>
          <w:lang w:val="en-US"/>
        </w:rPr>
      </w:pPr>
      <w:r>
        <w:rPr>
          <w:lang w:val="en-US"/>
        </w:rPr>
        <w:t>Potential extension of the existing</w:t>
      </w:r>
      <w:r w:rsidR="002F39F9">
        <w:rPr>
          <w:lang w:val="en-US"/>
        </w:rPr>
        <w:t xml:space="preserve"> </w:t>
      </w:r>
      <w:proofErr w:type="spellStart"/>
      <w:r w:rsidR="002F39F9">
        <w:rPr>
          <w:lang w:val="en-US"/>
        </w:rPr>
        <w:t>subsidised</w:t>
      </w:r>
      <w:proofErr w:type="spellEnd"/>
      <w:r>
        <w:rPr>
          <w:lang w:val="en-US"/>
        </w:rPr>
        <w:t xml:space="preserve"> 11 service which is currently limited</w:t>
      </w:r>
      <w:r w:rsidR="005145C7">
        <w:rPr>
          <w:lang w:val="en-US"/>
        </w:rPr>
        <w:t xml:space="preserve"> and currently does not </w:t>
      </w:r>
      <w:proofErr w:type="spellStart"/>
      <w:r w:rsidR="005145C7">
        <w:rPr>
          <w:lang w:val="en-US"/>
        </w:rPr>
        <w:t>utilise</w:t>
      </w:r>
      <w:proofErr w:type="spellEnd"/>
      <w:r w:rsidR="005145C7">
        <w:rPr>
          <w:lang w:val="en-US"/>
        </w:rPr>
        <w:t xml:space="preserve"> </w:t>
      </w:r>
      <w:proofErr w:type="spellStart"/>
      <w:r w:rsidR="005145C7">
        <w:rPr>
          <w:lang w:val="en-US"/>
        </w:rPr>
        <w:t>Haslar</w:t>
      </w:r>
      <w:proofErr w:type="spellEnd"/>
      <w:r w:rsidR="005145C7">
        <w:rPr>
          <w:lang w:val="en-US"/>
        </w:rPr>
        <w:t xml:space="preserve"> Road / go past Blockhouse</w:t>
      </w:r>
      <w:r w:rsidR="002F39F9">
        <w:rPr>
          <w:lang w:val="en-US"/>
        </w:rPr>
        <w:t>.</w:t>
      </w:r>
    </w:p>
    <w:p w14:paraId="42FA4DF3" w14:textId="65B32CCA" w:rsidR="007253B8" w:rsidRDefault="002F39F9" w:rsidP="00C4579C">
      <w:pPr>
        <w:pStyle w:val="ListParagraph"/>
        <w:numPr>
          <w:ilvl w:val="0"/>
          <w:numId w:val="12"/>
        </w:numPr>
        <w:ind w:left="714" w:hanging="357"/>
        <w:jc w:val="both"/>
        <w:rPr>
          <w:lang w:val="en-US"/>
        </w:rPr>
      </w:pPr>
      <w:r>
        <w:rPr>
          <w:lang w:val="en-US"/>
        </w:rPr>
        <w:t>Providing</w:t>
      </w:r>
      <w:r w:rsidR="007253B8">
        <w:rPr>
          <w:lang w:val="en-US"/>
        </w:rPr>
        <w:t xml:space="preserve"> a new regular</w:t>
      </w:r>
      <w:r>
        <w:rPr>
          <w:lang w:val="en-US"/>
        </w:rPr>
        <w:t xml:space="preserve"> shuttle</w:t>
      </w:r>
      <w:r w:rsidR="007253B8">
        <w:rPr>
          <w:lang w:val="en-US"/>
        </w:rPr>
        <w:t xml:space="preserve"> service</w:t>
      </w:r>
      <w:r>
        <w:rPr>
          <w:lang w:val="en-US"/>
        </w:rPr>
        <w:t xml:space="preserve"> between the </w:t>
      </w:r>
      <w:r w:rsidR="008158BA">
        <w:rPr>
          <w:lang w:val="en-US"/>
        </w:rPr>
        <w:t xml:space="preserve">Blockhouse </w:t>
      </w:r>
      <w:r>
        <w:rPr>
          <w:lang w:val="en-US"/>
        </w:rPr>
        <w:t xml:space="preserve">site / </w:t>
      </w:r>
      <w:r w:rsidR="008158BA">
        <w:rPr>
          <w:lang w:val="en-US"/>
        </w:rPr>
        <w:t xml:space="preserve">the </w:t>
      </w:r>
      <w:r>
        <w:rPr>
          <w:lang w:val="en-US"/>
        </w:rPr>
        <w:t xml:space="preserve">wider </w:t>
      </w:r>
      <w:proofErr w:type="spellStart"/>
      <w:r w:rsidR="008158BA">
        <w:rPr>
          <w:lang w:val="en-US"/>
        </w:rPr>
        <w:t>Haslar</w:t>
      </w:r>
      <w:proofErr w:type="spellEnd"/>
      <w:r w:rsidR="008158BA">
        <w:rPr>
          <w:lang w:val="en-US"/>
        </w:rPr>
        <w:t xml:space="preserve"> </w:t>
      </w:r>
      <w:r>
        <w:rPr>
          <w:lang w:val="en-US"/>
        </w:rPr>
        <w:t>peninsula</w:t>
      </w:r>
      <w:r w:rsidR="008158BA">
        <w:rPr>
          <w:lang w:val="en-US"/>
        </w:rPr>
        <w:t xml:space="preserve"> area</w:t>
      </w:r>
      <w:r>
        <w:rPr>
          <w:lang w:val="en-US"/>
        </w:rPr>
        <w:t xml:space="preserve"> and the Gosport transport interchange</w:t>
      </w:r>
      <w:r w:rsidR="007253B8">
        <w:rPr>
          <w:lang w:val="en-US"/>
        </w:rPr>
        <w:t>.</w:t>
      </w:r>
    </w:p>
    <w:p w14:paraId="178D4B35" w14:textId="19E6DEAB" w:rsidR="007253B8" w:rsidRDefault="007253B8" w:rsidP="00C4579C">
      <w:pPr>
        <w:pStyle w:val="ListParagraph"/>
        <w:numPr>
          <w:ilvl w:val="0"/>
          <w:numId w:val="12"/>
        </w:numPr>
        <w:ind w:left="714" w:hanging="357"/>
        <w:jc w:val="both"/>
        <w:rPr>
          <w:lang w:val="en-US"/>
        </w:rPr>
      </w:pPr>
      <w:r>
        <w:rPr>
          <w:lang w:val="en-US"/>
        </w:rPr>
        <w:t>Bus Stop at main entrance</w:t>
      </w:r>
      <w:r w:rsidR="002F39F9">
        <w:rPr>
          <w:lang w:val="en-US"/>
        </w:rPr>
        <w:t>, and within</w:t>
      </w:r>
      <w:r>
        <w:rPr>
          <w:lang w:val="en-US"/>
        </w:rPr>
        <w:t xml:space="preserve"> site with good</w:t>
      </w:r>
      <w:r w:rsidR="002F39F9">
        <w:rPr>
          <w:lang w:val="en-US"/>
        </w:rPr>
        <w:t xml:space="preserve"> quality</w:t>
      </w:r>
      <w:r>
        <w:rPr>
          <w:lang w:val="en-US"/>
        </w:rPr>
        <w:t xml:space="preserve"> shelter</w:t>
      </w:r>
      <w:r w:rsidR="002F39F9">
        <w:rPr>
          <w:lang w:val="en-US"/>
        </w:rPr>
        <w:t xml:space="preserve"> from adverse weather, together with</w:t>
      </w:r>
      <w:r w:rsidR="001B0759">
        <w:rPr>
          <w:lang w:val="en-US"/>
        </w:rPr>
        <w:t xml:space="preserve"> </w:t>
      </w:r>
      <w:r>
        <w:rPr>
          <w:lang w:val="en-US"/>
        </w:rPr>
        <w:t>real time information.</w:t>
      </w:r>
    </w:p>
    <w:p w14:paraId="228AE142" w14:textId="77777777" w:rsidR="007253B8" w:rsidRDefault="007253B8" w:rsidP="00C4579C">
      <w:pPr>
        <w:pStyle w:val="ListParagraph"/>
        <w:numPr>
          <w:ilvl w:val="0"/>
          <w:numId w:val="12"/>
        </w:numPr>
        <w:ind w:left="714" w:hanging="357"/>
        <w:jc w:val="both"/>
        <w:rPr>
          <w:lang w:val="en-US"/>
        </w:rPr>
      </w:pPr>
      <w:r>
        <w:rPr>
          <w:bCs/>
          <w:lang w:val="en-US"/>
        </w:rPr>
        <w:t>Review of the existing community bus Dial</w:t>
      </w:r>
      <w:r>
        <w:rPr>
          <w:lang w:val="en-US"/>
        </w:rPr>
        <w:t>-A-Ride which is operated by Community First is available to book between 9:00-16:00 Mon-Fri cover trips in Gosport/</w:t>
      </w:r>
      <w:proofErr w:type="spellStart"/>
      <w:r>
        <w:rPr>
          <w:lang w:val="en-US"/>
        </w:rPr>
        <w:t>Fareham</w:t>
      </w:r>
      <w:proofErr w:type="spellEnd"/>
      <w:r>
        <w:rPr>
          <w:lang w:val="en-US"/>
        </w:rPr>
        <w:t xml:space="preserve"> area.  </w:t>
      </w:r>
    </w:p>
    <w:p w14:paraId="44F072E0" w14:textId="1C242EE2" w:rsidR="007253B8" w:rsidRDefault="007253B8" w:rsidP="00C4579C">
      <w:pPr>
        <w:pStyle w:val="ListParagraph"/>
        <w:jc w:val="both"/>
        <w:rPr>
          <w:lang w:val="en-US"/>
        </w:rPr>
      </w:pPr>
    </w:p>
    <w:p w14:paraId="3327652D" w14:textId="6410C173" w:rsidR="00B364D7" w:rsidRDefault="00B364D7" w:rsidP="00C4579C">
      <w:pPr>
        <w:pStyle w:val="ListParagraph"/>
        <w:jc w:val="both"/>
        <w:rPr>
          <w:lang w:val="en-US"/>
        </w:rPr>
      </w:pPr>
      <w:r>
        <w:rPr>
          <w:lang w:val="en-US"/>
        </w:rPr>
        <w:t xml:space="preserve">As part of this work it will be necessary to liaise with First Bus </w:t>
      </w:r>
      <w:r w:rsidR="008158BA">
        <w:rPr>
          <w:lang w:val="en-US"/>
        </w:rPr>
        <w:t xml:space="preserve">and other appropriate bus service operators </w:t>
      </w:r>
      <w:r>
        <w:rPr>
          <w:lang w:val="en-US"/>
        </w:rPr>
        <w:t>on potential options.</w:t>
      </w:r>
    </w:p>
    <w:p w14:paraId="5773C34E" w14:textId="77777777" w:rsidR="007253B8" w:rsidRDefault="007253B8" w:rsidP="00C4579C">
      <w:pPr>
        <w:jc w:val="both"/>
        <w:rPr>
          <w:lang w:val="en-US"/>
        </w:rPr>
      </w:pPr>
    </w:p>
    <w:p w14:paraId="0F186F91" w14:textId="28287884" w:rsidR="007253B8" w:rsidRPr="007253B8" w:rsidRDefault="007253B8" w:rsidP="007B50A0">
      <w:pPr>
        <w:ind w:firstLine="714"/>
        <w:jc w:val="both"/>
        <w:rPr>
          <w:i/>
          <w:lang w:val="en-US"/>
        </w:rPr>
      </w:pPr>
      <w:r w:rsidRPr="007253B8">
        <w:rPr>
          <w:b/>
          <w:i/>
          <w:u w:val="single"/>
          <w:lang w:val="en-US"/>
        </w:rPr>
        <w:lastRenderedPageBreak/>
        <w:t>Water transport</w:t>
      </w:r>
    </w:p>
    <w:p w14:paraId="4D2305A3" w14:textId="77777777" w:rsidR="005B470B" w:rsidRDefault="007253B8" w:rsidP="00C4579C">
      <w:pPr>
        <w:ind w:left="714"/>
        <w:jc w:val="both"/>
        <w:rPr>
          <w:lang w:val="en-US"/>
        </w:rPr>
      </w:pPr>
      <w:r>
        <w:rPr>
          <w:lang w:val="en-US"/>
        </w:rPr>
        <w:t>Selected consultant to explore the potential of water transport options.  This should include consideration of:</w:t>
      </w:r>
      <w:r w:rsidR="005B470B">
        <w:rPr>
          <w:lang w:val="en-US"/>
        </w:rPr>
        <w:t>-</w:t>
      </w:r>
    </w:p>
    <w:p w14:paraId="46197D37" w14:textId="77777777" w:rsidR="007253B8" w:rsidRDefault="007253B8" w:rsidP="00C4579C">
      <w:pPr>
        <w:ind w:left="714"/>
        <w:jc w:val="both"/>
        <w:rPr>
          <w:lang w:val="en-US"/>
        </w:rPr>
      </w:pPr>
    </w:p>
    <w:p w14:paraId="5AE57069" w14:textId="77777777" w:rsidR="007253B8" w:rsidRDefault="007253B8" w:rsidP="00C4579C">
      <w:pPr>
        <w:pStyle w:val="ListParagraph"/>
        <w:numPr>
          <w:ilvl w:val="0"/>
          <w:numId w:val="12"/>
        </w:numPr>
        <w:contextualSpacing w:val="0"/>
        <w:jc w:val="both"/>
        <w:rPr>
          <w:lang w:val="en-US"/>
        </w:rPr>
      </w:pPr>
      <w:r>
        <w:rPr>
          <w:lang w:val="en-US"/>
        </w:rPr>
        <w:t xml:space="preserve">The existing link which the National Museum of the Royal Navy already provide between Historic Dock Yard and the Submarine Museum. </w:t>
      </w:r>
    </w:p>
    <w:p w14:paraId="2F164649" w14:textId="751252F4" w:rsidR="007253B8" w:rsidRDefault="007253B8" w:rsidP="00C4579C">
      <w:pPr>
        <w:pStyle w:val="ListParagraph"/>
        <w:numPr>
          <w:ilvl w:val="1"/>
          <w:numId w:val="12"/>
        </w:numPr>
        <w:jc w:val="both"/>
        <w:rPr>
          <w:lang w:val="en-US"/>
        </w:rPr>
      </w:pPr>
      <w:r>
        <w:rPr>
          <w:lang w:val="en-US"/>
        </w:rPr>
        <w:t>For example, could a service be expanded to include the main pontoon on the Portsmouth side adjacent the railway station as well as a link to the Gosport Fe</w:t>
      </w:r>
      <w:r w:rsidR="00B364D7">
        <w:rPr>
          <w:lang w:val="en-US"/>
        </w:rPr>
        <w:t>rry pontoon on the Gosport side?</w:t>
      </w:r>
    </w:p>
    <w:p w14:paraId="049325B5" w14:textId="05DE8A9B" w:rsidR="007253B8" w:rsidRDefault="007253B8" w:rsidP="00C4579C">
      <w:pPr>
        <w:pStyle w:val="ListParagraph"/>
        <w:numPr>
          <w:ilvl w:val="0"/>
          <w:numId w:val="12"/>
        </w:numPr>
        <w:contextualSpacing w:val="0"/>
        <w:jc w:val="both"/>
        <w:rPr>
          <w:lang w:val="en-US"/>
        </w:rPr>
      </w:pPr>
      <w:r>
        <w:rPr>
          <w:lang w:val="en-US"/>
        </w:rPr>
        <w:t>The potential for a water taxi from Fort Blockhouse site to the Gosport ferry terminal and Portsmouth destinations</w:t>
      </w:r>
      <w:r w:rsidR="008B5B4C">
        <w:rPr>
          <w:lang w:val="en-US"/>
        </w:rPr>
        <w:t xml:space="preserve"> and realistic assumptions about potential user profiles and passenger numbers</w:t>
      </w:r>
      <w:r>
        <w:rPr>
          <w:lang w:val="en-US"/>
        </w:rPr>
        <w:t xml:space="preserve">. </w:t>
      </w:r>
    </w:p>
    <w:p w14:paraId="1C1A334C" w14:textId="77777777" w:rsidR="007253B8" w:rsidRDefault="007253B8" w:rsidP="00C4579C">
      <w:pPr>
        <w:pStyle w:val="ListParagraph"/>
        <w:numPr>
          <w:ilvl w:val="0"/>
          <w:numId w:val="12"/>
        </w:numPr>
        <w:contextualSpacing w:val="0"/>
        <w:jc w:val="both"/>
        <w:rPr>
          <w:lang w:val="en-US"/>
        </w:rPr>
      </w:pPr>
      <w:r>
        <w:rPr>
          <w:lang w:val="en-US"/>
        </w:rPr>
        <w:t>Review of the outcome of the recent Park and Float pilot scheme for the Gosport ferry.</w:t>
      </w:r>
    </w:p>
    <w:p w14:paraId="342EBA56" w14:textId="77777777" w:rsidR="007253B8" w:rsidRDefault="007253B8" w:rsidP="00C4579C">
      <w:pPr>
        <w:jc w:val="both"/>
        <w:rPr>
          <w:lang w:val="en-US"/>
        </w:rPr>
      </w:pPr>
    </w:p>
    <w:p w14:paraId="7FAF32E8" w14:textId="77777777" w:rsidR="007253B8" w:rsidRPr="007253B8" w:rsidRDefault="007253B8" w:rsidP="00C4579C">
      <w:pPr>
        <w:ind w:firstLine="720"/>
        <w:jc w:val="both"/>
        <w:rPr>
          <w:i/>
          <w:lang w:val="en-US"/>
        </w:rPr>
      </w:pPr>
      <w:r w:rsidRPr="007253B8">
        <w:rPr>
          <w:b/>
          <w:i/>
          <w:u w:val="single"/>
          <w:lang w:val="en-US"/>
        </w:rPr>
        <w:t>Land train</w:t>
      </w:r>
    </w:p>
    <w:p w14:paraId="7F40DAEC" w14:textId="295D001E" w:rsidR="007253B8" w:rsidRDefault="007253B8" w:rsidP="00C4579C">
      <w:pPr>
        <w:ind w:left="720"/>
        <w:jc w:val="both"/>
        <w:rPr>
          <w:lang w:val="en-US"/>
        </w:rPr>
      </w:pPr>
      <w:r>
        <w:rPr>
          <w:lang w:val="en-US"/>
        </w:rPr>
        <w:t xml:space="preserve">Selected consultant to explore the feasibility of linking the site to a wider strategic route from </w:t>
      </w:r>
      <w:proofErr w:type="spellStart"/>
      <w:r>
        <w:rPr>
          <w:lang w:val="en-US"/>
        </w:rPr>
        <w:t>Priddy’</w:t>
      </w:r>
      <w:r w:rsidR="00B364D7">
        <w:rPr>
          <w:lang w:val="en-US"/>
        </w:rPr>
        <w:t>s</w:t>
      </w:r>
      <w:proofErr w:type="spellEnd"/>
      <w:r w:rsidR="00B364D7">
        <w:rPr>
          <w:lang w:val="en-US"/>
        </w:rPr>
        <w:t xml:space="preserve"> Hard-RCY-Town Centre- </w:t>
      </w:r>
      <w:proofErr w:type="spellStart"/>
      <w:r w:rsidR="00B364D7">
        <w:rPr>
          <w:lang w:val="en-US"/>
        </w:rPr>
        <w:t>Haslar</w:t>
      </w:r>
      <w:proofErr w:type="spellEnd"/>
      <w:r w:rsidR="00B364D7">
        <w:rPr>
          <w:lang w:val="en-US"/>
        </w:rPr>
        <w:t xml:space="preserve"> as well as a service which reduces car use within the Blockhouse site itself.</w:t>
      </w:r>
    </w:p>
    <w:p w14:paraId="761B9E9F" w14:textId="77777777" w:rsidR="007253B8" w:rsidRDefault="007253B8" w:rsidP="00C4579C">
      <w:pPr>
        <w:jc w:val="both"/>
        <w:rPr>
          <w:lang w:val="en-US"/>
        </w:rPr>
      </w:pPr>
    </w:p>
    <w:p w14:paraId="1CA12297" w14:textId="2315E721" w:rsidR="007253B8" w:rsidRPr="007253B8" w:rsidRDefault="004B673B" w:rsidP="00C4579C">
      <w:pPr>
        <w:ind w:left="720"/>
        <w:jc w:val="both"/>
        <w:rPr>
          <w:b/>
          <w:i/>
          <w:u w:val="single"/>
          <w:lang w:val="en-US"/>
        </w:rPr>
      </w:pPr>
      <w:r>
        <w:rPr>
          <w:b/>
          <w:i/>
          <w:u w:val="single"/>
          <w:lang w:val="en-US"/>
        </w:rPr>
        <w:t xml:space="preserve">Non Residential </w:t>
      </w:r>
      <w:r w:rsidR="007253B8" w:rsidRPr="007253B8">
        <w:rPr>
          <w:b/>
          <w:i/>
          <w:u w:val="single"/>
          <w:lang w:val="en-US"/>
        </w:rPr>
        <w:t xml:space="preserve">Park and </w:t>
      </w:r>
      <w:r w:rsidR="008158BA">
        <w:rPr>
          <w:b/>
          <w:i/>
          <w:u w:val="single"/>
          <w:lang w:val="en-US"/>
        </w:rPr>
        <w:t>R</w:t>
      </w:r>
      <w:r w:rsidR="007253B8" w:rsidRPr="007253B8">
        <w:rPr>
          <w:b/>
          <w:i/>
          <w:u w:val="single"/>
          <w:lang w:val="en-US"/>
        </w:rPr>
        <w:t>ide</w:t>
      </w:r>
    </w:p>
    <w:p w14:paraId="6CB8B2D3" w14:textId="240B1B9F" w:rsidR="007253B8" w:rsidRDefault="007253B8" w:rsidP="00C4579C">
      <w:pPr>
        <w:ind w:left="720"/>
        <w:jc w:val="both"/>
        <w:rPr>
          <w:b/>
          <w:u w:val="single"/>
          <w:lang w:val="en-US"/>
        </w:rPr>
      </w:pPr>
      <w:r>
        <w:rPr>
          <w:lang w:val="en-US"/>
        </w:rPr>
        <w:t xml:space="preserve">Selected consultant to explore the potential for employees and visitors to park in the main Walpole Park car parks and </w:t>
      </w:r>
      <w:r w:rsidR="004B673B">
        <w:rPr>
          <w:lang w:val="en-US"/>
        </w:rPr>
        <w:t xml:space="preserve">travel by non-car modes </w:t>
      </w:r>
      <w:r>
        <w:rPr>
          <w:lang w:val="en-US"/>
        </w:rPr>
        <w:t xml:space="preserve">to access the Blockhouse site.  </w:t>
      </w:r>
    </w:p>
    <w:p w14:paraId="04B13CCC" w14:textId="77777777" w:rsidR="007253B8" w:rsidRDefault="007253B8" w:rsidP="00C4579C">
      <w:pPr>
        <w:jc w:val="both"/>
        <w:rPr>
          <w:b/>
          <w:lang w:val="en-US"/>
        </w:rPr>
      </w:pPr>
    </w:p>
    <w:p w14:paraId="1E760034" w14:textId="77777777" w:rsidR="007253B8" w:rsidRPr="007253B8" w:rsidRDefault="007253B8" w:rsidP="00C4579C">
      <w:pPr>
        <w:ind w:firstLine="720"/>
        <w:jc w:val="both"/>
        <w:rPr>
          <w:i/>
          <w:u w:val="single"/>
          <w:lang w:val="en-US"/>
        </w:rPr>
      </w:pPr>
      <w:r w:rsidRPr="007253B8">
        <w:rPr>
          <w:b/>
          <w:i/>
          <w:u w:val="single"/>
          <w:lang w:val="en-US"/>
        </w:rPr>
        <w:t>Pedestrian access / walking</w:t>
      </w:r>
    </w:p>
    <w:p w14:paraId="2FF2972B" w14:textId="77777777" w:rsidR="007253B8" w:rsidRDefault="007253B8" w:rsidP="00C4579C">
      <w:pPr>
        <w:ind w:left="720"/>
        <w:jc w:val="both"/>
        <w:rPr>
          <w:lang w:val="en-US"/>
        </w:rPr>
      </w:pPr>
      <w:r>
        <w:rPr>
          <w:bCs/>
          <w:lang w:val="en-US"/>
        </w:rPr>
        <w:t xml:space="preserve">Selected consultant to consider the role </w:t>
      </w:r>
      <w:r>
        <w:rPr>
          <w:lang w:val="en-US"/>
        </w:rPr>
        <w:t xml:space="preserve">of Creekside Walk between </w:t>
      </w:r>
      <w:proofErr w:type="spellStart"/>
      <w:r>
        <w:rPr>
          <w:lang w:val="en-US"/>
        </w:rPr>
        <w:t>Haslar</w:t>
      </w:r>
      <w:proofErr w:type="spellEnd"/>
      <w:r>
        <w:rPr>
          <w:lang w:val="en-US"/>
        </w:rPr>
        <w:t xml:space="preserve"> Bridge and the Town Centre to improve connections to the west side of Town Centre. This should include considering:</w:t>
      </w:r>
    </w:p>
    <w:p w14:paraId="089E2304" w14:textId="77777777" w:rsidR="007253B8" w:rsidRDefault="007253B8" w:rsidP="00C4579C">
      <w:pPr>
        <w:pStyle w:val="ListParagraph"/>
        <w:numPr>
          <w:ilvl w:val="0"/>
          <w:numId w:val="13"/>
        </w:numPr>
        <w:spacing w:after="200" w:line="276" w:lineRule="auto"/>
        <w:jc w:val="both"/>
        <w:rPr>
          <w:lang w:val="en-US"/>
        </w:rPr>
      </w:pPr>
      <w:r>
        <w:rPr>
          <w:lang w:val="en-US"/>
        </w:rPr>
        <w:t xml:space="preserve">What has been funded so far e.g. </w:t>
      </w:r>
      <w:proofErr w:type="spellStart"/>
      <w:r>
        <w:rPr>
          <w:lang w:val="en-US"/>
        </w:rPr>
        <w:t>Haslar</w:t>
      </w:r>
      <w:proofErr w:type="spellEnd"/>
      <w:r>
        <w:rPr>
          <w:lang w:val="en-US"/>
        </w:rPr>
        <w:t xml:space="preserve"> Marina proposal. </w:t>
      </w:r>
    </w:p>
    <w:p w14:paraId="35B2147D" w14:textId="183B35DF" w:rsidR="007253B8" w:rsidRDefault="007253B8" w:rsidP="00C4579C">
      <w:pPr>
        <w:pStyle w:val="ListParagraph"/>
        <w:numPr>
          <w:ilvl w:val="0"/>
          <w:numId w:val="13"/>
        </w:numPr>
        <w:spacing w:after="200" w:line="276" w:lineRule="auto"/>
        <w:jc w:val="both"/>
        <w:rPr>
          <w:lang w:val="en-US"/>
        </w:rPr>
      </w:pPr>
      <w:r>
        <w:rPr>
          <w:lang w:val="en-US"/>
        </w:rPr>
        <w:t xml:space="preserve">What may be funded </w:t>
      </w:r>
      <w:r w:rsidR="0032602A">
        <w:rPr>
          <w:lang w:val="en-US"/>
        </w:rPr>
        <w:t>by</w:t>
      </w:r>
      <w:r>
        <w:rPr>
          <w:lang w:val="en-US"/>
        </w:rPr>
        <w:t xml:space="preserve"> </w:t>
      </w:r>
      <w:r w:rsidR="0032602A">
        <w:rPr>
          <w:lang w:val="en-US"/>
        </w:rPr>
        <w:t xml:space="preserve">external funding sources - such as Government grants for infrastructure and </w:t>
      </w:r>
      <w:proofErr w:type="gramStart"/>
      <w:r w:rsidR="0032602A">
        <w:rPr>
          <w:lang w:val="en-US"/>
        </w:rPr>
        <w:t>heritage</w:t>
      </w:r>
      <w:r>
        <w:rPr>
          <w:lang w:val="en-US"/>
        </w:rPr>
        <w:t>.</w:t>
      </w:r>
      <w:proofErr w:type="gramEnd"/>
      <w:r>
        <w:rPr>
          <w:lang w:val="en-US"/>
        </w:rPr>
        <w:t xml:space="preserve"> </w:t>
      </w:r>
    </w:p>
    <w:p w14:paraId="0BC8D68E" w14:textId="6B2C5B8F" w:rsidR="007253B8" w:rsidRDefault="007253B8" w:rsidP="00C4579C">
      <w:pPr>
        <w:pStyle w:val="ListParagraph"/>
        <w:numPr>
          <w:ilvl w:val="0"/>
          <w:numId w:val="13"/>
        </w:numPr>
        <w:contextualSpacing w:val="0"/>
        <w:jc w:val="both"/>
        <w:rPr>
          <w:lang w:val="en-US"/>
        </w:rPr>
      </w:pPr>
      <w:r>
        <w:rPr>
          <w:lang w:val="en-US"/>
        </w:rPr>
        <w:t xml:space="preserve">To consider if </w:t>
      </w:r>
      <w:r w:rsidR="0032602A">
        <w:rPr>
          <w:lang w:val="en-US"/>
        </w:rPr>
        <w:t>any pedestrian refuges are</w:t>
      </w:r>
      <w:r>
        <w:rPr>
          <w:lang w:val="en-US"/>
        </w:rPr>
        <w:t xml:space="preserve"> required</w:t>
      </w:r>
      <w:r w:rsidR="006F1BC3">
        <w:rPr>
          <w:lang w:val="en-US"/>
        </w:rPr>
        <w:t xml:space="preserve"> </w:t>
      </w:r>
      <w:r>
        <w:rPr>
          <w:lang w:val="en-US"/>
        </w:rPr>
        <w:t>- e.g. on proposed Gosport Lines walk between Bastion No.1 and Walpole Park/Car Park?</w:t>
      </w:r>
    </w:p>
    <w:p w14:paraId="4FF5786D" w14:textId="396C72D9" w:rsidR="004B673B" w:rsidRDefault="004B673B" w:rsidP="00C4579C">
      <w:pPr>
        <w:pStyle w:val="ListParagraph"/>
        <w:numPr>
          <w:ilvl w:val="0"/>
          <w:numId w:val="13"/>
        </w:numPr>
        <w:contextualSpacing w:val="0"/>
        <w:jc w:val="both"/>
        <w:rPr>
          <w:lang w:val="en-US"/>
        </w:rPr>
      </w:pPr>
      <w:r>
        <w:rPr>
          <w:lang w:val="en-US"/>
        </w:rPr>
        <w:t xml:space="preserve">Improved aligning, surfacing and wayfinding to/from and </w:t>
      </w:r>
      <w:r w:rsidR="00613ACF">
        <w:rPr>
          <w:lang w:val="en-US"/>
        </w:rPr>
        <w:t>along</w:t>
      </w:r>
      <w:r>
        <w:rPr>
          <w:lang w:val="en-US"/>
        </w:rPr>
        <w:t xml:space="preserve"> walking routes</w:t>
      </w:r>
    </w:p>
    <w:p w14:paraId="32DBC294" w14:textId="77777777" w:rsidR="007253B8" w:rsidRDefault="007253B8" w:rsidP="00C4579C">
      <w:pPr>
        <w:jc w:val="both"/>
        <w:rPr>
          <w:lang w:val="en-US"/>
        </w:rPr>
      </w:pPr>
    </w:p>
    <w:p w14:paraId="33C47C10" w14:textId="77777777" w:rsidR="007253B8" w:rsidRPr="007253B8" w:rsidRDefault="007253B8" w:rsidP="00C4579C">
      <w:pPr>
        <w:ind w:firstLine="720"/>
        <w:jc w:val="both"/>
        <w:rPr>
          <w:b/>
          <w:i/>
          <w:u w:val="single"/>
          <w:lang w:val="en-US"/>
        </w:rPr>
      </w:pPr>
      <w:r w:rsidRPr="007253B8">
        <w:rPr>
          <w:b/>
          <w:i/>
          <w:u w:val="single"/>
          <w:lang w:val="en-US"/>
        </w:rPr>
        <w:t>Cycling</w:t>
      </w:r>
    </w:p>
    <w:p w14:paraId="13D8328E" w14:textId="66F1B5F8" w:rsidR="007253B8" w:rsidRDefault="00354670" w:rsidP="00354670">
      <w:pPr>
        <w:ind w:left="720"/>
        <w:jc w:val="both"/>
        <w:rPr>
          <w:lang w:val="en-US"/>
        </w:rPr>
      </w:pPr>
      <w:r>
        <w:rPr>
          <w:lang w:val="en-US"/>
        </w:rPr>
        <w:t>In recognition of the need to provide improved cycle infrastructure and facilities, the s</w:t>
      </w:r>
      <w:r w:rsidR="007253B8">
        <w:rPr>
          <w:lang w:val="en-US"/>
        </w:rPr>
        <w:t>elected consultant to consider the potential for:</w:t>
      </w:r>
    </w:p>
    <w:p w14:paraId="681822A9" w14:textId="77777777" w:rsidR="007253B8" w:rsidRDefault="007253B8" w:rsidP="00C4579C">
      <w:pPr>
        <w:jc w:val="both"/>
        <w:rPr>
          <w:lang w:val="en-US"/>
        </w:rPr>
      </w:pPr>
    </w:p>
    <w:p w14:paraId="00F6ACA0" w14:textId="77777777" w:rsidR="007253B8" w:rsidRDefault="007253B8" w:rsidP="00C4579C">
      <w:pPr>
        <w:pStyle w:val="ListParagraph"/>
        <w:numPr>
          <w:ilvl w:val="0"/>
          <w:numId w:val="13"/>
        </w:numPr>
        <w:contextualSpacing w:val="0"/>
        <w:jc w:val="both"/>
        <w:rPr>
          <w:lang w:val="en-US"/>
        </w:rPr>
      </w:pPr>
      <w:r>
        <w:rPr>
          <w:lang w:val="en-US"/>
        </w:rPr>
        <w:t>Improved cycle provision across bridge.  For example:</w:t>
      </w:r>
    </w:p>
    <w:p w14:paraId="124939F0" w14:textId="77777777" w:rsidR="007253B8" w:rsidRDefault="007253B8" w:rsidP="00C4579C">
      <w:pPr>
        <w:pStyle w:val="ListParagraph"/>
        <w:numPr>
          <w:ilvl w:val="1"/>
          <w:numId w:val="13"/>
        </w:numPr>
        <w:jc w:val="both"/>
        <w:rPr>
          <w:lang w:val="en-US"/>
        </w:rPr>
      </w:pPr>
      <w:r>
        <w:rPr>
          <w:lang w:val="en-US"/>
        </w:rPr>
        <w:t xml:space="preserve">a head start at traffic lights </w:t>
      </w:r>
    </w:p>
    <w:p w14:paraId="1E406E6D" w14:textId="77777777" w:rsidR="007253B8" w:rsidRDefault="007253B8" w:rsidP="00C4579C">
      <w:pPr>
        <w:pStyle w:val="ListParagraph"/>
        <w:numPr>
          <w:ilvl w:val="1"/>
          <w:numId w:val="13"/>
        </w:numPr>
        <w:jc w:val="both"/>
        <w:rPr>
          <w:lang w:val="en-US"/>
        </w:rPr>
      </w:pPr>
      <w:r>
        <w:rPr>
          <w:lang w:val="en-US"/>
        </w:rPr>
        <w:t xml:space="preserve">a warning sign to vehicles re cycle usage across bridge </w:t>
      </w:r>
    </w:p>
    <w:p w14:paraId="28D92075" w14:textId="77777777" w:rsidR="007253B8" w:rsidRDefault="007253B8" w:rsidP="00C4579C">
      <w:pPr>
        <w:pStyle w:val="ListParagraph"/>
        <w:numPr>
          <w:ilvl w:val="0"/>
          <w:numId w:val="13"/>
        </w:numPr>
        <w:contextualSpacing w:val="0"/>
        <w:jc w:val="both"/>
        <w:rPr>
          <w:lang w:val="en-US"/>
        </w:rPr>
      </w:pPr>
      <w:r>
        <w:rPr>
          <w:lang w:val="en-US"/>
        </w:rPr>
        <w:t xml:space="preserve">Improved route between </w:t>
      </w:r>
      <w:proofErr w:type="spellStart"/>
      <w:r>
        <w:rPr>
          <w:lang w:val="en-US"/>
        </w:rPr>
        <w:t>Haslar</w:t>
      </w:r>
      <w:proofErr w:type="spellEnd"/>
      <w:r>
        <w:rPr>
          <w:lang w:val="en-US"/>
        </w:rPr>
        <w:t xml:space="preserve"> Bridge and Gosport transport interchange.</w:t>
      </w:r>
    </w:p>
    <w:p w14:paraId="2CBEE3F6" w14:textId="77777777" w:rsidR="007253B8" w:rsidRDefault="007253B8" w:rsidP="00C4579C">
      <w:pPr>
        <w:pStyle w:val="ListParagraph"/>
        <w:numPr>
          <w:ilvl w:val="0"/>
          <w:numId w:val="13"/>
        </w:numPr>
        <w:contextualSpacing w:val="0"/>
        <w:jc w:val="both"/>
        <w:rPr>
          <w:lang w:val="en-US"/>
        </w:rPr>
      </w:pPr>
      <w:r>
        <w:rPr>
          <w:lang w:val="en-US"/>
        </w:rPr>
        <w:t>A cycle route to be created along the existing access road between Blockhouse and Fort Road Car Park.</w:t>
      </w:r>
    </w:p>
    <w:p w14:paraId="323C2015" w14:textId="449841C9" w:rsidR="007253B8" w:rsidRDefault="007253B8" w:rsidP="00C4579C">
      <w:pPr>
        <w:pStyle w:val="ListParagraph"/>
        <w:numPr>
          <w:ilvl w:val="0"/>
          <w:numId w:val="13"/>
        </w:numPr>
        <w:contextualSpacing w:val="0"/>
        <w:jc w:val="both"/>
        <w:rPr>
          <w:lang w:val="en-US"/>
        </w:rPr>
      </w:pPr>
      <w:r>
        <w:rPr>
          <w:lang w:val="en-US"/>
        </w:rPr>
        <w:t xml:space="preserve">A link to the new bus interchange and cycle proposals for </w:t>
      </w:r>
      <w:proofErr w:type="spellStart"/>
      <w:r>
        <w:rPr>
          <w:lang w:val="en-US"/>
        </w:rPr>
        <w:t>Mumby</w:t>
      </w:r>
      <w:proofErr w:type="spellEnd"/>
      <w:r>
        <w:rPr>
          <w:lang w:val="en-US"/>
        </w:rPr>
        <w:t xml:space="preserve"> Road and South Street.</w:t>
      </w:r>
    </w:p>
    <w:p w14:paraId="20209A0F" w14:textId="501381D6" w:rsidR="00354670" w:rsidRDefault="00354670" w:rsidP="00C4579C">
      <w:pPr>
        <w:pStyle w:val="ListParagraph"/>
        <w:numPr>
          <w:ilvl w:val="0"/>
          <w:numId w:val="13"/>
        </w:numPr>
        <w:contextualSpacing w:val="0"/>
        <w:jc w:val="both"/>
        <w:rPr>
          <w:lang w:val="en-US"/>
        </w:rPr>
      </w:pPr>
      <w:r>
        <w:rPr>
          <w:lang w:val="en-US"/>
        </w:rPr>
        <w:lastRenderedPageBreak/>
        <w:t>The provision of a mobility hub(s) and bicycle share schemes (e.g. Beryl Bikes)</w:t>
      </w:r>
    </w:p>
    <w:p w14:paraId="0CBB3A81" w14:textId="77777777" w:rsidR="004B673B" w:rsidRDefault="007253B8" w:rsidP="00C4579C">
      <w:pPr>
        <w:pStyle w:val="ListParagraph"/>
        <w:numPr>
          <w:ilvl w:val="0"/>
          <w:numId w:val="13"/>
        </w:numPr>
        <w:contextualSpacing w:val="0"/>
        <w:jc w:val="both"/>
        <w:rPr>
          <w:lang w:val="en-US"/>
        </w:rPr>
      </w:pPr>
      <w:r>
        <w:rPr>
          <w:lang w:val="en-US"/>
        </w:rPr>
        <w:t>Improvements to the cycle route to Stokes Bay</w:t>
      </w:r>
      <w:r w:rsidR="004B673B">
        <w:rPr>
          <w:lang w:val="en-US"/>
        </w:rPr>
        <w:t xml:space="preserve"> and local schools</w:t>
      </w:r>
      <w:r>
        <w:rPr>
          <w:lang w:val="en-US"/>
        </w:rPr>
        <w:t>.</w:t>
      </w:r>
    </w:p>
    <w:p w14:paraId="47A7A14E" w14:textId="4D0C71E3" w:rsidR="007253B8" w:rsidRDefault="00A45081" w:rsidP="00C4579C">
      <w:pPr>
        <w:pStyle w:val="ListParagraph"/>
        <w:numPr>
          <w:ilvl w:val="0"/>
          <w:numId w:val="13"/>
        </w:numPr>
        <w:contextualSpacing w:val="0"/>
        <w:jc w:val="both"/>
        <w:rPr>
          <w:lang w:val="en-US"/>
        </w:rPr>
      </w:pPr>
      <w:r>
        <w:rPr>
          <w:lang w:val="en-US"/>
        </w:rPr>
        <w:t>Refer to the Gosport LCWIP (and GBC living list of cycle and pedestrian improvements) f</w:t>
      </w:r>
      <w:r w:rsidR="004B673B">
        <w:rPr>
          <w:lang w:val="en-US"/>
        </w:rPr>
        <w:t>or suggested improvements in the area to improve the links to the LCWIP routes and NCN cycle routes</w:t>
      </w:r>
      <w:r w:rsidR="007253B8">
        <w:rPr>
          <w:lang w:val="en-US"/>
        </w:rPr>
        <w:t xml:space="preserve"> </w:t>
      </w:r>
    </w:p>
    <w:p w14:paraId="04E3FD1A" w14:textId="77777777" w:rsidR="007253B8" w:rsidRDefault="007253B8" w:rsidP="00C4579C">
      <w:pPr>
        <w:pStyle w:val="ListParagraph"/>
        <w:numPr>
          <w:ilvl w:val="0"/>
          <w:numId w:val="13"/>
        </w:numPr>
        <w:contextualSpacing w:val="0"/>
        <w:jc w:val="both"/>
        <w:rPr>
          <w:lang w:val="en-US"/>
        </w:rPr>
      </w:pPr>
      <w:proofErr w:type="spellStart"/>
      <w:r>
        <w:rPr>
          <w:lang w:val="en-US"/>
        </w:rPr>
        <w:t>Solent</w:t>
      </w:r>
      <w:proofErr w:type="spellEnd"/>
      <w:r>
        <w:rPr>
          <w:lang w:val="en-US"/>
        </w:rPr>
        <w:t xml:space="preserve"> Mobility Zone-cycle zone scheme as mentioned in the </w:t>
      </w:r>
      <w:proofErr w:type="spellStart"/>
      <w:r>
        <w:rPr>
          <w:lang w:val="en-US"/>
        </w:rPr>
        <w:t>Stantec</w:t>
      </w:r>
      <w:proofErr w:type="spellEnd"/>
      <w:r>
        <w:rPr>
          <w:lang w:val="en-US"/>
        </w:rPr>
        <w:t xml:space="preserve">-Transport and Movement Strategy-section 5.2 p5.18). </w:t>
      </w:r>
    </w:p>
    <w:p w14:paraId="39717C74" w14:textId="77777777" w:rsidR="007253B8" w:rsidRDefault="007253B8" w:rsidP="00C4579C">
      <w:pPr>
        <w:pStyle w:val="ListParagraph"/>
        <w:numPr>
          <w:ilvl w:val="1"/>
          <w:numId w:val="13"/>
        </w:numPr>
        <w:jc w:val="both"/>
        <w:rPr>
          <w:lang w:val="en-US"/>
        </w:rPr>
      </w:pPr>
      <w:r>
        <w:rPr>
          <w:lang w:val="en-US"/>
        </w:rPr>
        <w:t>This should focus on Portsmouth and Southampton but with an extension on the Eclipse BRT Corridor in Gosport.</w:t>
      </w:r>
    </w:p>
    <w:p w14:paraId="51C035D9" w14:textId="77777777" w:rsidR="007253B8" w:rsidRDefault="007253B8" w:rsidP="00C4579C">
      <w:pPr>
        <w:jc w:val="both"/>
        <w:rPr>
          <w:lang w:val="en-US"/>
        </w:rPr>
      </w:pPr>
    </w:p>
    <w:p w14:paraId="55DE9927" w14:textId="77777777" w:rsidR="007253B8" w:rsidRPr="007253B8" w:rsidRDefault="007253B8" w:rsidP="00C4579C">
      <w:pPr>
        <w:ind w:left="360" w:firstLine="360"/>
        <w:jc w:val="both"/>
        <w:rPr>
          <w:b/>
          <w:i/>
          <w:u w:val="single"/>
          <w:lang w:val="en-US"/>
        </w:rPr>
      </w:pPr>
      <w:r w:rsidRPr="007253B8">
        <w:rPr>
          <w:b/>
          <w:i/>
          <w:u w:val="single"/>
          <w:lang w:val="en-US"/>
        </w:rPr>
        <w:t xml:space="preserve">Land use options </w:t>
      </w:r>
    </w:p>
    <w:p w14:paraId="57A64668" w14:textId="77777777" w:rsidR="007253B8" w:rsidRDefault="007253B8" w:rsidP="00C4579C">
      <w:pPr>
        <w:ind w:firstLine="720"/>
        <w:jc w:val="both"/>
        <w:rPr>
          <w:lang w:val="en-US"/>
        </w:rPr>
      </w:pPr>
      <w:r>
        <w:rPr>
          <w:lang w:val="en-US"/>
        </w:rPr>
        <w:t>Selected consultant to consider the impact of land use on modal shift:</w:t>
      </w:r>
    </w:p>
    <w:p w14:paraId="20E7EA6F" w14:textId="77777777" w:rsidR="007253B8" w:rsidRDefault="007253B8" w:rsidP="00C4579C">
      <w:pPr>
        <w:pStyle w:val="ListParagraph"/>
        <w:numPr>
          <w:ilvl w:val="0"/>
          <w:numId w:val="13"/>
        </w:numPr>
        <w:contextualSpacing w:val="0"/>
        <w:jc w:val="both"/>
        <w:rPr>
          <w:lang w:val="en-US"/>
        </w:rPr>
      </w:pPr>
      <w:r>
        <w:rPr>
          <w:lang w:val="en-US"/>
        </w:rPr>
        <w:t>Parking - Consideration of different types of residential dwellings and how this might impact the requirement for parking on and off site and how this relates to GBC’s existing Car Parking SPD.</w:t>
      </w:r>
    </w:p>
    <w:p w14:paraId="7C197851" w14:textId="164E4605" w:rsidR="007253B8" w:rsidRDefault="007253B8" w:rsidP="00C4579C">
      <w:pPr>
        <w:pStyle w:val="ListParagraph"/>
        <w:numPr>
          <w:ilvl w:val="0"/>
          <w:numId w:val="13"/>
        </w:numPr>
        <w:contextualSpacing w:val="0"/>
        <w:jc w:val="both"/>
        <w:rPr>
          <w:lang w:val="en-US"/>
        </w:rPr>
      </w:pPr>
      <w:r>
        <w:rPr>
          <w:lang w:val="en-US"/>
        </w:rPr>
        <w:t xml:space="preserve">Uses - Consideration of the potential impact that a local </w:t>
      </w:r>
      <w:proofErr w:type="spellStart"/>
      <w:r>
        <w:rPr>
          <w:lang w:val="en-US"/>
        </w:rPr>
        <w:t>neighbourhood</w:t>
      </w:r>
      <w:proofErr w:type="spellEnd"/>
      <w:r w:rsidR="00B364D7">
        <w:rPr>
          <w:lang w:val="en-US"/>
        </w:rPr>
        <w:t xml:space="preserve"> </w:t>
      </w:r>
      <w:proofErr w:type="spellStart"/>
      <w:r w:rsidR="00B364D7">
        <w:rPr>
          <w:lang w:val="en-US"/>
        </w:rPr>
        <w:t>centre</w:t>
      </w:r>
      <w:proofErr w:type="spellEnd"/>
      <w:r w:rsidR="00B364D7">
        <w:rPr>
          <w:lang w:val="en-US"/>
        </w:rPr>
        <w:t xml:space="preserve"> on the </w:t>
      </w:r>
      <w:proofErr w:type="spellStart"/>
      <w:r w:rsidR="00B364D7">
        <w:rPr>
          <w:lang w:val="en-US"/>
        </w:rPr>
        <w:t>Haslar</w:t>
      </w:r>
      <w:proofErr w:type="spellEnd"/>
      <w:r w:rsidR="00B364D7">
        <w:rPr>
          <w:lang w:val="en-US"/>
        </w:rPr>
        <w:t xml:space="preserve"> peninsula</w:t>
      </w:r>
      <w:r>
        <w:rPr>
          <w:lang w:val="en-US"/>
        </w:rPr>
        <w:t xml:space="preserve"> could have on reducing potential need for car trips. </w:t>
      </w:r>
    </w:p>
    <w:p w14:paraId="7829AD04" w14:textId="1A1B9624" w:rsidR="007253B8" w:rsidRDefault="007253B8" w:rsidP="00C4579C">
      <w:pPr>
        <w:pStyle w:val="ListParagraph"/>
        <w:numPr>
          <w:ilvl w:val="0"/>
          <w:numId w:val="13"/>
        </w:numPr>
        <w:contextualSpacing w:val="0"/>
        <w:jc w:val="both"/>
        <w:rPr>
          <w:lang w:val="en-US"/>
        </w:rPr>
      </w:pPr>
      <w:r>
        <w:rPr>
          <w:lang w:val="en-US"/>
        </w:rPr>
        <w:t>Potential creation of a mobility hub on the peninsula</w:t>
      </w:r>
      <w:r w:rsidR="00626132">
        <w:rPr>
          <w:lang w:val="en-US"/>
        </w:rPr>
        <w:t xml:space="preserve"> including bike hire</w:t>
      </w:r>
      <w:r>
        <w:rPr>
          <w:lang w:val="en-US"/>
        </w:rPr>
        <w:t xml:space="preserve">. </w:t>
      </w:r>
    </w:p>
    <w:p w14:paraId="71DF5A60" w14:textId="77777777" w:rsidR="007253B8" w:rsidRDefault="007253B8" w:rsidP="00C4579C">
      <w:pPr>
        <w:jc w:val="both"/>
        <w:rPr>
          <w:lang w:val="en-US"/>
        </w:rPr>
      </w:pPr>
    </w:p>
    <w:p w14:paraId="209B12AF" w14:textId="77777777" w:rsidR="007253B8" w:rsidRPr="007253B8" w:rsidRDefault="007253B8" w:rsidP="00C4579C">
      <w:pPr>
        <w:ind w:firstLine="720"/>
        <w:jc w:val="both"/>
        <w:rPr>
          <w:b/>
          <w:i/>
          <w:u w:val="single"/>
          <w:lang w:val="en-US"/>
        </w:rPr>
      </w:pPr>
      <w:r w:rsidRPr="007253B8">
        <w:rPr>
          <w:b/>
          <w:i/>
          <w:u w:val="single"/>
          <w:lang w:val="en-US"/>
        </w:rPr>
        <w:t xml:space="preserve">Other transport and/or land use options / scenarios </w:t>
      </w:r>
    </w:p>
    <w:p w14:paraId="78287626" w14:textId="77777777" w:rsidR="007253B8" w:rsidRDefault="007253B8" w:rsidP="00C4579C">
      <w:pPr>
        <w:ind w:firstLine="720"/>
        <w:jc w:val="both"/>
        <w:rPr>
          <w:bCs/>
          <w:lang w:val="en-US"/>
        </w:rPr>
      </w:pPr>
      <w:r>
        <w:rPr>
          <w:bCs/>
          <w:lang w:val="en-US"/>
        </w:rPr>
        <w:t xml:space="preserve">Selected consultant to consider: </w:t>
      </w:r>
    </w:p>
    <w:p w14:paraId="33E91BE9" w14:textId="3EF181E6" w:rsidR="00A45081" w:rsidRDefault="00A45081" w:rsidP="00C4579C">
      <w:pPr>
        <w:pStyle w:val="ListParagraph"/>
        <w:numPr>
          <w:ilvl w:val="0"/>
          <w:numId w:val="13"/>
        </w:numPr>
        <w:contextualSpacing w:val="0"/>
        <w:jc w:val="both"/>
        <w:rPr>
          <w:lang w:val="en-US"/>
        </w:rPr>
      </w:pPr>
      <w:r>
        <w:rPr>
          <w:lang w:val="en-US"/>
        </w:rPr>
        <w:t xml:space="preserve">The </w:t>
      </w:r>
      <w:proofErr w:type="spellStart"/>
      <w:r>
        <w:rPr>
          <w:lang w:val="en-US"/>
        </w:rPr>
        <w:t>Solent</w:t>
      </w:r>
      <w:proofErr w:type="spellEnd"/>
      <w:r>
        <w:rPr>
          <w:lang w:val="en-US"/>
        </w:rPr>
        <w:t xml:space="preserve"> Future Transport Zone’s proposals for micro mobility solutions and how these could be applied to journeys to and from Fort Blockhouse</w:t>
      </w:r>
    </w:p>
    <w:p w14:paraId="52111AFD" w14:textId="765BB25A" w:rsidR="00A45081" w:rsidRDefault="006C26A6" w:rsidP="00C4579C">
      <w:pPr>
        <w:pStyle w:val="ListParagraph"/>
        <w:contextualSpacing w:val="0"/>
        <w:jc w:val="both"/>
        <w:rPr>
          <w:lang w:val="en-US"/>
        </w:rPr>
      </w:pPr>
      <w:hyperlink r:id="rId8" w:history="1">
        <w:r w:rsidR="00A45081" w:rsidRPr="00844317">
          <w:rPr>
            <w:rStyle w:val="Hyperlink"/>
            <w:lang w:val="en-US"/>
          </w:rPr>
          <w:t>https://www.solent-transport.com/solent-future-transport-zone/</w:t>
        </w:r>
      </w:hyperlink>
      <w:r w:rsidR="00A45081">
        <w:rPr>
          <w:lang w:val="en-US"/>
        </w:rPr>
        <w:t xml:space="preserve"> </w:t>
      </w:r>
    </w:p>
    <w:p w14:paraId="434980F2" w14:textId="23DB6CC9" w:rsidR="007253B8" w:rsidRDefault="007253B8" w:rsidP="00C4579C">
      <w:pPr>
        <w:pStyle w:val="ListParagraph"/>
        <w:numPr>
          <w:ilvl w:val="0"/>
          <w:numId w:val="13"/>
        </w:numPr>
        <w:contextualSpacing w:val="0"/>
        <w:jc w:val="both"/>
        <w:rPr>
          <w:lang w:val="en-US"/>
        </w:rPr>
      </w:pPr>
      <w:r>
        <w:rPr>
          <w:lang w:val="en-US"/>
        </w:rPr>
        <w:t>Consideration of an extension of the Driving Force scheme for over 55’s operated by</w:t>
      </w:r>
      <w:r w:rsidR="004104AD">
        <w:rPr>
          <w:lang w:val="en-US"/>
        </w:rPr>
        <w:t xml:space="preserve"> Gosport Voluntary Action</w:t>
      </w:r>
      <w:r>
        <w:rPr>
          <w:lang w:val="en-US"/>
        </w:rPr>
        <w:t xml:space="preserve"> </w:t>
      </w:r>
      <w:r w:rsidR="004104AD">
        <w:rPr>
          <w:lang w:val="en-US"/>
        </w:rPr>
        <w:t>(</w:t>
      </w:r>
      <w:r>
        <w:rPr>
          <w:lang w:val="en-US"/>
        </w:rPr>
        <w:t>GVA</w:t>
      </w:r>
      <w:r w:rsidR="004104AD">
        <w:rPr>
          <w:lang w:val="en-US"/>
        </w:rPr>
        <w:t>)</w:t>
      </w:r>
      <w:r>
        <w:rPr>
          <w:lang w:val="en-US"/>
        </w:rPr>
        <w:t xml:space="preserve"> to access medical appointment, social clubs and friends/family.</w:t>
      </w:r>
    </w:p>
    <w:p w14:paraId="75E4A88A" w14:textId="77777777" w:rsidR="007253B8" w:rsidRDefault="007253B8" w:rsidP="00C4579C">
      <w:pPr>
        <w:pStyle w:val="ListParagraph"/>
        <w:numPr>
          <w:ilvl w:val="0"/>
          <w:numId w:val="13"/>
        </w:numPr>
        <w:contextualSpacing w:val="0"/>
        <w:jc w:val="both"/>
        <w:rPr>
          <w:lang w:val="en-US"/>
        </w:rPr>
      </w:pPr>
      <w:r>
        <w:rPr>
          <w:lang w:val="en-US"/>
        </w:rPr>
        <w:t xml:space="preserve">Outline the travel planning required to work with new residents which includes links with the </w:t>
      </w:r>
      <w:proofErr w:type="spellStart"/>
      <w:r>
        <w:rPr>
          <w:lang w:val="en-US"/>
        </w:rPr>
        <w:t>Haslar</w:t>
      </w:r>
      <w:proofErr w:type="spellEnd"/>
      <w:r>
        <w:rPr>
          <w:lang w:val="en-US"/>
        </w:rPr>
        <w:t xml:space="preserve"> travel plan, issue of bus taster tickets and cycle equipment vouchers.</w:t>
      </w:r>
    </w:p>
    <w:p w14:paraId="6022B429" w14:textId="79F1342F" w:rsidR="007253B8" w:rsidRDefault="0032602A" w:rsidP="00C4579C">
      <w:pPr>
        <w:pStyle w:val="ListParagraph"/>
        <w:numPr>
          <w:ilvl w:val="0"/>
          <w:numId w:val="13"/>
        </w:numPr>
        <w:contextualSpacing w:val="0"/>
        <w:jc w:val="both"/>
        <w:rPr>
          <w:lang w:val="en-US"/>
        </w:rPr>
      </w:pPr>
      <w:r>
        <w:rPr>
          <w:lang w:val="en-US"/>
        </w:rPr>
        <w:t>Whether there is p</w:t>
      </w:r>
      <w:r w:rsidR="007253B8">
        <w:rPr>
          <w:lang w:val="en-US"/>
        </w:rPr>
        <w:t xml:space="preserve">otential </w:t>
      </w:r>
      <w:r>
        <w:rPr>
          <w:lang w:val="en-US"/>
        </w:rPr>
        <w:t xml:space="preserve">for the </w:t>
      </w:r>
      <w:r w:rsidR="007253B8">
        <w:rPr>
          <w:lang w:val="en-US"/>
        </w:rPr>
        <w:t xml:space="preserve">use of developer contributions from the </w:t>
      </w:r>
      <w:proofErr w:type="spellStart"/>
      <w:r w:rsidR="007253B8">
        <w:rPr>
          <w:lang w:val="en-US"/>
        </w:rPr>
        <w:t>Haslar</w:t>
      </w:r>
      <w:proofErr w:type="spellEnd"/>
      <w:r w:rsidR="007253B8">
        <w:rPr>
          <w:lang w:val="en-US"/>
        </w:rPr>
        <w:t xml:space="preserve"> </w:t>
      </w:r>
      <w:r>
        <w:rPr>
          <w:lang w:val="en-US"/>
        </w:rPr>
        <w:t xml:space="preserve">Hospital </w:t>
      </w:r>
      <w:r w:rsidR="007253B8">
        <w:rPr>
          <w:lang w:val="en-US"/>
        </w:rPr>
        <w:t>scheme</w:t>
      </w:r>
      <w:r>
        <w:rPr>
          <w:lang w:val="en-US"/>
        </w:rPr>
        <w:t xml:space="preserve"> relevant to access and transport improvements</w:t>
      </w:r>
      <w:r w:rsidR="007253B8">
        <w:rPr>
          <w:lang w:val="en-US"/>
        </w:rPr>
        <w:t xml:space="preserve">. </w:t>
      </w:r>
    </w:p>
    <w:p w14:paraId="305B6D49" w14:textId="09ABFB96" w:rsidR="004104AD" w:rsidRDefault="006B31CC" w:rsidP="00C4579C">
      <w:pPr>
        <w:pStyle w:val="ListParagraph"/>
        <w:numPr>
          <w:ilvl w:val="0"/>
          <w:numId w:val="13"/>
        </w:numPr>
        <w:contextualSpacing w:val="0"/>
        <w:jc w:val="both"/>
        <w:rPr>
          <w:lang w:val="en-US"/>
        </w:rPr>
      </w:pPr>
      <w:r>
        <w:rPr>
          <w:lang w:val="en-US"/>
        </w:rPr>
        <w:t>Best practice i</w:t>
      </w:r>
      <w:r w:rsidR="004104AD">
        <w:rPr>
          <w:lang w:val="en-US"/>
        </w:rPr>
        <w:t xml:space="preserve">nitiatives </w:t>
      </w:r>
      <w:r>
        <w:rPr>
          <w:lang w:val="en-US"/>
        </w:rPr>
        <w:t>to reduce car ownership which could be incorporated into the site design, such as car clubs.</w:t>
      </w:r>
    </w:p>
    <w:p w14:paraId="2E6676D1" w14:textId="77777777" w:rsidR="007253B8" w:rsidRDefault="007253B8" w:rsidP="00C4579C">
      <w:pPr>
        <w:jc w:val="both"/>
        <w:rPr>
          <w:lang w:val="en-US"/>
        </w:rPr>
      </w:pPr>
    </w:p>
    <w:p w14:paraId="2BE8F550" w14:textId="77777777" w:rsidR="007253B8" w:rsidRDefault="007253B8" w:rsidP="00C4579C">
      <w:pPr>
        <w:ind w:left="720"/>
        <w:jc w:val="both"/>
        <w:rPr>
          <w:lang w:val="en-US"/>
        </w:rPr>
      </w:pPr>
      <w:r>
        <w:rPr>
          <w:lang w:val="en-US"/>
        </w:rPr>
        <w:t xml:space="preserve">The scope of this brief is not exhaustive. The selected consultant to advise if there are any other innovative and creative options based on their knowledge of best practice elsewhere. </w:t>
      </w:r>
    </w:p>
    <w:p w14:paraId="2317B92F" w14:textId="77777777" w:rsidR="007253B8" w:rsidRDefault="007253B8" w:rsidP="00C4579C">
      <w:pPr>
        <w:jc w:val="both"/>
        <w:rPr>
          <w:rFonts w:cs="Arial"/>
          <w:b/>
        </w:rPr>
      </w:pPr>
    </w:p>
    <w:p w14:paraId="3CD14DBD" w14:textId="40C921A5" w:rsidR="00970544" w:rsidRDefault="00970544">
      <w:pPr>
        <w:rPr>
          <w:rFonts w:cs="Arial"/>
          <w:b/>
        </w:rPr>
      </w:pPr>
    </w:p>
    <w:p w14:paraId="6027FF9D" w14:textId="68D7E0A0" w:rsidR="007253B8" w:rsidRPr="007253B8" w:rsidRDefault="007253B8" w:rsidP="00C4579C">
      <w:pPr>
        <w:pStyle w:val="ListParagraph"/>
        <w:numPr>
          <w:ilvl w:val="0"/>
          <w:numId w:val="25"/>
        </w:numPr>
        <w:ind w:left="426" w:hanging="437"/>
        <w:jc w:val="both"/>
        <w:rPr>
          <w:rFonts w:cs="Arial"/>
          <w:b/>
        </w:rPr>
      </w:pPr>
      <w:r w:rsidRPr="007253B8">
        <w:rPr>
          <w:rFonts w:cs="Arial"/>
          <w:b/>
        </w:rPr>
        <w:t>Conclusions</w:t>
      </w:r>
    </w:p>
    <w:p w14:paraId="79860512" w14:textId="77777777" w:rsidR="007253B8" w:rsidRDefault="007253B8" w:rsidP="00C4579C">
      <w:pPr>
        <w:jc w:val="both"/>
        <w:rPr>
          <w:rFonts w:cs="Calibri"/>
          <w:lang w:val="en-US"/>
        </w:rPr>
      </w:pPr>
      <w:r>
        <w:rPr>
          <w:lang w:val="en-US"/>
        </w:rPr>
        <w:t xml:space="preserve">The selected consultant to make recommendations on which mix of solutions have a viable long-term future within the context of likely development on the </w:t>
      </w:r>
      <w:proofErr w:type="spellStart"/>
      <w:r>
        <w:rPr>
          <w:lang w:val="en-US"/>
        </w:rPr>
        <w:t>Haslar</w:t>
      </w:r>
      <w:proofErr w:type="spellEnd"/>
      <w:r>
        <w:rPr>
          <w:lang w:val="en-US"/>
        </w:rPr>
        <w:t xml:space="preserve"> peninsula. </w:t>
      </w:r>
    </w:p>
    <w:p w14:paraId="441277F9" w14:textId="77777777" w:rsidR="007253B8" w:rsidRDefault="007253B8" w:rsidP="00C4579C">
      <w:pPr>
        <w:ind w:left="720" w:hanging="720"/>
        <w:jc w:val="both"/>
      </w:pPr>
    </w:p>
    <w:p w14:paraId="16FC8086" w14:textId="2EEBEF43" w:rsidR="001B0CFD" w:rsidRDefault="001B0CFD" w:rsidP="00C4579C">
      <w:pPr>
        <w:jc w:val="both"/>
      </w:pPr>
    </w:p>
    <w:p w14:paraId="30029BB2" w14:textId="77777777" w:rsidR="005B470B" w:rsidRDefault="005B470B" w:rsidP="00C4579C">
      <w:pPr>
        <w:jc w:val="both"/>
        <w:rPr>
          <w:rFonts w:eastAsia="Calibri" w:cs="Arial"/>
          <w:b/>
          <w:bCs/>
        </w:rPr>
      </w:pPr>
    </w:p>
    <w:p w14:paraId="1B96D2D3" w14:textId="77777777" w:rsidR="005B470B" w:rsidRDefault="005B470B" w:rsidP="00C4579C">
      <w:pPr>
        <w:jc w:val="both"/>
        <w:rPr>
          <w:rFonts w:eastAsia="Calibri" w:cs="Arial"/>
          <w:b/>
          <w:bCs/>
        </w:rPr>
      </w:pPr>
    </w:p>
    <w:p w14:paraId="23442298" w14:textId="77777777" w:rsidR="005B470B" w:rsidRDefault="005B470B" w:rsidP="00C4579C">
      <w:pPr>
        <w:jc w:val="both"/>
        <w:rPr>
          <w:rFonts w:eastAsia="Calibri" w:cs="Arial"/>
          <w:b/>
          <w:bCs/>
        </w:rPr>
      </w:pPr>
    </w:p>
    <w:p w14:paraId="42C5068A" w14:textId="77777777" w:rsidR="005B470B" w:rsidRDefault="005B470B" w:rsidP="00C4579C">
      <w:pPr>
        <w:jc w:val="both"/>
        <w:rPr>
          <w:rFonts w:eastAsia="Calibri" w:cs="Arial"/>
          <w:b/>
          <w:bCs/>
        </w:rPr>
      </w:pPr>
    </w:p>
    <w:p w14:paraId="7EE50C3B" w14:textId="211045D6" w:rsidR="006B012D" w:rsidRPr="006B012D" w:rsidRDefault="006B012D" w:rsidP="00C4579C">
      <w:pPr>
        <w:jc w:val="both"/>
        <w:rPr>
          <w:rFonts w:eastAsia="Calibri" w:cs="Arial"/>
          <w:b/>
          <w:bCs/>
        </w:rPr>
      </w:pPr>
      <w:r w:rsidRPr="006B012D">
        <w:rPr>
          <w:rFonts w:eastAsia="Calibri" w:cs="Arial"/>
          <w:b/>
          <w:bCs/>
        </w:rPr>
        <w:t>2.</w:t>
      </w:r>
      <w:r w:rsidR="007253B8">
        <w:rPr>
          <w:rFonts w:eastAsia="Calibri" w:cs="Arial"/>
          <w:b/>
          <w:bCs/>
        </w:rPr>
        <w:t>2</w:t>
      </w:r>
      <w:r w:rsidRPr="006B012D">
        <w:rPr>
          <w:rFonts w:eastAsia="Calibri" w:cs="Arial"/>
          <w:b/>
          <w:bCs/>
        </w:rPr>
        <w:t xml:space="preserve"> Outputs</w:t>
      </w:r>
    </w:p>
    <w:p w14:paraId="59DA1FBE" w14:textId="77777777" w:rsidR="006B2243" w:rsidRDefault="006B2243" w:rsidP="00C4579C">
      <w:pPr>
        <w:ind w:left="720"/>
        <w:contextualSpacing/>
        <w:jc w:val="both"/>
        <w:rPr>
          <w:b/>
          <w:lang w:val="en-US"/>
        </w:rPr>
      </w:pPr>
    </w:p>
    <w:p w14:paraId="35207CBC" w14:textId="71A0AECF" w:rsidR="006B2243" w:rsidRDefault="006B012D" w:rsidP="00C4579C">
      <w:pPr>
        <w:contextualSpacing/>
        <w:jc w:val="both"/>
        <w:rPr>
          <w:lang w:val="en-US"/>
        </w:rPr>
      </w:pPr>
      <w:r w:rsidRPr="006B012D">
        <w:rPr>
          <w:lang w:val="en-US"/>
        </w:rPr>
        <w:t>Following the considerations outlined in</w:t>
      </w:r>
      <w:r w:rsidR="006B31CC">
        <w:rPr>
          <w:lang w:val="en-US"/>
        </w:rPr>
        <w:t xml:space="preserve"> Section</w:t>
      </w:r>
      <w:r w:rsidRPr="006B012D">
        <w:rPr>
          <w:lang w:val="en-US"/>
        </w:rPr>
        <w:t xml:space="preserve"> 2.1</w:t>
      </w:r>
      <w:r w:rsidR="006B31CC">
        <w:rPr>
          <w:lang w:val="en-US"/>
        </w:rPr>
        <w:t xml:space="preserve"> above</w:t>
      </w:r>
      <w:r w:rsidR="00480645">
        <w:rPr>
          <w:lang w:val="en-US"/>
        </w:rPr>
        <w:t xml:space="preserve">, </w:t>
      </w:r>
      <w:r w:rsidR="00480645" w:rsidRPr="006B012D">
        <w:rPr>
          <w:lang w:val="en-US"/>
        </w:rPr>
        <w:t>the</w:t>
      </w:r>
      <w:r w:rsidRPr="006B012D">
        <w:rPr>
          <w:lang w:val="en-US"/>
        </w:rPr>
        <w:t xml:space="preserve"> consultant’s report should address all matters included in the ‘Scope of the Report’</w:t>
      </w:r>
      <w:r w:rsidR="00CE1D88">
        <w:rPr>
          <w:lang w:val="en-US"/>
        </w:rPr>
        <w:t xml:space="preserve"> in Section 2 above.</w:t>
      </w:r>
      <w:r w:rsidRPr="006B012D">
        <w:rPr>
          <w:lang w:val="en-US"/>
        </w:rPr>
        <w:t xml:space="preserve"> </w:t>
      </w:r>
    </w:p>
    <w:p w14:paraId="1061BD18" w14:textId="729BB42C" w:rsidR="00863045" w:rsidRDefault="00863045" w:rsidP="00C4579C">
      <w:pPr>
        <w:contextualSpacing/>
        <w:jc w:val="both"/>
        <w:rPr>
          <w:lang w:val="en-US"/>
        </w:rPr>
      </w:pPr>
    </w:p>
    <w:p w14:paraId="4C279C64" w14:textId="0C489DFE" w:rsidR="00863045" w:rsidRDefault="00863045" w:rsidP="00C4579C">
      <w:pPr>
        <w:jc w:val="both"/>
      </w:pPr>
      <w:r>
        <w:t xml:space="preserve">At the completion of the project, the consultant shall provide both the GBC and DIO with an electronic copy of the report. </w:t>
      </w:r>
    </w:p>
    <w:p w14:paraId="26A79653" w14:textId="77777777" w:rsidR="00863045" w:rsidRDefault="00863045" w:rsidP="00C4579C">
      <w:pPr>
        <w:jc w:val="both"/>
      </w:pPr>
    </w:p>
    <w:p w14:paraId="063EBA82" w14:textId="120E3930" w:rsidR="00863045" w:rsidRDefault="00863045" w:rsidP="00C4579C">
      <w:pPr>
        <w:jc w:val="both"/>
      </w:pPr>
      <w:r>
        <w:t>Copyright for all d</w:t>
      </w:r>
      <w:r w:rsidR="00554222">
        <w:t xml:space="preserve">ocumentation shall be given to </w:t>
      </w:r>
      <w:r>
        <w:t>GBC and DIO.</w:t>
      </w:r>
    </w:p>
    <w:p w14:paraId="4CBA75FF" w14:textId="7DA01441" w:rsidR="001F4089" w:rsidRDefault="001F4089" w:rsidP="00C4579C">
      <w:pPr>
        <w:jc w:val="both"/>
        <w:rPr>
          <w:b/>
          <w:lang w:val="en-US"/>
        </w:rPr>
      </w:pPr>
    </w:p>
    <w:p w14:paraId="1449A529" w14:textId="77777777" w:rsidR="001F4089" w:rsidRDefault="001F4089" w:rsidP="00C4579C">
      <w:pPr>
        <w:jc w:val="both"/>
        <w:rPr>
          <w:b/>
          <w:lang w:val="en-US"/>
        </w:rPr>
      </w:pPr>
    </w:p>
    <w:p w14:paraId="0BEB2090" w14:textId="18023EB7" w:rsidR="006B012D" w:rsidRPr="001F4089" w:rsidRDefault="001F4089" w:rsidP="00C4579C">
      <w:pPr>
        <w:jc w:val="both"/>
        <w:rPr>
          <w:rFonts w:eastAsia="Calibri" w:cs="Arial"/>
          <w:b/>
          <w:bCs/>
        </w:rPr>
      </w:pPr>
      <w:r>
        <w:rPr>
          <w:rFonts w:eastAsia="Calibri" w:cs="Arial"/>
          <w:b/>
          <w:bCs/>
        </w:rPr>
        <w:t xml:space="preserve">2.3 </w:t>
      </w:r>
      <w:r w:rsidR="006B012D" w:rsidRPr="001F4089">
        <w:rPr>
          <w:rFonts w:eastAsia="Calibri" w:cs="Arial"/>
          <w:b/>
          <w:bCs/>
        </w:rPr>
        <w:t>Project Team Skills</w:t>
      </w:r>
    </w:p>
    <w:p w14:paraId="564CE9E3" w14:textId="77777777" w:rsidR="006B012D" w:rsidRPr="00672FB7" w:rsidRDefault="006B012D" w:rsidP="00C4579C">
      <w:pPr>
        <w:jc w:val="both"/>
        <w:rPr>
          <w:rFonts w:asciiTheme="minorHAnsi" w:hAnsiTheme="minorHAnsi" w:cstheme="minorHAnsi"/>
        </w:rPr>
      </w:pPr>
    </w:p>
    <w:p w14:paraId="5FB57E6F" w14:textId="1E344C86" w:rsidR="006B012D" w:rsidRPr="00094ED8" w:rsidRDefault="006B012D" w:rsidP="00C4579C">
      <w:pPr>
        <w:jc w:val="both"/>
        <w:rPr>
          <w:rFonts w:eastAsia="Calibri" w:cs="Arial"/>
        </w:rPr>
      </w:pPr>
      <w:r w:rsidRPr="00094ED8">
        <w:rPr>
          <w:rFonts w:eastAsia="Calibri" w:cs="Arial"/>
        </w:rPr>
        <w:t xml:space="preserve">This invitation </w:t>
      </w:r>
      <w:r w:rsidR="00094ED8" w:rsidRPr="00094ED8">
        <w:rPr>
          <w:rFonts w:eastAsia="Calibri" w:cs="Arial"/>
        </w:rPr>
        <w:t>is open</w:t>
      </w:r>
      <w:r w:rsidRPr="00094ED8">
        <w:rPr>
          <w:rFonts w:eastAsia="Calibri" w:cs="Arial"/>
        </w:rPr>
        <w:t xml:space="preserve"> </w:t>
      </w:r>
      <w:r w:rsidR="006B31CC">
        <w:rPr>
          <w:rFonts w:eastAsia="Calibri" w:cs="Arial"/>
        </w:rPr>
        <w:t xml:space="preserve">to </w:t>
      </w:r>
      <w:r w:rsidRPr="00094ED8">
        <w:rPr>
          <w:rFonts w:eastAsia="Calibri" w:cs="Arial"/>
        </w:rPr>
        <w:t>consultancies which are believed to have, or be able to call upon</w:t>
      </w:r>
      <w:r w:rsidR="0012198C">
        <w:rPr>
          <w:rFonts w:eastAsia="Calibri" w:cs="Arial"/>
        </w:rPr>
        <w:t xml:space="preserve"> the</w:t>
      </w:r>
      <w:r w:rsidRPr="00094ED8">
        <w:rPr>
          <w:rFonts w:eastAsia="Calibri" w:cs="Arial"/>
        </w:rPr>
        <w:t xml:space="preserve"> relevant skills.  </w:t>
      </w:r>
    </w:p>
    <w:p w14:paraId="50C0416A" w14:textId="77777777" w:rsidR="006B012D" w:rsidRDefault="006B012D" w:rsidP="00C4579C">
      <w:pPr>
        <w:jc w:val="both"/>
      </w:pPr>
    </w:p>
    <w:p w14:paraId="44D25C52" w14:textId="77777777" w:rsidR="007253B8" w:rsidRDefault="007253B8" w:rsidP="00C4579C">
      <w:pPr>
        <w:jc w:val="both"/>
      </w:pPr>
      <w:r>
        <w:t xml:space="preserve">Your fee proposal will need to demonstrate your firm has the following knowledge and understanding of the following: </w:t>
      </w:r>
    </w:p>
    <w:p w14:paraId="552C96E5" w14:textId="77777777" w:rsidR="007253B8" w:rsidRDefault="007253B8" w:rsidP="00C4579C">
      <w:pPr>
        <w:pStyle w:val="ListParagraph"/>
        <w:numPr>
          <w:ilvl w:val="0"/>
          <w:numId w:val="14"/>
        </w:numPr>
        <w:contextualSpacing w:val="0"/>
        <w:jc w:val="both"/>
      </w:pPr>
      <w:r>
        <w:t xml:space="preserve">Technical ability and knowledge of requirements to consider and advise on multi-modal transport options. </w:t>
      </w:r>
    </w:p>
    <w:p w14:paraId="2AA5B89E" w14:textId="77777777" w:rsidR="007253B8" w:rsidRDefault="007253B8" w:rsidP="00C4579C">
      <w:pPr>
        <w:pStyle w:val="ListParagraph"/>
        <w:numPr>
          <w:ilvl w:val="0"/>
          <w:numId w:val="14"/>
        </w:numPr>
        <w:contextualSpacing w:val="0"/>
        <w:jc w:val="both"/>
      </w:pPr>
      <w:r>
        <w:t xml:space="preserve">General south coast and Solent specific knowledge of opportunities and challenges associated with traffic and transport. </w:t>
      </w:r>
    </w:p>
    <w:p w14:paraId="62F9CC9A" w14:textId="3DB136BE" w:rsidR="0012198C" w:rsidRDefault="0012198C" w:rsidP="00C4579C">
      <w:pPr>
        <w:jc w:val="both"/>
      </w:pPr>
    </w:p>
    <w:p w14:paraId="6C0FA660" w14:textId="2246D9EF" w:rsidR="0012198C" w:rsidRPr="008977D6" w:rsidRDefault="0012198C" w:rsidP="00C4579C">
      <w:pPr>
        <w:contextualSpacing/>
        <w:jc w:val="both"/>
        <w:rPr>
          <w:lang w:val="en-US"/>
        </w:rPr>
      </w:pPr>
      <w:r w:rsidRPr="008977D6">
        <w:rPr>
          <w:lang w:val="en-US"/>
        </w:rPr>
        <w:t xml:space="preserve">The names and qualifications of the </w:t>
      </w:r>
      <w:r>
        <w:rPr>
          <w:lang w:val="en-US"/>
        </w:rPr>
        <w:t>team</w:t>
      </w:r>
      <w:r w:rsidRPr="008977D6">
        <w:rPr>
          <w:lang w:val="en-US"/>
        </w:rPr>
        <w:t xml:space="preserve"> who would be carrying out the </w:t>
      </w:r>
      <w:r>
        <w:rPr>
          <w:lang w:val="en-US"/>
        </w:rPr>
        <w:t>work</w:t>
      </w:r>
      <w:r w:rsidRPr="008977D6">
        <w:rPr>
          <w:lang w:val="en-US"/>
        </w:rPr>
        <w:t>,</w:t>
      </w:r>
      <w:r>
        <w:rPr>
          <w:lang w:val="en-US"/>
        </w:rPr>
        <w:t xml:space="preserve"> along with their committed hours and their hourly rate,</w:t>
      </w:r>
      <w:r w:rsidRPr="008977D6">
        <w:rPr>
          <w:lang w:val="en-US"/>
        </w:rPr>
        <w:t xml:space="preserve"> and of any sub-consultants that you would engage to provide specialist input, together with a brief résumé of their relevant experience; their fee</w:t>
      </w:r>
      <w:r>
        <w:rPr>
          <w:lang w:val="en-US"/>
        </w:rPr>
        <w:t xml:space="preserve"> </w:t>
      </w:r>
      <w:r w:rsidR="008B5B4C">
        <w:rPr>
          <w:lang w:val="en-US"/>
        </w:rPr>
        <w:t>etc.</w:t>
      </w:r>
      <w:r>
        <w:rPr>
          <w:lang w:val="en-US"/>
        </w:rPr>
        <w:t>, is also required</w:t>
      </w:r>
      <w:r w:rsidRPr="008977D6">
        <w:rPr>
          <w:lang w:val="en-US"/>
        </w:rPr>
        <w:t>.</w:t>
      </w:r>
    </w:p>
    <w:p w14:paraId="70D0C2AF" w14:textId="71E4A6B3" w:rsidR="006B2243" w:rsidRDefault="006B2243" w:rsidP="00C4579C">
      <w:pPr>
        <w:ind w:left="720"/>
        <w:contextualSpacing/>
        <w:jc w:val="both"/>
        <w:rPr>
          <w:b/>
          <w:lang w:val="en-US"/>
        </w:rPr>
      </w:pPr>
    </w:p>
    <w:p w14:paraId="3A6B5C52" w14:textId="7F4823E8" w:rsidR="0005703B" w:rsidRDefault="0005703B" w:rsidP="00C4579C">
      <w:pPr>
        <w:jc w:val="both"/>
      </w:pPr>
    </w:p>
    <w:p w14:paraId="43C18EE1" w14:textId="5CE6D4E9" w:rsidR="00F678BC" w:rsidRPr="00F678BC" w:rsidRDefault="0012198C" w:rsidP="00C4579C">
      <w:pPr>
        <w:jc w:val="both"/>
        <w:rPr>
          <w:b/>
        </w:rPr>
      </w:pPr>
      <w:r>
        <w:rPr>
          <w:b/>
        </w:rPr>
        <w:t>2.</w:t>
      </w:r>
      <w:r w:rsidR="001F4089">
        <w:rPr>
          <w:b/>
        </w:rPr>
        <w:t>4</w:t>
      </w:r>
      <w:r w:rsidR="00F678BC" w:rsidRPr="00F678BC">
        <w:rPr>
          <w:b/>
        </w:rPr>
        <w:tab/>
        <w:t xml:space="preserve">Contract Term </w:t>
      </w:r>
    </w:p>
    <w:p w14:paraId="73932673" w14:textId="77777777" w:rsidR="00F678BC" w:rsidRDefault="00F678BC" w:rsidP="00C4579C">
      <w:pPr>
        <w:jc w:val="both"/>
      </w:pPr>
    </w:p>
    <w:p w14:paraId="6F370C60" w14:textId="013FE975" w:rsidR="00F678BC" w:rsidRDefault="00F678BC" w:rsidP="00C4579C">
      <w:pPr>
        <w:jc w:val="both"/>
      </w:pPr>
      <w:r>
        <w:t xml:space="preserve">The Council proposes to enter </w:t>
      </w:r>
      <w:r w:rsidR="005420AE">
        <w:t>into a Contract for a period of</w:t>
      </w:r>
      <w:r w:rsidR="00094ED8">
        <w:t xml:space="preserve"> approximately 4</w:t>
      </w:r>
      <w:r>
        <w:t xml:space="preserve"> months with the successful </w:t>
      </w:r>
      <w:r w:rsidR="00094ED8">
        <w:t>consultant</w:t>
      </w:r>
      <w:r>
        <w:t xml:space="preserve">. </w:t>
      </w:r>
    </w:p>
    <w:p w14:paraId="2DE2AFCB" w14:textId="77777777" w:rsidR="00F678BC" w:rsidRDefault="00F678BC" w:rsidP="00C4579C">
      <w:pPr>
        <w:ind w:left="720"/>
        <w:jc w:val="both"/>
      </w:pPr>
    </w:p>
    <w:p w14:paraId="6C7ECE64" w14:textId="11F97A78" w:rsidR="00F678BC" w:rsidRDefault="00F678BC" w:rsidP="00C4579C">
      <w:pPr>
        <w:jc w:val="both"/>
      </w:pPr>
      <w:r>
        <w:t xml:space="preserve">The anticipated service commencement date is </w:t>
      </w:r>
      <w:r w:rsidR="0082583F">
        <w:t>week commencing</w:t>
      </w:r>
      <w:r w:rsidR="0063225E" w:rsidRPr="0082583F">
        <w:t xml:space="preserve"> </w:t>
      </w:r>
      <w:r w:rsidR="00AF0315" w:rsidRPr="0082583F">
        <w:t>12</w:t>
      </w:r>
      <w:r w:rsidR="00FA4B1A" w:rsidRPr="0082583F">
        <w:t>th June</w:t>
      </w:r>
      <w:r w:rsidR="0063225E" w:rsidRPr="0082583F">
        <w:t xml:space="preserve"> </w:t>
      </w:r>
      <w:r w:rsidR="00A5675A" w:rsidRPr="0082583F">
        <w:t>2023</w:t>
      </w:r>
      <w:r>
        <w:t xml:space="preserve"> </w:t>
      </w:r>
    </w:p>
    <w:p w14:paraId="57C0D5C0" w14:textId="388430BC" w:rsidR="00F678BC" w:rsidRDefault="00F678BC" w:rsidP="00C4579C">
      <w:pPr>
        <w:ind w:left="720"/>
        <w:jc w:val="both"/>
      </w:pPr>
    </w:p>
    <w:p w14:paraId="2028459C" w14:textId="77777777" w:rsidR="00E76BF2" w:rsidRDefault="00E76BF2" w:rsidP="00C4579C">
      <w:pPr>
        <w:ind w:left="720"/>
        <w:jc w:val="both"/>
      </w:pPr>
    </w:p>
    <w:tbl>
      <w:tblPr>
        <w:tblStyle w:val="TableGrid"/>
        <w:tblW w:w="0" w:type="auto"/>
        <w:tblInd w:w="720" w:type="dxa"/>
        <w:tblLook w:val="04A0" w:firstRow="1" w:lastRow="0" w:firstColumn="1" w:lastColumn="0" w:noHBand="0" w:noVBand="1"/>
      </w:tblPr>
      <w:tblGrid>
        <w:gridCol w:w="5530"/>
        <w:gridCol w:w="2766"/>
      </w:tblGrid>
      <w:tr w:rsidR="00F678BC" w14:paraId="01E1E4C3" w14:textId="77777777" w:rsidTr="00874FCE">
        <w:tc>
          <w:tcPr>
            <w:tcW w:w="8296" w:type="dxa"/>
            <w:gridSpan w:val="2"/>
          </w:tcPr>
          <w:p w14:paraId="1BD517AB" w14:textId="77777777" w:rsidR="00F678BC" w:rsidRDefault="00F678BC" w:rsidP="00C4579C">
            <w:pPr>
              <w:jc w:val="both"/>
            </w:pPr>
            <w:r>
              <w:t>Insurance Requirements</w:t>
            </w:r>
          </w:p>
          <w:p w14:paraId="58F9CAB2" w14:textId="77777777" w:rsidR="00F678BC" w:rsidRDefault="00F678BC" w:rsidP="00C4579C">
            <w:pPr>
              <w:jc w:val="both"/>
            </w:pPr>
          </w:p>
        </w:tc>
      </w:tr>
      <w:tr w:rsidR="00F678BC" w14:paraId="66A6FAFB" w14:textId="77777777" w:rsidTr="00874FCE">
        <w:tc>
          <w:tcPr>
            <w:tcW w:w="5530" w:type="dxa"/>
          </w:tcPr>
          <w:p w14:paraId="5211B500" w14:textId="77777777" w:rsidR="00F678BC" w:rsidRDefault="00F678BC" w:rsidP="00C4579C">
            <w:pPr>
              <w:jc w:val="both"/>
            </w:pPr>
            <w:r>
              <w:t>Professional Indemnity: (for the life of the contract)</w:t>
            </w:r>
          </w:p>
        </w:tc>
        <w:tc>
          <w:tcPr>
            <w:tcW w:w="2766" w:type="dxa"/>
          </w:tcPr>
          <w:p w14:paraId="0C59A8A2" w14:textId="77777777" w:rsidR="00F678BC" w:rsidRDefault="00F678BC" w:rsidP="00C4579C">
            <w:pPr>
              <w:jc w:val="both"/>
            </w:pPr>
            <w:r>
              <w:t>£1 million</w:t>
            </w:r>
          </w:p>
        </w:tc>
      </w:tr>
      <w:tr w:rsidR="00F678BC" w14:paraId="6B8A8F1D" w14:textId="77777777" w:rsidTr="00874FCE">
        <w:tc>
          <w:tcPr>
            <w:tcW w:w="5530" w:type="dxa"/>
          </w:tcPr>
          <w:p w14:paraId="2EF76EDD" w14:textId="77777777" w:rsidR="00F678BC" w:rsidRDefault="00F678BC" w:rsidP="00C4579C">
            <w:pPr>
              <w:jc w:val="both"/>
            </w:pPr>
            <w:r>
              <w:t>Public Liability</w:t>
            </w:r>
          </w:p>
        </w:tc>
        <w:tc>
          <w:tcPr>
            <w:tcW w:w="2766" w:type="dxa"/>
          </w:tcPr>
          <w:p w14:paraId="6564DB8A" w14:textId="7BB5AF83" w:rsidR="00F678BC" w:rsidRDefault="00F678BC" w:rsidP="00C4579C">
            <w:pPr>
              <w:jc w:val="both"/>
            </w:pPr>
            <w:r>
              <w:t>£</w:t>
            </w:r>
            <w:r w:rsidR="00E76BF2">
              <w:t>10</w:t>
            </w:r>
            <w:r>
              <w:t xml:space="preserve"> million</w:t>
            </w:r>
          </w:p>
          <w:p w14:paraId="6947335E" w14:textId="77777777" w:rsidR="00F678BC" w:rsidRDefault="00F678BC" w:rsidP="00C4579C">
            <w:pPr>
              <w:jc w:val="both"/>
            </w:pPr>
          </w:p>
        </w:tc>
      </w:tr>
      <w:tr w:rsidR="00C97D21" w14:paraId="51EC06FA" w14:textId="77777777" w:rsidTr="00874FCE">
        <w:tc>
          <w:tcPr>
            <w:tcW w:w="5530" w:type="dxa"/>
          </w:tcPr>
          <w:p w14:paraId="21A11664" w14:textId="10A82ED9" w:rsidR="00C97D21" w:rsidRDefault="00C97D21" w:rsidP="00C4579C">
            <w:pPr>
              <w:jc w:val="both"/>
            </w:pPr>
            <w:r>
              <w:t>Employers Liability</w:t>
            </w:r>
          </w:p>
        </w:tc>
        <w:tc>
          <w:tcPr>
            <w:tcW w:w="2766" w:type="dxa"/>
          </w:tcPr>
          <w:p w14:paraId="3BE4C1CF" w14:textId="5C552582" w:rsidR="00C97D21" w:rsidRDefault="00E76BF2" w:rsidP="00C4579C">
            <w:pPr>
              <w:jc w:val="both"/>
            </w:pPr>
            <w:r>
              <w:t xml:space="preserve">£5 </w:t>
            </w:r>
            <w:r w:rsidR="00C97D21">
              <w:t>m</w:t>
            </w:r>
            <w:r>
              <w:t>illion</w:t>
            </w:r>
          </w:p>
        </w:tc>
      </w:tr>
    </w:tbl>
    <w:p w14:paraId="3DA12FF1" w14:textId="77777777" w:rsidR="00F678BC" w:rsidRDefault="00F678BC" w:rsidP="00C4579C">
      <w:pPr>
        <w:jc w:val="both"/>
      </w:pPr>
    </w:p>
    <w:p w14:paraId="6BB8F34F" w14:textId="77777777" w:rsidR="00F678BC" w:rsidRDefault="00F678BC" w:rsidP="00C4579C">
      <w:pPr>
        <w:jc w:val="both"/>
      </w:pPr>
    </w:p>
    <w:p w14:paraId="26F601C8" w14:textId="41FCE71F" w:rsidR="005B470B" w:rsidRDefault="005B470B" w:rsidP="00C4579C">
      <w:pPr>
        <w:jc w:val="both"/>
        <w:rPr>
          <w:b/>
        </w:rPr>
      </w:pPr>
    </w:p>
    <w:p w14:paraId="1E3B7318" w14:textId="77777777" w:rsidR="00CD3B5F" w:rsidRDefault="00CD3B5F" w:rsidP="00C4579C">
      <w:pPr>
        <w:jc w:val="both"/>
        <w:rPr>
          <w:b/>
        </w:rPr>
      </w:pPr>
    </w:p>
    <w:p w14:paraId="4F0440A4" w14:textId="77777777" w:rsidR="005B470B" w:rsidRDefault="005B470B" w:rsidP="00C4579C">
      <w:pPr>
        <w:jc w:val="both"/>
        <w:rPr>
          <w:b/>
        </w:rPr>
      </w:pPr>
    </w:p>
    <w:p w14:paraId="7B5942A7" w14:textId="77777777" w:rsidR="006877D3" w:rsidRDefault="006877D3" w:rsidP="00C4579C">
      <w:pPr>
        <w:jc w:val="both"/>
        <w:rPr>
          <w:b/>
        </w:rPr>
      </w:pPr>
    </w:p>
    <w:p w14:paraId="315B17D5" w14:textId="29B762E2" w:rsidR="00F678BC" w:rsidRPr="00F678BC" w:rsidRDefault="00F678BC" w:rsidP="00C4579C">
      <w:pPr>
        <w:jc w:val="both"/>
        <w:rPr>
          <w:b/>
        </w:rPr>
      </w:pPr>
      <w:r w:rsidRPr="00F678BC">
        <w:rPr>
          <w:b/>
        </w:rPr>
        <w:t>2.</w:t>
      </w:r>
      <w:r w:rsidR="001F4089">
        <w:rPr>
          <w:b/>
        </w:rPr>
        <w:t>5</w:t>
      </w:r>
      <w:r w:rsidRPr="00F678BC">
        <w:rPr>
          <w:b/>
        </w:rPr>
        <w:tab/>
        <w:t xml:space="preserve">Purpose and Scope of this </w:t>
      </w:r>
      <w:r>
        <w:rPr>
          <w:b/>
        </w:rPr>
        <w:t xml:space="preserve">Invitation to </w:t>
      </w:r>
      <w:r w:rsidR="00B305E3">
        <w:rPr>
          <w:b/>
        </w:rPr>
        <w:t>Quote</w:t>
      </w:r>
      <w:r w:rsidRPr="00F678BC">
        <w:rPr>
          <w:b/>
        </w:rPr>
        <w:t xml:space="preserve"> </w:t>
      </w:r>
    </w:p>
    <w:p w14:paraId="0EAE2338" w14:textId="77777777" w:rsidR="00F678BC" w:rsidRDefault="00F678BC" w:rsidP="00C4579C">
      <w:pPr>
        <w:jc w:val="both"/>
      </w:pPr>
    </w:p>
    <w:p w14:paraId="4989D0D8" w14:textId="313A9332" w:rsidR="00F678BC" w:rsidRDefault="0027117F" w:rsidP="00C4579C">
      <w:pPr>
        <w:ind w:firstLine="720"/>
        <w:jc w:val="both"/>
      </w:pPr>
      <w:r>
        <w:t>This</w:t>
      </w:r>
      <w:r w:rsidR="003D1FEF">
        <w:t xml:space="preserve"> Invitation to Quote</w:t>
      </w:r>
      <w:r>
        <w:t xml:space="preserve"> </w:t>
      </w:r>
      <w:r w:rsidR="003D1FEF">
        <w:t>(</w:t>
      </w:r>
      <w:r>
        <w:t>ITQ</w:t>
      </w:r>
      <w:r w:rsidR="003D1FEF">
        <w:t>)</w:t>
      </w:r>
      <w:r w:rsidR="00F678BC">
        <w:t xml:space="preserve">: </w:t>
      </w:r>
    </w:p>
    <w:p w14:paraId="471DBC78" w14:textId="77777777" w:rsidR="00F678BC" w:rsidRDefault="00F678BC" w:rsidP="00C4579C">
      <w:pPr>
        <w:ind w:firstLine="720"/>
        <w:jc w:val="both"/>
      </w:pPr>
    </w:p>
    <w:p w14:paraId="5AD424CE" w14:textId="29396DCC" w:rsidR="00F678BC" w:rsidRPr="0082583F" w:rsidRDefault="00F678BC" w:rsidP="00C4579C">
      <w:pPr>
        <w:pStyle w:val="ListParagraph"/>
        <w:numPr>
          <w:ilvl w:val="0"/>
          <w:numId w:val="1"/>
        </w:numPr>
        <w:ind w:left="1434" w:hanging="357"/>
        <w:jc w:val="both"/>
      </w:pPr>
      <w:r w:rsidRPr="0082583F">
        <w:t xml:space="preserve">Asks respondents to submit their </w:t>
      </w:r>
      <w:r w:rsidR="00B305E3" w:rsidRPr="0082583F">
        <w:t>Quotes</w:t>
      </w:r>
      <w:r w:rsidRPr="0082583F">
        <w:t xml:space="preserve"> in accordance with the instructions set </w:t>
      </w:r>
      <w:r w:rsidR="0027117F" w:rsidRPr="0082583F">
        <w:t>out in the remainder of this ITQ</w:t>
      </w:r>
      <w:r w:rsidR="0032602A" w:rsidRPr="0082583F">
        <w:t>.  The budget for the this study being £30,000 - £40,000</w:t>
      </w:r>
      <w:r w:rsidRPr="0082583F">
        <w:t xml:space="preserve"> </w:t>
      </w:r>
    </w:p>
    <w:p w14:paraId="1794CB2E" w14:textId="77777777" w:rsidR="00F678BC" w:rsidRDefault="00F678BC" w:rsidP="00C4579C">
      <w:pPr>
        <w:ind w:left="1434" w:hanging="357"/>
        <w:jc w:val="both"/>
      </w:pPr>
    </w:p>
    <w:p w14:paraId="42435D1B" w14:textId="77777777" w:rsidR="00F678BC" w:rsidRDefault="00F678BC" w:rsidP="00C4579C">
      <w:pPr>
        <w:pStyle w:val="ListParagraph"/>
        <w:numPr>
          <w:ilvl w:val="0"/>
          <w:numId w:val="1"/>
        </w:numPr>
        <w:ind w:left="1434" w:hanging="357"/>
        <w:jc w:val="both"/>
      </w:pPr>
      <w:r>
        <w:t xml:space="preserve">Sets out the overall timetable and process for the procurement to respondents </w:t>
      </w:r>
    </w:p>
    <w:p w14:paraId="2D57B3E5" w14:textId="77777777" w:rsidR="00F678BC" w:rsidRDefault="00F678BC" w:rsidP="00C4579C">
      <w:pPr>
        <w:ind w:left="1434" w:hanging="357"/>
        <w:jc w:val="both"/>
      </w:pPr>
    </w:p>
    <w:p w14:paraId="189D1EED" w14:textId="6E7248F2" w:rsidR="00F678BC" w:rsidRDefault="00F678BC" w:rsidP="00C4579C">
      <w:pPr>
        <w:pStyle w:val="ListParagraph"/>
        <w:numPr>
          <w:ilvl w:val="0"/>
          <w:numId w:val="1"/>
        </w:numPr>
        <w:ind w:left="1434" w:hanging="357"/>
        <w:jc w:val="both"/>
      </w:pPr>
      <w:r>
        <w:t xml:space="preserve">Provides respondents with sufficient information to enable them to submit a compliant </w:t>
      </w:r>
      <w:r w:rsidR="00B305E3">
        <w:t>Quote</w:t>
      </w:r>
      <w:r>
        <w:t xml:space="preserve"> (including providing templates where relevant) </w:t>
      </w:r>
    </w:p>
    <w:p w14:paraId="5EB82F8E" w14:textId="77777777" w:rsidR="00F678BC" w:rsidRDefault="00F678BC" w:rsidP="00C4579C">
      <w:pPr>
        <w:ind w:left="1434" w:hanging="357"/>
        <w:jc w:val="both"/>
      </w:pPr>
    </w:p>
    <w:p w14:paraId="5B054309" w14:textId="31656141" w:rsidR="00F678BC" w:rsidRDefault="00F678BC" w:rsidP="00C4579C">
      <w:pPr>
        <w:pStyle w:val="ListParagraph"/>
        <w:numPr>
          <w:ilvl w:val="0"/>
          <w:numId w:val="1"/>
        </w:numPr>
        <w:ind w:left="1434" w:hanging="357"/>
        <w:jc w:val="both"/>
      </w:pPr>
      <w:r>
        <w:t xml:space="preserve">Sets out the Award Criteria and the Quotation Evaluation Model that will be used to evaluate the </w:t>
      </w:r>
      <w:r w:rsidR="00B305E3">
        <w:t>Quotes</w:t>
      </w:r>
      <w:r>
        <w:t xml:space="preserve"> </w:t>
      </w:r>
    </w:p>
    <w:p w14:paraId="73E9920C" w14:textId="77777777" w:rsidR="00F678BC" w:rsidRDefault="00F678BC" w:rsidP="00C4579C">
      <w:pPr>
        <w:ind w:left="1434" w:hanging="357"/>
        <w:jc w:val="both"/>
      </w:pPr>
    </w:p>
    <w:p w14:paraId="6294D822" w14:textId="77777777" w:rsidR="00F678BC" w:rsidRDefault="00F678BC" w:rsidP="00C4579C">
      <w:pPr>
        <w:pStyle w:val="ListParagraph"/>
        <w:numPr>
          <w:ilvl w:val="0"/>
          <w:numId w:val="1"/>
        </w:numPr>
        <w:ind w:left="1434" w:hanging="357"/>
        <w:jc w:val="both"/>
      </w:pPr>
      <w:r>
        <w:t xml:space="preserve">Explains the administrative </w:t>
      </w:r>
      <w:r w:rsidR="0027117F">
        <w:t>arrangements for the receipt of Quotes</w:t>
      </w:r>
      <w:r>
        <w:t xml:space="preserve"> </w:t>
      </w:r>
    </w:p>
    <w:p w14:paraId="03348146" w14:textId="0498274F" w:rsidR="00F678BC" w:rsidRDefault="00F678BC" w:rsidP="00C4579C">
      <w:pPr>
        <w:ind w:left="720"/>
        <w:jc w:val="both"/>
      </w:pPr>
    </w:p>
    <w:p w14:paraId="44146949" w14:textId="77777777" w:rsidR="00415E7B" w:rsidRDefault="00415E7B" w:rsidP="00C4579C">
      <w:pPr>
        <w:jc w:val="both"/>
      </w:pPr>
    </w:p>
    <w:p w14:paraId="68A880AC" w14:textId="54B26C80" w:rsidR="00F678BC" w:rsidRPr="00F678BC" w:rsidRDefault="00F678BC" w:rsidP="00C4579C">
      <w:pPr>
        <w:jc w:val="both"/>
        <w:rPr>
          <w:b/>
        </w:rPr>
      </w:pPr>
      <w:r w:rsidRPr="00F678BC">
        <w:rPr>
          <w:b/>
        </w:rPr>
        <w:t>2.</w:t>
      </w:r>
      <w:r w:rsidR="001F4089">
        <w:rPr>
          <w:b/>
        </w:rPr>
        <w:t>6</w:t>
      </w:r>
      <w:r w:rsidRPr="00F678BC">
        <w:rPr>
          <w:b/>
        </w:rPr>
        <w:tab/>
        <w:t>Clarific</w:t>
      </w:r>
      <w:r w:rsidR="0027117F">
        <w:rPr>
          <w:b/>
        </w:rPr>
        <w:t>ations about the Services or ITQ</w:t>
      </w:r>
      <w:r w:rsidRPr="00F678BC">
        <w:rPr>
          <w:b/>
        </w:rPr>
        <w:t xml:space="preserve"> </w:t>
      </w:r>
    </w:p>
    <w:p w14:paraId="235D2C04" w14:textId="77777777" w:rsidR="00F678BC" w:rsidRDefault="00F678BC" w:rsidP="00C4579C">
      <w:pPr>
        <w:jc w:val="both"/>
      </w:pPr>
    </w:p>
    <w:p w14:paraId="486E4DA6" w14:textId="2565A238" w:rsidR="00874FCE" w:rsidRDefault="00F678BC" w:rsidP="00C4579C">
      <w:pPr>
        <w:ind w:left="720"/>
        <w:jc w:val="both"/>
      </w:pPr>
      <w:r>
        <w:t>Any cla</w:t>
      </w:r>
      <w:r w:rsidR="0027117F">
        <w:t>rifications relating to this ITQ</w:t>
      </w:r>
      <w:r>
        <w:t xml:space="preserve"> must be submitted to the procuring officer </w:t>
      </w:r>
      <w:r w:rsidR="0063225E">
        <w:t>Andrew Broster (GBC Traffic and Transport Manager) or Jayson Grygiel (GBC Planning Policy Manager</w:t>
      </w:r>
      <w:r w:rsidR="001B0759">
        <w:t xml:space="preserve">) </w:t>
      </w:r>
      <w:r w:rsidR="00B364D7">
        <w:t xml:space="preserve"> </w:t>
      </w:r>
      <w:r w:rsidR="0040751D">
        <w:t xml:space="preserve"> at Gosport Borough Council,</w:t>
      </w:r>
      <w:r>
        <w:t xml:space="preserve"> via the Proactis portal. </w:t>
      </w:r>
    </w:p>
    <w:p w14:paraId="4AA5BBFC" w14:textId="77777777" w:rsidR="00874FCE" w:rsidRDefault="00874FCE" w:rsidP="00C4579C">
      <w:pPr>
        <w:jc w:val="both"/>
      </w:pPr>
    </w:p>
    <w:p w14:paraId="532994DA" w14:textId="77777777" w:rsidR="00874FCE" w:rsidRDefault="00F678BC" w:rsidP="00C4579C">
      <w:pPr>
        <w:ind w:left="720"/>
        <w:jc w:val="both"/>
      </w:pPr>
      <w:r>
        <w:t xml:space="preserve">The Council will respond to all reasonable clarifications as soon as possible via Proactis. If a respondent wishes the Council to treat a clarification as confidential and not issue the response to all respondents, it must state this when submitting the clarification. If, in the opinion of the Council, the clarification is not confidential, the Council will inform the respondent and it will have an opportunity to withdraw it. If the clarification is not withdrawn, the response will be issued to all respondents. </w:t>
      </w:r>
    </w:p>
    <w:p w14:paraId="7D405505" w14:textId="77777777" w:rsidR="00874FCE" w:rsidRDefault="00874FCE" w:rsidP="00C4579C">
      <w:pPr>
        <w:ind w:left="720"/>
        <w:jc w:val="both"/>
      </w:pPr>
    </w:p>
    <w:p w14:paraId="280A9B40" w14:textId="77777777" w:rsidR="00874FCE" w:rsidRDefault="00F678BC" w:rsidP="00C4579C">
      <w:pPr>
        <w:ind w:left="720"/>
        <w:jc w:val="both"/>
      </w:pPr>
      <w:r>
        <w:t>The deadline for receipt of clarifications relating to the Services or this IT</w:t>
      </w:r>
      <w:r w:rsidR="0027117F">
        <w:t>Q</w:t>
      </w:r>
      <w:r>
        <w:t xml:space="preserve"> is set out at </w:t>
      </w:r>
      <w:r w:rsidR="00AF2EAC" w:rsidRPr="0012198C">
        <w:t>3</w:t>
      </w:r>
      <w:r w:rsidRPr="0012198C">
        <w:t>.1</w:t>
      </w:r>
      <w:r w:rsidR="00AF2EAC" w:rsidRPr="0012198C">
        <w:t>-3.2</w:t>
      </w:r>
      <w:r>
        <w:t xml:space="preserve"> below. </w:t>
      </w:r>
    </w:p>
    <w:p w14:paraId="39F2B899" w14:textId="77777777" w:rsidR="00874FCE" w:rsidRDefault="00874FCE" w:rsidP="00C4579C">
      <w:pPr>
        <w:ind w:left="720"/>
        <w:jc w:val="both"/>
      </w:pPr>
    </w:p>
    <w:p w14:paraId="2FA090F6" w14:textId="6CA929DA" w:rsidR="00874FCE" w:rsidRDefault="00F678BC" w:rsidP="00C4579C">
      <w:pPr>
        <w:ind w:left="720"/>
        <w:jc w:val="both"/>
      </w:pPr>
      <w:r>
        <w:t>Respondents are advised not to rely on communications from the Council i</w:t>
      </w:r>
      <w:r w:rsidR="0027117F">
        <w:t>n respect of the ITQ</w:t>
      </w:r>
      <w:r>
        <w:t xml:space="preserve"> unless they are made in accordance with these instructions. </w:t>
      </w:r>
    </w:p>
    <w:p w14:paraId="3DE5FCDE" w14:textId="77777777" w:rsidR="00874FCE" w:rsidRDefault="00874FCE" w:rsidP="00C4579C">
      <w:pPr>
        <w:ind w:left="720"/>
        <w:jc w:val="both"/>
      </w:pPr>
    </w:p>
    <w:p w14:paraId="3B229FC6" w14:textId="49CE5C06" w:rsidR="00F678BC" w:rsidRDefault="00F678BC" w:rsidP="00C4579C">
      <w:pPr>
        <w:ind w:left="720"/>
        <w:jc w:val="both"/>
      </w:pPr>
      <w:r>
        <w:t xml:space="preserve">The Council reserves the right (but is not obliged) to seek clarification of any aspect of a Respondent’s </w:t>
      </w:r>
      <w:r w:rsidR="00B305E3">
        <w:t>quote</w:t>
      </w:r>
      <w:r>
        <w:t xml:space="preserve"> during the evaluation phase where necessary for the purposes of carrying out a fair evaluation. Respondents are asked to respond to such requests promptly. Vague or ambiguous answers are likely to score poorly or render the </w:t>
      </w:r>
      <w:r w:rsidR="00B305E3">
        <w:t>quote</w:t>
      </w:r>
      <w:r>
        <w:t xml:space="preserve"> non-compliant.</w:t>
      </w:r>
    </w:p>
    <w:p w14:paraId="3A584194" w14:textId="77777777" w:rsidR="00874FCE" w:rsidRDefault="00874FCE" w:rsidP="00C4579C">
      <w:pPr>
        <w:ind w:left="720"/>
        <w:jc w:val="both"/>
      </w:pPr>
    </w:p>
    <w:p w14:paraId="583EC690" w14:textId="10C20077" w:rsidR="005B470B" w:rsidRDefault="005B470B" w:rsidP="00C4579C">
      <w:pPr>
        <w:jc w:val="both"/>
        <w:rPr>
          <w:b/>
          <w:sz w:val="28"/>
          <w:szCs w:val="28"/>
          <w:lang w:val="en-US"/>
        </w:rPr>
      </w:pPr>
    </w:p>
    <w:p w14:paraId="7D988E79" w14:textId="77777777" w:rsidR="00CD3B5F" w:rsidRDefault="00CD3B5F" w:rsidP="00C4579C">
      <w:pPr>
        <w:jc w:val="both"/>
        <w:rPr>
          <w:b/>
          <w:sz w:val="28"/>
          <w:szCs w:val="28"/>
          <w:lang w:val="en-US"/>
        </w:rPr>
      </w:pPr>
    </w:p>
    <w:p w14:paraId="522916B9" w14:textId="77777777" w:rsidR="006877D3" w:rsidRDefault="006877D3" w:rsidP="00C4579C">
      <w:pPr>
        <w:jc w:val="both"/>
        <w:rPr>
          <w:b/>
          <w:sz w:val="28"/>
          <w:szCs w:val="28"/>
          <w:lang w:val="en-US"/>
        </w:rPr>
      </w:pPr>
    </w:p>
    <w:p w14:paraId="3876A2A2" w14:textId="6CA35CB9" w:rsidR="00874FCE" w:rsidRPr="003D1FEF" w:rsidRDefault="00874FCE" w:rsidP="00C4579C">
      <w:pPr>
        <w:jc w:val="both"/>
        <w:rPr>
          <w:b/>
          <w:sz w:val="28"/>
          <w:szCs w:val="28"/>
          <w:u w:val="single"/>
          <w:lang w:val="en-US"/>
        </w:rPr>
      </w:pPr>
      <w:r w:rsidRPr="003D1FEF">
        <w:rPr>
          <w:b/>
          <w:sz w:val="28"/>
          <w:szCs w:val="28"/>
          <w:lang w:val="en-US"/>
        </w:rPr>
        <w:t>3.0</w:t>
      </w:r>
      <w:r w:rsidRPr="003D1FEF">
        <w:rPr>
          <w:b/>
          <w:sz w:val="28"/>
          <w:szCs w:val="28"/>
          <w:lang w:val="en-US"/>
        </w:rPr>
        <w:tab/>
      </w:r>
      <w:r w:rsidRPr="003D1FEF">
        <w:rPr>
          <w:b/>
          <w:sz w:val="28"/>
          <w:szCs w:val="28"/>
          <w:u w:val="single"/>
          <w:lang w:val="en-US"/>
        </w:rPr>
        <w:t>TIMETABLE</w:t>
      </w:r>
    </w:p>
    <w:p w14:paraId="3A49E14A" w14:textId="77777777" w:rsidR="00874FCE" w:rsidRDefault="00874FCE" w:rsidP="00C4579C">
      <w:pPr>
        <w:jc w:val="both"/>
        <w:rPr>
          <w:b/>
          <w:szCs w:val="24"/>
          <w:u w:val="single"/>
          <w:lang w:val="en-US"/>
        </w:rPr>
      </w:pPr>
    </w:p>
    <w:p w14:paraId="3F54B5D1" w14:textId="77777777" w:rsidR="00874FCE" w:rsidRPr="00874FCE" w:rsidRDefault="00874FCE" w:rsidP="00C4579C">
      <w:pPr>
        <w:jc w:val="both"/>
        <w:rPr>
          <w:b/>
        </w:rPr>
      </w:pPr>
      <w:r w:rsidRPr="00874FCE">
        <w:rPr>
          <w:b/>
        </w:rPr>
        <w:t>3.1</w:t>
      </w:r>
      <w:r w:rsidRPr="00874FCE">
        <w:rPr>
          <w:b/>
        </w:rPr>
        <w:tab/>
        <w:t xml:space="preserve">Key Dates </w:t>
      </w:r>
    </w:p>
    <w:p w14:paraId="2FCFD5EA" w14:textId="77777777" w:rsidR="00874FCE" w:rsidRDefault="00874FCE" w:rsidP="00C4579C">
      <w:pPr>
        <w:jc w:val="both"/>
      </w:pPr>
    </w:p>
    <w:p w14:paraId="534E3452" w14:textId="77777777" w:rsidR="00874FCE" w:rsidRDefault="00874FCE" w:rsidP="00C4579C">
      <w:pPr>
        <w:ind w:left="720" w:hanging="720"/>
        <w:jc w:val="both"/>
      </w:pPr>
      <w:r>
        <w:t xml:space="preserve"> </w:t>
      </w:r>
      <w:r>
        <w:tab/>
        <w:t xml:space="preserve">This procurement will follow a clear, structured and transparent process to ensure a fair and level playing field is maintained at all times, and that all respondents are treated equally. </w:t>
      </w:r>
    </w:p>
    <w:p w14:paraId="7A39FE1C" w14:textId="77777777" w:rsidR="00874FCE" w:rsidRDefault="00874FCE" w:rsidP="00C4579C">
      <w:pPr>
        <w:ind w:left="720" w:hanging="720"/>
        <w:jc w:val="both"/>
      </w:pPr>
    </w:p>
    <w:p w14:paraId="1DD66D96" w14:textId="77777777" w:rsidR="00874FCE" w:rsidRDefault="00874FCE" w:rsidP="00C4579C">
      <w:pPr>
        <w:ind w:left="720" w:hanging="720"/>
        <w:jc w:val="both"/>
      </w:pPr>
      <w:r>
        <w:t xml:space="preserve"> </w:t>
      </w:r>
      <w:r>
        <w:tab/>
        <w:t xml:space="preserve">The key dates for this procurement (Timetable) are currently anticipated to be as follows: </w:t>
      </w:r>
    </w:p>
    <w:p w14:paraId="4636DF3F" w14:textId="77777777" w:rsidR="00874FCE" w:rsidRDefault="00874FCE" w:rsidP="00C4579C">
      <w:pPr>
        <w:ind w:left="720" w:hanging="720"/>
        <w:jc w:val="both"/>
      </w:pPr>
      <w:r>
        <w:tab/>
      </w:r>
    </w:p>
    <w:tbl>
      <w:tblPr>
        <w:tblStyle w:val="TableGrid"/>
        <w:tblW w:w="0" w:type="auto"/>
        <w:tblInd w:w="720" w:type="dxa"/>
        <w:tblLook w:val="04A0" w:firstRow="1" w:lastRow="0" w:firstColumn="1" w:lastColumn="0" w:noHBand="0" w:noVBand="1"/>
      </w:tblPr>
      <w:tblGrid>
        <w:gridCol w:w="4804"/>
        <w:gridCol w:w="3492"/>
      </w:tblGrid>
      <w:tr w:rsidR="00874FCE" w14:paraId="4BAE6024" w14:textId="77777777" w:rsidTr="00AF2EAC">
        <w:tc>
          <w:tcPr>
            <w:tcW w:w="4804" w:type="dxa"/>
          </w:tcPr>
          <w:p w14:paraId="421F3FDD" w14:textId="77777777" w:rsidR="00874FCE" w:rsidRPr="00AF2EAC" w:rsidRDefault="00F16304" w:rsidP="00C4579C">
            <w:pPr>
              <w:jc w:val="both"/>
              <w:rPr>
                <w:b/>
              </w:rPr>
            </w:pPr>
            <w:r w:rsidRPr="00AF2EAC">
              <w:rPr>
                <w:b/>
              </w:rPr>
              <w:t>Event</w:t>
            </w:r>
          </w:p>
        </w:tc>
        <w:tc>
          <w:tcPr>
            <w:tcW w:w="3492" w:type="dxa"/>
          </w:tcPr>
          <w:p w14:paraId="43E1E22B" w14:textId="77777777" w:rsidR="00874FCE" w:rsidRPr="00AF2EAC" w:rsidRDefault="00F16304" w:rsidP="00C4579C">
            <w:pPr>
              <w:jc w:val="both"/>
              <w:rPr>
                <w:b/>
              </w:rPr>
            </w:pPr>
            <w:r w:rsidRPr="00AF2EAC">
              <w:rPr>
                <w:b/>
              </w:rPr>
              <w:t>Date</w:t>
            </w:r>
          </w:p>
        </w:tc>
      </w:tr>
      <w:tr w:rsidR="00874FCE" w14:paraId="4DF128A8" w14:textId="77777777" w:rsidTr="00AF2EAC">
        <w:tc>
          <w:tcPr>
            <w:tcW w:w="4804" w:type="dxa"/>
          </w:tcPr>
          <w:p w14:paraId="7BAB1AB8" w14:textId="77777777" w:rsidR="00874FCE" w:rsidRDefault="00874FCE" w:rsidP="00C4579C">
            <w:pPr>
              <w:jc w:val="both"/>
            </w:pPr>
          </w:p>
        </w:tc>
        <w:tc>
          <w:tcPr>
            <w:tcW w:w="3492" w:type="dxa"/>
          </w:tcPr>
          <w:p w14:paraId="6E2CF648" w14:textId="77777777" w:rsidR="00874FCE" w:rsidRDefault="00874FCE" w:rsidP="00C4579C">
            <w:pPr>
              <w:jc w:val="both"/>
            </w:pPr>
          </w:p>
        </w:tc>
      </w:tr>
      <w:tr w:rsidR="00874FCE" w:rsidRPr="0082583F" w14:paraId="52B69019" w14:textId="77777777" w:rsidTr="00AF2EAC">
        <w:tc>
          <w:tcPr>
            <w:tcW w:w="4804" w:type="dxa"/>
          </w:tcPr>
          <w:p w14:paraId="37B1A2A7" w14:textId="77777777" w:rsidR="00874FCE" w:rsidRPr="0082583F" w:rsidRDefault="00AF2EAC" w:rsidP="00C4579C">
            <w:pPr>
              <w:jc w:val="both"/>
            </w:pPr>
            <w:r w:rsidRPr="0082583F">
              <w:t>Issue Invitation to Quote</w:t>
            </w:r>
          </w:p>
        </w:tc>
        <w:tc>
          <w:tcPr>
            <w:tcW w:w="3492" w:type="dxa"/>
          </w:tcPr>
          <w:p w14:paraId="34B9B08B" w14:textId="4B044196" w:rsidR="00874FCE" w:rsidRPr="0082583F" w:rsidRDefault="00FA4B1A" w:rsidP="00C4579C">
            <w:pPr>
              <w:jc w:val="both"/>
            </w:pPr>
            <w:r w:rsidRPr="0082583F">
              <w:t>17.04.2023</w:t>
            </w:r>
          </w:p>
        </w:tc>
      </w:tr>
      <w:tr w:rsidR="00874FCE" w:rsidRPr="0082583F" w14:paraId="35AFFCC1" w14:textId="77777777" w:rsidTr="00AF2EAC">
        <w:tc>
          <w:tcPr>
            <w:tcW w:w="4804" w:type="dxa"/>
          </w:tcPr>
          <w:p w14:paraId="40C2F37C" w14:textId="4914CB6D" w:rsidR="00F03D2D" w:rsidRPr="0082583F" w:rsidRDefault="00AF2EAC" w:rsidP="00C4579C">
            <w:pPr>
              <w:jc w:val="both"/>
            </w:pPr>
            <w:r w:rsidRPr="0082583F">
              <w:t>Deadline for receipt of clarifications</w:t>
            </w:r>
          </w:p>
        </w:tc>
        <w:tc>
          <w:tcPr>
            <w:tcW w:w="3492" w:type="dxa"/>
          </w:tcPr>
          <w:p w14:paraId="1203C52D" w14:textId="2E6DEB98" w:rsidR="00874FCE" w:rsidRPr="0082583F" w:rsidRDefault="00FA4B1A" w:rsidP="00C4579C">
            <w:pPr>
              <w:jc w:val="both"/>
            </w:pPr>
            <w:r w:rsidRPr="0082583F">
              <w:t>01.05.2023</w:t>
            </w:r>
          </w:p>
        </w:tc>
      </w:tr>
      <w:tr w:rsidR="00874FCE" w:rsidRPr="0082583F" w14:paraId="1195C14D" w14:textId="77777777" w:rsidTr="00AF2EAC">
        <w:tc>
          <w:tcPr>
            <w:tcW w:w="4804" w:type="dxa"/>
          </w:tcPr>
          <w:p w14:paraId="3B8054CD" w14:textId="77777777" w:rsidR="00874FCE" w:rsidRPr="0082583F" w:rsidRDefault="00AF2EAC" w:rsidP="00C4579C">
            <w:pPr>
              <w:jc w:val="both"/>
            </w:pPr>
            <w:r w:rsidRPr="0082583F">
              <w:t>Deadline for receipt of Quotes</w:t>
            </w:r>
          </w:p>
        </w:tc>
        <w:tc>
          <w:tcPr>
            <w:tcW w:w="3492" w:type="dxa"/>
          </w:tcPr>
          <w:p w14:paraId="45420A66" w14:textId="23A58806" w:rsidR="00874FCE" w:rsidRPr="0082583F" w:rsidRDefault="00FA4B1A" w:rsidP="00C4579C">
            <w:pPr>
              <w:jc w:val="both"/>
            </w:pPr>
            <w:r w:rsidRPr="0082583F">
              <w:t>1</w:t>
            </w:r>
            <w:r w:rsidR="002D441B" w:rsidRPr="0082583F">
              <w:t>6</w:t>
            </w:r>
            <w:r w:rsidRPr="0082583F">
              <w:t>.05</w:t>
            </w:r>
            <w:r w:rsidR="000464A3" w:rsidRPr="0082583F">
              <w:t xml:space="preserve">.2023 </w:t>
            </w:r>
            <w:r w:rsidR="009949BA" w:rsidRPr="0082583F">
              <w:t>noon</w:t>
            </w:r>
          </w:p>
        </w:tc>
      </w:tr>
      <w:tr w:rsidR="00874FCE" w:rsidRPr="0082583F" w14:paraId="165CF258" w14:textId="77777777" w:rsidTr="00AF2EAC">
        <w:tc>
          <w:tcPr>
            <w:tcW w:w="4804" w:type="dxa"/>
          </w:tcPr>
          <w:p w14:paraId="39255D12" w14:textId="77777777" w:rsidR="00874FCE" w:rsidRPr="0082583F" w:rsidRDefault="00AF2EAC" w:rsidP="00C4579C">
            <w:pPr>
              <w:jc w:val="both"/>
            </w:pPr>
            <w:r w:rsidRPr="0082583F">
              <w:t>Evaluation of Quotes</w:t>
            </w:r>
          </w:p>
        </w:tc>
        <w:tc>
          <w:tcPr>
            <w:tcW w:w="3492" w:type="dxa"/>
          </w:tcPr>
          <w:p w14:paraId="69705AEC" w14:textId="2E8E522E" w:rsidR="000464A3" w:rsidRPr="0082583F" w:rsidRDefault="000464A3" w:rsidP="00C4579C">
            <w:pPr>
              <w:jc w:val="both"/>
            </w:pPr>
            <w:r w:rsidRPr="0082583F">
              <w:t>1</w:t>
            </w:r>
            <w:r w:rsidR="002D441B" w:rsidRPr="0082583F">
              <w:t>7</w:t>
            </w:r>
            <w:r w:rsidR="00FA4B1A" w:rsidRPr="0082583F">
              <w:t>.05</w:t>
            </w:r>
            <w:r w:rsidRPr="0082583F">
              <w:t>.2023 to 2</w:t>
            </w:r>
            <w:r w:rsidR="002D441B" w:rsidRPr="0082583F">
              <w:t>5</w:t>
            </w:r>
            <w:r w:rsidRPr="0082583F">
              <w:t>.0</w:t>
            </w:r>
            <w:r w:rsidR="00FA4B1A" w:rsidRPr="0082583F">
              <w:t>5</w:t>
            </w:r>
            <w:r w:rsidRPr="0082583F">
              <w:t>.2023</w:t>
            </w:r>
          </w:p>
        </w:tc>
      </w:tr>
      <w:tr w:rsidR="00874FCE" w:rsidRPr="0082583F" w14:paraId="168819AD" w14:textId="77777777" w:rsidTr="00AF2EAC">
        <w:tc>
          <w:tcPr>
            <w:tcW w:w="4804" w:type="dxa"/>
          </w:tcPr>
          <w:p w14:paraId="0F8B92E3" w14:textId="77777777" w:rsidR="00874FCE" w:rsidRPr="0082583F" w:rsidRDefault="00AF2EAC" w:rsidP="00C4579C">
            <w:pPr>
              <w:jc w:val="both"/>
            </w:pPr>
            <w:r w:rsidRPr="0082583F">
              <w:t>Notification of contract award decision</w:t>
            </w:r>
          </w:p>
        </w:tc>
        <w:tc>
          <w:tcPr>
            <w:tcW w:w="3492" w:type="dxa"/>
          </w:tcPr>
          <w:p w14:paraId="788EBA25" w14:textId="7B0FC368" w:rsidR="00874FCE" w:rsidRPr="0082583F" w:rsidRDefault="000464A3" w:rsidP="00C4579C">
            <w:pPr>
              <w:jc w:val="both"/>
            </w:pPr>
            <w:r w:rsidRPr="0082583F">
              <w:t>2</w:t>
            </w:r>
            <w:r w:rsidR="002D441B" w:rsidRPr="0082583F">
              <w:t>6</w:t>
            </w:r>
            <w:r w:rsidR="00FA4B1A" w:rsidRPr="0082583F">
              <w:t>.05.2023</w:t>
            </w:r>
          </w:p>
        </w:tc>
      </w:tr>
      <w:tr w:rsidR="00874FCE" w:rsidRPr="0082583F" w14:paraId="76BDF101" w14:textId="77777777" w:rsidTr="00AF2EAC">
        <w:tc>
          <w:tcPr>
            <w:tcW w:w="4804" w:type="dxa"/>
          </w:tcPr>
          <w:p w14:paraId="7E4DBB9D" w14:textId="77777777" w:rsidR="00874FCE" w:rsidRPr="0082583F" w:rsidRDefault="00AF2EAC" w:rsidP="00C4579C">
            <w:pPr>
              <w:jc w:val="both"/>
            </w:pPr>
            <w:r w:rsidRPr="0082583F">
              <w:t>Confirm contract award</w:t>
            </w:r>
          </w:p>
        </w:tc>
        <w:tc>
          <w:tcPr>
            <w:tcW w:w="3492" w:type="dxa"/>
          </w:tcPr>
          <w:p w14:paraId="072377F7" w14:textId="3A8072D4" w:rsidR="00874FCE" w:rsidRPr="0082583F" w:rsidRDefault="000464A3" w:rsidP="00C4579C">
            <w:pPr>
              <w:jc w:val="both"/>
            </w:pPr>
            <w:r w:rsidRPr="0082583F">
              <w:t>0</w:t>
            </w:r>
            <w:r w:rsidR="002D441B" w:rsidRPr="0082583F">
              <w:t>5</w:t>
            </w:r>
            <w:r w:rsidR="00FA4B1A" w:rsidRPr="0082583F">
              <w:t>.06</w:t>
            </w:r>
            <w:r w:rsidRPr="0082583F">
              <w:t>.2023</w:t>
            </w:r>
          </w:p>
        </w:tc>
      </w:tr>
      <w:tr w:rsidR="00874FCE" w:rsidRPr="0082583F" w14:paraId="760C1B34" w14:textId="77777777" w:rsidTr="00AF2EAC">
        <w:tc>
          <w:tcPr>
            <w:tcW w:w="4804" w:type="dxa"/>
          </w:tcPr>
          <w:p w14:paraId="6FD3AEFE" w14:textId="77777777" w:rsidR="00874FCE" w:rsidRPr="0082583F" w:rsidRDefault="00AF2EAC" w:rsidP="00C4579C">
            <w:pPr>
              <w:jc w:val="both"/>
            </w:pPr>
            <w:r w:rsidRPr="0082583F">
              <w:t>Target commencement date</w:t>
            </w:r>
          </w:p>
        </w:tc>
        <w:tc>
          <w:tcPr>
            <w:tcW w:w="3492" w:type="dxa"/>
          </w:tcPr>
          <w:p w14:paraId="26ED3B63" w14:textId="6C4C4BA6" w:rsidR="00874FCE" w:rsidRPr="0082583F" w:rsidRDefault="006B6DBB" w:rsidP="00C4579C">
            <w:pPr>
              <w:jc w:val="both"/>
            </w:pPr>
            <w:r w:rsidRPr="0082583F">
              <w:t xml:space="preserve">w/c </w:t>
            </w:r>
            <w:r w:rsidR="002D441B" w:rsidRPr="0082583F">
              <w:t>12</w:t>
            </w:r>
            <w:r w:rsidR="00FA4B1A" w:rsidRPr="0082583F">
              <w:t>.06</w:t>
            </w:r>
            <w:r w:rsidR="0063225E" w:rsidRPr="0082583F">
              <w:t>.2023</w:t>
            </w:r>
          </w:p>
        </w:tc>
      </w:tr>
    </w:tbl>
    <w:p w14:paraId="497C9CB7" w14:textId="77777777" w:rsidR="00874FCE" w:rsidRPr="0082583F" w:rsidRDefault="00874FCE" w:rsidP="00C4579C">
      <w:pPr>
        <w:ind w:left="720" w:hanging="720"/>
        <w:jc w:val="both"/>
      </w:pPr>
    </w:p>
    <w:p w14:paraId="4C94F803" w14:textId="77777777" w:rsidR="00874FCE" w:rsidRPr="0082583F" w:rsidRDefault="00874FCE" w:rsidP="00C4579C">
      <w:pPr>
        <w:ind w:left="720" w:hanging="720"/>
        <w:jc w:val="both"/>
      </w:pPr>
      <w:r w:rsidRPr="0082583F">
        <w:tab/>
        <w:t xml:space="preserve">Any changes to the procurement Timetable shall be notified to all Respondents as soon as practicable. </w:t>
      </w:r>
    </w:p>
    <w:p w14:paraId="09FB7BA3" w14:textId="3B849F5F" w:rsidR="00874FCE" w:rsidRPr="0082583F" w:rsidRDefault="00874FCE" w:rsidP="00C4579C">
      <w:pPr>
        <w:jc w:val="both"/>
      </w:pPr>
    </w:p>
    <w:p w14:paraId="69E2E184" w14:textId="5A9ECF63" w:rsidR="006B5830" w:rsidRPr="0082583F" w:rsidRDefault="006B5830" w:rsidP="00C4579C">
      <w:pPr>
        <w:jc w:val="both"/>
        <w:rPr>
          <w:b/>
        </w:rPr>
      </w:pPr>
      <w:r w:rsidRPr="0082583F">
        <w:rPr>
          <w:b/>
        </w:rPr>
        <w:t>3.2</w:t>
      </w:r>
      <w:r w:rsidRPr="0082583F">
        <w:tab/>
      </w:r>
      <w:r w:rsidRPr="0082583F">
        <w:rPr>
          <w:b/>
        </w:rPr>
        <w:t>Deadline for receipt of clarifications</w:t>
      </w:r>
    </w:p>
    <w:p w14:paraId="64026D1C" w14:textId="0D168974" w:rsidR="006B5830" w:rsidRPr="0082583F" w:rsidRDefault="006B5830" w:rsidP="00C4579C">
      <w:pPr>
        <w:jc w:val="both"/>
      </w:pPr>
    </w:p>
    <w:p w14:paraId="34A3DF6A" w14:textId="42DD2D38" w:rsidR="006B5830" w:rsidRPr="0082583F" w:rsidRDefault="006B5830" w:rsidP="00C4579C">
      <w:pPr>
        <w:ind w:left="720"/>
        <w:jc w:val="both"/>
      </w:pPr>
      <w:r w:rsidRPr="0082583F">
        <w:t xml:space="preserve">Between </w:t>
      </w:r>
      <w:r w:rsidR="002D441B" w:rsidRPr="0082583F">
        <w:t>1</w:t>
      </w:r>
      <w:r w:rsidR="0063225E" w:rsidRPr="0082583F">
        <w:t>7</w:t>
      </w:r>
      <w:r w:rsidR="0063225E" w:rsidRPr="0082583F">
        <w:rPr>
          <w:vertAlign w:val="superscript"/>
        </w:rPr>
        <w:t>th</w:t>
      </w:r>
      <w:r w:rsidR="002D441B" w:rsidRPr="0082583F">
        <w:t xml:space="preserve"> April </w:t>
      </w:r>
      <w:r w:rsidR="00A5675A" w:rsidRPr="0082583F">
        <w:t>2023</w:t>
      </w:r>
      <w:r w:rsidR="00D14BD0" w:rsidRPr="0082583F">
        <w:t xml:space="preserve"> and </w:t>
      </w:r>
      <w:r w:rsidR="001D54DD" w:rsidRPr="0082583F">
        <w:t>16</w:t>
      </w:r>
      <w:r w:rsidR="0063225E" w:rsidRPr="0082583F">
        <w:rPr>
          <w:vertAlign w:val="superscript"/>
        </w:rPr>
        <w:t>th</w:t>
      </w:r>
      <w:r w:rsidR="002D441B" w:rsidRPr="0082583F">
        <w:t xml:space="preserve"> May</w:t>
      </w:r>
      <w:r w:rsidRPr="0082583F">
        <w:t xml:space="preserve"> </w:t>
      </w:r>
      <w:r w:rsidR="00A5675A" w:rsidRPr="0082583F">
        <w:t xml:space="preserve">2023 </w:t>
      </w:r>
      <w:r w:rsidRPr="0082583F">
        <w:t xml:space="preserve">please contact </w:t>
      </w:r>
      <w:r w:rsidR="000464A3" w:rsidRPr="0082583F">
        <w:t>Andrew Broster (GBC Traffic and Transport Manager) or Jayson Grygiel (GBC Planning Policy Manager</w:t>
      </w:r>
      <w:r w:rsidR="001B0759" w:rsidRPr="0082583F">
        <w:t>)</w:t>
      </w:r>
      <w:r w:rsidR="004C584A" w:rsidRPr="0082583F">
        <w:t xml:space="preserve"> </w:t>
      </w:r>
      <w:r w:rsidR="009949BA" w:rsidRPr="0082583F">
        <w:t>via the message facility on Proactis</w:t>
      </w:r>
      <w:r w:rsidRPr="0082583F">
        <w:t>.</w:t>
      </w:r>
      <w:r w:rsidR="0071488E" w:rsidRPr="0082583F">
        <w:t xml:space="preserve"> </w:t>
      </w:r>
    </w:p>
    <w:p w14:paraId="0433E184" w14:textId="77777777" w:rsidR="006B5830" w:rsidRPr="0082583F" w:rsidRDefault="006B5830" w:rsidP="00C4579C">
      <w:pPr>
        <w:jc w:val="both"/>
      </w:pPr>
    </w:p>
    <w:p w14:paraId="0FC2C8F3" w14:textId="0ED993B4" w:rsidR="00874FCE" w:rsidRPr="0082583F" w:rsidRDefault="006B5830" w:rsidP="00C4579C">
      <w:pPr>
        <w:jc w:val="both"/>
        <w:rPr>
          <w:b/>
        </w:rPr>
      </w:pPr>
      <w:r w:rsidRPr="0082583F">
        <w:rPr>
          <w:b/>
        </w:rPr>
        <w:t>3.3</w:t>
      </w:r>
      <w:r w:rsidR="00874FCE" w:rsidRPr="0082583F">
        <w:rPr>
          <w:b/>
        </w:rPr>
        <w:tab/>
        <w:t xml:space="preserve">Deadline for receipt of </w:t>
      </w:r>
      <w:r w:rsidR="00C0471F" w:rsidRPr="0082583F">
        <w:rPr>
          <w:b/>
        </w:rPr>
        <w:t>Quotes</w:t>
      </w:r>
      <w:r w:rsidR="00874FCE" w:rsidRPr="0082583F">
        <w:rPr>
          <w:b/>
        </w:rPr>
        <w:t xml:space="preserve"> </w:t>
      </w:r>
    </w:p>
    <w:p w14:paraId="3EA3D69D" w14:textId="77777777" w:rsidR="00874FCE" w:rsidRPr="0082583F" w:rsidRDefault="00874FCE" w:rsidP="00C4579C">
      <w:pPr>
        <w:ind w:left="720"/>
        <w:jc w:val="both"/>
      </w:pPr>
    </w:p>
    <w:p w14:paraId="2E6D11B0" w14:textId="5D071B05" w:rsidR="00874FCE" w:rsidRDefault="0027117F" w:rsidP="00C4579C">
      <w:pPr>
        <w:ind w:left="720"/>
        <w:jc w:val="both"/>
      </w:pPr>
      <w:r w:rsidRPr="0082583F">
        <w:t>Responses to this ITQ</w:t>
      </w:r>
      <w:r w:rsidR="00874FCE" w:rsidRPr="0082583F">
        <w:t xml:space="preserve"> must arrive at the address and in the manner prescribed under Paragraph</w:t>
      </w:r>
      <w:r w:rsidR="00AF2EAC" w:rsidRPr="0082583F">
        <w:t xml:space="preserve"> 4</w:t>
      </w:r>
      <w:r w:rsidR="00874FCE" w:rsidRPr="0082583F">
        <w:t xml:space="preserve"> .1 no later than the Deadline, noon, </w:t>
      </w:r>
      <w:r w:rsidR="002D441B" w:rsidRPr="0082583F">
        <w:t>16</w:t>
      </w:r>
      <w:r w:rsidR="002D441B" w:rsidRPr="0082583F">
        <w:rPr>
          <w:vertAlign w:val="superscript"/>
        </w:rPr>
        <w:t>th</w:t>
      </w:r>
      <w:r w:rsidR="002D441B" w:rsidRPr="0082583F">
        <w:t xml:space="preserve"> May</w:t>
      </w:r>
      <w:r w:rsidR="0063225E" w:rsidRPr="0082583F">
        <w:t xml:space="preserve"> </w:t>
      </w:r>
      <w:r w:rsidR="0071488E" w:rsidRPr="0082583F">
        <w:t>2023</w:t>
      </w:r>
      <w:r w:rsidR="00874FCE" w:rsidRPr="0082583F">
        <w:t>.</w:t>
      </w:r>
      <w:r w:rsidR="00874FCE">
        <w:t xml:space="preserve"> Any </w:t>
      </w:r>
      <w:r w:rsidR="00C0471F">
        <w:t>Quote</w:t>
      </w:r>
      <w:r w:rsidR="00874FCE">
        <w:t xml:space="preserve"> received after the Deadline shall not be opened or considered. The Council may, however, in its own absolute discretion extend the Deadline and in such circumstances the Council will notify all Respondents of any change. </w:t>
      </w:r>
    </w:p>
    <w:p w14:paraId="294C5FCF" w14:textId="77777777" w:rsidR="00874FCE" w:rsidRDefault="00874FCE" w:rsidP="00C4579C">
      <w:pPr>
        <w:jc w:val="both"/>
      </w:pPr>
    </w:p>
    <w:p w14:paraId="609A389B" w14:textId="081891F9" w:rsidR="0028507F" w:rsidRPr="0028507F" w:rsidRDefault="0028507F" w:rsidP="00C4579C">
      <w:pPr>
        <w:jc w:val="both"/>
        <w:rPr>
          <w:b/>
        </w:rPr>
      </w:pPr>
      <w:r w:rsidRPr="0028507F">
        <w:rPr>
          <w:b/>
        </w:rPr>
        <w:t>3.</w:t>
      </w:r>
      <w:r w:rsidR="00B35EEB">
        <w:rPr>
          <w:b/>
        </w:rPr>
        <w:t>4</w:t>
      </w:r>
      <w:r w:rsidRPr="0028507F">
        <w:rPr>
          <w:b/>
        </w:rPr>
        <w:tab/>
      </w:r>
      <w:r w:rsidR="00874FCE" w:rsidRPr="0028507F">
        <w:rPr>
          <w:b/>
        </w:rPr>
        <w:t xml:space="preserve">Contract Award </w:t>
      </w:r>
    </w:p>
    <w:p w14:paraId="177A75AB" w14:textId="77777777" w:rsidR="0028507F" w:rsidRDefault="0028507F" w:rsidP="00C4579C">
      <w:pPr>
        <w:jc w:val="both"/>
      </w:pPr>
    </w:p>
    <w:p w14:paraId="5000CF0D" w14:textId="5C0A6E8E" w:rsidR="0028507F" w:rsidRDefault="00874FCE" w:rsidP="00C4579C">
      <w:pPr>
        <w:ind w:left="720"/>
        <w:jc w:val="both"/>
      </w:pPr>
      <w:r>
        <w:t xml:space="preserve">The Council may award Contract(s) on the basis of a </w:t>
      </w:r>
      <w:r w:rsidR="00C0471F">
        <w:t>Quote</w:t>
      </w:r>
      <w:r>
        <w:t xml:space="preserve"> submitted in accordance with the instructions below. Contract award is subject to the formal approval process of the Council. Until all necessary approvals are obtained no Contract will be entered into. Once the Council has reached a decision in respect of a contract award, it will notify all bidders of that decision via </w:t>
      </w:r>
      <w:proofErr w:type="spellStart"/>
      <w:r>
        <w:t>proactis</w:t>
      </w:r>
      <w:proofErr w:type="spellEnd"/>
      <w:r>
        <w:t xml:space="preserve"> and before entering into any Contract(s). </w:t>
      </w:r>
    </w:p>
    <w:p w14:paraId="17401C99" w14:textId="11CA133E" w:rsidR="00D64633" w:rsidRDefault="00D64633" w:rsidP="00C4579C">
      <w:pPr>
        <w:ind w:left="720"/>
        <w:jc w:val="both"/>
      </w:pPr>
    </w:p>
    <w:p w14:paraId="1050E920" w14:textId="77777777" w:rsidR="00D64633" w:rsidRDefault="00D64633" w:rsidP="00C4579C">
      <w:pPr>
        <w:ind w:left="720"/>
        <w:jc w:val="both"/>
      </w:pPr>
    </w:p>
    <w:p w14:paraId="4A140CD3" w14:textId="77777777" w:rsidR="0028507F" w:rsidRDefault="0028507F" w:rsidP="00C4579C">
      <w:pPr>
        <w:jc w:val="both"/>
      </w:pPr>
    </w:p>
    <w:p w14:paraId="7E3CD217" w14:textId="3CB0F9BB" w:rsidR="0028507F" w:rsidRPr="0028507F" w:rsidRDefault="0028507F" w:rsidP="00C4579C">
      <w:pPr>
        <w:jc w:val="both"/>
        <w:rPr>
          <w:b/>
        </w:rPr>
      </w:pPr>
      <w:r w:rsidRPr="0028507F">
        <w:rPr>
          <w:b/>
        </w:rPr>
        <w:t>3.</w:t>
      </w:r>
      <w:r w:rsidR="00B35EEB">
        <w:rPr>
          <w:b/>
        </w:rPr>
        <w:t>5</w:t>
      </w:r>
      <w:r w:rsidRPr="0028507F">
        <w:rPr>
          <w:b/>
        </w:rPr>
        <w:tab/>
      </w:r>
      <w:r w:rsidR="00874FCE" w:rsidRPr="0028507F">
        <w:rPr>
          <w:b/>
        </w:rPr>
        <w:t xml:space="preserve">Programme Dates </w:t>
      </w:r>
      <w:r w:rsidR="008F5028">
        <w:rPr>
          <w:b/>
        </w:rPr>
        <w:t>and Proposed Meetings</w:t>
      </w:r>
    </w:p>
    <w:p w14:paraId="7E54BB95" w14:textId="77777777" w:rsidR="0028507F" w:rsidRDefault="0028507F" w:rsidP="00C4579C">
      <w:pPr>
        <w:jc w:val="both"/>
      </w:pPr>
    </w:p>
    <w:p w14:paraId="13AD2D75" w14:textId="7860AB44" w:rsidR="0028507F" w:rsidRDefault="00874FCE" w:rsidP="00C4579C">
      <w:pPr>
        <w:ind w:left="720"/>
        <w:jc w:val="both"/>
      </w:pPr>
      <w:r>
        <w:t xml:space="preserve">The Council will expect </w:t>
      </w:r>
      <w:r w:rsidR="006A5DD2">
        <w:t xml:space="preserve">a draft </w:t>
      </w:r>
      <w:r w:rsidR="002A55B7">
        <w:t>s</w:t>
      </w:r>
      <w:r w:rsidR="003C43FE">
        <w:t xml:space="preserve">tudy </w:t>
      </w:r>
      <w:r w:rsidR="002A55B7">
        <w:t>report</w:t>
      </w:r>
      <w:r>
        <w:t xml:space="preserve"> by </w:t>
      </w:r>
      <w:r w:rsidR="006877D3">
        <w:t>early September</w:t>
      </w:r>
      <w:r w:rsidR="001F4089">
        <w:t xml:space="preserve"> </w:t>
      </w:r>
      <w:r w:rsidR="00E047F5" w:rsidRPr="0017561C">
        <w:t>2023</w:t>
      </w:r>
      <w:r w:rsidR="00941FC9" w:rsidRPr="0017561C" w:rsidDel="00941FC9">
        <w:t xml:space="preserve"> </w:t>
      </w:r>
      <w:r w:rsidRPr="0017561C">
        <w:t xml:space="preserve">and a completed </w:t>
      </w:r>
      <w:r w:rsidR="002A55B7" w:rsidRPr="0017561C">
        <w:t xml:space="preserve">report </w:t>
      </w:r>
      <w:r w:rsidRPr="0017561C">
        <w:t xml:space="preserve">by </w:t>
      </w:r>
      <w:r w:rsidR="006877D3">
        <w:t>mid-October</w:t>
      </w:r>
      <w:r w:rsidR="00910517" w:rsidRPr="0017561C">
        <w:t xml:space="preserve"> </w:t>
      </w:r>
      <w:r w:rsidR="00E047F5" w:rsidRPr="0017561C">
        <w:t>2023</w:t>
      </w:r>
      <w:r w:rsidR="00910517">
        <w:t xml:space="preserve"> in order to inform the emerging </w:t>
      </w:r>
      <w:proofErr w:type="spellStart"/>
      <w:r w:rsidR="00910517">
        <w:t>masterplanning</w:t>
      </w:r>
      <w:proofErr w:type="spellEnd"/>
      <w:r w:rsidR="00910517">
        <w:t xml:space="preserve"> process and the next stage of the Council’s Local Plan</w:t>
      </w:r>
    </w:p>
    <w:p w14:paraId="75B58B63" w14:textId="77777777" w:rsidR="0028507F" w:rsidRDefault="0028507F" w:rsidP="00C4579C">
      <w:pPr>
        <w:ind w:left="720"/>
        <w:jc w:val="both"/>
      </w:pPr>
    </w:p>
    <w:p w14:paraId="50B14369" w14:textId="0FE016F7" w:rsidR="0028507F" w:rsidRDefault="0028507F" w:rsidP="00C4579C">
      <w:pPr>
        <w:ind w:left="720"/>
        <w:jc w:val="both"/>
      </w:pPr>
      <w:r>
        <w:t>T</w:t>
      </w:r>
      <w:r w:rsidR="00874FCE">
        <w:t xml:space="preserve">he consultants will need to provide a detailed work programme to meet this target date which outlines when the key tasks will be undertaken. It will also need to allow for appropriate liaison meetings with </w:t>
      </w:r>
      <w:r w:rsidR="0040751D">
        <w:t xml:space="preserve">the </w:t>
      </w:r>
      <w:r w:rsidR="00874FCE">
        <w:t>Council</w:t>
      </w:r>
      <w:r w:rsidR="0040751D">
        <w:t xml:space="preserve"> and</w:t>
      </w:r>
      <w:r w:rsidR="00910517">
        <w:t xml:space="preserve"> DIO</w:t>
      </w:r>
      <w:r w:rsidR="00874FCE">
        <w:t xml:space="preserve"> officers on the draft findings of the study</w:t>
      </w:r>
      <w:r w:rsidR="00910517">
        <w:t xml:space="preserve"> as well as input from H</w:t>
      </w:r>
      <w:r w:rsidR="001F4089">
        <w:t>ampshire County Council</w:t>
      </w:r>
      <w:r w:rsidR="00874FCE">
        <w:t>. The consultant and Council</w:t>
      </w:r>
      <w:r w:rsidR="001F4089">
        <w:t>, HCC</w:t>
      </w:r>
      <w:r w:rsidR="00910517">
        <w:t xml:space="preserve"> and DIO</w:t>
      </w:r>
      <w:r w:rsidR="00874FCE">
        <w:t xml:space="preserve"> officers will hold meetings as and when necessary but as a minimum will include the following: </w:t>
      </w:r>
    </w:p>
    <w:p w14:paraId="3B73E318" w14:textId="77777777" w:rsidR="0028507F" w:rsidRDefault="0028507F" w:rsidP="00C4579C">
      <w:pPr>
        <w:ind w:left="720"/>
        <w:jc w:val="both"/>
      </w:pPr>
    </w:p>
    <w:p w14:paraId="67DBE24A" w14:textId="761F2E83" w:rsidR="0028507F" w:rsidRPr="0082583F" w:rsidRDefault="00874FCE" w:rsidP="00C4579C">
      <w:pPr>
        <w:pStyle w:val="ListParagraph"/>
        <w:numPr>
          <w:ilvl w:val="0"/>
          <w:numId w:val="2"/>
        </w:numPr>
        <w:ind w:left="1434" w:hanging="357"/>
        <w:jc w:val="both"/>
      </w:pPr>
      <w:r>
        <w:t>I</w:t>
      </w:r>
      <w:r w:rsidRPr="00C8442B">
        <w:t xml:space="preserve">ntroductory project meeting to confirm the project process, timetable and to establish information </w:t>
      </w:r>
      <w:r w:rsidR="0028507F" w:rsidRPr="00C8442B">
        <w:t xml:space="preserve">needs and </w:t>
      </w:r>
      <w:r w:rsidR="0028507F" w:rsidRPr="0082583F">
        <w:t xml:space="preserve">sources </w:t>
      </w:r>
      <w:r w:rsidR="00AF2EAC" w:rsidRPr="0082583F">
        <w:t>–</w:t>
      </w:r>
      <w:r w:rsidR="0028507F" w:rsidRPr="0082583F">
        <w:t xml:space="preserve"> </w:t>
      </w:r>
      <w:r w:rsidR="0093647B" w:rsidRPr="0082583F">
        <w:t xml:space="preserve">w/c </w:t>
      </w:r>
      <w:r w:rsidR="006877D3" w:rsidRPr="0082583F">
        <w:t>12</w:t>
      </w:r>
      <w:r w:rsidR="006877D3" w:rsidRPr="0082583F">
        <w:rPr>
          <w:vertAlign w:val="superscript"/>
        </w:rPr>
        <w:t>th</w:t>
      </w:r>
      <w:r w:rsidR="006877D3" w:rsidRPr="0082583F">
        <w:t xml:space="preserve"> June</w:t>
      </w:r>
      <w:r w:rsidR="0063225E" w:rsidRPr="0082583F">
        <w:t xml:space="preserve"> </w:t>
      </w:r>
      <w:r w:rsidR="00910517" w:rsidRPr="0082583F">
        <w:t>2023</w:t>
      </w:r>
      <w:r w:rsidR="008F5028" w:rsidRPr="0082583F">
        <w:t>.  This is likely to be face to face and include a site visit.</w:t>
      </w:r>
    </w:p>
    <w:p w14:paraId="7985112A" w14:textId="77777777" w:rsidR="0028507F" w:rsidRPr="0082583F" w:rsidRDefault="0028507F" w:rsidP="00C4579C">
      <w:pPr>
        <w:ind w:left="1434" w:hanging="357"/>
        <w:jc w:val="both"/>
      </w:pPr>
    </w:p>
    <w:p w14:paraId="00F061C3" w14:textId="438557F9" w:rsidR="0028507F" w:rsidRPr="0082583F" w:rsidRDefault="00874FCE" w:rsidP="00C4579C">
      <w:pPr>
        <w:pStyle w:val="ListParagraph"/>
        <w:numPr>
          <w:ilvl w:val="0"/>
          <w:numId w:val="2"/>
        </w:numPr>
        <w:ind w:left="1434" w:hanging="357"/>
        <w:jc w:val="both"/>
      </w:pPr>
      <w:r w:rsidRPr="0082583F">
        <w:t xml:space="preserve">Progress meeting to discuss any emerging issues or clarify requirements </w:t>
      </w:r>
      <w:r w:rsidR="00AF2EAC" w:rsidRPr="0082583F">
        <w:t>–</w:t>
      </w:r>
      <w:r w:rsidR="00A5675A" w:rsidRPr="0082583F">
        <w:t xml:space="preserve"> </w:t>
      </w:r>
      <w:r w:rsidR="00AF0315" w:rsidRPr="0082583F">
        <w:t>early to</w:t>
      </w:r>
      <w:r w:rsidR="006B6DBB" w:rsidRPr="0082583F">
        <w:t xml:space="preserve"> </w:t>
      </w:r>
      <w:r w:rsidR="0082583F" w:rsidRPr="0082583F">
        <w:t>mid-July</w:t>
      </w:r>
      <w:r w:rsidR="00A5675A" w:rsidRPr="0082583F">
        <w:t xml:space="preserve"> </w:t>
      </w:r>
      <w:r w:rsidR="00910517" w:rsidRPr="0082583F">
        <w:t xml:space="preserve"> 2023</w:t>
      </w:r>
      <w:r w:rsidRPr="0082583F">
        <w:t xml:space="preserve">; and </w:t>
      </w:r>
    </w:p>
    <w:p w14:paraId="20E31FBA" w14:textId="77777777" w:rsidR="0028507F" w:rsidRPr="0082583F" w:rsidRDefault="0028507F" w:rsidP="00C4579C">
      <w:pPr>
        <w:ind w:left="1434" w:hanging="357"/>
        <w:jc w:val="both"/>
      </w:pPr>
    </w:p>
    <w:p w14:paraId="4444EAA7" w14:textId="712B3989" w:rsidR="00874FCE" w:rsidRPr="0082583F" w:rsidRDefault="00874FCE" w:rsidP="00C4579C">
      <w:pPr>
        <w:pStyle w:val="ListParagraph"/>
        <w:numPr>
          <w:ilvl w:val="0"/>
          <w:numId w:val="2"/>
        </w:numPr>
        <w:ind w:left="1434" w:hanging="357"/>
        <w:jc w:val="both"/>
      </w:pPr>
      <w:r w:rsidRPr="0082583F">
        <w:t xml:space="preserve">Meeting to discuss the findings of draft report </w:t>
      </w:r>
      <w:r w:rsidR="00AF2EAC" w:rsidRPr="0082583F">
        <w:t>–</w:t>
      </w:r>
      <w:r w:rsidRPr="0082583F">
        <w:t xml:space="preserve"> </w:t>
      </w:r>
      <w:r w:rsidR="00AF0315" w:rsidRPr="0082583F">
        <w:t xml:space="preserve"> mid</w:t>
      </w:r>
      <w:r w:rsidR="001B0759" w:rsidRPr="0082583F">
        <w:t xml:space="preserve"> September</w:t>
      </w:r>
      <w:r w:rsidR="002A55B7" w:rsidRPr="0082583F">
        <w:t xml:space="preserve"> </w:t>
      </w:r>
      <w:r w:rsidR="0093647B" w:rsidRPr="0082583F">
        <w:t>2023</w:t>
      </w:r>
      <w:r w:rsidR="00910517" w:rsidRPr="0082583F">
        <w:t xml:space="preserve"> </w:t>
      </w:r>
    </w:p>
    <w:p w14:paraId="72968368" w14:textId="480BBF18" w:rsidR="00910517" w:rsidRDefault="00910517" w:rsidP="00C4579C">
      <w:pPr>
        <w:jc w:val="both"/>
      </w:pPr>
    </w:p>
    <w:p w14:paraId="7D661BB8" w14:textId="2DBEBD8D" w:rsidR="008F5028" w:rsidRDefault="008F5028" w:rsidP="00C4579C">
      <w:pPr>
        <w:ind w:left="851"/>
        <w:jc w:val="both"/>
      </w:pPr>
      <w:r>
        <w:t>Consequently your fee proposal should include an allowance for a minimum of three meetings</w:t>
      </w:r>
      <w:r w:rsidR="000D4F40">
        <w:t>.</w:t>
      </w:r>
      <w:r>
        <w:t xml:space="preserve"> If you consider that additional meetings will be required, please include details of this within your proposal. </w:t>
      </w:r>
    </w:p>
    <w:p w14:paraId="1F36874E" w14:textId="117C70EC" w:rsidR="00910517" w:rsidRDefault="00910517" w:rsidP="00C4579C">
      <w:pPr>
        <w:jc w:val="both"/>
      </w:pPr>
    </w:p>
    <w:p w14:paraId="6E04C5A1" w14:textId="4A96C378" w:rsidR="00CD3B5F" w:rsidRDefault="00CD3B5F" w:rsidP="00C4579C">
      <w:pPr>
        <w:jc w:val="both"/>
      </w:pPr>
    </w:p>
    <w:p w14:paraId="14D5A3D2" w14:textId="0D4742DD" w:rsidR="00CD3B5F" w:rsidRDefault="00CD3B5F" w:rsidP="00C4579C">
      <w:pPr>
        <w:jc w:val="both"/>
      </w:pPr>
    </w:p>
    <w:p w14:paraId="01DCC0FA" w14:textId="77777777" w:rsidR="00C5505F" w:rsidRDefault="00C5505F" w:rsidP="00C4579C">
      <w:pPr>
        <w:jc w:val="both"/>
      </w:pPr>
    </w:p>
    <w:p w14:paraId="16E3FBEF" w14:textId="375261B6" w:rsidR="00910517" w:rsidRDefault="00910517" w:rsidP="00C4579C">
      <w:pPr>
        <w:jc w:val="both"/>
      </w:pPr>
    </w:p>
    <w:p w14:paraId="24D8A213" w14:textId="77777777" w:rsidR="00C71154" w:rsidRDefault="00C71154" w:rsidP="00C4579C">
      <w:pPr>
        <w:ind w:left="720" w:hanging="720"/>
        <w:jc w:val="both"/>
        <w:rPr>
          <w:b/>
          <w:sz w:val="28"/>
          <w:szCs w:val="28"/>
          <w:lang w:val="en-US"/>
        </w:rPr>
      </w:pPr>
    </w:p>
    <w:p w14:paraId="33F6205B" w14:textId="77777777" w:rsidR="00C71154" w:rsidRDefault="00C71154" w:rsidP="00C4579C">
      <w:pPr>
        <w:ind w:left="720" w:hanging="720"/>
        <w:jc w:val="both"/>
        <w:rPr>
          <w:b/>
          <w:sz w:val="28"/>
          <w:szCs w:val="28"/>
          <w:lang w:val="en-US"/>
        </w:rPr>
      </w:pPr>
    </w:p>
    <w:p w14:paraId="20F0F2D2" w14:textId="77777777" w:rsidR="00C71154" w:rsidRDefault="00C71154" w:rsidP="00C4579C">
      <w:pPr>
        <w:ind w:left="720" w:hanging="720"/>
        <w:jc w:val="both"/>
        <w:rPr>
          <w:b/>
          <w:sz w:val="28"/>
          <w:szCs w:val="28"/>
          <w:lang w:val="en-US"/>
        </w:rPr>
      </w:pPr>
    </w:p>
    <w:p w14:paraId="3D9CDE04" w14:textId="77777777" w:rsidR="00C71154" w:rsidRDefault="00C71154" w:rsidP="00C4579C">
      <w:pPr>
        <w:ind w:left="720" w:hanging="720"/>
        <w:jc w:val="both"/>
        <w:rPr>
          <w:b/>
          <w:sz w:val="28"/>
          <w:szCs w:val="28"/>
          <w:lang w:val="en-US"/>
        </w:rPr>
      </w:pPr>
    </w:p>
    <w:p w14:paraId="6FAE3460" w14:textId="77777777" w:rsidR="00C71154" w:rsidRDefault="00C71154" w:rsidP="00C4579C">
      <w:pPr>
        <w:ind w:left="720" w:hanging="720"/>
        <w:jc w:val="both"/>
        <w:rPr>
          <w:b/>
          <w:sz w:val="28"/>
          <w:szCs w:val="28"/>
          <w:lang w:val="en-US"/>
        </w:rPr>
      </w:pPr>
    </w:p>
    <w:p w14:paraId="5780093E" w14:textId="77777777" w:rsidR="00C71154" w:rsidRDefault="00C71154" w:rsidP="00C4579C">
      <w:pPr>
        <w:ind w:left="720" w:hanging="720"/>
        <w:jc w:val="both"/>
        <w:rPr>
          <w:b/>
          <w:sz w:val="28"/>
          <w:szCs w:val="28"/>
          <w:lang w:val="en-US"/>
        </w:rPr>
      </w:pPr>
    </w:p>
    <w:p w14:paraId="4CC7437F" w14:textId="77777777" w:rsidR="00C71154" w:rsidRDefault="00C71154" w:rsidP="00C4579C">
      <w:pPr>
        <w:ind w:left="720" w:hanging="720"/>
        <w:jc w:val="both"/>
        <w:rPr>
          <w:b/>
          <w:sz w:val="28"/>
          <w:szCs w:val="28"/>
          <w:lang w:val="en-US"/>
        </w:rPr>
      </w:pPr>
    </w:p>
    <w:p w14:paraId="1F7646D0" w14:textId="77777777" w:rsidR="00C71154" w:rsidRDefault="00C71154" w:rsidP="00C4579C">
      <w:pPr>
        <w:ind w:left="720" w:hanging="720"/>
        <w:jc w:val="both"/>
        <w:rPr>
          <w:b/>
          <w:sz w:val="28"/>
          <w:szCs w:val="28"/>
          <w:lang w:val="en-US"/>
        </w:rPr>
      </w:pPr>
    </w:p>
    <w:p w14:paraId="4D2E0837" w14:textId="77777777" w:rsidR="00C71154" w:rsidRDefault="00C71154" w:rsidP="00C4579C">
      <w:pPr>
        <w:ind w:left="720" w:hanging="720"/>
        <w:jc w:val="both"/>
        <w:rPr>
          <w:b/>
          <w:sz w:val="28"/>
          <w:szCs w:val="28"/>
          <w:lang w:val="en-US"/>
        </w:rPr>
      </w:pPr>
    </w:p>
    <w:p w14:paraId="7F244740" w14:textId="77777777" w:rsidR="00C71154" w:rsidRDefault="00C71154" w:rsidP="00C4579C">
      <w:pPr>
        <w:ind w:left="720" w:hanging="720"/>
        <w:jc w:val="both"/>
        <w:rPr>
          <w:b/>
          <w:sz w:val="28"/>
          <w:szCs w:val="28"/>
          <w:lang w:val="en-US"/>
        </w:rPr>
      </w:pPr>
    </w:p>
    <w:p w14:paraId="6DB4D781" w14:textId="77777777" w:rsidR="00C71154" w:rsidRDefault="00C71154" w:rsidP="00C4579C">
      <w:pPr>
        <w:ind w:left="720" w:hanging="720"/>
        <w:jc w:val="both"/>
        <w:rPr>
          <w:b/>
          <w:sz w:val="28"/>
          <w:szCs w:val="28"/>
          <w:lang w:val="en-US"/>
        </w:rPr>
      </w:pPr>
    </w:p>
    <w:p w14:paraId="57A4C8AB" w14:textId="77777777" w:rsidR="00C71154" w:rsidRDefault="00C71154" w:rsidP="00C4579C">
      <w:pPr>
        <w:ind w:left="720" w:hanging="720"/>
        <w:jc w:val="both"/>
        <w:rPr>
          <w:b/>
          <w:sz w:val="28"/>
          <w:szCs w:val="28"/>
          <w:lang w:val="en-US"/>
        </w:rPr>
      </w:pPr>
    </w:p>
    <w:p w14:paraId="331A9A0B" w14:textId="77777777" w:rsidR="00C71154" w:rsidRDefault="00C71154" w:rsidP="00C4579C">
      <w:pPr>
        <w:ind w:left="720" w:hanging="720"/>
        <w:jc w:val="both"/>
        <w:rPr>
          <w:b/>
          <w:sz w:val="28"/>
          <w:szCs w:val="28"/>
          <w:lang w:val="en-US"/>
        </w:rPr>
      </w:pPr>
    </w:p>
    <w:p w14:paraId="21999418" w14:textId="77777777" w:rsidR="00C71154" w:rsidRDefault="00C71154" w:rsidP="00C4579C">
      <w:pPr>
        <w:ind w:left="720" w:hanging="720"/>
        <w:jc w:val="both"/>
        <w:rPr>
          <w:b/>
          <w:sz w:val="28"/>
          <w:szCs w:val="28"/>
          <w:lang w:val="en-US"/>
        </w:rPr>
      </w:pPr>
    </w:p>
    <w:p w14:paraId="5B99B85B" w14:textId="77777777" w:rsidR="00C71154" w:rsidRDefault="00C71154" w:rsidP="00C4579C">
      <w:pPr>
        <w:ind w:left="720" w:hanging="720"/>
        <w:jc w:val="both"/>
        <w:rPr>
          <w:b/>
          <w:sz w:val="28"/>
          <w:szCs w:val="28"/>
          <w:lang w:val="en-US"/>
        </w:rPr>
      </w:pPr>
    </w:p>
    <w:p w14:paraId="3528D4BA" w14:textId="77777777" w:rsidR="00C71154" w:rsidRDefault="00C71154" w:rsidP="00C4579C">
      <w:pPr>
        <w:ind w:left="720" w:hanging="720"/>
        <w:jc w:val="both"/>
        <w:rPr>
          <w:b/>
          <w:sz w:val="28"/>
          <w:szCs w:val="28"/>
          <w:lang w:val="en-US"/>
        </w:rPr>
      </w:pPr>
    </w:p>
    <w:p w14:paraId="207A984B" w14:textId="77777777" w:rsidR="00C71154" w:rsidRDefault="00C71154" w:rsidP="00C4579C">
      <w:pPr>
        <w:ind w:left="720" w:hanging="720"/>
        <w:jc w:val="both"/>
        <w:rPr>
          <w:b/>
          <w:sz w:val="28"/>
          <w:szCs w:val="28"/>
          <w:lang w:val="en-US"/>
        </w:rPr>
      </w:pPr>
    </w:p>
    <w:p w14:paraId="566EE206" w14:textId="0B4E8733" w:rsidR="0028507F" w:rsidRPr="003D1FEF" w:rsidRDefault="0028507F" w:rsidP="00C4579C">
      <w:pPr>
        <w:ind w:left="720" w:hanging="720"/>
        <w:jc w:val="both"/>
        <w:rPr>
          <w:b/>
          <w:sz w:val="28"/>
          <w:szCs w:val="28"/>
          <w:lang w:val="en-US"/>
        </w:rPr>
      </w:pPr>
      <w:r w:rsidRPr="003D1FEF">
        <w:rPr>
          <w:b/>
          <w:sz w:val="28"/>
          <w:szCs w:val="28"/>
          <w:lang w:val="en-US"/>
        </w:rPr>
        <w:t>4.0</w:t>
      </w:r>
      <w:r w:rsidRPr="003D1FEF">
        <w:rPr>
          <w:sz w:val="28"/>
          <w:szCs w:val="28"/>
          <w:lang w:val="en-US"/>
        </w:rPr>
        <w:tab/>
      </w:r>
      <w:r w:rsidR="00D4385B">
        <w:rPr>
          <w:b/>
          <w:sz w:val="28"/>
          <w:szCs w:val="28"/>
          <w:lang w:val="en-US"/>
        </w:rPr>
        <w:t>QUOTE</w:t>
      </w:r>
      <w:r w:rsidRPr="003D1FEF">
        <w:rPr>
          <w:b/>
          <w:sz w:val="28"/>
          <w:szCs w:val="28"/>
          <w:lang w:val="en-US"/>
        </w:rPr>
        <w:t xml:space="preserve"> COMPLETION INFORMATION</w:t>
      </w:r>
    </w:p>
    <w:p w14:paraId="76E1E03C" w14:textId="6FE43A9A" w:rsidR="0028507F" w:rsidRDefault="0028507F" w:rsidP="00C4579C">
      <w:pPr>
        <w:ind w:left="720" w:hanging="720"/>
        <w:jc w:val="both"/>
        <w:rPr>
          <w:b/>
          <w:szCs w:val="24"/>
          <w:lang w:val="en-US"/>
        </w:rPr>
      </w:pPr>
    </w:p>
    <w:p w14:paraId="25152CC9" w14:textId="5A081EC3" w:rsidR="006B6DBB" w:rsidRDefault="006B6DBB" w:rsidP="00C4579C">
      <w:pPr>
        <w:pStyle w:val="NoSpacing"/>
        <w:ind w:left="720"/>
        <w:jc w:val="both"/>
        <w:rPr>
          <w:rFonts w:ascii="Arial" w:hAnsi="Arial" w:cs="Arial"/>
          <w:color w:val="000000"/>
          <w:sz w:val="24"/>
          <w:szCs w:val="24"/>
        </w:rPr>
      </w:pPr>
      <w:r w:rsidRPr="0008385C">
        <w:rPr>
          <w:rFonts w:ascii="Arial" w:hAnsi="Arial" w:cs="Arial"/>
          <w:color w:val="000000"/>
          <w:sz w:val="24"/>
          <w:szCs w:val="24"/>
        </w:rPr>
        <w:t>All submissions must be uploaded via the South East Business</w:t>
      </w:r>
      <w:r>
        <w:rPr>
          <w:rFonts w:ascii="Arial" w:hAnsi="Arial" w:cs="Arial"/>
          <w:color w:val="000000"/>
          <w:sz w:val="24"/>
          <w:szCs w:val="24"/>
        </w:rPr>
        <w:t xml:space="preserve"> Portal, also known as Proactis before the deadline stated in the timetable in this ITQ.</w:t>
      </w:r>
      <w:r w:rsidRPr="0008385C">
        <w:rPr>
          <w:rFonts w:ascii="Arial" w:hAnsi="Arial" w:cs="Arial"/>
          <w:color w:val="000000"/>
          <w:sz w:val="24"/>
          <w:szCs w:val="24"/>
        </w:rPr>
        <w:t xml:space="preserve"> </w:t>
      </w:r>
    </w:p>
    <w:p w14:paraId="3863E520" w14:textId="77777777" w:rsidR="006B6DBB" w:rsidRDefault="006B6DBB" w:rsidP="00C4579C">
      <w:pPr>
        <w:pStyle w:val="NoSpacing"/>
        <w:ind w:left="720"/>
        <w:jc w:val="both"/>
        <w:rPr>
          <w:rFonts w:ascii="Arial" w:hAnsi="Arial" w:cs="Arial"/>
          <w:color w:val="000000"/>
          <w:sz w:val="24"/>
          <w:szCs w:val="24"/>
        </w:rPr>
      </w:pPr>
    </w:p>
    <w:p w14:paraId="6B59C8C0" w14:textId="77777777" w:rsidR="006B6DBB" w:rsidRPr="006C1E3A" w:rsidRDefault="006B6DBB" w:rsidP="00C4579C">
      <w:pPr>
        <w:pStyle w:val="NoSpacing"/>
        <w:ind w:firstLine="720"/>
        <w:jc w:val="both"/>
        <w:rPr>
          <w:rFonts w:ascii="Arial" w:hAnsi="Arial" w:cs="Arial"/>
          <w:color w:val="000000"/>
          <w:sz w:val="24"/>
          <w:szCs w:val="24"/>
        </w:rPr>
      </w:pPr>
      <w:r w:rsidRPr="006C1E3A">
        <w:rPr>
          <w:rFonts w:ascii="Arial" w:hAnsi="Arial" w:cs="Arial"/>
          <w:color w:val="000000"/>
          <w:sz w:val="24"/>
          <w:szCs w:val="24"/>
        </w:rPr>
        <w:t xml:space="preserve">Link to the portal: </w:t>
      </w:r>
      <w:hyperlink r:id="rId9" w:history="1">
        <w:r w:rsidRPr="006C1E3A">
          <w:rPr>
            <w:rFonts w:ascii="Arial" w:hAnsi="Arial" w:cs="Arial"/>
            <w:color w:val="365F91" w:themeColor="accent1" w:themeShade="BF"/>
            <w:sz w:val="24"/>
            <w:szCs w:val="24"/>
            <w:u w:val="single"/>
          </w:rPr>
          <w:t>https://sebp.due-north.com/</w:t>
        </w:r>
      </w:hyperlink>
    </w:p>
    <w:p w14:paraId="6E775C91" w14:textId="77777777" w:rsidR="006B6DBB" w:rsidRPr="0008385C" w:rsidRDefault="006B6DBB" w:rsidP="00C4579C">
      <w:pPr>
        <w:pStyle w:val="NoSpacing"/>
        <w:jc w:val="both"/>
        <w:rPr>
          <w:rFonts w:ascii="Arial" w:hAnsi="Arial" w:cs="Arial"/>
          <w:color w:val="000000"/>
          <w:sz w:val="24"/>
          <w:szCs w:val="24"/>
        </w:rPr>
      </w:pPr>
    </w:p>
    <w:p w14:paraId="74271963" w14:textId="77777777" w:rsidR="006B6DBB" w:rsidRPr="0008385C" w:rsidRDefault="006B6DBB" w:rsidP="00C4579C">
      <w:pPr>
        <w:pStyle w:val="NoSpacing"/>
        <w:ind w:firstLine="720"/>
        <w:jc w:val="both"/>
        <w:rPr>
          <w:rFonts w:ascii="Arial" w:hAnsi="Arial" w:cs="Arial"/>
          <w:color w:val="000000"/>
          <w:sz w:val="24"/>
          <w:szCs w:val="24"/>
        </w:rPr>
      </w:pPr>
      <w:r w:rsidRPr="0008385C">
        <w:rPr>
          <w:rFonts w:ascii="Arial" w:hAnsi="Arial" w:cs="Arial"/>
          <w:color w:val="000000"/>
          <w:sz w:val="24"/>
          <w:szCs w:val="24"/>
        </w:rPr>
        <w:t>Your response must include:</w:t>
      </w:r>
    </w:p>
    <w:p w14:paraId="1B05EEC4" w14:textId="77777777" w:rsidR="006B6DBB" w:rsidRPr="0008385C" w:rsidRDefault="006B6DBB" w:rsidP="00C4579C">
      <w:pPr>
        <w:pStyle w:val="NoSpacing"/>
        <w:numPr>
          <w:ilvl w:val="0"/>
          <w:numId w:val="26"/>
        </w:numPr>
        <w:jc w:val="both"/>
        <w:rPr>
          <w:rFonts w:ascii="Arial" w:hAnsi="Arial" w:cs="Arial"/>
          <w:color w:val="000000"/>
          <w:sz w:val="24"/>
          <w:szCs w:val="24"/>
        </w:rPr>
      </w:pPr>
      <w:r w:rsidRPr="0008385C">
        <w:rPr>
          <w:rFonts w:ascii="Arial" w:hAnsi="Arial" w:cs="Arial"/>
          <w:color w:val="000000"/>
          <w:sz w:val="24"/>
          <w:szCs w:val="24"/>
        </w:rPr>
        <w:t>Com</w:t>
      </w:r>
      <w:r>
        <w:rPr>
          <w:rFonts w:ascii="Arial" w:hAnsi="Arial" w:cs="Arial"/>
          <w:color w:val="000000"/>
          <w:sz w:val="24"/>
          <w:szCs w:val="24"/>
        </w:rPr>
        <w:t>pleted Quotation Response Document including;</w:t>
      </w:r>
    </w:p>
    <w:p w14:paraId="4DA59C29" w14:textId="77777777" w:rsidR="006B6DBB" w:rsidRPr="0008385C" w:rsidRDefault="006B6DBB" w:rsidP="00C4579C">
      <w:pPr>
        <w:pStyle w:val="NoSpacing"/>
        <w:numPr>
          <w:ilvl w:val="1"/>
          <w:numId w:val="27"/>
        </w:numPr>
        <w:ind w:left="1276" w:hanging="283"/>
        <w:jc w:val="both"/>
        <w:rPr>
          <w:rFonts w:ascii="Arial" w:hAnsi="Arial" w:cs="Arial"/>
          <w:color w:val="000000"/>
          <w:sz w:val="24"/>
          <w:szCs w:val="24"/>
        </w:rPr>
      </w:pPr>
      <w:r w:rsidRPr="0008385C">
        <w:rPr>
          <w:rFonts w:ascii="Arial" w:hAnsi="Arial" w:cs="Arial"/>
          <w:color w:val="000000"/>
          <w:sz w:val="24"/>
          <w:szCs w:val="24"/>
        </w:rPr>
        <w:t xml:space="preserve">Completed Schedule 1 </w:t>
      </w:r>
      <w:r>
        <w:rPr>
          <w:rFonts w:ascii="Arial" w:hAnsi="Arial" w:cs="Arial"/>
          <w:color w:val="000000"/>
          <w:sz w:val="24"/>
          <w:szCs w:val="24"/>
        </w:rPr>
        <w:t>Commercially Sensitive Information (if applicable)</w:t>
      </w:r>
      <w:r w:rsidRPr="0008385C">
        <w:rPr>
          <w:rFonts w:ascii="Arial" w:hAnsi="Arial" w:cs="Arial"/>
          <w:color w:val="000000"/>
          <w:sz w:val="24"/>
          <w:szCs w:val="24"/>
        </w:rPr>
        <w:t xml:space="preserve"> </w:t>
      </w:r>
    </w:p>
    <w:p w14:paraId="6564AB42" w14:textId="77777777" w:rsidR="006B6DBB" w:rsidRDefault="006B6DBB" w:rsidP="00C4579C">
      <w:pPr>
        <w:pStyle w:val="NoSpacing"/>
        <w:numPr>
          <w:ilvl w:val="1"/>
          <w:numId w:val="27"/>
        </w:numPr>
        <w:ind w:left="1276" w:hanging="283"/>
        <w:jc w:val="both"/>
        <w:rPr>
          <w:rFonts w:ascii="Arial" w:hAnsi="Arial" w:cs="Arial"/>
          <w:color w:val="000000"/>
          <w:sz w:val="24"/>
          <w:szCs w:val="24"/>
        </w:rPr>
      </w:pPr>
      <w:r w:rsidRPr="0008385C">
        <w:rPr>
          <w:rFonts w:ascii="Arial" w:hAnsi="Arial" w:cs="Arial"/>
          <w:color w:val="000000"/>
          <w:sz w:val="24"/>
          <w:szCs w:val="24"/>
        </w:rPr>
        <w:t xml:space="preserve">Completed Schedule 2 </w:t>
      </w:r>
      <w:r>
        <w:rPr>
          <w:rFonts w:ascii="Arial" w:hAnsi="Arial" w:cs="Arial"/>
          <w:color w:val="000000"/>
          <w:sz w:val="24"/>
          <w:szCs w:val="24"/>
        </w:rPr>
        <w:t>– Form of Quote</w:t>
      </w:r>
      <w:r w:rsidRPr="0008385C">
        <w:rPr>
          <w:rFonts w:ascii="Arial" w:hAnsi="Arial" w:cs="Arial"/>
          <w:color w:val="000000"/>
          <w:sz w:val="24"/>
          <w:szCs w:val="24"/>
        </w:rPr>
        <w:t xml:space="preserve"> </w:t>
      </w:r>
    </w:p>
    <w:p w14:paraId="620ADF10" w14:textId="77777777" w:rsidR="006B6DBB" w:rsidRDefault="006B6DBB" w:rsidP="00C4579C">
      <w:pPr>
        <w:pStyle w:val="NoSpacing"/>
        <w:numPr>
          <w:ilvl w:val="0"/>
          <w:numId w:val="27"/>
        </w:numPr>
        <w:jc w:val="both"/>
        <w:rPr>
          <w:rFonts w:ascii="Arial" w:hAnsi="Arial" w:cs="Arial"/>
          <w:color w:val="000000"/>
          <w:sz w:val="24"/>
          <w:szCs w:val="24"/>
        </w:rPr>
      </w:pPr>
      <w:r>
        <w:rPr>
          <w:rFonts w:ascii="Arial" w:hAnsi="Arial" w:cs="Arial"/>
          <w:color w:val="000000"/>
          <w:sz w:val="24"/>
          <w:szCs w:val="24"/>
        </w:rPr>
        <w:t>Equality and Diversity Policy</w:t>
      </w:r>
    </w:p>
    <w:p w14:paraId="561C4BB8" w14:textId="77777777" w:rsidR="006B6DBB" w:rsidRDefault="006B6DBB" w:rsidP="00C4579C">
      <w:pPr>
        <w:pStyle w:val="NoSpacing"/>
        <w:numPr>
          <w:ilvl w:val="0"/>
          <w:numId w:val="27"/>
        </w:numPr>
        <w:jc w:val="both"/>
        <w:rPr>
          <w:rFonts w:ascii="Arial" w:hAnsi="Arial" w:cs="Arial"/>
          <w:color w:val="000000"/>
          <w:sz w:val="24"/>
          <w:szCs w:val="24"/>
        </w:rPr>
      </w:pPr>
      <w:r>
        <w:rPr>
          <w:rFonts w:ascii="Arial" w:hAnsi="Arial" w:cs="Arial"/>
          <w:color w:val="000000"/>
          <w:sz w:val="24"/>
          <w:szCs w:val="24"/>
        </w:rPr>
        <w:t>Data Protection Policy and Procedures</w:t>
      </w:r>
    </w:p>
    <w:p w14:paraId="1691A2B2" w14:textId="77777777" w:rsidR="006B6DBB" w:rsidRPr="004306A6" w:rsidRDefault="006B6DBB" w:rsidP="00C4579C">
      <w:pPr>
        <w:pStyle w:val="NoSpacing"/>
        <w:numPr>
          <w:ilvl w:val="0"/>
          <w:numId w:val="27"/>
        </w:numPr>
        <w:jc w:val="both"/>
        <w:rPr>
          <w:rFonts w:ascii="Arial" w:hAnsi="Arial" w:cs="Arial"/>
          <w:color w:val="000000"/>
          <w:sz w:val="24"/>
          <w:szCs w:val="24"/>
        </w:rPr>
      </w:pPr>
      <w:r>
        <w:rPr>
          <w:rFonts w:ascii="Arial" w:hAnsi="Arial" w:cs="Arial"/>
          <w:color w:val="000000"/>
          <w:sz w:val="24"/>
          <w:szCs w:val="24"/>
        </w:rPr>
        <w:t>Supporting documentation (to support the answers to quality questions)</w:t>
      </w:r>
    </w:p>
    <w:p w14:paraId="21A910F2" w14:textId="049FD8A6" w:rsidR="006B6DBB" w:rsidRDefault="006B6DBB" w:rsidP="00C4579C">
      <w:pPr>
        <w:ind w:left="720" w:hanging="720"/>
        <w:jc w:val="both"/>
        <w:rPr>
          <w:b/>
          <w:szCs w:val="24"/>
          <w:lang w:val="en-US"/>
        </w:rPr>
      </w:pPr>
    </w:p>
    <w:p w14:paraId="7E57731A" w14:textId="77777777" w:rsidR="00D64633" w:rsidRDefault="00D64633" w:rsidP="00C4579C">
      <w:pPr>
        <w:ind w:left="720" w:hanging="720"/>
        <w:jc w:val="both"/>
        <w:rPr>
          <w:b/>
          <w:szCs w:val="24"/>
          <w:lang w:val="en-US"/>
        </w:rPr>
      </w:pPr>
    </w:p>
    <w:p w14:paraId="526458C1" w14:textId="77777777" w:rsidR="0028507F" w:rsidRPr="00436E70" w:rsidRDefault="0028507F" w:rsidP="00C4579C">
      <w:pPr>
        <w:ind w:left="720" w:hanging="720"/>
        <w:jc w:val="both"/>
        <w:rPr>
          <w:b/>
          <w:szCs w:val="24"/>
          <w:lang w:val="en-US"/>
        </w:rPr>
      </w:pPr>
      <w:r w:rsidRPr="00436E70">
        <w:rPr>
          <w:b/>
          <w:szCs w:val="24"/>
          <w:lang w:val="en-US"/>
        </w:rPr>
        <w:t>4.1</w:t>
      </w:r>
      <w:r w:rsidRPr="00436E70">
        <w:rPr>
          <w:b/>
          <w:szCs w:val="24"/>
          <w:lang w:val="en-US"/>
        </w:rPr>
        <w:tab/>
        <w:t>Formalities</w:t>
      </w:r>
    </w:p>
    <w:p w14:paraId="6EADC0CC" w14:textId="77777777" w:rsidR="0028507F" w:rsidRDefault="0028507F" w:rsidP="00C4579C">
      <w:pPr>
        <w:ind w:left="720" w:hanging="720"/>
        <w:jc w:val="both"/>
        <w:rPr>
          <w:szCs w:val="24"/>
          <w:u w:val="single"/>
          <w:lang w:val="en-US"/>
        </w:rPr>
      </w:pPr>
    </w:p>
    <w:p w14:paraId="1ACA4667" w14:textId="7553EB79" w:rsidR="0028507F" w:rsidRDefault="0028507F" w:rsidP="00C4579C">
      <w:pPr>
        <w:ind w:left="720"/>
        <w:jc w:val="both"/>
      </w:pPr>
      <w:r>
        <w:t xml:space="preserve">All documents comprising the </w:t>
      </w:r>
      <w:r w:rsidR="00C0471F">
        <w:t xml:space="preserve">Quote </w:t>
      </w:r>
      <w:r>
        <w:t xml:space="preserve">must be submitted through the portal and will remain sealed until the deadline has passed. </w:t>
      </w:r>
    </w:p>
    <w:p w14:paraId="5CFB8D4C" w14:textId="77777777" w:rsidR="0028507F" w:rsidRDefault="0028507F" w:rsidP="00C4579C">
      <w:pPr>
        <w:ind w:left="720" w:hanging="720"/>
        <w:jc w:val="both"/>
      </w:pPr>
    </w:p>
    <w:p w14:paraId="39687912" w14:textId="6D2A1B2E" w:rsidR="0028507F" w:rsidRDefault="0028507F" w:rsidP="00C4579C">
      <w:pPr>
        <w:ind w:left="720"/>
        <w:jc w:val="both"/>
      </w:pPr>
      <w:r>
        <w:t xml:space="preserve">The following requirements must be adhered to when submitting </w:t>
      </w:r>
      <w:r w:rsidR="00C0471F">
        <w:t>Quotes</w:t>
      </w:r>
      <w:r>
        <w:t xml:space="preserve">: </w:t>
      </w:r>
    </w:p>
    <w:p w14:paraId="77F986EB" w14:textId="77777777" w:rsidR="0028507F" w:rsidRDefault="0028507F" w:rsidP="00C4579C">
      <w:pPr>
        <w:ind w:left="720" w:hanging="720"/>
        <w:jc w:val="both"/>
      </w:pPr>
    </w:p>
    <w:p w14:paraId="082E2ED7" w14:textId="77777777" w:rsidR="00910517" w:rsidRDefault="00910517" w:rsidP="00C4579C">
      <w:pPr>
        <w:pStyle w:val="ListParagraph"/>
        <w:numPr>
          <w:ilvl w:val="0"/>
          <w:numId w:val="3"/>
        </w:numPr>
        <w:contextualSpacing w:val="0"/>
        <w:jc w:val="both"/>
      </w:pPr>
      <w:r>
        <w:t xml:space="preserve">A clear statement confirming that your firm does not have any conflicts of interest in relation to this site. </w:t>
      </w:r>
    </w:p>
    <w:p w14:paraId="037C9E41" w14:textId="77777777" w:rsidR="00480645" w:rsidRDefault="0028507F" w:rsidP="00C4579C">
      <w:pPr>
        <w:pStyle w:val="ListParagraph"/>
        <w:numPr>
          <w:ilvl w:val="0"/>
          <w:numId w:val="3"/>
        </w:numPr>
        <w:ind w:left="1434" w:hanging="357"/>
        <w:jc w:val="both"/>
      </w:pPr>
      <w:r>
        <w:t>A detailed timeline and milestones for the completio</w:t>
      </w:r>
      <w:r w:rsidR="0040751D">
        <w:t>n of the work must be included</w:t>
      </w:r>
    </w:p>
    <w:p w14:paraId="6CB42B76" w14:textId="77777777" w:rsidR="00480645" w:rsidRDefault="00480645" w:rsidP="00C4579C">
      <w:pPr>
        <w:pStyle w:val="ListParagraph"/>
        <w:numPr>
          <w:ilvl w:val="0"/>
          <w:numId w:val="3"/>
        </w:numPr>
        <w:ind w:left="1434" w:hanging="357"/>
        <w:jc w:val="both"/>
      </w:pPr>
      <w:r>
        <w:t>Confirmation of the availability of the proposed study team</w:t>
      </w:r>
    </w:p>
    <w:p w14:paraId="3AB9EE57" w14:textId="6F5644A9" w:rsidR="0028507F" w:rsidRDefault="00480645" w:rsidP="00C4579C">
      <w:pPr>
        <w:pStyle w:val="ListParagraph"/>
        <w:numPr>
          <w:ilvl w:val="0"/>
          <w:numId w:val="3"/>
        </w:numPr>
        <w:ind w:left="1434" w:hanging="357"/>
        <w:jc w:val="both"/>
      </w:pPr>
      <w:r>
        <w:t xml:space="preserve">CV’s of the members of the proposed study team, including experience of relevant / similar work undertaken etc. </w:t>
      </w:r>
    </w:p>
    <w:p w14:paraId="5B94F05E" w14:textId="120945E8" w:rsidR="00480645" w:rsidRDefault="00480645" w:rsidP="00C4579C">
      <w:pPr>
        <w:pStyle w:val="ListParagraph"/>
        <w:numPr>
          <w:ilvl w:val="0"/>
          <w:numId w:val="3"/>
        </w:numPr>
        <w:ind w:left="1434" w:hanging="357"/>
        <w:jc w:val="both"/>
      </w:pPr>
      <w:r>
        <w:t>References from previous work</w:t>
      </w:r>
    </w:p>
    <w:p w14:paraId="09F95AF2" w14:textId="79D63236" w:rsidR="0028507F" w:rsidRDefault="0028507F" w:rsidP="00C4579C">
      <w:pPr>
        <w:pStyle w:val="ListParagraph"/>
        <w:numPr>
          <w:ilvl w:val="0"/>
          <w:numId w:val="3"/>
        </w:numPr>
        <w:ind w:left="1434" w:hanging="357"/>
        <w:jc w:val="both"/>
      </w:pPr>
      <w:r>
        <w:t>A table of Consultants individual time to be spent on the project, day rate an</w:t>
      </w:r>
      <w:r w:rsidR="0040751D">
        <w:t>d overall cost must be provided.</w:t>
      </w:r>
    </w:p>
    <w:p w14:paraId="4F495261" w14:textId="580F7672" w:rsidR="00910517" w:rsidRDefault="00910517" w:rsidP="00C4579C">
      <w:pPr>
        <w:pStyle w:val="ListParagraph"/>
        <w:numPr>
          <w:ilvl w:val="0"/>
          <w:numId w:val="3"/>
        </w:numPr>
        <w:contextualSpacing w:val="0"/>
        <w:jc w:val="both"/>
      </w:pPr>
      <w:r>
        <w:t>Details of any sub-consultants that you would seek to engage with to provide specialist input.  This should include a brief resume of their relevant experience, fee etc.</w:t>
      </w:r>
    </w:p>
    <w:p w14:paraId="3E22B980" w14:textId="519C49EF" w:rsidR="0028507F" w:rsidRDefault="0028507F" w:rsidP="00C4579C">
      <w:pPr>
        <w:pStyle w:val="ListParagraph"/>
        <w:numPr>
          <w:ilvl w:val="0"/>
          <w:numId w:val="3"/>
        </w:numPr>
        <w:ind w:left="1434" w:hanging="357"/>
        <w:jc w:val="both"/>
      </w:pPr>
      <w:r>
        <w:t xml:space="preserve">Any additional pre-existing material which is necessary to support the </w:t>
      </w:r>
      <w:r w:rsidR="00C0471F">
        <w:t>Quote</w:t>
      </w:r>
      <w:r>
        <w:t xml:space="preserve"> should be included as schedules with cross-references to this material in the main body of the </w:t>
      </w:r>
      <w:r w:rsidR="00C0471F">
        <w:t>Quote</w:t>
      </w:r>
      <w:r>
        <w:t>. Cross-references to this IT</w:t>
      </w:r>
      <w:r w:rsidR="0027117F">
        <w:t>Q</w:t>
      </w:r>
      <w:r>
        <w:t xml:space="preserve"> should also be included in the </w:t>
      </w:r>
      <w:r w:rsidR="00C0471F">
        <w:t>Quote</w:t>
      </w:r>
      <w:r>
        <w:t xml:space="preserve"> whenever this is relevant. </w:t>
      </w:r>
    </w:p>
    <w:p w14:paraId="55333732" w14:textId="77777777" w:rsidR="0028507F" w:rsidRDefault="0028507F" w:rsidP="00C4579C">
      <w:pPr>
        <w:pStyle w:val="ListParagraph"/>
        <w:numPr>
          <w:ilvl w:val="0"/>
          <w:numId w:val="3"/>
        </w:numPr>
        <w:ind w:left="1434" w:hanging="357"/>
        <w:jc w:val="both"/>
      </w:pPr>
      <w:r>
        <w:t xml:space="preserve">Where documents are embedded within other documents, Respondents must upload separate copies of the embedded documents. </w:t>
      </w:r>
    </w:p>
    <w:p w14:paraId="28D94EE2" w14:textId="73CD41F1" w:rsidR="0028507F" w:rsidRDefault="0028507F" w:rsidP="00C4579C">
      <w:pPr>
        <w:pStyle w:val="ListParagraph"/>
        <w:numPr>
          <w:ilvl w:val="0"/>
          <w:numId w:val="3"/>
        </w:numPr>
        <w:ind w:left="1434" w:hanging="357"/>
        <w:jc w:val="both"/>
      </w:pPr>
      <w:r>
        <w:t xml:space="preserve">The </w:t>
      </w:r>
      <w:r w:rsidR="00C0471F">
        <w:t>Quote</w:t>
      </w:r>
      <w:r>
        <w:t xml:space="preserve"> must be in English and drafted in accordance with the draft</w:t>
      </w:r>
      <w:r w:rsidR="0027117F">
        <w:t>ing guidance set out in this ITQ</w:t>
      </w:r>
      <w:r>
        <w:t xml:space="preserve">. </w:t>
      </w:r>
    </w:p>
    <w:p w14:paraId="33B40626" w14:textId="77777777" w:rsidR="0028507F" w:rsidRDefault="0028507F" w:rsidP="00C4579C">
      <w:pPr>
        <w:pStyle w:val="ListParagraph"/>
        <w:numPr>
          <w:ilvl w:val="0"/>
          <w:numId w:val="3"/>
        </w:numPr>
        <w:ind w:left="1434" w:hanging="357"/>
        <w:jc w:val="both"/>
      </w:pPr>
      <w:r>
        <w:t xml:space="preserve">A table of contents must be provided. </w:t>
      </w:r>
    </w:p>
    <w:p w14:paraId="1C5CB5AD" w14:textId="2467BEE0" w:rsidR="0028507F" w:rsidRDefault="0028507F" w:rsidP="00C4579C">
      <w:pPr>
        <w:pStyle w:val="ListParagraph"/>
        <w:numPr>
          <w:ilvl w:val="0"/>
          <w:numId w:val="3"/>
        </w:numPr>
        <w:ind w:left="1434" w:hanging="357"/>
        <w:jc w:val="both"/>
      </w:pPr>
      <w:r>
        <w:lastRenderedPageBreak/>
        <w:t xml:space="preserve">The </w:t>
      </w:r>
      <w:r w:rsidR="00C0471F">
        <w:t>Quote</w:t>
      </w:r>
      <w:r>
        <w:t xml:space="preserve"> must be fully cross-referenced. </w:t>
      </w:r>
    </w:p>
    <w:p w14:paraId="2BB26778" w14:textId="35CB392A" w:rsidR="0028507F" w:rsidRDefault="0028507F" w:rsidP="00C4579C">
      <w:pPr>
        <w:pStyle w:val="ListParagraph"/>
        <w:numPr>
          <w:ilvl w:val="0"/>
          <w:numId w:val="3"/>
        </w:numPr>
        <w:ind w:left="1434" w:hanging="357"/>
        <w:jc w:val="both"/>
      </w:pPr>
      <w:r>
        <w:t xml:space="preserve">A list of supporting material must be supplied. </w:t>
      </w:r>
    </w:p>
    <w:p w14:paraId="505CE111" w14:textId="11B32D89" w:rsidR="008D7BEF" w:rsidRPr="0040751D" w:rsidRDefault="0012198C" w:rsidP="00C4579C">
      <w:pPr>
        <w:pStyle w:val="ListParagraph"/>
        <w:numPr>
          <w:ilvl w:val="0"/>
          <w:numId w:val="3"/>
        </w:numPr>
        <w:ind w:left="1434" w:hanging="357"/>
        <w:jc w:val="both"/>
        <w:rPr>
          <w:b/>
        </w:rPr>
      </w:pPr>
      <w:r w:rsidRPr="0040751D">
        <w:rPr>
          <w:b/>
        </w:rPr>
        <w:t>The Equality</w:t>
      </w:r>
      <w:r w:rsidR="00910517" w:rsidRPr="0040751D">
        <w:rPr>
          <w:b/>
        </w:rPr>
        <w:t xml:space="preserve"> and Diversity and Data Protection</w:t>
      </w:r>
      <w:r w:rsidR="008D7BEF" w:rsidRPr="0040751D">
        <w:rPr>
          <w:b/>
        </w:rPr>
        <w:t xml:space="preserve"> need to be included with the ITQ</w:t>
      </w:r>
      <w:r w:rsidR="00245F1A" w:rsidRPr="0040751D">
        <w:rPr>
          <w:b/>
        </w:rPr>
        <w:t>.</w:t>
      </w:r>
    </w:p>
    <w:p w14:paraId="65382913" w14:textId="211FB84E" w:rsidR="0028507F" w:rsidRDefault="0028507F" w:rsidP="00C4579C">
      <w:pPr>
        <w:ind w:left="720" w:hanging="720"/>
        <w:jc w:val="both"/>
      </w:pPr>
      <w:r>
        <w:tab/>
        <w:t xml:space="preserve">The </w:t>
      </w:r>
      <w:r w:rsidR="00C0471F">
        <w:t>Quote</w:t>
      </w:r>
      <w:r>
        <w:t xml:space="preserve"> must be clear, concise and complete. The Council reserves the right to mark a Respondent down or exclude them from the procurement if its </w:t>
      </w:r>
      <w:r w:rsidR="00C0471F">
        <w:t>Quote</w:t>
      </w:r>
      <w:r>
        <w:t xml:space="preserve"> contains any ambiguities, caveats or lacks clarity. Respondents should submit only such information as is necessary to respond effectively to this IT</w:t>
      </w:r>
      <w:r w:rsidR="0027117F">
        <w:t>Q</w:t>
      </w:r>
      <w:r>
        <w:t xml:space="preserve">. </w:t>
      </w:r>
      <w:r w:rsidR="00C0471F">
        <w:t>Quotes</w:t>
      </w:r>
      <w:r>
        <w:t xml:space="preserve"> will be evaluated on the basis of information submitted by the Deadline. </w:t>
      </w:r>
    </w:p>
    <w:p w14:paraId="368CAAED" w14:textId="77777777" w:rsidR="0028507F" w:rsidRDefault="0028507F" w:rsidP="00C4579C">
      <w:pPr>
        <w:ind w:left="720" w:hanging="720"/>
        <w:jc w:val="both"/>
      </w:pPr>
    </w:p>
    <w:p w14:paraId="4D860496" w14:textId="58EE52F7" w:rsidR="0028507F" w:rsidRDefault="0028507F" w:rsidP="00C4579C">
      <w:pPr>
        <w:ind w:left="720" w:hanging="720"/>
        <w:jc w:val="both"/>
      </w:pPr>
      <w:r>
        <w:tab/>
        <w:t xml:space="preserve">The Respondent must download, complete and include a duly executed Form of </w:t>
      </w:r>
      <w:r w:rsidR="00C0471F">
        <w:t>Quote</w:t>
      </w:r>
      <w:r>
        <w:t xml:space="preserve"> </w:t>
      </w:r>
      <w:r w:rsidRPr="0017561C">
        <w:t>(Schedule 2).</w:t>
      </w:r>
      <w:r>
        <w:t xml:space="preserve"> </w:t>
      </w:r>
    </w:p>
    <w:p w14:paraId="296ADB11" w14:textId="77777777" w:rsidR="0028507F" w:rsidRDefault="0028507F" w:rsidP="00C4579C">
      <w:pPr>
        <w:ind w:left="720" w:hanging="720"/>
        <w:jc w:val="both"/>
      </w:pPr>
    </w:p>
    <w:p w14:paraId="0362D639" w14:textId="61832EB6" w:rsidR="0028507F" w:rsidRDefault="0028507F" w:rsidP="00C4579C">
      <w:pPr>
        <w:ind w:left="720" w:hanging="720"/>
        <w:jc w:val="both"/>
      </w:pPr>
      <w:r>
        <w:tab/>
        <w:t xml:space="preserve">Where the Respondent is a company, the </w:t>
      </w:r>
      <w:r w:rsidR="00C0471F">
        <w:t>Quote</w:t>
      </w:r>
      <w:r>
        <w:t xml:space="preserve"> must be signed by a duly authorised representative of that company. Where the Respondent is a consortium, the </w:t>
      </w:r>
      <w:r w:rsidR="00C0471F">
        <w:t>Quote</w:t>
      </w:r>
      <w:r>
        <w:t xml:space="preserve"> must be signed by the lead authorised representative of the consortium, which organisation shall be responsible for the performance of producing the work set out in the successful </w:t>
      </w:r>
      <w:r w:rsidR="00C0471F">
        <w:t>quote</w:t>
      </w:r>
      <w:r>
        <w:t xml:space="preserve"> proposal. In the case of a partnership, all the partners should sign or, alternatively, one only may sign, in which case he must have and should state that he has Council to sign on behalf of the other partner(s). The names of all the partners should be given in full together with the trading name of the partnership. In the case of a sole trader, s/he should sign and give his/her name in full together with the name under which s/he is trading. </w:t>
      </w:r>
    </w:p>
    <w:p w14:paraId="00A3DA75" w14:textId="77777777" w:rsidR="003E1113" w:rsidRDefault="003E1113" w:rsidP="00C4579C">
      <w:pPr>
        <w:ind w:left="720" w:hanging="720"/>
        <w:jc w:val="both"/>
      </w:pPr>
    </w:p>
    <w:p w14:paraId="12F94550" w14:textId="77777777" w:rsidR="0028507F" w:rsidRPr="00436E70" w:rsidRDefault="00436E70" w:rsidP="00C4579C">
      <w:pPr>
        <w:ind w:left="720" w:hanging="720"/>
        <w:jc w:val="both"/>
        <w:rPr>
          <w:b/>
        </w:rPr>
      </w:pPr>
      <w:r w:rsidRPr="00436E70">
        <w:rPr>
          <w:b/>
        </w:rPr>
        <w:t>4.2</w:t>
      </w:r>
      <w:r w:rsidRPr="00436E70">
        <w:rPr>
          <w:b/>
        </w:rPr>
        <w:tab/>
      </w:r>
      <w:r w:rsidR="0028507F" w:rsidRPr="00436E70">
        <w:rPr>
          <w:b/>
        </w:rPr>
        <w:t>Executive Summary</w:t>
      </w:r>
    </w:p>
    <w:p w14:paraId="7FE4C774" w14:textId="77777777" w:rsidR="0028507F" w:rsidRDefault="0028507F" w:rsidP="00C4579C">
      <w:pPr>
        <w:ind w:left="720" w:hanging="720"/>
        <w:jc w:val="both"/>
      </w:pPr>
    </w:p>
    <w:p w14:paraId="06C4B297" w14:textId="7707C887" w:rsidR="0028507F" w:rsidRDefault="0028507F" w:rsidP="00C4579C">
      <w:pPr>
        <w:ind w:left="720" w:hanging="720"/>
        <w:jc w:val="both"/>
      </w:pPr>
      <w:r>
        <w:tab/>
        <w:t xml:space="preserve">Each Respondent must also provide an executive summary of its </w:t>
      </w:r>
      <w:r w:rsidR="00C0471F">
        <w:t>Quote</w:t>
      </w:r>
      <w:r>
        <w:t xml:space="preserve"> and include within it:- </w:t>
      </w:r>
    </w:p>
    <w:p w14:paraId="430411AA" w14:textId="77777777" w:rsidR="0028507F" w:rsidRDefault="0028507F" w:rsidP="00C4579C">
      <w:pPr>
        <w:ind w:left="720" w:hanging="720"/>
        <w:jc w:val="both"/>
      </w:pPr>
    </w:p>
    <w:p w14:paraId="0E267330" w14:textId="77777777" w:rsidR="0028507F" w:rsidRDefault="0028507F" w:rsidP="00C4579C">
      <w:pPr>
        <w:pStyle w:val="ListParagraph"/>
        <w:numPr>
          <w:ilvl w:val="0"/>
          <w:numId w:val="4"/>
        </w:numPr>
        <w:jc w:val="both"/>
      </w:pPr>
      <w:r>
        <w:t xml:space="preserve">An outline of the way in which the Council’s requirements are to be met by its proposal. </w:t>
      </w:r>
    </w:p>
    <w:p w14:paraId="741DB666" w14:textId="77777777" w:rsidR="0028507F" w:rsidRDefault="0028507F" w:rsidP="00C4579C">
      <w:pPr>
        <w:pStyle w:val="ListParagraph"/>
        <w:numPr>
          <w:ilvl w:val="0"/>
          <w:numId w:val="4"/>
        </w:numPr>
        <w:jc w:val="both"/>
      </w:pPr>
      <w:r>
        <w:t>A summary of all the services offered by the R</w:t>
      </w:r>
      <w:r w:rsidR="0027117F">
        <w:t>espondent in response to the ITQ</w:t>
      </w:r>
      <w:r>
        <w:t xml:space="preserve">. </w:t>
      </w:r>
    </w:p>
    <w:p w14:paraId="32EB6F93" w14:textId="28809BE0" w:rsidR="0028507F" w:rsidRDefault="0028507F" w:rsidP="00C4579C">
      <w:pPr>
        <w:pStyle w:val="ListParagraph"/>
        <w:numPr>
          <w:ilvl w:val="0"/>
          <w:numId w:val="4"/>
        </w:numPr>
        <w:jc w:val="both"/>
      </w:pPr>
      <w:r>
        <w:t xml:space="preserve">Proposed timeline, clearly indicating the Respondents approach towards minimising the effect of their work on </w:t>
      </w:r>
      <w:r w:rsidR="005126ED">
        <w:t xml:space="preserve">any </w:t>
      </w:r>
      <w:r>
        <w:t xml:space="preserve">electoral period </w:t>
      </w:r>
      <w:r w:rsidR="005126ED">
        <w:t>that may occur during the lifetime of this project.</w:t>
      </w:r>
    </w:p>
    <w:p w14:paraId="0D243272" w14:textId="77777777" w:rsidR="0028507F" w:rsidRDefault="0028507F" w:rsidP="00C4579C">
      <w:pPr>
        <w:pStyle w:val="ListParagraph"/>
        <w:numPr>
          <w:ilvl w:val="0"/>
          <w:numId w:val="4"/>
        </w:numPr>
        <w:jc w:val="both"/>
      </w:pPr>
      <w:r>
        <w:t xml:space="preserve">An overview of the Respondent’s overall costs and proposals in relation to pricing. </w:t>
      </w:r>
    </w:p>
    <w:p w14:paraId="40B0034D" w14:textId="77777777" w:rsidR="0028507F" w:rsidRDefault="0028507F" w:rsidP="00C4579C">
      <w:pPr>
        <w:pStyle w:val="ListParagraph"/>
        <w:numPr>
          <w:ilvl w:val="0"/>
          <w:numId w:val="4"/>
        </w:numPr>
        <w:jc w:val="both"/>
      </w:pPr>
      <w:r>
        <w:t xml:space="preserve">A clear statement of whether it is a consortium or a group of companies with one supplier. </w:t>
      </w:r>
    </w:p>
    <w:p w14:paraId="3B7B6A2E" w14:textId="77777777" w:rsidR="0028507F" w:rsidRDefault="0028507F" w:rsidP="00C4579C">
      <w:pPr>
        <w:pStyle w:val="ListParagraph"/>
        <w:numPr>
          <w:ilvl w:val="0"/>
          <w:numId w:val="4"/>
        </w:numPr>
        <w:jc w:val="both"/>
      </w:pPr>
      <w:r>
        <w:t xml:space="preserve">A clear statement of its commitment to meet the Council’s requirements and the pricing, payment and performance model. </w:t>
      </w:r>
    </w:p>
    <w:p w14:paraId="08A52BF3" w14:textId="00A4D6A9" w:rsidR="0028507F" w:rsidRDefault="0028507F" w:rsidP="00C4579C">
      <w:pPr>
        <w:pStyle w:val="ListParagraph"/>
        <w:numPr>
          <w:ilvl w:val="0"/>
          <w:numId w:val="4"/>
        </w:numPr>
        <w:jc w:val="both"/>
      </w:pPr>
      <w:r>
        <w:t xml:space="preserve">Confirmation that the </w:t>
      </w:r>
      <w:r w:rsidR="00C0471F">
        <w:t>Quote(s)</w:t>
      </w:r>
      <w:r>
        <w:t xml:space="preserve"> will remain open for a period of 90 days. </w:t>
      </w:r>
    </w:p>
    <w:p w14:paraId="4393B676" w14:textId="77777777" w:rsidR="0028507F" w:rsidRDefault="0028507F" w:rsidP="00C4579C">
      <w:pPr>
        <w:ind w:left="720"/>
        <w:jc w:val="both"/>
      </w:pPr>
    </w:p>
    <w:p w14:paraId="14CB94A7" w14:textId="77777777" w:rsidR="0028507F" w:rsidRDefault="0028507F" w:rsidP="00C4579C">
      <w:pPr>
        <w:ind w:left="720" w:hanging="720"/>
        <w:jc w:val="both"/>
      </w:pPr>
      <w:r>
        <w:tab/>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14:paraId="701F2790" w14:textId="75F7A02C" w:rsidR="00CD3B5F" w:rsidRDefault="00CD3B5F" w:rsidP="00C4579C">
      <w:pPr>
        <w:ind w:left="720" w:hanging="720"/>
        <w:jc w:val="both"/>
      </w:pPr>
    </w:p>
    <w:p w14:paraId="37C8BCD5" w14:textId="07117031" w:rsidR="00CD3B5F" w:rsidRDefault="00CD3B5F" w:rsidP="00C4579C">
      <w:pPr>
        <w:ind w:left="720" w:hanging="720"/>
        <w:jc w:val="both"/>
      </w:pPr>
    </w:p>
    <w:p w14:paraId="20BC6445" w14:textId="4ECBCF5C" w:rsidR="0028507F" w:rsidRPr="00436E70" w:rsidRDefault="00436E70" w:rsidP="00C4579C">
      <w:pPr>
        <w:ind w:left="720" w:hanging="720"/>
        <w:jc w:val="both"/>
        <w:rPr>
          <w:b/>
        </w:rPr>
      </w:pPr>
      <w:r w:rsidRPr="00436E70">
        <w:rPr>
          <w:b/>
        </w:rPr>
        <w:t>4.3</w:t>
      </w:r>
      <w:r w:rsidRPr="00436E70">
        <w:rPr>
          <w:b/>
        </w:rPr>
        <w:tab/>
      </w:r>
      <w:r w:rsidR="0028507F" w:rsidRPr="00436E70">
        <w:rPr>
          <w:b/>
        </w:rPr>
        <w:t xml:space="preserve">Submission of </w:t>
      </w:r>
      <w:r w:rsidR="00C0471F">
        <w:rPr>
          <w:b/>
        </w:rPr>
        <w:t>Quotes</w:t>
      </w:r>
    </w:p>
    <w:p w14:paraId="765F7B89" w14:textId="77777777" w:rsidR="0028507F" w:rsidRDefault="0028507F" w:rsidP="00C4579C">
      <w:pPr>
        <w:ind w:left="720" w:hanging="720"/>
        <w:jc w:val="both"/>
      </w:pPr>
    </w:p>
    <w:p w14:paraId="48133A1E" w14:textId="0E4273E6" w:rsidR="0028507F" w:rsidRDefault="0028507F" w:rsidP="00C4579C">
      <w:pPr>
        <w:ind w:left="720" w:hanging="720"/>
        <w:jc w:val="both"/>
      </w:pPr>
      <w:r>
        <w:tab/>
        <w:t xml:space="preserve">Each Respondent must submit a </w:t>
      </w:r>
      <w:r w:rsidR="00C0471F">
        <w:t>quote</w:t>
      </w:r>
      <w:r>
        <w:t xml:space="preserve"> meeting the Council’s minimum requirements, operating as a standalone bid and not be dependent on any other bid or any other factors external to the </w:t>
      </w:r>
      <w:r w:rsidR="00C0471F">
        <w:t>Quote</w:t>
      </w:r>
      <w:r>
        <w:t xml:space="preserve"> itself. That is, the </w:t>
      </w:r>
      <w:r w:rsidR="00C0471F">
        <w:t>Quote</w:t>
      </w:r>
      <w:r>
        <w:t xml:space="preserve"> must be capable of being accepted by the Council in its own right. </w:t>
      </w:r>
      <w:r w:rsidR="00143599">
        <w:t>Please see section 5.1 regarding mandatory requirements.</w:t>
      </w:r>
    </w:p>
    <w:p w14:paraId="24A97AC6" w14:textId="77777777" w:rsidR="0028507F" w:rsidRDefault="0028507F" w:rsidP="00C4579C">
      <w:pPr>
        <w:ind w:left="720" w:hanging="720"/>
        <w:jc w:val="both"/>
      </w:pPr>
    </w:p>
    <w:p w14:paraId="14D7CAA9" w14:textId="77777777" w:rsidR="0028507F" w:rsidRDefault="0028507F" w:rsidP="00C4579C">
      <w:pPr>
        <w:ind w:firstLine="720"/>
        <w:jc w:val="both"/>
      </w:pPr>
    </w:p>
    <w:p w14:paraId="358668DF" w14:textId="77777777" w:rsidR="0028507F" w:rsidRPr="00436E70" w:rsidRDefault="00436E70" w:rsidP="00C4579C">
      <w:pPr>
        <w:jc w:val="both"/>
        <w:rPr>
          <w:b/>
        </w:rPr>
      </w:pPr>
      <w:r w:rsidRPr="00436E70">
        <w:rPr>
          <w:b/>
        </w:rPr>
        <w:t>4.4</w:t>
      </w:r>
      <w:r w:rsidRPr="00436E70">
        <w:rPr>
          <w:b/>
        </w:rPr>
        <w:tab/>
      </w:r>
      <w:r w:rsidR="0028507F" w:rsidRPr="00436E70">
        <w:rPr>
          <w:b/>
        </w:rPr>
        <w:t xml:space="preserve">Warnings and disclaimers </w:t>
      </w:r>
    </w:p>
    <w:p w14:paraId="007204B0" w14:textId="77777777" w:rsidR="0028507F" w:rsidRDefault="0028507F" w:rsidP="00C4579C">
      <w:pPr>
        <w:ind w:firstLine="720"/>
        <w:jc w:val="both"/>
      </w:pPr>
    </w:p>
    <w:p w14:paraId="312A86F7" w14:textId="77777777" w:rsidR="0028507F" w:rsidRDefault="0028507F" w:rsidP="00C4579C">
      <w:pPr>
        <w:ind w:left="720" w:hanging="720"/>
        <w:jc w:val="both"/>
      </w:pPr>
      <w:r>
        <w:tab/>
        <w:t>While the i</w:t>
      </w:r>
      <w:r w:rsidR="0027117F">
        <w:t>nformation contained in this ITQ</w:t>
      </w:r>
      <w:r>
        <w:t xml:space="preserve"> is believed to be correct at the time of issue, the Council, its advisors and any other awarding authorities will not accept any liability for its accuracy, adequacy or completeness, nor will any express or implied warranty be given. This exclusion extends to liability in relation to any statement, opinion or conclusion contained i</w:t>
      </w:r>
      <w:r w:rsidR="0027117F">
        <w:t>n or any omission from, this ITQ</w:t>
      </w:r>
      <w:r>
        <w:t xml:space="preserve"> (including its appendices) and in respect of any other written or oral communication transmitted (or otherwise made available) to any Respondents. This exclusion does not extend to any fraudulent misrepresentation made by or on behalf of the Council. </w:t>
      </w:r>
    </w:p>
    <w:p w14:paraId="47887FF5" w14:textId="77777777" w:rsidR="0028507F" w:rsidRDefault="0028507F" w:rsidP="00C4579C">
      <w:pPr>
        <w:jc w:val="both"/>
      </w:pPr>
    </w:p>
    <w:p w14:paraId="5AA1B142" w14:textId="77777777" w:rsidR="0028507F" w:rsidRDefault="0027117F" w:rsidP="00C4579C">
      <w:pPr>
        <w:ind w:left="720" w:hanging="720"/>
        <w:jc w:val="both"/>
      </w:pPr>
      <w:r>
        <w:tab/>
        <w:t>Neither the issue of this ITQ</w:t>
      </w:r>
      <w:r w:rsidR="0028507F">
        <w:t xml:space="preserve">, nor any of the information presented in it, should be regarded as a commitment or representation on the part of the Council (or any other person) to enter into a contractual arrangement. </w:t>
      </w:r>
    </w:p>
    <w:p w14:paraId="081A0BA5" w14:textId="04E3BDA8" w:rsidR="0028507F" w:rsidRDefault="0028507F" w:rsidP="00C4579C">
      <w:pPr>
        <w:ind w:firstLine="720"/>
        <w:jc w:val="both"/>
        <w:rPr>
          <w:u w:val="single"/>
        </w:rPr>
      </w:pPr>
    </w:p>
    <w:p w14:paraId="2FEF7C79" w14:textId="77777777" w:rsidR="00C71154" w:rsidRDefault="00C71154" w:rsidP="00C4579C">
      <w:pPr>
        <w:ind w:firstLine="720"/>
        <w:jc w:val="both"/>
        <w:rPr>
          <w:u w:val="single"/>
        </w:rPr>
      </w:pPr>
    </w:p>
    <w:p w14:paraId="6A3D642C" w14:textId="77777777" w:rsidR="0028507F" w:rsidRPr="00436E70" w:rsidRDefault="00436E70" w:rsidP="00C4579C">
      <w:pPr>
        <w:jc w:val="both"/>
        <w:rPr>
          <w:b/>
        </w:rPr>
      </w:pPr>
      <w:r w:rsidRPr="00436E70">
        <w:rPr>
          <w:b/>
        </w:rPr>
        <w:t>4.5</w:t>
      </w:r>
      <w:r w:rsidRPr="00436E70">
        <w:rPr>
          <w:b/>
        </w:rPr>
        <w:tab/>
      </w:r>
      <w:r w:rsidR="0028507F" w:rsidRPr="00436E70">
        <w:rPr>
          <w:b/>
        </w:rPr>
        <w:t xml:space="preserve">Confidentiality and Freedom of Information </w:t>
      </w:r>
    </w:p>
    <w:p w14:paraId="5038E4C5" w14:textId="77777777" w:rsidR="0028507F" w:rsidRDefault="0028507F" w:rsidP="00C4579C">
      <w:pPr>
        <w:jc w:val="both"/>
      </w:pPr>
    </w:p>
    <w:p w14:paraId="31AD2BEA" w14:textId="6C56926D" w:rsidR="0028507F" w:rsidRDefault="0027117F" w:rsidP="00C4579C">
      <w:pPr>
        <w:ind w:left="720" w:hanging="720"/>
        <w:jc w:val="both"/>
      </w:pPr>
      <w:r>
        <w:tab/>
        <w:t>This ITQ</w:t>
      </w:r>
      <w:r w:rsidR="0028507F">
        <w:t xml:space="preserve"> is made available on condition that its contents (including the fact that the </w:t>
      </w:r>
      <w:r>
        <w:t>Respondent has received this ITQ</w:t>
      </w:r>
      <w:r w:rsidR="0028507F">
        <w:t xml:space="preserve">) is kept confidential by the Respondent and is not copied, reproduced, distributed or passed to any other person at any time, except for the purpose of enabling the Respondent to submit a </w:t>
      </w:r>
      <w:r w:rsidR="00C0471F">
        <w:t>Quote</w:t>
      </w:r>
      <w:r w:rsidR="0028507F">
        <w:t xml:space="preserve">. </w:t>
      </w:r>
    </w:p>
    <w:p w14:paraId="5B7A7B62" w14:textId="77777777" w:rsidR="0028507F" w:rsidRDefault="0028507F" w:rsidP="00C4579C">
      <w:pPr>
        <w:ind w:left="720" w:hanging="720"/>
        <w:jc w:val="both"/>
      </w:pPr>
    </w:p>
    <w:p w14:paraId="04DC5478" w14:textId="77777777" w:rsidR="0028507F" w:rsidRDefault="0028507F" w:rsidP="00C4579C">
      <w:pPr>
        <w:ind w:left="720" w:hanging="720"/>
        <w:jc w:val="both"/>
      </w:pPr>
      <w:r>
        <w:tab/>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14:paraId="13A1285C" w14:textId="77777777" w:rsidR="0028507F" w:rsidRDefault="0028507F" w:rsidP="00C4579C">
      <w:pPr>
        <w:ind w:left="720" w:hanging="720"/>
        <w:jc w:val="both"/>
      </w:pPr>
    </w:p>
    <w:p w14:paraId="2895FDB5" w14:textId="77777777" w:rsidR="0028507F" w:rsidRDefault="0028507F" w:rsidP="00C4579C">
      <w:pPr>
        <w:ind w:left="720" w:hanging="720"/>
        <w:jc w:val="both"/>
      </w:pPr>
      <w:r>
        <w:tab/>
        <w:t xml:space="preserve">Respondents should be aware that, in compliance with its transparency obligations, the Council routinely publishes details of its contract(s), including the values and the identities of its suppliers on its website without consulting the provider of that information. </w:t>
      </w:r>
    </w:p>
    <w:p w14:paraId="1D32C9A5" w14:textId="77777777" w:rsidR="0028507F" w:rsidRDefault="0028507F" w:rsidP="00C4579C">
      <w:pPr>
        <w:ind w:left="720" w:hanging="720"/>
        <w:jc w:val="both"/>
      </w:pPr>
    </w:p>
    <w:p w14:paraId="406E7DF5" w14:textId="77777777" w:rsidR="0028507F" w:rsidRDefault="0028507F" w:rsidP="00C4579C">
      <w:pPr>
        <w:ind w:left="720" w:hanging="720"/>
        <w:jc w:val="both"/>
      </w:pPr>
      <w:r>
        <w:tab/>
        <w:t xml:space="preserve">The Council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w:t>
      </w:r>
      <w:r>
        <w:lastRenderedPageBreak/>
        <w:t xml:space="preserve">example where disclosure would be prejudicial to a party’s commercial interests, and in accordance with the Council’s transparency obligations. </w:t>
      </w:r>
    </w:p>
    <w:p w14:paraId="69E2F0A0" w14:textId="77777777" w:rsidR="0028507F" w:rsidRDefault="0028507F" w:rsidP="00C4579C">
      <w:pPr>
        <w:ind w:left="720" w:hanging="720"/>
        <w:jc w:val="both"/>
      </w:pPr>
    </w:p>
    <w:p w14:paraId="4236150C" w14:textId="77777777" w:rsidR="0028507F" w:rsidRDefault="0028507F" w:rsidP="00C4579C">
      <w:pPr>
        <w:ind w:left="720" w:hanging="720"/>
        <w:jc w:val="both"/>
      </w:pPr>
      <w:r>
        <w:tab/>
        <w:t xml:space="preserve">Therefore, Respondents are responsible for ensuring that any confidential or commercially sensitive information, the disclosure of which would be likely to diminish the Respondents competitive edge, has been clearly identified to the Council in the template provided at Schedule 1. </w:t>
      </w:r>
    </w:p>
    <w:p w14:paraId="2FD24EEB" w14:textId="7AADA474" w:rsidR="0028507F" w:rsidRDefault="0028507F" w:rsidP="00C4579C">
      <w:pPr>
        <w:ind w:left="720" w:hanging="720"/>
        <w:jc w:val="both"/>
      </w:pPr>
    </w:p>
    <w:p w14:paraId="728AE6C1" w14:textId="77777777" w:rsidR="00C71154" w:rsidRDefault="00C71154" w:rsidP="00C4579C">
      <w:pPr>
        <w:ind w:left="720" w:hanging="720"/>
        <w:jc w:val="both"/>
      </w:pPr>
    </w:p>
    <w:p w14:paraId="1CE0B5A8" w14:textId="77777777" w:rsidR="0028507F" w:rsidRPr="00436E70" w:rsidRDefault="00436E70" w:rsidP="00C4579C">
      <w:pPr>
        <w:ind w:left="720" w:hanging="720"/>
        <w:jc w:val="both"/>
        <w:rPr>
          <w:b/>
        </w:rPr>
      </w:pPr>
      <w:r w:rsidRPr="00436E70">
        <w:rPr>
          <w:b/>
        </w:rPr>
        <w:t>4.6</w:t>
      </w:r>
      <w:r w:rsidRPr="00436E70">
        <w:rPr>
          <w:b/>
        </w:rPr>
        <w:tab/>
      </w:r>
      <w:r w:rsidR="0028507F" w:rsidRPr="00436E70">
        <w:rPr>
          <w:b/>
        </w:rPr>
        <w:t>Publicity</w:t>
      </w:r>
    </w:p>
    <w:p w14:paraId="73A5BC7A" w14:textId="77777777" w:rsidR="0028507F" w:rsidRDefault="0028507F" w:rsidP="00C4579C">
      <w:pPr>
        <w:ind w:left="720" w:hanging="720"/>
        <w:jc w:val="both"/>
      </w:pPr>
    </w:p>
    <w:p w14:paraId="383C9B58" w14:textId="359BDF96" w:rsidR="0028507F" w:rsidRDefault="0028507F" w:rsidP="00C4579C">
      <w:pPr>
        <w:ind w:left="720" w:hanging="720"/>
        <w:jc w:val="both"/>
      </w:pPr>
      <w:r>
        <w:tab/>
        <w:t>No publicity regarding the Services or the award of any</w:t>
      </w:r>
      <w:r w:rsidR="00C0471F">
        <w:t xml:space="preserve"> quote</w:t>
      </w:r>
      <w:r>
        <w:t xml:space="preserve"> will be permitted unless and until the Council has given express written consent to the relevant communication. For example, no statements may be made to the media regarding the nature of any </w:t>
      </w:r>
      <w:r w:rsidR="00C0471F">
        <w:t>Quote</w:t>
      </w:r>
      <w:r>
        <w:t xml:space="preserve">, its contents or any proposals relating to it without the prior written consent of the Council. </w:t>
      </w:r>
    </w:p>
    <w:p w14:paraId="27285E2D" w14:textId="1590C729" w:rsidR="0017561C" w:rsidRDefault="0017561C" w:rsidP="00C4579C">
      <w:pPr>
        <w:jc w:val="both"/>
      </w:pPr>
    </w:p>
    <w:p w14:paraId="66B34D51" w14:textId="77777777" w:rsidR="00D64633" w:rsidRDefault="00D64633" w:rsidP="00C4579C">
      <w:pPr>
        <w:ind w:left="720" w:hanging="720"/>
        <w:jc w:val="both"/>
      </w:pPr>
    </w:p>
    <w:p w14:paraId="7E842872" w14:textId="77777777" w:rsidR="0028507F" w:rsidRPr="00436E70" w:rsidRDefault="00436E70" w:rsidP="00C4579C">
      <w:pPr>
        <w:ind w:left="720" w:hanging="720"/>
        <w:jc w:val="both"/>
        <w:rPr>
          <w:b/>
        </w:rPr>
      </w:pPr>
      <w:r w:rsidRPr="00436E70">
        <w:rPr>
          <w:b/>
        </w:rPr>
        <w:t>4.7</w:t>
      </w:r>
      <w:r w:rsidRPr="00436E70">
        <w:rPr>
          <w:b/>
        </w:rPr>
        <w:tab/>
      </w:r>
      <w:r w:rsidR="0028507F" w:rsidRPr="00436E70">
        <w:rPr>
          <w:b/>
        </w:rPr>
        <w:t>Respondent conduct and conflicts of interest</w:t>
      </w:r>
    </w:p>
    <w:p w14:paraId="2F10A915" w14:textId="77777777" w:rsidR="0028507F" w:rsidRDefault="0028507F" w:rsidP="00C4579C">
      <w:pPr>
        <w:ind w:left="720" w:hanging="720"/>
        <w:jc w:val="both"/>
      </w:pPr>
    </w:p>
    <w:p w14:paraId="2D335449" w14:textId="77777777" w:rsidR="0028507F" w:rsidRDefault="0028507F" w:rsidP="00C4579C">
      <w:pPr>
        <w:ind w:left="720" w:hanging="720"/>
        <w:jc w:val="both"/>
      </w:pPr>
      <w:r>
        <w:tab/>
        <w:t xml:space="preserve">Any attempt by Respondents or their advisors to influence the award process in any way may result in the Respondent being disqualified. Specifically, Respondents shall not directly or indirectly at any time: </w:t>
      </w:r>
    </w:p>
    <w:p w14:paraId="25353D34" w14:textId="77777777" w:rsidR="0028507F" w:rsidRDefault="0028507F" w:rsidP="00C4579C">
      <w:pPr>
        <w:ind w:left="720" w:hanging="720"/>
        <w:jc w:val="both"/>
      </w:pPr>
    </w:p>
    <w:p w14:paraId="0679AEB7" w14:textId="37DD413A" w:rsidR="0028507F" w:rsidRDefault="0028507F" w:rsidP="00C4579C">
      <w:pPr>
        <w:pStyle w:val="ListParagraph"/>
        <w:numPr>
          <w:ilvl w:val="0"/>
          <w:numId w:val="5"/>
        </w:numPr>
        <w:jc w:val="both"/>
      </w:pPr>
      <w:r>
        <w:t xml:space="preserve">Devise or amend the content of their </w:t>
      </w:r>
      <w:r w:rsidR="00C0471F">
        <w:t>Quote</w:t>
      </w:r>
      <w:r>
        <w:t xml:space="preserve"> in accordance with any agreement or arrangement with any other person, other than in good faith with a person who is a proposed partner, supplier, or provider of finance. </w:t>
      </w:r>
    </w:p>
    <w:p w14:paraId="05304626" w14:textId="5A5ED9DD" w:rsidR="0028507F" w:rsidRDefault="0028507F" w:rsidP="00C4579C">
      <w:pPr>
        <w:pStyle w:val="ListParagraph"/>
        <w:numPr>
          <w:ilvl w:val="0"/>
          <w:numId w:val="5"/>
        </w:numPr>
        <w:jc w:val="both"/>
      </w:pPr>
      <w:r>
        <w:t xml:space="preserve">Enter into any agreement or arrangement with any other person as to the form or content of any other </w:t>
      </w:r>
      <w:r w:rsidR="00C0471F">
        <w:t>Quote</w:t>
      </w:r>
      <w:r>
        <w:t xml:space="preserve">, or offer to pay any sum of money or valuable consideration to any person to effect changes to the form or content of any other </w:t>
      </w:r>
      <w:r w:rsidR="00C0471F">
        <w:t>Quote</w:t>
      </w:r>
      <w:r>
        <w:t xml:space="preserve">. </w:t>
      </w:r>
    </w:p>
    <w:p w14:paraId="27FFE4F7" w14:textId="03D8EC73" w:rsidR="0028507F" w:rsidRDefault="0028507F" w:rsidP="00C4579C">
      <w:pPr>
        <w:pStyle w:val="ListParagraph"/>
        <w:numPr>
          <w:ilvl w:val="0"/>
          <w:numId w:val="5"/>
        </w:numPr>
        <w:jc w:val="both"/>
      </w:pPr>
      <w:r>
        <w:t xml:space="preserve">Enter into any agreement or arrangement with any other person that has the effect of prohibiting or excluding that person from submitting a </w:t>
      </w:r>
      <w:r w:rsidR="00C0471F">
        <w:t>Quote</w:t>
      </w:r>
      <w:r>
        <w:t xml:space="preserve">. </w:t>
      </w:r>
    </w:p>
    <w:p w14:paraId="1EFFA44F" w14:textId="77777777" w:rsidR="0028507F" w:rsidRDefault="0028507F" w:rsidP="00C4579C">
      <w:pPr>
        <w:pStyle w:val="ListParagraph"/>
        <w:numPr>
          <w:ilvl w:val="0"/>
          <w:numId w:val="5"/>
        </w:numPr>
        <w:jc w:val="both"/>
      </w:pPr>
      <w:r>
        <w:t xml:space="preserve">Canvass the Council or any employees or agents of the Council in relation to this procurement. </w:t>
      </w:r>
    </w:p>
    <w:p w14:paraId="504F369A" w14:textId="33F3A03D" w:rsidR="0028507F" w:rsidRDefault="0028507F" w:rsidP="00C4579C">
      <w:pPr>
        <w:pStyle w:val="ListParagraph"/>
        <w:numPr>
          <w:ilvl w:val="0"/>
          <w:numId w:val="5"/>
        </w:numPr>
        <w:jc w:val="both"/>
      </w:pPr>
      <w:r>
        <w:t xml:space="preserve">Attempt to obtain information from any of the employees or agents of the Council or their advisors concerning another Respondent or </w:t>
      </w:r>
      <w:r w:rsidR="00C0471F">
        <w:t>Quote</w:t>
      </w:r>
      <w:r>
        <w:t xml:space="preserve">. </w:t>
      </w:r>
    </w:p>
    <w:p w14:paraId="09EE8BDD" w14:textId="77777777" w:rsidR="0028507F" w:rsidRDefault="0028507F" w:rsidP="00C4579C">
      <w:pPr>
        <w:ind w:left="720"/>
        <w:jc w:val="both"/>
      </w:pPr>
    </w:p>
    <w:p w14:paraId="1F784F90" w14:textId="77777777" w:rsidR="0028507F" w:rsidRDefault="0028507F" w:rsidP="00C4579C">
      <w:pPr>
        <w:ind w:left="720"/>
        <w:jc w:val="both"/>
      </w:pPr>
      <w:r>
        <w:t xml:space="preserve">Respondents are responsible for ensuring that no conflicts of interest exist between the Respondent and its advisers, and the Council and its advisors. Any Respondent who fails to comply with this requirement may be disqualified from the procurement at the discretion of the Council. </w:t>
      </w:r>
    </w:p>
    <w:p w14:paraId="65911C94" w14:textId="77777777" w:rsidR="0028507F" w:rsidRDefault="0028507F" w:rsidP="00C4579C">
      <w:pPr>
        <w:jc w:val="both"/>
      </w:pPr>
    </w:p>
    <w:p w14:paraId="365FF5A0" w14:textId="783CB976" w:rsidR="005B470B" w:rsidRDefault="0028507F" w:rsidP="00C4579C">
      <w:pPr>
        <w:jc w:val="both"/>
      </w:pPr>
      <w:r>
        <w:tab/>
      </w:r>
    </w:p>
    <w:p w14:paraId="5045F39E" w14:textId="77777777" w:rsidR="006B2E49" w:rsidRDefault="006B2E49">
      <w:pPr>
        <w:rPr>
          <w:b/>
        </w:rPr>
      </w:pPr>
      <w:r>
        <w:rPr>
          <w:b/>
        </w:rPr>
        <w:br w:type="page"/>
      </w:r>
    </w:p>
    <w:p w14:paraId="72932429" w14:textId="713318A9" w:rsidR="0028507F" w:rsidRPr="00436E70" w:rsidRDefault="00436E70" w:rsidP="00C4579C">
      <w:pPr>
        <w:jc w:val="both"/>
        <w:rPr>
          <w:b/>
        </w:rPr>
      </w:pPr>
      <w:r w:rsidRPr="00436E70">
        <w:rPr>
          <w:b/>
        </w:rPr>
        <w:lastRenderedPageBreak/>
        <w:t>4.8</w:t>
      </w:r>
      <w:r w:rsidRPr="00436E70">
        <w:rPr>
          <w:b/>
        </w:rPr>
        <w:tab/>
      </w:r>
      <w:r w:rsidR="0028507F" w:rsidRPr="00436E70">
        <w:rPr>
          <w:b/>
        </w:rPr>
        <w:t>Council’s rights</w:t>
      </w:r>
    </w:p>
    <w:p w14:paraId="11DF3CFF" w14:textId="77777777" w:rsidR="0028507F" w:rsidRDefault="0028507F" w:rsidP="00C4579C">
      <w:pPr>
        <w:jc w:val="both"/>
      </w:pPr>
    </w:p>
    <w:p w14:paraId="3C33BF1B" w14:textId="77777777" w:rsidR="0028507F" w:rsidRDefault="0028507F" w:rsidP="00C4579C">
      <w:pPr>
        <w:ind w:left="720" w:hanging="720"/>
        <w:jc w:val="both"/>
      </w:pPr>
      <w:r>
        <w:tab/>
        <w:t xml:space="preserve">The Council reserves the right to: </w:t>
      </w:r>
    </w:p>
    <w:p w14:paraId="283738B1" w14:textId="77777777" w:rsidR="0028507F" w:rsidRDefault="0028507F" w:rsidP="00C4579C">
      <w:pPr>
        <w:ind w:left="720" w:hanging="720"/>
        <w:jc w:val="both"/>
      </w:pPr>
    </w:p>
    <w:p w14:paraId="69869585" w14:textId="77777777" w:rsidR="0028507F" w:rsidRDefault="0028507F" w:rsidP="00C4579C">
      <w:pPr>
        <w:pStyle w:val="ListParagraph"/>
        <w:numPr>
          <w:ilvl w:val="0"/>
          <w:numId w:val="6"/>
        </w:numPr>
        <w:jc w:val="both"/>
      </w:pPr>
      <w:r>
        <w:t>Waive or change the requirements of this IT</w:t>
      </w:r>
      <w:r w:rsidR="0027117F">
        <w:t>Q</w:t>
      </w:r>
      <w:r>
        <w:t xml:space="preserve"> from time to time without prior (or any) notice being given by the Council. </w:t>
      </w:r>
    </w:p>
    <w:p w14:paraId="6B230A7F" w14:textId="77777777" w:rsidR="0028507F" w:rsidRDefault="0028507F" w:rsidP="00D4385B">
      <w:pPr>
        <w:pStyle w:val="ListParagraph"/>
        <w:numPr>
          <w:ilvl w:val="0"/>
          <w:numId w:val="6"/>
        </w:numPr>
      </w:pPr>
      <w:r>
        <w:t xml:space="preserve">Seek clarification or documents in respect of a Respondent’s submission. </w:t>
      </w:r>
    </w:p>
    <w:p w14:paraId="3A569BA7" w14:textId="2457214C" w:rsidR="0028507F" w:rsidRDefault="0028507F" w:rsidP="00C4579C">
      <w:pPr>
        <w:pStyle w:val="ListParagraph"/>
        <w:numPr>
          <w:ilvl w:val="0"/>
          <w:numId w:val="6"/>
        </w:numPr>
        <w:jc w:val="both"/>
      </w:pPr>
      <w:r>
        <w:t xml:space="preserve">Disqualify any Respondent that does not submit a compliant </w:t>
      </w:r>
      <w:r w:rsidR="00C0471F">
        <w:t>Quote</w:t>
      </w:r>
      <w:r>
        <w:t xml:space="preserve"> in accordance with the instructions in this IT</w:t>
      </w:r>
      <w:r w:rsidR="0027117F">
        <w:t>Q</w:t>
      </w:r>
      <w:r>
        <w:t xml:space="preserve">. </w:t>
      </w:r>
    </w:p>
    <w:p w14:paraId="279E36B4" w14:textId="057B4E11" w:rsidR="0028507F" w:rsidRDefault="0028507F" w:rsidP="00C4579C">
      <w:pPr>
        <w:pStyle w:val="ListParagraph"/>
        <w:numPr>
          <w:ilvl w:val="0"/>
          <w:numId w:val="6"/>
        </w:numPr>
        <w:jc w:val="both"/>
      </w:pPr>
      <w:r>
        <w:t xml:space="preserve">Disqualify any Respondent that is guilty of serious misrepresentation in relation to its </w:t>
      </w:r>
      <w:r w:rsidR="00C0471F">
        <w:t>Quote</w:t>
      </w:r>
      <w:r>
        <w:t>, expression of interest, or the I</w:t>
      </w:r>
      <w:r w:rsidR="00C0471F">
        <w:t>TQ</w:t>
      </w:r>
      <w:r>
        <w:t xml:space="preserve"> process. </w:t>
      </w:r>
    </w:p>
    <w:p w14:paraId="7BA5537B" w14:textId="666E9A85" w:rsidR="0028507F" w:rsidRDefault="0027117F" w:rsidP="00C4579C">
      <w:pPr>
        <w:pStyle w:val="ListParagraph"/>
        <w:numPr>
          <w:ilvl w:val="0"/>
          <w:numId w:val="6"/>
        </w:numPr>
        <w:jc w:val="both"/>
      </w:pPr>
      <w:r>
        <w:t>Withdraw this ITQ</w:t>
      </w:r>
      <w:r w:rsidR="0028507F">
        <w:t xml:space="preserve"> at any time, or to re-invite </w:t>
      </w:r>
      <w:r w:rsidR="00C0471F">
        <w:t>q</w:t>
      </w:r>
      <w:r w:rsidR="0028507F">
        <w:t xml:space="preserve">uotations on the same or any alternative basis. </w:t>
      </w:r>
    </w:p>
    <w:p w14:paraId="10808973" w14:textId="3C2AD0EF" w:rsidR="0028507F" w:rsidRDefault="0028507F" w:rsidP="00C4579C">
      <w:pPr>
        <w:pStyle w:val="ListParagraph"/>
        <w:numPr>
          <w:ilvl w:val="0"/>
          <w:numId w:val="6"/>
        </w:numPr>
        <w:jc w:val="both"/>
      </w:pPr>
      <w:r>
        <w:t xml:space="preserve">Choose not to award any </w:t>
      </w:r>
      <w:r w:rsidR="00C0471F">
        <w:t>quote</w:t>
      </w:r>
      <w:r>
        <w:t xml:space="preserve"> as a result of the current procurement process. </w:t>
      </w:r>
    </w:p>
    <w:p w14:paraId="2E25CCAE" w14:textId="77777777" w:rsidR="0028507F" w:rsidRDefault="0028507F" w:rsidP="00C4579C">
      <w:pPr>
        <w:ind w:left="720"/>
        <w:jc w:val="both"/>
      </w:pPr>
    </w:p>
    <w:p w14:paraId="7B2A091F" w14:textId="5AA549F5" w:rsidR="0028507F" w:rsidRDefault="0028507F" w:rsidP="00C4579C">
      <w:pPr>
        <w:ind w:left="720"/>
        <w:jc w:val="both"/>
      </w:pPr>
      <w:r>
        <w:t>Make whatever changes it sees fit to the Timetable, structure or content of the procurement process, depending on approvals processes or for any other reason</w:t>
      </w:r>
      <w:r w:rsidR="0012198C">
        <w:t>.</w:t>
      </w:r>
      <w:r>
        <w:t xml:space="preserve"> </w:t>
      </w:r>
    </w:p>
    <w:p w14:paraId="16ACE945" w14:textId="390629C6" w:rsidR="0028507F" w:rsidRDefault="0028507F" w:rsidP="00C4579C">
      <w:pPr>
        <w:ind w:left="720"/>
        <w:jc w:val="both"/>
      </w:pPr>
    </w:p>
    <w:p w14:paraId="3C7D7269" w14:textId="77777777" w:rsidR="00D64633" w:rsidRDefault="00D64633" w:rsidP="00C4579C">
      <w:pPr>
        <w:ind w:left="720"/>
        <w:jc w:val="both"/>
      </w:pPr>
    </w:p>
    <w:p w14:paraId="2A17C0EE" w14:textId="77777777" w:rsidR="0028507F" w:rsidRPr="00436E70" w:rsidRDefault="00436E70" w:rsidP="00C4579C">
      <w:pPr>
        <w:jc w:val="both"/>
        <w:rPr>
          <w:b/>
        </w:rPr>
      </w:pPr>
      <w:r w:rsidRPr="00436E70">
        <w:rPr>
          <w:b/>
        </w:rPr>
        <w:t>4.9</w:t>
      </w:r>
      <w:r w:rsidRPr="00436E70">
        <w:rPr>
          <w:b/>
        </w:rPr>
        <w:tab/>
      </w:r>
      <w:r w:rsidR="0028507F" w:rsidRPr="00436E70">
        <w:rPr>
          <w:b/>
        </w:rPr>
        <w:t>Bid costs</w:t>
      </w:r>
    </w:p>
    <w:p w14:paraId="6C512E92" w14:textId="77777777" w:rsidR="0028507F" w:rsidRDefault="0028507F" w:rsidP="00C4579C">
      <w:pPr>
        <w:ind w:left="720"/>
        <w:jc w:val="both"/>
      </w:pPr>
    </w:p>
    <w:p w14:paraId="01748C28" w14:textId="77777777" w:rsidR="0028507F" w:rsidRDefault="0028507F" w:rsidP="00C4579C">
      <w:pPr>
        <w:ind w:left="720" w:hanging="720"/>
        <w:jc w:val="both"/>
      </w:pPr>
      <w:r>
        <w:tab/>
        <w:t>The Council will not be liable for any bid costs, expenditure, work or effort incurred by a Respondent in proceeding with or participating in this procurement, including if the procurement process is terminated or amended by the Council.</w:t>
      </w:r>
    </w:p>
    <w:p w14:paraId="6F318A68" w14:textId="3674056C" w:rsidR="0028507F" w:rsidRDefault="0028507F" w:rsidP="00C4579C">
      <w:pPr>
        <w:ind w:left="720" w:hanging="720"/>
        <w:jc w:val="both"/>
        <w:rPr>
          <w:szCs w:val="24"/>
          <w:u w:val="single"/>
          <w:lang w:val="en-US"/>
        </w:rPr>
      </w:pPr>
    </w:p>
    <w:p w14:paraId="0006024B" w14:textId="77777777" w:rsidR="005B470B" w:rsidRDefault="005B470B" w:rsidP="00C4579C">
      <w:pPr>
        <w:ind w:left="720" w:hanging="720"/>
        <w:jc w:val="both"/>
        <w:rPr>
          <w:szCs w:val="24"/>
          <w:u w:val="single"/>
          <w:lang w:val="en-US"/>
        </w:rPr>
      </w:pPr>
    </w:p>
    <w:p w14:paraId="69F54A01" w14:textId="77777777" w:rsidR="00741CDC" w:rsidRDefault="00741CDC" w:rsidP="00C4579C">
      <w:pPr>
        <w:ind w:left="720" w:hanging="720"/>
        <w:jc w:val="both"/>
        <w:rPr>
          <w:b/>
          <w:sz w:val="28"/>
          <w:szCs w:val="28"/>
          <w:lang w:val="en-US"/>
        </w:rPr>
      </w:pPr>
    </w:p>
    <w:p w14:paraId="7BCA1EC6" w14:textId="77777777" w:rsidR="00741CDC" w:rsidRDefault="00741CDC" w:rsidP="00C4579C">
      <w:pPr>
        <w:ind w:left="720" w:hanging="720"/>
        <w:jc w:val="both"/>
        <w:rPr>
          <w:b/>
          <w:sz w:val="28"/>
          <w:szCs w:val="28"/>
          <w:lang w:val="en-US"/>
        </w:rPr>
      </w:pPr>
    </w:p>
    <w:p w14:paraId="3916462F" w14:textId="77777777" w:rsidR="00741CDC" w:rsidRDefault="00741CDC" w:rsidP="00C4579C">
      <w:pPr>
        <w:ind w:left="720" w:hanging="720"/>
        <w:jc w:val="both"/>
        <w:rPr>
          <w:b/>
          <w:sz w:val="28"/>
          <w:szCs w:val="28"/>
          <w:lang w:val="en-US"/>
        </w:rPr>
      </w:pPr>
    </w:p>
    <w:p w14:paraId="53290938" w14:textId="77777777" w:rsidR="00741CDC" w:rsidRDefault="00741CDC" w:rsidP="00C4579C">
      <w:pPr>
        <w:ind w:left="720" w:hanging="720"/>
        <w:jc w:val="both"/>
        <w:rPr>
          <w:b/>
          <w:sz w:val="28"/>
          <w:szCs w:val="28"/>
          <w:lang w:val="en-US"/>
        </w:rPr>
      </w:pPr>
    </w:p>
    <w:p w14:paraId="5F2DD727" w14:textId="77777777" w:rsidR="00741CDC" w:rsidRDefault="00741CDC" w:rsidP="00C4579C">
      <w:pPr>
        <w:ind w:left="720" w:hanging="720"/>
        <w:jc w:val="both"/>
        <w:rPr>
          <w:b/>
          <w:sz w:val="28"/>
          <w:szCs w:val="28"/>
          <w:lang w:val="en-US"/>
        </w:rPr>
      </w:pPr>
    </w:p>
    <w:p w14:paraId="3B8D99DA" w14:textId="77777777" w:rsidR="00741CDC" w:rsidRDefault="00741CDC" w:rsidP="00C4579C">
      <w:pPr>
        <w:ind w:left="720" w:hanging="720"/>
        <w:jc w:val="both"/>
        <w:rPr>
          <w:b/>
          <w:sz w:val="28"/>
          <w:szCs w:val="28"/>
          <w:lang w:val="en-US"/>
        </w:rPr>
      </w:pPr>
    </w:p>
    <w:p w14:paraId="212653F1" w14:textId="77777777" w:rsidR="00741CDC" w:rsidRDefault="00741CDC" w:rsidP="00C4579C">
      <w:pPr>
        <w:ind w:left="720" w:hanging="720"/>
        <w:jc w:val="both"/>
        <w:rPr>
          <w:b/>
          <w:sz w:val="28"/>
          <w:szCs w:val="28"/>
          <w:lang w:val="en-US"/>
        </w:rPr>
      </w:pPr>
    </w:p>
    <w:p w14:paraId="3A3682B5" w14:textId="77777777" w:rsidR="00741CDC" w:rsidRDefault="00741CDC" w:rsidP="00C4579C">
      <w:pPr>
        <w:ind w:left="720" w:hanging="720"/>
        <w:jc w:val="both"/>
        <w:rPr>
          <w:b/>
          <w:sz w:val="28"/>
          <w:szCs w:val="28"/>
          <w:lang w:val="en-US"/>
        </w:rPr>
      </w:pPr>
    </w:p>
    <w:p w14:paraId="7377706C" w14:textId="77777777" w:rsidR="00741CDC" w:rsidRDefault="00741CDC" w:rsidP="00C4579C">
      <w:pPr>
        <w:ind w:left="720" w:hanging="720"/>
        <w:jc w:val="both"/>
        <w:rPr>
          <w:b/>
          <w:sz w:val="28"/>
          <w:szCs w:val="28"/>
          <w:lang w:val="en-US"/>
        </w:rPr>
      </w:pPr>
    </w:p>
    <w:p w14:paraId="188C1827" w14:textId="77777777" w:rsidR="00741CDC" w:rsidRDefault="00741CDC" w:rsidP="00C4579C">
      <w:pPr>
        <w:ind w:left="720" w:hanging="720"/>
        <w:jc w:val="both"/>
        <w:rPr>
          <w:b/>
          <w:sz w:val="28"/>
          <w:szCs w:val="28"/>
          <w:lang w:val="en-US"/>
        </w:rPr>
      </w:pPr>
    </w:p>
    <w:p w14:paraId="5CFCFA61" w14:textId="77777777" w:rsidR="00741CDC" w:rsidRDefault="00741CDC" w:rsidP="00C4579C">
      <w:pPr>
        <w:ind w:left="720" w:hanging="720"/>
        <w:jc w:val="both"/>
        <w:rPr>
          <w:b/>
          <w:sz w:val="28"/>
          <w:szCs w:val="28"/>
          <w:lang w:val="en-US"/>
        </w:rPr>
      </w:pPr>
    </w:p>
    <w:p w14:paraId="17BB2C0C" w14:textId="77777777" w:rsidR="00741CDC" w:rsidRDefault="00741CDC" w:rsidP="00C4579C">
      <w:pPr>
        <w:ind w:left="720" w:hanging="720"/>
        <w:jc w:val="both"/>
        <w:rPr>
          <w:b/>
          <w:sz w:val="28"/>
          <w:szCs w:val="28"/>
          <w:lang w:val="en-US"/>
        </w:rPr>
      </w:pPr>
    </w:p>
    <w:p w14:paraId="21A5802F" w14:textId="77777777" w:rsidR="00741CDC" w:rsidRDefault="00741CDC" w:rsidP="00C4579C">
      <w:pPr>
        <w:ind w:left="720" w:hanging="720"/>
        <w:jc w:val="both"/>
        <w:rPr>
          <w:b/>
          <w:sz w:val="28"/>
          <w:szCs w:val="28"/>
          <w:lang w:val="en-US"/>
        </w:rPr>
      </w:pPr>
    </w:p>
    <w:p w14:paraId="5C6DEEA5" w14:textId="77777777" w:rsidR="00741CDC" w:rsidRDefault="00741CDC" w:rsidP="00C4579C">
      <w:pPr>
        <w:ind w:left="720" w:hanging="720"/>
        <w:jc w:val="both"/>
        <w:rPr>
          <w:b/>
          <w:sz w:val="28"/>
          <w:szCs w:val="28"/>
          <w:lang w:val="en-US"/>
        </w:rPr>
      </w:pPr>
    </w:p>
    <w:p w14:paraId="080B3920" w14:textId="77777777" w:rsidR="00741CDC" w:rsidRDefault="00741CDC" w:rsidP="00C4579C">
      <w:pPr>
        <w:ind w:left="720" w:hanging="720"/>
        <w:jc w:val="both"/>
        <w:rPr>
          <w:b/>
          <w:sz w:val="28"/>
          <w:szCs w:val="28"/>
          <w:lang w:val="en-US"/>
        </w:rPr>
      </w:pPr>
    </w:p>
    <w:p w14:paraId="53659FC6" w14:textId="77777777" w:rsidR="00741CDC" w:rsidRDefault="00741CDC" w:rsidP="00C4579C">
      <w:pPr>
        <w:ind w:left="720" w:hanging="720"/>
        <w:jc w:val="both"/>
        <w:rPr>
          <w:b/>
          <w:sz w:val="28"/>
          <w:szCs w:val="28"/>
          <w:lang w:val="en-US"/>
        </w:rPr>
      </w:pPr>
    </w:p>
    <w:p w14:paraId="59EF96CA" w14:textId="77777777" w:rsidR="00741CDC" w:rsidRDefault="00741CDC" w:rsidP="00C4579C">
      <w:pPr>
        <w:ind w:left="720" w:hanging="720"/>
        <w:jc w:val="both"/>
        <w:rPr>
          <w:b/>
          <w:sz w:val="28"/>
          <w:szCs w:val="28"/>
          <w:lang w:val="en-US"/>
        </w:rPr>
      </w:pPr>
    </w:p>
    <w:p w14:paraId="5A97BA9B" w14:textId="13B5C903" w:rsidR="0028507F" w:rsidRPr="003D1FEF" w:rsidRDefault="00436E70" w:rsidP="00C4579C">
      <w:pPr>
        <w:ind w:left="720" w:hanging="720"/>
        <w:jc w:val="both"/>
        <w:rPr>
          <w:b/>
          <w:sz w:val="28"/>
          <w:szCs w:val="28"/>
          <w:lang w:val="en-US"/>
        </w:rPr>
      </w:pPr>
      <w:r w:rsidRPr="003D1FEF">
        <w:rPr>
          <w:b/>
          <w:sz w:val="28"/>
          <w:szCs w:val="28"/>
          <w:lang w:val="en-US"/>
        </w:rPr>
        <w:t>5</w:t>
      </w:r>
      <w:r w:rsidR="0028507F" w:rsidRPr="003D1FEF">
        <w:rPr>
          <w:b/>
          <w:sz w:val="28"/>
          <w:szCs w:val="28"/>
          <w:lang w:val="en-US"/>
        </w:rPr>
        <w:t>.0</w:t>
      </w:r>
      <w:r w:rsidR="0028507F" w:rsidRPr="003D1FEF">
        <w:rPr>
          <w:b/>
          <w:sz w:val="28"/>
          <w:szCs w:val="28"/>
          <w:lang w:val="en-US"/>
        </w:rPr>
        <w:tab/>
      </w:r>
      <w:r w:rsidR="00C0471F" w:rsidRPr="003D1FEF">
        <w:rPr>
          <w:b/>
          <w:sz w:val="28"/>
          <w:szCs w:val="28"/>
          <w:lang w:val="en-US"/>
        </w:rPr>
        <w:t>QUOTE</w:t>
      </w:r>
      <w:r w:rsidRPr="003D1FEF">
        <w:rPr>
          <w:b/>
          <w:sz w:val="28"/>
          <w:szCs w:val="28"/>
          <w:lang w:val="en-US"/>
        </w:rPr>
        <w:t xml:space="preserve"> EVALUATION MODEL</w:t>
      </w:r>
    </w:p>
    <w:p w14:paraId="09DEB73C" w14:textId="77777777" w:rsidR="0028507F" w:rsidRDefault="0028507F" w:rsidP="00C4579C">
      <w:pPr>
        <w:ind w:left="720" w:hanging="720"/>
        <w:jc w:val="both"/>
        <w:rPr>
          <w:b/>
          <w:szCs w:val="24"/>
          <w:lang w:val="en-US"/>
        </w:rPr>
      </w:pPr>
    </w:p>
    <w:p w14:paraId="402833FE" w14:textId="77777777" w:rsidR="0028507F" w:rsidRPr="00386382" w:rsidRDefault="00436E70" w:rsidP="00C4579C">
      <w:pPr>
        <w:ind w:left="720" w:hanging="720"/>
        <w:jc w:val="both"/>
        <w:rPr>
          <w:szCs w:val="24"/>
          <w:u w:val="single"/>
          <w:lang w:val="en-US"/>
        </w:rPr>
      </w:pPr>
      <w:r>
        <w:rPr>
          <w:b/>
          <w:szCs w:val="24"/>
          <w:lang w:val="en-US"/>
        </w:rPr>
        <w:t>5.1</w:t>
      </w:r>
      <w:r>
        <w:rPr>
          <w:b/>
          <w:szCs w:val="24"/>
          <w:lang w:val="en-US"/>
        </w:rPr>
        <w:tab/>
      </w:r>
      <w:r w:rsidR="0028507F" w:rsidRPr="00436E70">
        <w:rPr>
          <w:b/>
          <w:szCs w:val="24"/>
          <w:lang w:val="en-US"/>
        </w:rPr>
        <w:t>Award Criteria and Evaluation Criteria</w:t>
      </w:r>
    </w:p>
    <w:p w14:paraId="615F5DC7" w14:textId="77777777" w:rsidR="0028507F" w:rsidRDefault="0028507F" w:rsidP="00C4579C">
      <w:pPr>
        <w:ind w:left="720" w:hanging="720"/>
        <w:jc w:val="both"/>
        <w:rPr>
          <w:b/>
          <w:szCs w:val="24"/>
          <w:lang w:val="en-US"/>
        </w:rPr>
      </w:pPr>
    </w:p>
    <w:p w14:paraId="229D9893" w14:textId="519E3AE3" w:rsidR="0028507F" w:rsidRDefault="0028507F" w:rsidP="00C4579C">
      <w:pPr>
        <w:ind w:left="720" w:hanging="720"/>
        <w:jc w:val="both"/>
        <w:rPr>
          <w:szCs w:val="24"/>
          <w:lang w:val="en-US"/>
        </w:rPr>
      </w:pPr>
      <w:r>
        <w:rPr>
          <w:szCs w:val="24"/>
          <w:lang w:val="en-US"/>
        </w:rPr>
        <w:tab/>
        <w:t xml:space="preserve">Any </w:t>
      </w:r>
      <w:r w:rsidR="00C0471F">
        <w:rPr>
          <w:szCs w:val="24"/>
          <w:lang w:val="en-US"/>
        </w:rPr>
        <w:t>quote(s)</w:t>
      </w:r>
      <w:r>
        <w:rPr>
          <w:szCs w:val="24"/>
          <w:lang w:val="en-US"/>
        </w:rPr>
        <w:t xml:space="preserve"> awarded as a result of this procurement will be awarded on the basis of the offer is the most economically advantageous to the Council. The Award Criteria are:</w:t>
      </w:r>
    </w:p>
    <w:p w14:paraId="12F30DDB" w14:textId="77777777" w:rsidR="0028507F" w:rsidRDefault="0028507F" w:rsidP="00C4579C">
      <w:pPr>
        <w:ind w:left="720" w:hanging="720"/>
        <w:jc w:val="both"/>
        <w:rPr>
          <w:szCs w:val="24"/>
          <w:lang w:val="en-US"/>
        </w:rPr>
      </w:pPr>
    </w:p>
    <w:p w14:paraId="116744DB" w14:textId="7AEA5D37" w:rsidR="0028507F" w:rsidRDefault="00C47787" w:rsidP="00C4579C">
      <w:pPr>
        <w:pStyle w:val="ListParagraph"/>
        <w:numPr>
          <w:ilvl w:val="0"/>
          <w:numId w:val="7"/>
        </w:numPr>
        <w:jc w:val="both"/>
        <w:rPr>
          <w:szCs w:val="24"/>
          <w:lang w:val="en-US"/>
        </w:rPr>
      </w:pPr>
      <w:r>
        <w:rPr>
          <w:szCs w:val="24"/>
          <w:lang w:val="en-US"/>
        </w:rPr>
        <w:t>75</w:t>
      </w:r>
      <w:r w:rsidR="0028507F">
        <w:rPr>
          <w:szCs w:val="24"/>
          <w:lang w:val="en-US"/>
        </w:rPr>
        <w:t>% technical or quality</w:t>
      </w:r>
    </w:p>
    <w:p w14:paraId="41C9452C" w14:textId="0ED2FB60" w:rsidR="0028507F" w:rsidRDefault="00C47787" w:rsidP="00C4579C">
      <w:pPr>
        <w:pStyle w:val="ListParagraph"/>
        <w:numPr>
          <w:ilvl w:val="0"/>
          <w:numId w:val="7"/>
        </w:numPr>
        <w:jc w:val="both"/>
        <w:rPr>
          <w:szCs w:val="24"/>
          <w:lang w:val="en-US"/>
        </w:rPr>
      </w:pPr>
      <w:r>
        <w:rPr>
          <w:szCs w:val="24"/>
          <w:lang w:val="en-US"/>
        </w:rPr>
        <w:t>25</w:t>
      </w:r>
      <w:r w:rsidR="0028507F">
        <w:rPr>
          <w:szCs w:val="24"/>
          <w:lang w:val="en-US"/>
        </w:rPr>
        <w:t>% cost</w:t>
      </w:r>
    </w:p>
    <w:p w14:paraId="616F8AFD" w14:textId="77777777" w:rsidR="0028507F" w:rsidRDefault="0028507F" w:rsidP="00C4579C">
      <w:pPr>
        <w:jc w:val="both"/>
        <w:rPr>
          <w:szCs w:val="24"/>
          <w:lang w:val="en-US"/>
        </w:rPr>
      </w:pPr>
    </w:p>
    <w:p w14:paraId="0F33FC3B" w14:textId="3E45FD0B" w:rsidR="0028507F" w:rsidRDefault="0028507F" w:rsidP="00C4579C">
      <w:pPr>
        <w:ind w:left="720"/>
        <w:jc w:val="both"/>
        <w:rPr>
          <w:szCs w:val="24"/>
          <w:lang w:val="en-US"/>
        </w:rPr>
      </w:pPr>
      <w:r>
        <w:rPr>
          <w:szCs w:val="24"/>
          <w:lang w:val="en-US"/>
        </w:rPr>
        <w:t xml:space="preserve">Scores are arrived at following the application of the Evaluation Criteria set out below to the Respondent’s </w:t>
      </w:r>
      <w:r w:rsidR="00C0471F">
        <w:rPr>
          <w:szCs w:val="24"/>
          <w:lang w:val="en-US"/>
        </w:rPr>
        <w:t>Quote</w:t>
      </w:r>
      <w:r>
        <w:rPr>
          <w:szCs w:val="24"/>
          <w:lang w:val="en-US"/>
        </w:rPr>
        <w:t>.</w:t>
      </w:r>
    </w:p>
    <w:p w14:paraId="5860219F" w14:textId="77777777" w:rsidR="0028507F" w:rsidRDefault="0028507F" w:rsidP="00C4579C">
      <w:pPr>
        <w:ind w:left="720" w:hanging="720"/>
        <w:jc w:val="both"/>
        <w:rPr>
          <w:szCs w:val="24"/>
          <w:lang w:val="en-US"/>
        </w:rPr>
      </w:pPr>
    </w:p>
    <w:p w14:paraId="7AF6C7D2" w14:textId="1A3F1F99" w:rsidR="0028507F" w:rsidRDefault="0028507F" w:rsidP="00C4579C">
      <w:pPr>
        <w:ind w:left="720" w:hanging="720"/>
        <w:jc w:val="both"/>
        <w:rPr>
          <w:szCs w:val="24"/>
          <w:lang w:val="en-US"/>
        </w:rPr>
      </w:pPr>
      <w:r>
        <w:rPr>
          <w:szCs w:val="24"/>
          <w:lang w:val="en-US"/>
        </w:rPr>
        <w:tab/>
        <w:t xml:space="preserve">Respondents are required to submit a </w:t>
      </w:r>
      <w:r w:rsidR="00C0471F">
        <w:rPr>
          <w:szCs w:val="24"/>
          <w:lang w:val="en-US"/>
        </w:rPr>
        <w:t>Quote</w:t>
      </w:r>
      <w:r>
        <w:rPr>
          <w:szCs w:val="24"/>
          <w:lang w:val="en-US"/>
        </w:rPr>
        <w:t xml:space="preserve"> strictly in accordance with the </w:t>
      </w:r>
      <w:r w:rsidR="0027117F">
        <w:rPr>
          <w:szCs w:val="24"/>
          <w:lang w:val="en-US"/>
        </w:rPr>
        <w:t>requirements set out in this ITQ</w:t>
      </w:r>
      <w:r>
        <w:rPr>
          <w:szCs w:val="24"/>
          <w:lang w:val="en-US"/>
        </w:rPr>
        <w:t xml:space="preserve">, to ensure the Council has the correct information to make the evaluation. Evasive or unclear </w:t>
      </w:r>
      <w:r w:rsidR="00C0471F">
        <w:rPr>
          <w:szCs w:val="24"/>
          <w:lang w:val="en-US"/>
        </w:rPr>
        <w:t>Quote</w:t>
      </w:r>
      <w:r>
        <w:rPr>
          <w:szCs w:val="24"/>
          <w:lang w:val="en-US"/>
        </w:rPr>
        <w:t xml:space="preserve"> may be discounted in evaluation and may, at the Council’s discretion, be taken as a rejection by the Respondent of the terms set out in this IT</w:t>
      </w:r>
      <w:r w:rsidR="0027117F">
        <w:rPr>
          <w:szCs w:val="24"/>
          <w:lang w:val="en-US"/>
        </w:rPr>
        <w:t>Q</w:t>
      </w:r>
      <w:r>
        <w:rPr>
          <w:szCs w:val="24"/>
          <w:lang w:val="en-US"/>
        </w:rPr>
        <w:t>.</w:t>
      </w:r>
    </w:p>
    <w:p w14:paraId="685CB52E" w14:textId="77777777" w:rsidR="0028507F" w:rsidRDefault="0028507F" w:rsidP="00C4579C">
      <w:pPr>
        <w:ind w:left="720" w:hanging="720"/>
        <w:jc w:val="both"/>
        <w:rPr>
          <w:szCs w:val="24"/>
          <w:lang w:val="en-US"/>
        </w:rPr>
      </w:pPr>
    </w:p>
    <w:p w14:paraId="479F8325" w14:textId="02ABE51C" w:rsidR="0028507F" w:rsidRDefault="0028507F" w:rsidP="00C4579C">
      <w:pPr>
        <w:ind w:left="720" w:hanging="720"/>
        <w:jc w:val="both"/>
        <w:rPr>
          <w:szCs w:val="24"/>
          <w:lang w:val="en-US"/>
        </w:rPr>
      </w:pPr>
      <w:r>
        <w:rPr>
          <w:szCs w:val="24"/>
          <w:lang w:val="en-US"/>
        </w:rPr>
        <w:tab/>
        <w:t xml:space="preserve">The </w:t>
      </w:r>
      <w:r w:rsidR="00C0471F">
        <w:rPr>
          <w:szCs w:val="24"/>
          <w:lang w:val="en-US"/>
        </w:rPr>
        <w:t>Quote</w:t>
      </w:r>
      <w:r>
        <w:rPr>
          <w:szCs w:val="24"/>
          <w:lang w:val="en-US"/>
        </w:rPr>
        <w:t xml:space="preserve"> Evaluation Model showing the Evaluation Criteria and the maximum scores attributable to them is set out below.</w:t>
      </w:r>
    </w:p>
    <w:p w14:paraId="6BA1A655" w14:textId="69C3D668" w:rsidR="0028507F" w:rsidRDefault="0028507F" w:rsidP="00C4579C">
      <w:pPr>
        <w:ind w:left="720" w:hanging="720"/>
        <w:jc w:val="both"/>
        <w:rPr>
          <w:szCs w:val="24"/>
          <w:lang w:val="en-US"/>
        </w:rPr>
      </w:pPr>
      <w:r>
        <w:rPr>
          <w:szCs w:val="24"/>
          <w:lang w:val="en-US"/>
        </w:rPr>
        <w:tab/>
      </w:r>
    </w:p>
    <w:tbl>
      <w:tblPr>
        <w:tblStyle w:val="TableGrid"/>
        <w:tblW w:w="0" w:type="auto"/>
        <w:tblLook w:val="04A0" w:firstRow="1" w:lastRow="0" w:firstColumn="1" w:lastColumn="0" w:noHBand="0" w:noVBand="1"/>
      </w:tblPr>
      <w:tblGrid>
        <w:gridCol w:w="1271"/>
        <w:gridCol w:w="2268"/>
        <w:gridCol w:w="4101"/>
        <w:gridCol w:w="1376"/>
      </w:tblGrid>
      <w:tr w:rsidR="008F5028" w:rsidRPr="008F5028" w14:paraId="302CDDC5" w14:textId="77777777" w:rsidTr="00A27537">
        <w:tc>
          <w:tcPr>
            <w:tcW w:w="3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FD31D2" w14:textId="77777777" w:rsidR="008F5028" w:rsidRDefault="008F5028" w:rsidP="00C4579C">
            <w:pPr>
              <w:jc w:val="both"/>
              <w:rPr>
                <w:b/>
                <w:szCs w:val="24"/>
                <w:lang w:val="en-US"/>
              </w:rPr>
            </w:pPr>
            <w:r w:rsidRPr="008F5028">
              <w:rPr>
                <w:b/>
                <w:szCs w:val="24"/>
                <w:lang w:val="en-US"/>
              </w:rPr>
              <w:t>Overall Criteria</w:t>
            </w:r>
          </w:p>
          <w:p w14:paraId="21CE13CF" w14:textId="26A66F01" w:rsidR="008F5028" w:rsidRPr="008F5028" w:rsidRDefault="008F5028" w:rsidP="00C4579C">
            <w:pPr>
              <w:jc w:val="both"/>
              <w:rPr>
                <w:b/>
                <w:szCs w:val="24"/>
                <w:lang w:val="en-US"/>
              </w:rPr>
            </w:pPr>
          </w:p>
        </w:tc>
        <w:tc>
          <w:tcPr>
            <w:tcW w:w="410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DAA897" w14:textId="77777777" w:rsidR="008F5028" w:rsidRPr="00C5505F" w:rsidRDefault="008F5028" w:rsidP="00C4579C">
            <w:pPr>
              <w:jc w:val="both"/>
              <w:rPr>
                <w:b/>
                <w:szCs w:val="24"/>
                <w:lang w:val="en-US"/>
              </w:rPr>
            </w:pPr>
            <w:r w:rsidRPr="00C5505F">
              <w:rPr>
                <w:b/>
                <w:szCs w:val="24"/>
                <w:lang w:val="en-US"/>
              </w:rPr>
              <w:t>Sub-Criteria</w:t>
            </w:r>
          </w:p>
        </w:tc>
        <w:tc>
          <w:tcPr>
            <w:tcW w:w="13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829221" w14:textId="77777777" w:rsidR="008F5028" w:rsidRPr="00C5505F" w:rsidRDefault="008F5028" w:rsidP="00C4579C">
            <w:pPr>
              <w:jc w:val="both"/>
              <w:rPr>
                <w:b/>
                <w:szCs w:val="24"/>
                <w:lang w:val="en-US"/>
              </w:rPr>
            </w:pPr>
            <w:r w:rsidRPr="00C5505F">
              <w:rPr>
                <w:b/>
                <w:szCs w:val="24"/>
                <w:lang w:val="en-US"/>
              </w:rPr>
              <w:t>Weighting</w:t>
            </w:r>
          </w:p>
        </w:tc>
      </w:tr>
      <w:tr w:rsidR="008F5028" w14:paraId="08554E5B" w14:textId="77777777" w:rsidTr="00A27537">
        <w:tc>
          <w:tcPr>
            <w:tcW w:w="1271" w:type="dxa"/>
            <w:tcBorders>
              <w:top w:val="single" w:sz="4" w:space="0" w:color="auto"/>
              <w:left w:val="single" w:sz="4" w:space="0" w:color="auto"/>
              <w:bottom w:val="single" w:sz="4" w:space="0" w:color="auto"/>
              <w:right w:val="single" w:sz="4" w:space="0" w:color="auto"/>
            </w:tcBorders>
            <w:hideMark/>
          </w:tcPr>
          <w:p w14:paraId="077B5438" w14:textId="77777777" w:rsidR="006B2E49" w:rsidRDefault="006B2E49" w:rsidP="00C4579C">
            <w:pPr>
              <w:jc w:val="both"/>
              <w:rPr>
                <w:rFonts w:asciiTheme="minorHAnsi" w:hAnsiTheme="minorHAnsi"/>
              </w:rPr>
            </w:pPr>
          </w:p>
          <w:p w14:paraId="4444A9FB" w14:textId="1B57844E" w:rsidR="008F5028" w:rsidRDefault="008F5028" w:rsidP="00C4579C">
            <w:pPr>
              <w:jc w:val="both"/>
              <w:rPr>
                <w:rFonts w:asciiTheme="minorHAnsi" w:hAnsiTheme="minorHAnsi"/>
              </w:rPr>
            </w:pPr>
            <w:r>
              <w:rPr>
                <w:rFonts w:asciiTheme="minorHAnsi" w:hAnsiTheme="minorHAnsi"/>
              </w:rPr>
              <w:t xml:space="preserve">Quality </w:t>
            </w:r>
          </w:p>
        </w:tc>
        <w:tc>
          <w:tcPr>
            <w:tcW w:w="2268" w:type="dxa"/>
            <w:tcBorders>
              <w:top w:val="single" w:sz="4" w:space="0" w:color="auto"/>
              <w:left w:val="single" w:sz="4" w:space="0" w:color="auto"/>
              <w:bottom w:val="single" w:sz="4" w:space="0" w:color="auto"/>
              <w:right w:val="single" w:sz="4" w:space="0" w:color="auto"/>
            </w:tcBorders>
            <w:hideMark/>
          </w:tcPr>
          <w:p w14:paraId="75BCD221" w14:textId="77777777" w:rsidR="006B2E49" w:rsidRDefault="006B2E49" w:rsidP="00C4579C">
            <w:pPr>
              <w:jc w:val="both"/>
              <w:rPr>
                <w:rFonts w:asciiTheme="minorHAnsi" w:hAnsiTheme="minorHAnsi"/>
              </w:rPr>
            </w:pPr>
          </w:p>
          <w:p w14:paraId="1939CCBD" w14:textId="7B3D323A" w:rsidR="008F5028" w:rsidRDefault="008F5028" w:rsidP="00C4579C">
            <w:pPr>
              <w:jc w:val="both"/>
              <w:rPr>
                <w:rFonts w:asciiTheme="minorHAnsi" w:hAnsiTheme="minorHAnsi"/>
              </w:rPr>
            </w:pPr>
            <w:r>
              <w:rPr>
                <w:rFonts w:asciiTheme="minorHAnsi" w:hAnsiTheme="minorHAnsi"/>
              </w:rPr>
              <w:t xml:space="preserve">Technical Quality </w:t>
            </w:r>
          </w:p>
        </w:tc>
        <w:tc>
          <w:tcPr>
            <w:tcW w:w="4101" w:type="dxa"/>
            <w:tcBorders>
              <w:top w:val="single" w:sz="4" w:space="0" w:color="auto"/>
              <w:left w:val="single" w:sz="4" w:space="0" w:color="auto"/>
              <w:bottom w:val="single" w:sz="4" w:space="0" w:color="auto"/>
              <w:right w:val="single" w:sz="4" w:space="0" w:color="auto"/>
            </w:tcBorders>
            <w:hideMark/>
          </w:tcPr>
          <w:p w14:paraId="3B154316" w14:textId="77777777" w:rsidR="006B2E49" w:rsidRDefault="006B2E49" w:rsidP="00B35EEB">
            <w:pPr>
              <w:jc w:val="both"/>
              <w:rPr>
                <w:rFonts w:asciiTheme="minorHAnsi" w:hAnsiTheme="minorHAnsi"/>
              </w:rPr>
            </w:pPr>
          </w:p>
          <w:p w14:paraId="46A49B42" w14:textId="4776FEAE" w:rsidR="00A27537" w:rsidRDefault="00C968E6" w:rsidP="00B35EEB">
            <w:pPr>
              <w:jc w:val="both"/>
              <w:rPr>
                <w:rFonts w:asciiTheme="minorHAnsi" w:hAnsiTheme="minorHAnsi"/>
              </w:rPr>
            </w:pPr>
            <w:r w:rsidRPr="009A3535">
              <w:rPr>
                <w:rFonts w:asciiTheme="minorHAnsi" w:hAnsiTheme="minorHAnsi"/>
              </w:rPr>
              <w:t>A full statement of methodology of how the required work will be delivered (25%) and evidence of a clear understanding of the full requirements of the brief (20%)</w:t>
            </w:r>
          </w:p>
          <w:p w14:paraId="59703E3C" w14:textId="6304B51A" w:rsidR="00C968E6" w:rsidRPr="00A27537" w:rsidRDefault="00C968E6" w:rsidP="00B35EEB">
            <w:pPr>
              <w:jc w:val="both"/>
              <w:rPr>
                <w:rFonts w:asciiTheme="minorHAnsi" w:hAnsiTheme="minorHAnsi"/>
              </w:rPr>
            </w:pPr>
          </w:p>
        </w:tc>
        <w:tc>
          <w:tcPr>
            <w:tcW w:w="1376" w:type="dxa"/>
            <w:tcBorders>
              <w:top w:val="single" w:sz="4" w:space="0" w:color="auto"/>
              <w:left w:val="single" w:sz="4" w:space="0" w:color="auto"/>
              <w:bottom w:val="single" w:sz="4" w:space="0" w:color="auto"/>
              <w:right w:val="single" w:sz="4" w:space="0" w:color="auto"/>
            </w:tcBorders>
            <w:hideMark/>
          </w:tcPr>
          <w:p w14:paraId="75586836" w14:textId="77777777" w:rsidR="006B2E49" w:rsidRDefault="006B2E49" w:rsidP="00C4579C">
            <w:pPr>
              <w:jc w:val="both"/>
              <w:rPr>
                <w:rFonts w:asciiTheme="minorHAnsi" w:hAnsiTheme="minorHAnsi"/>
              </w:rPr>
            </w:pPr>
          </w:p>
          <w:p w14:paraId="421059E4" w14:textId="3AEEC716" w:rsidR="008F5028" w:rsidRPr="00C5505F" w:rsidRDefault="00711581" w:rsidP="00C4579C">
            <w:pPr>
              <w:jc w:val="both"/>
              <w:rPr>
                <w:rFonts w:asciiTheme="minorHAnsi" w:hAnsiTheme="minorHAnsi"/>
              </w:rPr>
            </w:pPr>
            <w:r w:rsidRPr="00C5505F">
              <w:rPr>
                <w:rFonts w:asciiTheme="minorHAnsi" w:hAnsiTheme="minorHAnsi"/>
              </w:rPr>
              <w:t>45</w:t>
            </w:r>
            <w:r w:rsidR="008F5028" w:rsidRPr="00C5505F">
              <w:rPr>
                <w:rFonts w:asciiTheme="minorHAnsi" w:hAnsiTheme="minorHAnsi"/>
              </w:rPr>
              <w:t>%</w:t>
            </w:r>
          </w:p>
        </w:tc>
      </w:tr>
      <w:tr w:rsidR="008F5028" w14:paraId="6B221570" w14:textId="77777777" w:rsidTr="00A27537">
        <w:tc>
          <w:tcPr>
            <w:tcW w:w="1271" w:type="dxa"/>
            <w:tcBorders>
              <w:top w:val="single" w:sz="4" w:space="0" w:color="auto"/>
              <w:left w:val="single" w:sz="4" w:space="0" w:color="auto"/>
              <w:bottom w:val="single" w:sz="4" w:space="0" w:color="auto"/>
              <w:right w:val="single" w:sz="4" w:space="0" w:color="auto"/>
            </w:tcBorders>
            <w:hideMark/>
          </w:tcPr>
          <w:p w14:paraId="60BFF12A" w14:textId="77777777" w:rsidR="006B2E49" w:rsidRDefault="006B2E49" w:rsidP="00C4579C">
            <w:pPr>
              <w:jc w:val="both"/>
              <w:rPr>
                <w:rFonts w:asciiTheme="minorHAnsi" w:hAnsiTheme="minorHAnsi"/>
              </w:rPr>
            </w:pPr>
          </w:p>
          <w:p w14:paraId="4BABBA52" w14:textId="05AD3466" w:rsidR="008F5028" w:rsidRDefault="008F5028" w:rsidP="00C4579C">
            <w:pPr>
              <w:jc w:val="both"/>
              <w:rPr>
                <w:rFonts w:asciiTheme="minorHAnsi" w:hAnsiTheme="minorHAnsi"/>
              </w:rPr>
            </w:pPr>
            <w:r>
              <w:rPr>
                <w:rFonts w:asciiTheme="minorHAnsi" w:hAnsiTheme="minorHAnsi"/>
              </w:rPr>
              <w:t xml:space="preserve">Quality </w:t>
            </w:r>
          </w:p>
        </w:tc>
        <w:tc>
          <w:tcPr>
            <w:tcW w:w="2268" w:type="dxa"/>
            <w:tcBorders>
              <w:top w:val="single" w:sz="4" w:space="0" w:color="auto"/>
              <w:left w:val="single" w:sz="4" w:space="0" w:color="auto"/>
              <w:bottom w:val="single" w:sz="4" w:space="0" w:color="auto"/>
              <w:right w:val="single" w:sz="4" w:space="0" w:color="auto"/>
            </w:tcBorders>
            <w:hideMark/>
          </w:tcPr>
          <w:p w14:paraId="18D0F3E1" w14:textId="77777777" w:rsidR="006B2E49" w:rsidRDefault="006B2E49" w:rsidP="00A27537">
            <w:pPr>
              <w:rPr>
                <w:rFonts w:asciiTheme="minorHAnsi" w:hAnsiTheme="minorHAnsi"/>
              </w:rPr>
            </w:pPr>
          </w:p>
          <w:p w14:paraId="1617BDA6" w14:textId="3A1D8054" w:rsidR="008F5028" w:rsidRDefault="008F5028" w:rsidP="00A27537">
            <w:pPr>
              <w:rPr>
                <w:rFonts w:asciiTheme="minorHAnsi" w:hAnsiTheme="minorHAnsi"/>
              </w:rPr>
            </w:pPr>
            <w:r>
              <w:rPr>
                <w:rFonts w:asciiTheme="minorHAnsi" w:hAnsiTheme="minorHAnsi"/>
              </w:rPr>
              <w:t>Experience and Management</w:t>
            </w:r>
          </w:p>
        </w:tc>
        <w:tc>
          <w:tcPr>
            <w:tcW w:w="4101" w:type="dxa"/>
            <w:tcBorders>
              <w:top w:val="single" w:sz="4" w:space="0" w:color="auto"/>
              <w:left w:val="single" w:sz="4" w:space="0" w:color="auto"/>
              <w:bottom w:val="single" w:sz="4" w:space="0" w:color="auto"/>
              <w:right w:val="single" w:sz="4" w:space="0" w:color="auto"/>
            </w:tcBorders>
            <w:hideMark/>
          </w:tcPr>
          <w:p w14:paraId="5907A3DE" w14:textId="77777777" w:rsidR="006B2E49" w:rsidRDefault="006B2E49" w:rsidP="00B35EEB">
            <w:pPr>
              <w:jc w:val="both"/>
              <w:rPr>
                <w:rFonts w:asciiTheme="minorHAnsi" w:hAnsiTheme="minorHAnsi"/>
              </w:rPr>
            </w:pPr>
          </w:p>
          <w:p w14:paraId="5D15B1FD" w14:textId="35C1708D" w:rsidR="00B35EEB" w:rsidRDefault="00C968E6" w:rsidP="00B35EEB">
            <w:pPr>
              <w:jc w:val="both"/>
              <w:rPr>
                <w:rFonts w:asciiTheme="minorHAnsi" w:hAnsiTheme="minorHAnsi"/>
              </w:rPr>
            </w:pPr>
            <w:r w:rsidRPr="009A3535">
              <w:rPr>
                <w:rFonts w:asciiTheme="minorHAnsi" w:hAnsiTheme="minorHAnsi"/>
              </w:rPr>
              <w:t xml:space="preserve">Evidence of the experience of the main consultant (and any sub-consultant). This should include </w:t>
            </w:r>
            <w:r>
              <w:rPr>
                <w:rFonts w:asciiTheme="minorHAnsi" w:hAnsiTheme="minorHAnsi"/>
              </w:rPr>
              <w:t>evidence and examples of similar / appropriate work previously undertaken elsewhere</w:t>
            </w:r>
            <w:r w:rsidRPr="009A3535">
              <w:rPr>
                <w:rFonts w:asciiTheme="minorHAnsi" w:hAnsiTheme="minorHAnsi"/>
              </w:rPr>
              <w:t>.</w:t>
            </w:r>
          </w:p>
          <w:p w14:paraId="27D34553" w14:textId="1A94E4AE" w:rsidR="00C968E6" w:rsidRPr="00C5505F" w:rsidRDefault="00C968E6" w:rsidP="00B35EEB">
            <w:pPr>
              <w:jc w:val="both"/>
              <w:rPr>
                <w:rFonts w:asciiTheme="minorHAnsi" w:hAnsiTheme="minorHAnsi"/>
              </w:rPr>
            </w:pPr>
          </w:p>
        </w:tc>
        <w:tc>
          <w:tcPr>
            <w:tcW w:w="1376" w:type="dxa"/>
            <w:tcBorders>
              <w:top w:val="single" w:sz="4" w:space="0" w:color="auto"/>
              <w:left w:val="single" w:sz="4" w:space="0" w:color="auto"/>
              <w:bottom w:val="single" w:sz="4" w:space="0" w:color="auto"/>
              <w:right w:val="single" w:sz="4" w:space="0" w:color="auto"/>
            </w:tcBorders>
            <w:hideMark/>
          </w:tcPr>
          <w:p w14:paraId="40592830" w14:textId="77777777" w:rsidR="006B2E49" w:rsidRDefault="006B2E49" w:rsidP="00C4579C">
            <w:pPr>
              <w:jc w:val="both"/>
              <w:rPr>
                <w:rFonts w:asciiTheme="minorHAnsi" w:hAnsiTheme="minorHAnsi"/>
              </w:rPr>
            </w:pPr>
          </w:p>
          <w:p w14:paraId="6F174795" w14:textId="22A573D3" w:rsidR="008F5028" w:rsidRPr="00C5505F" w:rsidRDefault="008F5028" w:rsidP="00C4579C">
            <w:pPr>
              <w:jc w:val="both"/>
              <w:rPr>
                <w:rFonts w:asciiTheme="minorHAnsi" w:hAnsiTheme="minorHAnsi"/>
              </w:rPr>
            </w:pPr>
            <w:r w:rsidRPr="00C5505F">
              <w:rPr>
                <w:rFonts w:asciiTheme="minorHAnsi" w:hAnsiTheme="minorHAnsi"/>
              </w:rPr>
              <w:t>20%</w:t>
            </w:r>
          </w:p>
        </w:tc>
      </w:tr>
      <w:tr w:rsidR="008F5028" w14:paraId="7EBB20A4" w14:textId="77777777" w:rsidTr="00A27537">
        <w:tc>
          <w:tcPr>
            <w:tcW w:w="1271" w:type="dxa"/>
            <w:tcBorders>
              <w:top w:val="single" w:sz="4" w:space="0" w:color="auto"/>
              <w:left w:val="single" w:sz="4" w:space="0" w:color="auto"/>
              <w:bottom w:val="single" w:sz="4" w:space="0" w:color="auto"/>
              <w:right w:val="single" w:sz="4" w:space="0" w:color="auto"/>
            </w:tcBorders>
          </w:tcPr>
          <w:p w14:paraId="7E841BA8" w14:textId="77777777" w:rsidR="006B2E49" w:rsidRDefault="006B2E49" w:rsidP="00C4579C">
            <w:pPr>
              <w:jc w:val="both"/>
              <w:rPr>
                <w:rFonts w:asciiTheme="minorHAnsi" w:hAnsiTheme="minorHAnsi"/>
              </w:rPr>
            </w:pPr>
          </w:p>
          <w:p w14:paraId="159D62B3" w14:textId="673BDC6C" w:rsidR="008F5028" w:rsidRDefault="008F5028" w:rsidP="00C4579C">
            <w:pPr>
              <w:jc w:val="both"/>
              <w:rPr>
                <w:rFonts w:asciiTheme="minorHAnsi" w:hAnsiTheme="minorHAnsi"/>
              </w:rPr>
            </w:pPr>
            <w:r>
              <w:rPr>
                <w:rFonts w:asciiTheme="minorHAnsi" w:hAnsiTheme="minorHAnsi"/>
              </w:rPr>
              <w:t xml:space="preserve">Quality </w:t>
            </w:r>
          </w:p>
          <w:p w14:paraId="51E02DFD" w14:textId="77777777" w:rsidR="008F5028" w:rsidRDefault="008F5028" w:rsidP="00C4579C">
            <w:pPr>
              <w:jc w:val="both"/>
              <w:rPr>
                <w:rFonts w:asciiTheme="minorHAnsi" w:hAnsiTheme="minorHAnsi"/>
              </w:rPr>
            </w:pPr>
          </w:p>
        </w:tc>
        <w:tc>
          <w:tcPr>
            <w:tcW w:w="2268" w:type="dxa"/>
            <w:tcBorders>
              <w:top w:val="single" w:sz="4" w:space="0" w:color="auto"/>
              <w:left w:val="single" w:sz="4" w:space="0" w:color="auto"/>
              <w:bottom w:val="single" w:sz="4" w:space="0" w:color="auto"/>
              <w:right w:val="single" w:sz="4" w:space="0" w:color="auto"/>
            </w:tcBorders>
            <w:hideMark/>
          </w:tcPr>
          <w:p w14:paraId="5A6724C9" w14:textId="77777777" w:rsidR="006B2E49" w:rsidRDefault="006B2E49" w:rsidP="00C4579C">
            <w:pPr>
              <w:jc w:val="both"/>
              <w:rPr>
                <w:rFonts w:asciiTheme="minorHAnsi" w:hAnsiTheme="minorHAnsi"/>
              </w:rPr>
            </w:pPr>
          </w:p>
          <w:p w14:paraId="20512F42" w14:textId="65E9EE48" w:rsidR="008F5028" w:rsidRDefault="008F5028" w:rsidP="00C4579C">
            <w:pPr>
              <w:jc w:val="both"/>
              <w:rPr>
                <w:rFonts w:asciiTheme="minorHAnsi" w:hAnsiTheme="minorHAnsi"/>
              </w:rPr>
            </w:pPr>
            <w:r>
              <w:rPr>
                <w:rFonts w:asciiTheme="minorHAnsi" w:hAnsiTheme="minorHAnsi"/>
              </w:rPr>
              <w:t>Resources</w:t>
            </w:r>
          </w:p>
        </w:tc>
        <w:tc>
          <w:tcPr>
            <w:tcW w:w="4101" w:type="dxa"/>
            <w:tcBorders>
              <w:top w:val="single" w:sz="4" w:space="0" w:color="auto"/>
              <w:left w:val="single" w:sz="4" w:space="0" w:color="auto"/>
              <w:bottom w:val="single" w:sz="4" w:space="0" w:color="auto"/>
              <w:right w:val="single" w:sz="4" w:space="0" w:color="auto"/>
            </w:tcBorders>
          </w:tcPr>
          <w:p w14:paraId="24E2759D" w14:textId="77777777" w:rsidR="006B2E49" w:rsidRDefault="006B2E49" w:rsidP="00C968E6">
            <w:pPr>
              <w:rPr>
                <w:rFonts w:asciiTheme="minorHAnsi" w:hAnsiTheme="minorHAnsi"/>
              </w:rPr>
            </w:pPr>
          </w:p>
          <w:p w14:paraId="2140BB72" w14:textId="7D043141" w:rsidR="00C968E6" w:rsidRDefault="00C968E6" w:rsidP="00C968E6">
            <w:pPr>
              <w:rPr>
                <w:rFonts w:asciiTheme="minorHAnsi" w:hAnsiTheme="minorHAnsi"/>
              </w:rPr>
            </w:pPr>
            <w:r w:rsidRPr="009A3535">
              <w:rPr>
                <w:rFonts w:asciiTheme="minorHAnsi" w:hAnsiTheme="minorHAnsi"/>
              </w:rPr>
              <w:t>A resource schedule identifying the personnel who will undertake the work</w:t>
            </w:r>
            <w:r>
              <w:rPr>
                <w:rFonts w:asciiTheme="minorHAnsi" w:hAnsiTheme="minorHAnsi"/>
              </w:rPr>
              <w:t xml:space="preserve"> and a detailed programme of works (5%) and e</w:t>
            </w:r>
            <w:r w:rsidRPr="009A3535">
              <w:rPr>
                <w:rFonts w:asciiTheme="minorHAnsi" w:hAnsiTheme="minorHAnsi"/>
              </w:rPr>
              <w:t>vidence of the timely availability of the study team (5%)</w:t>
            </w:r>
          </w:p>
          <w:p w14:paraId="371A2D6F" w14:textId="31E8DD43" w:rsidR="00A27537" w:rsidRPr="00A27537" w:rsidRDefault="00A27537" w:rsidP="00B35EEB">
            <w:pPr>
              <w:pStyle w:val="ListParagraph"/>
              <w:jc w:val="both"/>
              <w:rPr>
                <w:rFonts w:asciiTheme="minorHAnsi" w:hAnsiTheme="minorHAnsi"/>
              </w:rPr>
            </w:pPr>
          </w:p>
        </w:tc>
        <w:tc>
          <w:tcPr>
            <w:tcW w:w="1376" w:type="dxa"/>
            <w:tcBorders>
              <w:top w:val="single" w:sz="4" w:space="0" w:color="auto"/>
              <w:left w:val="single" w:sz="4" w:space="0" w:color="auto"/>
              <w:bottom w:val="single" w:sz="4" w:space="0" w:color="auto"/>
              <w:right w:val="single" w:sz="4" w:space="0" w:color="auto"/>
            </w:tcBorders>
            <w:hideMark/>
          </w:tcPr>
          <w:p w14:paraId="3C3413F3" w14:textId="77777777" w:rsidR="006B2E49" w:rsidRDefault="006B2E49" w:rsidP="00C4579C">
            <w:pPr>
              <w:jc w:val="both"/>
              <w:rPr>
                <w:rFonts w:asciiTheme="minorHAnsi" w:hAnsiTheme="minorHAnsi"/>
              </w:rPr>
            </w:pPr>
          </w:p>
          <w:p w14:paraId="024DD398" w14:textId="7518319C" w:rsidR="008F5028" w:rsidRPr="00C5505F" w:rsidRDefault="008F5028" w:rsidP="00C4579C">
            <w:pPr>
              <w:jc w:val="both"/>
              <w:rPr>
                <w:rFonts w:asciiTheme="minorHAnsi" w:hAnsiTheme="minorHAnsi"/>
              </w:rPr>
            </w:pPr>
            <w:r w:rsidRPr="00C5505F">
              <w:rPr>
                <w:rFonts w:asciiTheme="minorHAnsi" w:hAnsiTheme="minorHAnsi"/>
              </w:rPr>
              <w:t>10%</w:t>
            </w:r>
          </w:p>
        </w:tc>
      </w:tr>
      <w:tr w:rsidR="008F5028" w14:paraId="26D41E99" w14:textId="77777777" w:rsidTr="00A27537">
        <w:tc>
          <w:tcPr>
            <w:tcW w:w="1271" w:type="dxa"/>
            <w:tcBorders>
              <w:top w:val="single" w:sz="4" w:space="0" w:color="auto"/>
              <w:left w:val="single" w:sz="4" w:space="0" w:color="auto"/>
              <w:bottom w:val="single" w:sz="4" w:space="0" w:color="auto"/>
              <w:right w:val="single" w:sz="4" w:space="0" w:color="auto"/>
            </w:tcBorders>
            <w:hideMark/>
          </w:tcPr>
          <w:p w14:paraId="6BE03D25" w14:textId="77777777" w:rsidR="008F5028" w:rsidRDefault="008F5028" w:rsidP="00C4579C">
            <w:pPr>
              <w:jc w:val="both"/>
              <w:rPr>
                <w:rFonts w:asciiTheme="minorHAnsi" w:hAnsiTheme="minorHAnsi"/>
              </w:rPr>
            </w:pPr>
            <w:r>
              <w:rPr>
                <w:rFonts w:asciiTheme="minorHAnsi" w:hAnsiTheme="minorHAnsi"/>
              </w:rPr>
              <w:lastRenderedPageBreak/>
              <w:t>Cost</w:t>
            </w:r>
          </w:p>
        </w:tc>
        <w:tc>
          <w:tcPr>
            <w:tcW w:w="2268" w:type="dxa"/>
            <w:tcBorders>
              <w:top w:val="single" w:sz="4" w:space="0" w:color="auto"/>
              <w:left w:val="single" w:sz="4" w:space="0" w:color="auto"/>
              <w:bottom w:val="single" w:sz="4" w:space="0" w:color="auto"/>
              <w:right w:val="single" w:sz="4" w:space="0" w:color="auto"/>
            </w:tcBorders>
            <w:hideMark/>
          </w:tcPr>
          <w:p w14:paraId="1496B83E" w14:textId="77777777" w:rsidR="008F5028" w:rsidRDefault="008F5028" w:rsidP="00C4579C">
            <w:pPr>
              <w:jc w:val="both"/>
              <w:rPr>
                <w:rFonts w:asciiTheme="minorHAnsi" w:hAnsiTheme="minorHAnsi"/>
              </w:rPr>
            </w:pPr>
            <w:r>
              <w:rPr>
                <w:rFonts w:asciiTheme="minorHAnsi" w:hAnsiTheme="minorHAnsi"/>
              </w:rPr>
              <w:t>Cost</w:t>
            </w:r>
          </w:p>
        </w:tc>
        <w:tc>
          <w:tcPr>
            <w:tcW w:w="4101" w:type="dxa"/>
            <w:tcBorders>
              <w:top w:val="single" w:sz="4" w:space="0" w:color="auto"/>
              <w:left w:val="single" w:sz="4" w:space="0" w:color="auto"/>
              <w:bottom w:val="single" w:sz="4" w:space="0" w:color="auto"/>
              <w:right w:val="single" w:sz="4" w:space="0" w:color="auto"/>
            </w:tcBorders>
            <w:hideMark/>
          </w:tcPr>
          <w:p w14:paraId="291B0BE1" w14:textId="77777777" w:rsidR="008F5028" w:rsidRDefault="008F5028" w:rsidP="00C4579C">
            <w:pPr>
              <w:jc w:val="both"/>
              <w:rPr>
                <w:rFonts w:asciiTheme="minorHAnsi" w:hAnsiTheme="minorHAnsi"/>
              </w:rPr>
            </w:pPr>
            <w:r w:rsidRPr="00C5505F">
              <w:rPr>
                <w:rFonts w:asciiTheme="minorHAnsi" w:hAnsiTheme="minorHAnsi"/>
              </w:rPr>
              <w:t xml:space="preserve">Clear indication of the total cost of the study and a full breakdown of costs. </w:t>
            </w:r>
          </w:p>
          <w:p w14:paraId="7526E97A" w14:textId="5D08791C" w:rsidR="00851FB7" w:rsidRPr="00C5505F" w:rsidRDefault="00851FB7" w:rsidP="00C4579C">
            <w:pPr>
              <w:jc w:val="both"/>
              <w:rPr>
                <w:rFonts w:asciiTheme="minorHAnsi" w:hAnsiTheme="minorHAnsi"/>
              </w:rPr>
            </w:pPr>
          </w:p>
        </w:tc>
        <w:tc>
          <w:tcPr>
            <w:tcW w:w="1376" w:type="dxa"/>
            <w:tcBorders>
              <w:top w:val="single" w:sz="4" w:space="0" w:color="auto"/>
              <w:left w:val="single" w:sz="4" w:space="0" w:color="auto"/>
              <w:bottom w:val="single" w:sz="4" w:space="0" w:color="auto"/>
              <w:right w:val="single" w:sz="4" w:space="0" w:color="auto"/>
            </w:tcBorders>
            <w:hideMark/>
          </w:tcPr>
          <w:p w14:paraId="70D7EE0B" w14:textId="3DEF8936" w:rsidR="008F5028" w:rsidRPr="00C5505F" w:rsidRDefault="00711581" w:rsidP="00C4579C">
            <w:pPr>
              <w:jc w:val="both"/>
              <w:rPr>
                <w:rFonts w:asciiTheme="minorHAnsi" w:hAnsiTheme="minorHAnsi"/>
              </w:rPr>
            </w:pPr>
            <w:r w:rsidRPr="00C5505F">
              <w:rPr>
                <w:rFonts w:asciiTheme="minorHAnsi" w:hAnsiTheme="minorHAnsi"/>
              </w:rPr>
              <w:t>25</w:t>
            </w:r>
            <w:r w:rsidR="008F5028" w:rsidRPr="00C5505F">
              <w:rPr>
                <w:rFonts w:asciiTheme="minorHAnsi" w:hAnsiTheme="minorHAnsi"/>
              </w:rPr>
              <w:t>%</w:t>
            </w:r>
          </w:p>
        </w:tc>
      </w:tr>
      <w:tr w:rsidR="006B2E49" w14:paraId="42F08113" w14:textId="77777777" w:rsidTr="006C26A6">
        <w:tc>
          <w:tcPr>
            <w:tcW w:w="7640" w:type="dxa"/>
            <w:gridSpan w:val="3"/>
            <w:tcBorders>
              <w:top w:val="single" w:sz="4" w:space="0" w:color="auto"/>
              <w:left w:val="single" w:sz="4" w:space="0" w:color="auto"/>
              <w:bottom w:val="single" w:sz="4" w:space="0" w:color="auto"/>
              <w:right w:val="single" w:sz="4" w:space="0" w:color="auto"/>
            </w:tcBorders>
            <w:hideMark/>
          </w:tcPr>
          <w:p w14:paraId="483310FA" w14:textId="62069296" w:rsidR="006B2E49" w:rsidRDefault="006B2E49" w:rsidP="00C4579C">
            <w:pPr>
              <w:jc w:val="both"/>
              <w:rPr>
                <w:rFonts w:asciiTheme="minorHAnsi" w:hAnsiTheme="minorHAnsi"/>
              </w:rPr>
            </w:pPr>
            <w:r>
              <w:rPr>
                <w:rFonts w:asciiTheme="minorHAnsi" w:hAnsiTheme="minorHAnsi"/>
              </w:rPr>
              <w:t xml:space="preserve">Total </w:t>
            </w:r>
          </w:p>
        </w:tc>
        <w:tc>
          <w:tcPr>
            <w:tcW w:w="1376" w:type="dxa"/>
            <w:tcBorders>
              <w:top w:val="single" w:sz="4" w:space="0" w:color="auto"/>
              <w:left w:val="single" w:sz="4" w:space="0" w:color="auto"/>
              <w:bottom w:val="single" w:sz="4" w:space="0" w:color="auto"/>
              <w:right w:val="single" w:sz="4" w:space="0" w:color="auto"/>
            </w:tcBorders>
          </w:tcPr>
          <w:p w14:paraId="4582B898" w14:textId="2FB649B3" w:rsidR="006B2E49" w:rsidRDefault="006B2E49" w:rsidP="00C47787">
            <w:pPr>
              <w:jc w:val="both"/>
              <w:rPr>
                <w:rFonts w:asciiTheme="minorHAnsi" w:hAnsiTheme="minorHAnsi"/>
              </w:rPr>
            </w:pPr>
            <w:r>
              <w:rPr>
                <w:rFonts w:asciiTheme="minorHAnsi" w:hAnsiTheme="minorHAnsi"/>
              </w:rPr>
              <w:t>100%</w:t>
            </w:r>
          </w:p>
        </w:tc>
      </w:tr>
      <w:tr w:rsidR="006B6DBB" w14:paraId="48D302E1" w14:textId="77777777" w:rsidTr="00A27537">
        <w:tc>
          <w:tcPr>
            <w:tcW w:w="1271" w:type="dxa"/>
            <w:tcBorders>
              <w:top w:val="single" w:sz="4" w:space="0" w:color="auto"/>
              <w:left w:val="single" w:sz="4" w:space="0" w:color="auto"/>
              <w:bottom w:val="single" w:sz="4" w:space="0" w:color="auto"/>
              <w:right w:val="single" w:sz="4" w:space="0" w:color="auto"/>
            </w:tcBorders>
            <w:hideMark/>
          </w:tcPr>
          <w:p w14:paraId="1F949849" w14:textId="77777777" w:rsidR="006B6DBB" w:rsidRDefault="006B6DBB" w:rsidP="00C4579C">
            <w:pPr>
              <w:jc w:val="both"/>
              <w:rPr>
                <w:rFonts w:asciiTheme="minorHAnsi" w:hAnsiTheme="minorHAnsi"/>
              </w:rPr>
            </w:pPr>
            <w:r>
              <w:rPr>
                <w:rFonts w:asciiTheme="minorHAnsi" w:hAnsiTheme="minorHAnsi"/>
              </w:rPr>
              <w:t xml:space="preserve">Equality and Diversity </w:t>
            </w:r>
          </w:p>
        </w:tc>
        <w:tc>
          <w:tcPr>
            <w:tcW w:w="6369" w:type="dxa"/>
            <w:gridSpan w:val="2"/>
            <w:tcBorders>
              <w:top w:val="single" w:sz="4" w:space="0" w:color="auto"/>
              <w:left w:val="single" w:sz="4" w:space="0" w:color="auto"/>
              <w:bottom w:val="single" w:sz="4" w:space="0" w:color="auto"/>
              <w:right w:val="single" w:sz="4" w:space="0" w:color="auto"/>
            </w:tcBorders>
            <w:hideMark/>
          </w:tcPr>
          <w:p w14:paraId="5FB5D696" w14:textId="6CA843CB" w:rsidR="006B6DBB" w:rsidRDefault="006B6DBB" w:rsidP="00C4579C">
            <w:pPr>
              <w:jc w:val="both"/>
              <w:rPr>
                <w:rFonts w:asciiTheme="minorHAnsi" w:hAnsiTheme="minorHAnsi"/>
              </w:rPr>
            </w:pPr>
            <w:r>
              <w:rPr>
                <w:rFonts w:asciiTheme="minorHAnsi" w:hAnsiTheme="minorHAnsi"/>
              </w:rPr>
              <w:t xml:space="preserve">The organisation submitting the quote will need to demonstrate they have a policy which complies with GBC’s requirements. </w:t>
            </w:r>
            <w:r>
              <w:rPr>
                <w:rFonts w:asciiTheme="minorHAnsi" w:hAnsiTheme="minorHAnsi"/>
                <w:b/>
                <w:bCs/>
              </w:rPr>
              <w:t>Failure to demonstrate this will result in the quote being rejected.</w:t>
            </w:r>
            <w:r>
              <w:rPr>
                <w:rFonts w:asciiTheme="minorHAnsi" w:hAnsiTheme="minorHAnsi"/>
              </w:rPr>
              <w:t xml:space="preserve"> </w:t>
            </w:r>
          </w:p>
        </w:tc>
        <w:tc>
          <w:tcPr>
            <w:tcW w:w="1376" w:type="dxa"/>
            <w:tcBorders>
              <w:top w:val="single" w:sz="4" w:space="0" w:color="auto"/>
              <w:left w:val="single" w:sz="4" w:space="0" w:color="auto"/>
              <w:bottom w:val="single" w:sz="4" w:space="0" w:color="auto"/>
              <w:right w:val="single" w:sz="4" w:space="0" w:color="auto"/>
            </w:tcBorders>
            <w:hideMark/>
          </w:tcPr>
          <w:p w14:paraId="5DF6316D" w14:textId="77777777" w:rsidR="006B6DBB" w:rsidRDefault="006B6DBB" w:rsidP="00C4579C">
            <w:pPr>
              <w:jc w:val="both"/>
              <w:rPr>
                <w:rFonts w:asciiTheme="minorHAnsi" w:hAnsiTheme="minorHAnsi"/>
              </w:rPr>
            </w:pPr>
            <w:r>
              <w:rPr>
                <w:rFonts w:asciiTheme="minorHAnsi" w:hAnsiTheme="minorHAnsi"/>
              </w:rPr>
              <w:t xml:space="preserve">Pass/fail </w:t>
            </w:r>
          </w:p>
        </w:tc>
      </w:tr>
      <w:tr w:rsidR="006B6DBB" w14:paraId="108C62A6" w14:textId="77777777" w:rsidTr="00A27537">
        <w:tc>
          <w:tcPr>
            <w:tcW w:w="1271" w:type="dxa"/>
            <w:tcBorders>
              <w:top w:val="single" w:sz="4" w:space="0" w:color="auto"/>
              <w:left w:val="single" w:sz="4" w:space="0" w:color="auto"/>
              <w:bottom w:val="single" w:sz="4" w:space="0" w:color="auto"/>
              <w:right w:val="single" w:sz="4" w:space="0" w:color="auto"/>
            </w:tcBorders>
            <w:hideMark/>
          </w:tcPr>
          <w:p w14:paraId="62225B3C" w14:textId="77777777" w:rsidR="006B6DBB" w:rsidRDefault="006B6DBB" w:rsidP="00C4579C">
            <w:pPr>
              <w:jc w:val="both"/>
              <w:rPr>
                <w:rFonts w:asciiTheme="minorHAnsi" w:hAnsiTheme="minorHAnsi"/>
              </w:rPr>
            </w:pPr>
            <w:r>
              <w:rPr>
                <w:rFonts w:asciiTheme="minorHAnsi" w:hAnsiTheme="minorHAnsi"/>
              </w:rPr>
              <w:t xml:space="preserve">Data Protection </w:t>
            </w:r>
          </w:p>
        </w:tc>
        <w:tc>
          <w:tcPr>
            <w:tcW w:w="6369" w:type="dxa"/>
            <w:gridSpan w:val="2"/>
            <w:tcBorders>
              <w:top w:val="single" w:sz="4" w:space="0" w:color="auto"/>
              <w:left w:val="single" w:sz="4" w:space="0" w:color="auto"/>
              <w:bottom w:val="single" w:sz="4" w:space="0" w:color="auto"/>
              <w:right w:val="single" w:sz="4" w:space="0" w:color="auto"/>
            </w:tcBorders>
            <w:hideMark/>
          </w:tcPr>
          <w:p w14:paraId="03769B3B" w14:textId="52C12779" w:rsidR="006B6DBB" w:rsidRDefault="006B6DBB" w:rsidP="00C4579C">
            <w:pPr>
              <w:jc w:val="both"/>
              <w:rPr>
                <w:rFonts w:asciiTheme="minorHAnsi" w:hAnsiTheme="minorHAnsi"/>
              </w:rPr>
            </w:pPr>
            <w:r>
              <w:rPr>
                <w:rFonts w:asciiTheme="minorHAnsi" w:hAnsiTheme="minorHAnsi"/>
              </w:rPr>
              <w:t xml:space="preserve">The organisation submitting the quote will need to demonstrate they have a policy and procedures in place for processing personal data and meeting their statutory obligations laid down by The Data Protection Act 1998. </w:t>
            </w:r>
            <w:r>
              <w:rPr>
                <w:rFonts w:asciiTheme="minorHAnsi" w:hAnsiTheme="minorHAnsi"/>
                <w:b/>
                <w:bCs/>
              </w:rPr>
              <w:t>Failure to demonstrate this requirement will result in the quote being rejected.</w:t>
            </w:r>
            <w:r>
              <w:rPr>
                <w:rFonts w:asciiTheme="minorHAnsi" w:hAnsiTheme="minorHAnsi"/>
              </w:rPr>
              <w:t xml:space="preserve"> </w:t>
            </w:r>
          </w:p>
        </w:tc>
        <w:tc>
          <w:tcPr>
            <w:tcW w:w="1376" w:type="dxa"/>
            <w:tcBorders>
              <w:top w:val="single" w:sz="4" w:space="0" w:color="auto"/>
              <w:left w:val="single" w:sz="4" w:space="0" w:color="auto"/>
              <w:bottom w:val="single" w:sz="4" w:space="0" w:color="auto"/>
              <w:right w:val="single" w:sz="4" w:space="0" w:color="auto"/>
            </w:tcBorders>
            <w:hideMark/>
          </w:tcPr>
          <w:p w14:paraId="782DCFDE" w14:textId="77777777" w:rsidR="006B6DBB" w:rsidRDefault="006B6DBB" w:rsidP="00C4579C">
            <w:pPr>
              <w:jc w:val="both"/>
              <w:rPr>
                <w:rFonts w:asciiTheme="minorHAnsi" w:hAnsiTheme="minorHAnsi"/>
              </w:rPr>
            </w:pPr>
            <w:r>
              <w:rPr>
                <w:rFonts w:asciiTheme="minorHAnsi" w:hAnsiTheme="minorHAnsi"/>
              </w:rPr>
              <w:t xml:space="preserve">Pass/fail </w:t>
            </w:r>
          </w:p>
        </w:tc>
      </w:tr>
    </w:tbl>
    <w:p w14:paraId="19054AEC" w14:textId="49EA25C6" w:rsidR="008F5028" w:rsidRDefault="008F5028" w:rsidP="00C4579C">
      <w:pPr>
        <w:ind w:left="720" w:hanging="720"/>
        <w:jc w:val="both"/>
        <w:rPr>
          <w:szCs w:val="24"/>
          <w:lang w:val="en-US"/>
        </w:rPr>
      </w:pPr>
    </w:p>
    <w:p w14:paraId="36B7E8E8" w14:textId="0BE3BBB2" w:rsidR="008F5028" w:rsidRDefault="008F5028" w:rsidP="00C4579C">
      <w:pPr>
        <w:ind w:left="720" w:hanging="720"/>
        <w:jc w:val="both"/>
        <w:rPr>
          <w:szCs w:val="24"/>
          <w:lang w:val="en-US"/>
        </w:rPr>
      </w:pPr>
    </w:p>
    <w:p w14:paraId="65094F20" w14:textId="51367A66" w:rsidR="0028507F" w:rsidRPr="003D1FEF" w:rsidRDefault="00436E70" w:rsidP="006B2E49">
      <w:pPr>
        <w:jc w:val="both"/>
        <w:rPr>
          <w:b/>
          <w:sz w:val="28"/>
          <w:szCs w:val="28"/>
          <w:lang w:val="en-US"/>
        </w:rPr>
      </w:pPr>
      <w:r w:rsidRPr="003D1FEF">
        <w:rPr>
          <w:b/>
          <w:sz w:val="28"/>
          <w:szCs w:val="28"/>
          <w:lang w:val="en-US"/>
        </w:rPr>
        <w:t>6</w:t>
      </w:r>
      <w:r w:rsidR="0028507F" w:rsidRPr="003D1FEF">
        <w:rPr>
          <w:b/>
          <w:sz w:val="28"/>
          <w:szCs w:val="28"/>
          <w:lang w:val="en-US"/>
        </w:rPr>
        <w:t>.0</w:t>
      </w:r>
      <w:r w:rsidR="0028507F" w:rsidRPr="003D1FEF">
        <w:rPr>
          <w:b/>
          <w:sz w:val="28"/>
          <w:szCs w:val="28"/>
          <w:lang w:val="en-US"/>
        </w:rPr>
        <w:tab/>
        <w:t>E</w:t>
      </w:r>
      <w:r w:rsidRPr="003D1FEF">
        <w:rPr>
          <w:b/>
          <w:sz w:val="28"/>
          <w:szCs w:val="28"/>
          <w:lang w:val="en-US"/>
        </w:rPr>
        <w:t>VALUATION PROCESS</w:t>
      </w:r>
    </w:p>
    <w:p w14:paraId="312D7876" w14:textId="77777777" w:rsidR="0028507F" w:rsidRDefault="0028507F" w:rsidP="00C4579C">
      <w:pPr>
        <w:ind w:left="720" w:hanging="720"/>
        <w:jc w:val="both"/>
        <w:rPr>
          <w:b/>
          <w:szCs w:val="24"/>
          <w:lang w:val="en-US"/>
        </w:rPr>
      </w:pPr>
    </w:p>
    <w:p w14:paraId="387307AE" w14:textId="77777777" w:rsidR="0028507F" w:rsidRDefault="00436E70" w:rsidP="00C4579C">
      <w:pPr>
        <w:ind w:left="720" w:hanging="720"/>
        <w:jc w:val="both"/>
        <w:rPr>
          <w:szCs w:val="24"/>
          <w:u w:val="single"/>
          <w:lang w:val="en-US"/>
        </w:rPr>
      </w:pPr>
      <w:r>
        <w:rPr>
          <w:b/>
          <w:szCs w:val="24"/>
          <w:lang w:val="en-US"/>
        </w:rPr>
        <w:t>6.1</w:t>
      </w:r>
      <w:r>
        <w:rPr>
          <w:b/>
          <w:szCs w:val="24"/>
          <w:lang w:val="en-US"/>
        </w:rPr>
        <w:tab/>
      </w:r>
      <w:r w:rsidR="0028507F" w:rsidRPr="00436E70">
        <w:rPr>
          <w:b/>
          <w:szCs w:val="24"/>
          <w:lang w:val="en-US"/>
        </w:rPr>
        <w:t>Technical Evaluation</w:t>
      </w:r>
      <w:r w:rsidR="0028507F" w:rsidRPr="00C056C6">
        <w:rPr>
          <w:szCs w:val="24"/>
          <w:u w:val="single"/>
          <w:lang w:val="en-US"/>
        </w:rPr>
        <w:t xml:space="preserve"> </w:t>
      </w:r>
    </w:p>
    <w:p w14:paraId="2FFA7C9F" w14:textId="77777777" w:rsidR="0028507F" w:rsidRDefault="0028507F" w:rsidP="00C4579C">
      <w:pPr>
        <w:ind w:left="720" w:hanging="720"/>
        <w:jc w:val="both"/>
        <w:rPr>
          <w:szCs w:val="24"/>
          <w:u w:val="single"/>
          <w:lang w:val="en-US"/>
        </w:rPr>
      </w:pPr>
    </w:p>
    <w:p w14:paraId="378BB482" w14:textId="77777777" w:rsidR="0028507F" w:rsidRDefault="0028507F" w:rsidP="00C4579C">
      <w:pPr>
        <w:ind w:left="720" w:hanging="720"/>
        <w:jc w:val="both"/>
        <w:rPr>
          <w:szCs w:val="24"/>
          <w:lang w:val="en-US"/>
        </w:rPr>
      </w:pPr>
      <w:r>
        <w:rPr>
          <w:szCs w:val="24"/>
          <w:lang w:val="en-US"/>
        </w:rPr>
        <w:tab/>
        <w:t>The technical evaluation will be scored in accordance with the table below.</w:t>
      </w:r>
    </w:p>
    <w:p w14:paraId="0598A36A" w14:textId="77777777" w:rsidR="0028507F" w:rsidRDefault="0028507F" w:rsidP="00C4579C">
      <w:pPr>
        <w:ind w:left="720" w:hanging="720"/>
        <w:jc w:val="both"/>
        <w:rPr>
          <w:szCs w:val="24"/>
          <w:lang w:val="en-US"/>
        </w:rPr>
      </w:pPr>
    </w:p>
    <w:p w14:paraId="6690DDD1" w14:textId="77777777" w:rsidR="0028507F" w:rsidRPr="00436E70" w:rsidRDefault="00436E70" w:rsidP="00C4579C">
      <w:pPr>
        <w:ind w:left="720" w:hanging="720"/>
        <w:jc w:val="both"/>
        <w:rPr>
          <w:b/>
          <w:szCs w:val="24"/>
          <w:lang w:val="en-US"/>
        </w:rPr>
      </w:pPr>
      <w:r w:rsidRPr="00436E70">
        <w:rPr>
          <w:b/>
          <w:szCs w:val="24"/>
          <w:lang w:val="en-US"/>
        </w:rPr>
        <w:t>6.2</w:t>
      </w:r>
      <w:r w:rsidRPr="00436E70">
        <w:rPr>
          <w:b/>
          <w:szCs w:val="24"/>
          <w:lang w:val="en-US"/>
        </w:rPr>
        <w:tab/>
      </w:r>
      <w:r w:rsidR="0028507F" w:rsidRPr="00436E70">
        <w:rPr>
          <w:b/>
          <w:szCs w:val="24"/>
          <w:lang w:val="en-US"/>
        </w:rPr>
        <w:t>Scoring Models – Methodology and Innovations</w:t>
      </w:r>
    </w:p>
    <w:p w14:paraId="5E9A9655" w14:textId="77777777" w:rsidR="0028507F" w:rsidRDefault="0028507F" w:rsidP="00C4579C">
      <w:pPr>
        <w:ind w:left="720" w:hanging="720"/>
        <w:jc w:val="both"/>
        <w:rPr>
          <w:szCs w:val="24"/>
          <w:lang w:val="en-US"/>
        </w:rPr>
      </w:pPr>
    </w:p>
    <w:p w14:paraId="6B861AEF" w14:textId="77777777" w:rsidR="0028507F" w:rsidRPr="002E7D88" w:rsidRDefault="0028507F" w:rsidP="00C4579C">
      <w:pPr>
        <w:ind w:left="720"/>
        <w:jc w:val="both"/>
        <w:rPr>
          <w:szCs w:val="24"/>
          <w:lang w:eastAsia="en-GB"/>
        </w:rPr>
      </w:pPr>
      <w:r w:rsidRPr="002E7D88">
        <w:rPr>
          <w:szCs w:val="24"/>
          <w:lang w:eastAsia="en-GB"/>
        </w:rPr>
        <w:t xml:space="preserve">For assessing the quality elements each sub criteria will be scored out of </w:t>
      </w:r>
      <w:r>
        <w:rPr>
          <w:szCs w:val="24"/>
          <w:lang w:eastAsia="en-GB"/>
        </w:rPr>
        <w:t xml:space="preserve">4 </w:t>
      </w:r>
      <w:r w:rsidRPr="002E7D88">
        <w:rPr>
          <w:szCs w:val="24"/>
          <w:lang w:eastAsia="en-GB"/>
        </w:rPr>
        <w:t>(see table below) and weighted accordingly.</w:t>
      </w:r>
    </w:p>
    <w:p w14:paraId="12C43DC9" w14:textId="77777777" w:rsidR="0028507F" w:rsidRDefault="0028507F" w:rsidP="00C4579C">
      <w:pPr>
        <w:ind w:left="720" w:hanging="720"/>
        <w:jc w:val="both"/>
        <w:rPr>
          <w:szCs w:val="24"/>
          <w:lang w:val="en-US"/>
        </w:rPr>
      </w:pPr>
    </w:p>
    <w:p w14:paraId="0D82FE59" w14:textId="77777777" w:rsidR="0028507F" w:rsidRPr="00C056C6" w:rsidRDefault="0028507F" w:rsidP="00C4579C">
      <w:pPr>
        <w:ind w:left="720" w:hanging="720"/>
        <w:jc w:val="both"/>
        <w:rPr>
          <w:szCs w:val="24"/>
          <w:lang w:val="en-US"/>
        </w:rPr>
      </w:pPr>
    </w:p>
    <w:tbl>
      <w:tblPr>
        <w:tblStyle w:val="TableGrid"/>
        <w:tblW w:w="0" w:type="auto"/>
        <w:tblInd w:w="720" w:type="dxa"/>
        <w:tblLook w:val="04A0" w:firstRow="1" w:lastRow="0" w:firstColumn="1" w:lastColumn="0" w:noHBand="0" w:noVBand="1"/>
      </w:tblPr>
      <w:tblGrid>
        <w:gridCol w:w="5654"/>
        <w:gridCol w:w="2642"/>
      </w:tblGrid>
      <w:tr w:rsidR="0028507F" w14:paraId="6EB69245" w14:textId="77777777" w:rsidTr="0028507F">
        <w:tc>
          <w:tcPr>
            <w:tcW w:w="5654" w:type="dxa"/>
            <w:shd w:val="clear" w:color="auto" w:fill="BFBFBF" w:themeFill="background1" w:themeFillShade="BF"/>
          </w:tcPr>
          <w:p w14:paraId="756443E4" w14:textId="77777777" w:rsidR="0028507F" w:rsidRDefault="0028507F" w:rsidP="00C4579C">
            <w:pPr>
              <w:jc w:val="both"/>
              <w:rPr>
                <w:szCs w:val="24"/>
                <w:lang w:val="en-US"/>
              </w:rPr>
            </w:pPr>
            <w:r>
              <w:rPr>
                <w:szCs w:val="24"/>
                <w:lang w:val="en-US"/>
              </w:rPr>
              <w:t>Assessment</w:t>
            </w:r>
          </w:p>
        </w:tc>
        <w:tc>
          <w:tcPr>
            <w:tcW w:w="2642" w:type="dxa"/>
            <w:shd w:val="clear" w:color="auto" w:fill="BFBFBF" w:themeFill="background1" w:themeFillShade="BF"/>
          </w:tcPr>
          <w:p w14:paraId="228D7E70" w14:textId="77777777" w:rsidR="0028507F" w:rsidRDefault="0028507F" w:rsidP="00C4579C">
            <w:pPr>
              <w:jc w:val="both"/>
              <w:rPr>
                <w:szCs w:val="24"/>
                <w:lang w:val="en-US"/>
              </w:rPr>
            </w:pPr>
            <w:r>
              <w:rPr>
                <w:szCs w:val="24"/>
                <w:lang w:val="en-US"/>
              </w:rPr>
              <w:t>Allocated Score</w:t>
            </w:r>
          </w:p>
          <w:p w14:paraId="293844DD" w14:textId="77777777" w:rsidR="0028507F" w:rsidRDefault="0028507F" w:rsidP="00C4579C">
            <w:pPr>
              <w:jc w:val="both"/>
              <w:rPr>
                <w:szCs w:val="24"/>
                <w:lang w:val="en-US"/>
              </w:rPr>
            </w:pPr>
          </w:p>
        </w:tc>
      </w:tr>
      <w:tr w:rsidR="0028507F" w14:paraId="22C26238" w14:textId="77777777" w:rsidTr="0028507F">
        <w:tc>
          <w:tcPr>
            <w:tcW w:w="5654" w:type="dxa"/>
          </w:tcPr>
          <w:p w14:paraId="6D1665E9" w14:textId="77777777" w:rsidR="0028507F" w:rsidRDefault="0028507F" w:rsidP="00C4579C">
            <w:pPr>
              <w:jc w:val="both"/>
              <w:rPr>
                <w:szCs w:val="24"/>
                <w:lang w:val="en-US"/>
              </w:rPr>
            </w:pPr>
          </w:p>
        </w:tc>
        <w:tc>
          <w:tcPr>
            <w:tcW w:w="2642" w:type="dxa"/>
          </w:tcPr>
          <w:p w14:paraId="0F509DCC" w14:textId="77777777" w:rsidR="0028507F" w:rsidRDefault="0028507F" w:rsidP="00C4579C">
            <w:pPr>
              <w:jc w:val="both"/>
              <w:rPr>
                <w:szCs w:val="24"/>
                <w:lang w:val="en-US"/>
              </w:rPr>
            </w:pPr>
          </w:p>
        </w:tc>
      </w:tr>
      <w:tr w:rsidR="0028507F" w14:paraId="7F1A09A7" w14:textId="77777777" w:rsidTr="0028507F">
        <w:tc>
          <w:tcPr>
            <w:tcW w:w="5654" w:type="dxa"/>
          </w:tcPr>
          <w:p w14:paraId="163EC049" w14:textId="77777777" w:rsidR="0028507F" w:rsidRDefault="0028507F" w:rsidP="00C4579C">
            <w:pPr>
              <w:jc w:val="both"/>
              <w:rPr>
                <w:szCs w:val="24"/>
                <w:lang w:val="en-US"/>
              </w:rPr>
            </w:pPr>
            <w:r w:rsidRPr="008B43CC">
              <w:rPr>
                <w:b/>
                <w:szCs w:val="24"/>
                <w:lang w:val="en-US"/>
              </w:rPr>
              <w:t>Very poor</w:t>
            </w:r>
            <w:r>
              <w:rPr>
                <w:szCs w:val="24"/>
                <w:lang w:val="en-US"/>
              </w:rPr>
              <w:t xml:space="preserve"> – [completely fails to demonstrate that it will meet the criteria</w:t>
            </w:r>
          </w:p>
        </w:tc>
        <w:tc>
          <w:tcPr>
            <w:tcW w:w="2642" w:type="dxa"/>
          </w:tcPr>
          <w:p w14:paraId="00635E01" w14:textId="77777777" w:rsidR="0028507F" w:rsidRDefault="0028507F" w:rsidP="00C4579C">
            <w:pPr>
              <w:jc w:val="both"/>
              <w:rPr>
                <w:szCs w:val="24"/>
                <w:lang w:val="en-US"/>
              </w:rPr>
            </w:pPr>
            <w:r>
              <w:rPr>
                <w:szCs w:val="24"/>
                <w:lang w:val="en-US"/>
              </w:rPr>
              <w:t>0</w:t>
            </w:r>
          </w:p>
        </w:tc>
      </w:tr>
      <w:tr w:rsidR="0028507F" w14:paraId="45FC0467" w14:textId="77777777" w:rsidTr="0028507F">
        <w:tc>
          <w:tcPr>
            <w:tcW w:w="5654" w:type="dxa"/>
          </w:tcPr>
          <w:p w14:paraId="24F13BD7" w14:textId="77777777" w:rsidR="0028507F" w:rsidRDefault="0028507F" w:rsidP="00C4579C">
            <w:pPr>
              <w:jc w:val="both"/>
              <w:rPr>
                <w:szCs w:val="24"/>
                <w:lang w:val="en-US"/>
              </w:rPr>
            </w:pPr>
            <w:r w:rsidRPr="008B43CC">
              <w:rPr>
                <w:b/>
                <w:szCs w:val="24"/>
                <w:lang w:val="en-US"/>
              </w:rPr>
              <w:t>Poor</w:t>
            </w:r>
            <w:r>
              <w:rPr>
                <w:szCs w:val="24"/>
                <w:lang w:val="en-US"/>
              </w:rPr>
              <w:t xml:space="preserve"> – [some, but very limited evidence of that it will meet the criteria]</w:t>
            </w:r>
          </w:p>
        </w:tc>
        <w:tc>
          <w:tcPr>
            <w:tcW w:w="2642" w:type="dxa"/>
          </w:tcPr>
          <w:p w14:paraId="559165D2" w14:textId="77777777" w:rsidR="0028507F" w:rsidRDefault="0028507F" w:rsidP="00C4579C">
            <w:pPr>
              <w:jc w:val="both"/>
              <w:rPr>
                <w:szCs w:val="24"/>
                <w:lang w:val="en-US"/>
              </w:rPr>
            </w:pPr>
            <w:r>
              <w:rPr>
                <w:szCs w:val="24"/>
                <w:lang w:val="en-US"/>
              </w:rPr>
              <w:t>1</w:t>
            </w:r>
          </w:p>
        </w:tc>
      </w:tr>
      <w:tr w:rsidR="0028507F" w14:paraId="6ECF66D7" w14:textId="77777777" w:rsidTr="0028507F">
        <w:tc>
          <w:tcPr>
            <w:tcW w:w="5654" w:type="dxa"/>
          </w:tcPr>
          <w:p w14:paraId="7041B875" w14:textId="77777777" w:rsidR="0028507F" w:rsidRDefault="0028507F" w:rsidP="00C4579C">
            <w:pPr>
              <w:jc w:val="both"/>
              <w:rPr>
                <w:szCs w:val="24"/>
                <w:lang w:val="en-US"/>
              </w:rPr>
            </w:pPr>
            <w:r w:rsidRPr="008B43CC">
              <w:rPr>
                <w:b/>
                <w:szCs w:val="24"/>
                <w:lang w:val="en-US"/>
              </w:rPr>
              <w:t>Satisfactory</w:t>
            </w:r>
            <w:r>
              <w:rPr>
                <w:szCs w:val="24"/>
                <w:lang w:val="en-US"/>
              </w:rPr>
              <w:t xml:space="preserve"> – [provides evidence that it will meet the criteria sufficiently] </w:t>
            </w:r>
          </w:p>
        </w:tc>
        <w:tc>
          <w:tcPr>
            <w:tcW w:w="2642" w:type="dxa"/>
          </w:tcPr>
          <w:p w14:paraId="244E66ED" w14:textId="77777777" w:rsidR="0028507F" w:rsidRDefault="0028507F" w:rsidP="00C4579C">
            <w:pPr>
              <w:jc w:val="both"/>
              <w:rPr>
                <w:szCs w:val="24"/>
                <w:lang w:val="en-US"/>
              </w:rPr>
            </w:pPr>
            <w:r>
              <w:rPr>
                <w:szCs w:val="24"/>
                <w:lang w:val="en-US"/>
              </w:rPr>
              <w:t>2</w:t>
            </w:r>
          </w:p>
        </w:tc>
      </w:tr>
      <w:tr w:rsidR="0028507F" w14:paraId="631E493D" w14:textId="77777777" w:rsidTr="0028507F">
        <w:tc>
          <w:tcPr>
            <w:tcW w:w="5654" w:type="dxa"/>
          </w:tcPr>
          <w:p w14:paraId="25A930A8" w14:textId="77777777" w:rsidR="0028507F" w:rsidRDefault="0028507F" w:rsidP="00C4579C">
            <w:pPr>
              <w:jc w:val="both"/>
              <w:rPr>
                <w:szCs w:val="24"/>
                <w:lang w:val="en-US"/>
              </w:rPr>
            </w:pPr>
            <w:r w:rsidRPr="008B43CC">
              <w:rPr>
                <w:b/>
                <w:szCs w:val="24"/>
                <w:lang w:val="en-US"/>
              </w:rPr>
              <w:t>Good</w:t>
            </w:r>
            <w:r>
              <w:rPr>
                <w:szCs w:val="24"/>
                <w:lang w:val="en-US"/>
              </w:rPr>
              <w:t xml:space="preserve"> – [shows attributes in a number of areas that area in excess of the criteria]</w:t>
            </w:r>
          </w:p>
        </w:tc>
        <w:tc>
          <w:tcPr>
            <w:tcW w:w="2642" w:type="dxa"/>
          </w:tcPr>
          <w:p w14:paraId="66BC5BE5" w14:textId="77777777" w:rsidR="0028507F" w:rsidRDefault="0028507F" w:rsidP="00C4579C">
            <w:pPr>
              <w:jc w:val="both"/>
              <w:rPr>
                <w:szCs w:val="24"/>
                <w:lang w:val="en-US"/>
              </w:rPr>
            </w:pPr>
            <w:r>
              <w:rPr>
                <w:szCs w:val="24"/>
                <w:lang w:val="en-US"/>
              </w:rPr>
              <w:t>3</w:t>
            </w:r>
          </w:p>
        </w:tc>
      </w:tr>
      <w:tr w:rsidR="0028507F" w14:paraId="7BE5AF22" w14:textId="77777777" w:rsidTr="0028507F">
        <w:tc>
          <w:tcPr>
            <w:tcW w:w="5654" w:type="dxa"/>
          </w:tcPr>
          <w:p w14:paraId="1BEC9C54" w14:textId="77777777" w:rsidR="0028507F" w:rsidRDefault="0028507F" w:rsidP="00C4579C">
            <w:pPr>
              <w:jc w:val="both"/>
              <w:rPr>
                <w:szCs w:val="24"/>
                <w:lang w:val="en-US"/>
              </w:rPr>
            </w:pPr>
            <w:r w:rsidRPr="008B43CC">
              <w:rPr>
                <w:b/>
                <w:szCs w:val="24"/>
                <w:lang w:val="en-US"/>
              </w:rPr>
              <w:t>Very good</w:t>
            </w:r>
            <w:r>
              <w:rPr>
                <w:szCs w:val="24"/>
                <w:lang w:val="en-US"/>
              </w:rPr>
              <w:t xml:space="preserve"> – [in excess of the criteria in all areas]</w:t>
            </w:r>
          </w:p>
          <w:p w14:paraId="5F35FCF5" w14:textId="77777777" w:rsidR="0028507F" w:rsidRDefault="0028507F" w:rsidP="00C4579C">
            <w:pPr>
              <w:jc w:val="both"/>
              <w:rPr>
                <w:szCs w:val="24"/>
                <w:lang w:val="en-US"/>
              </w:rPr>
            </w:pPr>
          </w:p>
        </w:tc>
        <w:tc>
          <w:tcPr>
            <w:tcW w:w="2642" w:type="dxa"/>
          </w:tcPr>
          <w:p w14:paraId="353636EB" w14:textId="77777777" w:rsidR="0028507F" w:rsidRDefault="0028507F" w:rsidP="00C4579C">
            <w:pPr>
              <w:jc w:val="both"/>
              <w:rPr>
                <w:szCs w:val="24"/>
                <w:lang w:val="en-US"/>
              </w:rPr>
            </w:pPr>
            <w:r>
              <w:rPr>
                <w:szCs w:val="24"/>
                <w:lang w:val="en-US"/>
              </w:rPr>
              <w:t>4</w:t>
            </w:r>
          </w:p>
        </w:tc>
      </w:tr>
    </w:tbl>
    <w:p w14:paraId="08899276" w14:textId="77777777" w:rsidR="0028507F" w:rsidRPr="00D411BA" w:rsidRDefault="0028507F" w:rsidP="00C4579C">
      <w:pPr>
        <w:widowControl w:val="0"/>
        <w:adjustRightInd w:val="0"/>
        <w:jc w:val="both"/>
        <w:textAlignment w:val="baseline"/>
        <w:outlineLvl w:val="1"/>
        <w:rPr>
          <w:sz w:val="22"/>
          <w:lang w:eastAsia="en-GB"/>
        </w:rPr>
      </w:pPr>
      <w:r>
        <w:rPr>
          <w:szCs w:val="24"/>
          <w:lang w:val="en-US"/>
        </w:rPr>
        <w:tab/>
      </w:r>
    </w:p>
    <w:p w14:paraId="20C46753" w14:textId="77777777" w:rsidR="0028507F" w:rsidRDefault="0028507F" w:rsidP="00C4579C">
      <w:pPr>
        <w:widowControl w:val="0"/>
        <w:adjustRightInd w:val="0"/>
        <w:jc w:val="both"/>
        <w:textAlignment w:val="baseline"/>
        <w:outlineLvl w:val="1"/>
        <w:rPr>
          <w:szCs w:val="24"/>
          <w:lang w:val="en-US"/>
        </w:rPr>
      </w:pPr>
      <w:r>
        <w:rPr>
          <w:sz w:val="22"/>
          <w:lang w:eastAsia="en-GB"/>
        </w:rPr>
        <w:tab/>
      </w:r>
      <w:r w:rsidRPr="002E7D88">
        <w:rPr>
          <w:szCs w:val="24"/>
          <w:lang w:val="en-US"/>
        </w:rPr>
        <w:t>All Prices shall be stated in pounds sterling and exclusive of VAT.</w:t>
      </w:r>
    </w:p>
    <w:p w14:paraId="29BCA64F" w14:textId="77777777" w:rsidR="0028507F" w:rsidRDefault="0028507F" w:rsidP="00C4579C">
      <w:pPr>
        <w:widowControl w:val="0"/>
        <w:adjustRightInd w:val="0"/>
        <w:jc w:val="both"/>
        <w:textAlignment w:val="baseline"/>
        <w:outlineLvl w:val="1"/>
        <w:rPr>
          <w:szCs w:val="24"/>
          <w:lang w:val="en-US"/>
        </w:rPr>
      </w:pPr>
    </w:p>
    <w:p w14:paraId="1DF850A3" w14:textId="77777777" w:rsidR="006B2E49" w:rsidRDefault="0028507F" w:rsidP="00C4579C">
      <w:pPr>
        <w:widowControl w:val="0"/>
        <w:adjustRightInd w:val="0"/>
        <w:jc w:val="both"/>
        <w:textAlignment w:val="baseline"/>
        <w:outlineLvl w:val="1"/>
        <w:rPr>
          <w:szCs w:val="24"/>
          <w:lang w:val="en-US"/>
        </w:rPr>
      </w:pPr>
      <w:r>
        <w:rPr>
          <w:szCs w:val="24"/>
          <w:lang w:val="en-US"/>
        </w:rPr>
        <w:tab/>
      </w:r>
    </w:p>
    <w:p w14:paraId="4544DF4B" w14:textId="40B23FF8" w:rsidR="0028507F" w:rsidRPr="00E31816" w:rsidRDefault="0028507F" w:rsidP="006B2E49">
      <w:pPr>
        <w:rPr>
          <w:szCs w:val="24"/>
          <w:lang w:val="en-US"/>
        </w:rPr>
      </w:pPr>
      <w:r w:rsidRPr="00E31816">
        <w:rPr>
          <w:szCs w:val="24"/>
          <w:lang w:val="en-US"/>
        </w:rPr>
        <w:t xml:space="preserve">For assessing the cost element the following formula will be applied: </w:t>
      </w:r>
    </w:p>
    <w:p w14:paraId="7E371BBB" w14:textId="77777777" w:rsidR="0028507F" w:rsidRPr="00E31816" w:rsidRDefault="0028507F" w:rsidP="00C4579C">
      <w:pPr>
        <w:widowControl w:val="0"/>
        <w:adjustRightInd w:val="0"/>
        <w:jc w:val="both"/>
        <w:textAlignment w:val="baseline"/>
        <w:outlineLvl w:val="1"/>
        <w:rPr>
          <w:szCs w:val="24"/>
          <w:lang w:val="en-US"/>
        </w:rPr>
      </w:pPr>
    </w:p>
    <w:p w14:paraId="232FCCD2" w14:textId="36DD7558" w:rsidR="0028507F" w:rsidRDefault="0028507F" w:rsidP="00C4579C">
      <w:pPr>
        <w:pStyle w:val="ListParagraph"/>
        <w:widowControl w:val="0"/>
        <w:numPr>
          <w:ilvl w:val="0"/>
          <w:numId w:val="8"/>
        </w:numPr>
        <w:adjustRightInd w:val="0"/>
        <w:jc w:val="both"/>
        <w:textAlignment w:val="baseline"/>
        <w:outlineLvl w:val="1"/>
        <w:rPr>
          <w:szCs w:val="24"/>
          <w:lang w:val="en-US"/>
        </w:rPr>
      </w:pPr>
      <w:r w:rsidRPr="00D6495C">
        <w:rPr>
          <w:szCs w:val="24"/>
          <w:lang w:val="en-US"/>
        </w:rPr>
        <w:t>Lowest price/bidder’s price x 25 = score</w:t>
      </w:r>
    </w:p>
    <w:p w14:paraId="1E8E2E3D" w14:textId="2E4E5F1D" w:rsidR="001B0CFD" w:rsidRDefault="00D4385B" w:rsidP="0028507F">
      <w:pPr>
        <w:rPr>
          <w:b/>
        </w:rPr>
      </w:pPr>
      <w:r>
        <w:rPr>
          <w:b/>
        </w:rPr>
        <w:lastRenderedPageBreak/>
        <w:t>APPENDIX 1</w:t>
      </w:r>
      <w:r w:rsidR="001B0CFD" w:rsidRPr="001B0CFD">
        <w:rPr>
          <w:b/>
        </w:rPr>
        <w:t xml:space="preserve">: </w:t>
      </w:r>
      <w:r w:rsidR="00CC696F">
        <w:rPr>
          <w:noProof/>
          <w:lang w:eastAsia="en-GB"/>
        </w:rPr>
        <w:drawing>
          <wp:inline distT="0" distB="0" distL="0" distR="0" wp14:anchorId="45B3DD99" wp14:editId="201ABD1F">
            <wp:extent cx="5731510" cy="7082790"/>
            <wp:effectExtent l="0" t="0" r="2540" b="3810"/>
            <wp:docPr id="1" name="Picture 1" descr="C:\Users\grygj001\AppData\Local\Microsoft\Windows\INetCache\Content.Word\Appendix 1 -Blockhouse on the Haslar Penisula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ygj001\AppData\Local\Microsoft\Windows\INetCache\Content.Word\Appendix 1 -Blockhouse on the Haslar Penisular 201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082790"/>
                    </a:xfrm>
                    <a:prstGeom prst="rect">
                      <a:avLst/>
                    </a:prstGeom>
                    <a:noFill/>
                    <a:ln>
                      <a:noFill/>
                    </a:ln>
                  </pic:spPr>
                </pic:pic>
              </a:graphicData>
            </a:graphic>
          </wp:inline>
        </w:drawing>
      </w:r>
    </w:p>
    <w:p w14:paraId="1A6BA970" w14:textId="38892906" w:rsidR="001B0CFD" w:rsidRDefault="001B0CFD" w:rsidP="0028507F">
      <w:pPr>
        <w:rPr>
          <w:b/>
        </w:rPr>
      </w:pPr>
    </w:p>
    <w:p w14:paraId="061055C3" w14:textId="1ED9E870" w:rsidR="001B0CFD" w:rsidRDefault="001B0CFD" w:rsidP="0028507F"/>
    <w:p w14:paraId="5871CED0" w14:textId="510F49C1" w:rsidR="001B0CFD" w:rsidRDefault="001B0CFD" w:rsidP="0028507F"/>
    <w:p w14:paraId="528D5FB5" w14:textId="02EB0B54" w:rsidR="001B0CFD" w:rsidRDefault="001B0CFD" w:rsidP="0028507F"/>
    <w:p w14:paraId="0E1E4540" w14:textId="3185025D" w:rsidR="001B0CFD" w:rsidRDefault="001B0CFD" w:rsidP="0028507F"/>
    <w:p w14:paraId="56B889B1" w14:textId="1042FF54" w:rsidR="001B0CFD" w:rsidRDefault="001B0CFD" w:rsidP="0028507F"/>
    <w:p w14:paraId="7549F920" w14:textId="760E6DC8" w:rsidR="001B0CFD" w:rsidRDefault="001B0CFD" w:rsidP="0028507F"/>
    <w:p w14:paraId="22968B6B" w14:textId="172991A2" w:rsidR="001B0CFD" w:rsidRDefault="001B0CFD" w:rsidP="0028507F"/>
    <w:p w14:paraId="30C4C4B3" w14:textId="5D8B82DC" w:rsidR="001B0CFD" w:rsidRDefault="001B0CFD" w:rsidP="0028507F"/>
    <w:p w14:paraId="0E692A34" w14:textId="769F6E87" w:rsidR="001B0CFD" w:rsidRDefault="00D4385B" w:rsidP="00C4579C">
      <w:pPr>
        <w:jc w:val="both"/>
        <w:rPr>
          <w:b/>
        </w:rPr>
      </w:pPr>
      <w:r>
        <w:rPr>
          <w:b/>
        </w:rPr>
        <w:t>APPENDIX 2</w:t>
      </w:r>
      <w:r w:rsidR="001B0CFD" w:rsidRPr="001B0CFD">
        <w:rPr>
          <w:b/>
        </w:rPr>
        <w:t>: National and Local Planning Policy Context: Overview</w:t>
      </w:r>
    </w:p>
    <w:p w14:paraId="6B80CB28" w14:textId="2CF9DA77" w:rsidR="001F4089" w:rsidRDefault="001F4089" w:rsidP="00C4579C">
      <w:pPr>
        <w:jc w:val="both"/>
        <w:rPr>
          <w:b/>
        </w:rPr>
      </w:pPr>
    </w:p>
    <w:p w14:paraId="0BB2A870" w14:textId="77777777" w:rsidR="001F4089" w:rsidRDefault="001F4089" w:rsidP="00C4579C">
      <w:pPr>
        <w:jc w:val="both"/>
        <w:rPr>
          <w:b/>
          <w:u w:val="single"/>
          <w:lang w:val="en-US"/>
        </w:rPr>
      </w:pPr>
      <w:r>
        <w:rPr>
          <w:u w:val="single"/>
          <w:lang w:val="en-US"/>
        </w:rPr>
        <w:t>National Planning Policy Framework</w:t>
      </w:r>
    </w:p>
    <w:p w14:paraId="5FF4751A" w14:textId="77777777" w:rsidR="001F4089" w:rsidRDefault="001F4089" w:rsidP="00C4579C">
      <w:pPr>
        <w:jc w:val="both"/>
        <w:rPr>
          <w:lang w:val="en-US"/>
        </w:rPr>
      </w:pPr>
    </w:p>
    <w:p w14:paraId="403D4AED" w14:textId="77777777" w:rsidR="001F4089" w:rsidRDefault="001F4089" w:rsidP="00C4579C">
      <w:pPr>
        <w:jc w:val="both"/>
        <w:rPr>
          <w:lang w:val="en-US"/>
        </w:rPr>
      </w:pPr>
      <w:r>
        <w:rPr>
          <w:lang w:val="en-US"/>
        </w:rPr>
        <w:t>The National Planning Policy Framework (NPPF, July 2021) sets out (Paragraph 104) that t</w:t>
      </w:r>
      <w:proofErr w:type="spellStart"/>
      <w:r>
        <w:t>ransport</w:t>
      </w:r>
      <w:proofErr w:type="spellEnd"/>
      <w:r>
        <w:t xml:space="preserve"> issues should be considered from the earliest stages of plan-making and development proposals, so that:</w:t>
      </w:r>
    </w:p>
    <w:p w14:paraId="0A702FD5" w14:textId="77777777" w:rsidR="001F4089" w:rsidRDefault="001F4089" w:rsidP="00C4579C">
      <w:pPr>
        <w:ind w:left="720"/>
        <w:jc w:val="both"/>
        <w:rPr>
          <w:color w:val="000099"/>
          <w:lang w:val="en-US"/>
        </w:rPr>
      </w:pPr>
    </w:p>
    <w:p w14:paraId="0CE7A7AB" w14:textId="77777777" w:rsidR="001F4089" w:rsidRDefault="001F4089" w:rsidP="00C4579C">
      <w:pPr>
        <w:jc w:val="both"/>
      </w:pPr>
      <w:r>
        <w:t xml:space="preserve">a) </w:t>
      </w:r>
      <w:proofErr w:type="gramStart"/>
      <w:r>
        <w:t>the</w:t>
      </w:r>
      <w:proofErr w:type="gramEnd"/>
      <w:r>
        <w:t xml:space="preserve"> potential impacts of development on transport networks can be addressed; </w:t>
      </w:r>
    </w:p>
    <w:p w14:paraId="2E1801D2" w14:textId="77777777" w:rsidR="001F4089" w:rsidRDefault="001F4089" w:rsidP="00C4579C">
      <w:pPr>
        <w:jc w:val="both"/>
      </w:pPr>
      <w:r>
        <w:t xml:space="preserve">b) opportunities from existing or proposed transport infrastructure, and changing transport technology and usage, are realised – for example in relation to the scale, location or density of development that can be accommodated; </w:t>
      </w:r>
    </w:p>
    <w:p w14:paraId="6A0A9FB1" w14:textId="77777777" w:rsidR="001F4089" w:rsidRDefault="001F4089" w:rsidP="00C4579C">
      <w:pPr>
        <w:jc w:val="both"/>
      </w:pPr>
      <w:r>
        <w:t xml:space="preserve">c) </w:t>
      </w:r>
      <w:proofErr w:type="gramStart"/>
      <w:r>
        <w:t>opportunities</w:t>
      </w:r>
      <w:proofErr w:type="gramEnd"/>
      <w:r>
        <w:t xml:space="preserve"> to promote walking, cycling and public transport use are identified and pursued; </w:t>
      </w:r>
    </w:p>
    <w:p w14:paraId="349D314D" w14:textId="77777777" w:rsidR="001F4089" w:rsidRDefault="001F4089" w:rsidP="00C4579C">
      <w:pPr>
        <w:jc w:val="both"/>
      </w:pPr>
      <w:r>
        <w:t xml:space="preserve">d) the environmental impacts of traffic and transport infrastructure can be identified, assessed and taken into account – including appropriate opportunities for avoiding and mitigating any adverse effects, and for net environmental gains; and </w:t>
      </w:r>
    </w:p>
    <w:p w14:paraId="0D793550" w14:textId="77777777" w:rsidR="001F4089" w:rsidRDefault="001F4089" w:rsidP="00C4579C">
      <w:pPr>
        <w:jc w:val="both"/>
        <w:rPr>
          <w:lang w:val="en-US"/>
        </w:rPr>
      </w:pPr>
      <w:r>
        <w:t xml:space="preserve">e) </w:t>
      </w:r>
      <w:proofErr w:type="gramStart"/>
      <w:r>
        <w:t>patterns</w:t>
      </w:r>
      <w:proofErr w:type="gramEnd"/>
      <w:r>
        <w:t xml:space="preserve"> of movement, streets, parking and other transport considerations are integral to the design of schemes, and contribute to making high quality places.</w:t>
      </w:r>
    </w:p>
    <w:p w14:paraId="7DFEE579" w14:textId="77777777" w:rsidR="001F4089" w:rsidRDefault="001F4089" w:rsidP="00C4579C">
      <w:pPr>
        <w:ind w:left="720"/>
        <w:jc w:val="both"/>
        <w:rPr>
          <w:lang w:val="en-US"/>
        </w:rPr>
      </w:pPr>
    </w:p>
    <w:p w14:paraId="36B641A1" w14:textId="77777777" w:rsidR="001F4089" w:rsidRDefault="001F4089" w:rsidP="00C4579C">
      <w:pPr>
        <w:jc w:val="both"/>
        <w:rPr>
          <w:lang w:val="en-US"/>
        </w:rPr>
      </w:pPr>
      <w:r>
        <w:rPr>
          <w:lang w:val="en-US"/>
        </w:rPr>
        <w:t xml:space="preserve">Paragraph 105 sets out that: </w:t>
      </w:r>
    </w:p>
    <w:p w14:paraId="09007BE8" w14:textId="77777777" w:rsidR="001F4089" w:rsidRDefault="001F4089" w:rsidP="00C4579C">
      <w:pPr>
        <w:jc w:val="both"/>
        <w:rPr>
          <w:lang w:val="en-US"/>
        </w:rPr>
      </w:pPr>
    </w:p>
    <w:p w14:paraId="729E3285" w14:textId="77777777" w:rsidR="001F4089" w:rsidRDefault="001F4089" w:rsidP="00C4579C">
      <w:pPr>
        <w:jc w:val="both"/>
        <w:rPr>
          <w:lang w:val="en-US"/>
        </w:rPr>
      </w:pPr>
      <w:r>
        <w:t>The planning system should actively manage patterns of growth in support of these objectives. Significant development should be focused on locations which are or can be made sustainable, through limiting the need to travel and offering a genuine choice of transport modes. This can help to reduce congestion and emissions, and improve air quality and public health. However, opportunities to maximise sustainable transport solutions will vary between urban and rural areas, and this should be taken into account in both plan-making and decision-making.</w:t>
      </w:r>
    </w:p>
    <w:p w14:paraId="3A04FDD8" w14:textId="77777777" w:rsidR="001F4089" w:rsidRDefault="001F4089" w:rsidP="00C4579C">
      <w:pPr>
        <w:ind w:firstLine="720"/>
        <w:jc w:val="both"/>
        <w:rPr>
          <w:lang w:val="en-US"/>
        </w:rPr>
      </w:pPr>
    </w:p>
    <w:p w14:paraId="6C8B261A" w14:textId="77777777" w:rsidR="001F4089" w:rsidRDefault="001F4089" w:rsidP="00C4579C">
      <w:pPr>
        <w:jc w:val="both"/>
        <w:rPr>
          <w:lang w:val="en-US"/>
        </w:rPr>
      </w:pPr>
      <w:r>
        <w:rPr>
          <w:lang w:val="en-US"/>
        </w:rPr>
        <w:t xml:space="preserve">Paragraph 107 sets out that: </w:t>
      </w:r>
    </w:p>
    <w:p w14:paraId="31419D18" w14:textId="77777777" w:rsidR="001F4089" w:rsidRDefault="001F4089" w:rsidP="00C4579C">
      <w:pPr>
        <w:jc w:val="both"/>
        <w:rPr>
          <w:lang w:val="en-US"/>
        </w:rPr>
      </w:pPr>
    </w:p>
    <w:p w14:paraId="3D34800E" w14:textId="77777777" w:rsidR="001F4089" w:rsidRDefault="001F4089" w:rsidP="00C4579C">
      <w:pPr>
        <w:jc w:val="both"/>
      </w:pPr>
      <w:r>
        <w:t xml:space="preserve">If setting local parking standards for residential and non-residential development, policies should take into account: </w:t>
      </w:r>
    </w:p>
    <w:p w14:paraId="222166DD" w14:textId="77777777" w:rsidR="001F4089" w:rsidRDefault="001F4089" w:rsidP="00C4579C">
      <w:pPr>
        <w:jc w:val="both"/>
      </w:pPr>
    </w:p>
    <w:p w14:paraId="7673F497" w14:textId="77777777" w:rsidR="001F4089" w:rsidRDefault="001F4089" w:rsidP="00C4579C">
      <w:pPr>
        <w:pStyle w:val="ListParagraph"/>
        <w:numPr>
          <w:ilvl w:val="0"/>
          <w:numId w:val="15"/>
        </w:numPr>
        <w:jc w:val="both"/>
      </w:pPr>
      <w:r>
        <w:t>the accessibility of the development;</w:t>
      </w:r>
    </w:p>
    <w:p w14:paraId="597B298F" w14:textId="77777777" w:rsidR="001F4089" w:rsidRDefault="001F4089" w:rsidP="00C4579C">
      <w:pPr>
        <w:pStyle w:val="ListParagraph"/>
        <w:numPr>
          <w:ilvl w:val="0"/>
          <w:numId w:val="15"/>
        </w:numPr>
        <w:jc w:val="both"/>
      </w:pPr>
      <w:r>
        <w:t>the type, mix and use of development;</w:t>
      </w:r>
    </w:p>
    <w:p w14:paraId="64F63195" w14:textId="77777777" w:rsidR="001F4089" w:rsidRDefault="001F4089" w:rsidP="00C4579C">
      <w:pPr>
        <w:pStyle w:val="ListParagraph"/>
        <w:numPr>
          <w:ilvl w:val="0"/>
          <w:numId w:val="15"/>
        </w:numPr>
        <w:jc w:val="both"/>
      </w:pPr>
      <w:r>
        <w:t>the availability of and opportunities for public transport;</w:t>
      </w:r>
    </w:p>
    <w:p w14:paraId="53D90AC7" w14:textId="77777777" w:rsidR="001F4089" w:rsidRDefault="001F4089" w:rsidP="00C4579C">
      <w:pPr>
        <w:pStyle w:val="ListParagraph"/>
        <w:numPr>
          <w:ilvl w:val="0"/>
          <w:numId w:val="15"/>
        </w:numPr>
        <w:jc w:val="both"/>
      </w:pPr>
      <w:r>
        <w:t>local car ownership levels; and</w:t>
      </w:r>
    </w:p>
    <w:p w14:paraId="487F527A" w14:textId="77777777" w:rsidR="001F4089" w:rsidRDefault="001F4089" w:rsidP="00C4579C">
      <w:pPr>
        <w:pStyle w:val="ListParagraph"/>
        <w:numPr>
          <w:ilvl w:val="0"/>
          <w:numId w:val="15"/>
        </w:numPr>
        <w:jc w:val="both"/>
      </w:pPr>
      <w:proofErr w:type="gramStart"/>
      <w:r>
        <w:t>the</w:t>
      </w:r>
      <w:proofErr w:type="gramEnd"/>
      <w:r>
        <w:t xml:space="preserve"> need to ensure an adequate provision of spaces for charging plug-in and other ultra-low emission vehicles. </w:t>
      </w:r>
    </w:p>
    <w:p w14:paraId="578BF885" w14:textId="77777777" w:rsidR="001F4089" w:rsidRDefault="001F4089" w:rsidP="00C4579C">
      <w:pPr>
        <w:jc w:val="both"/>
      </w:pPr>
    </w:p>
    <w:p w14:paraId="2FC9FD3B" w14:textId="77777777" w:rsidR="001F4089" w:rsidRDefault="001F4089" w:rsidP="00C4579C">
      <w:pPr>
        <w:jc w:val="both"/>
      </w:pPr>
      <w:r>
        <w:t xml:space="preserve">Paragraph 108 sets out that (emphasis added):- </w:t>
      </w:r>
    </w:p>
    <w:p w14:paraId="73047E06" w14:textId="77777777" w:rsidR="001F4089" w:rsidRDefault="001F4089" w:rsidP="00C4579C">
      <w:pPr>
        <w:jc w:val="both"/>
      </w:pPr>
    </w:p>
    <w:p w14:paraId="0E6391DC" w14:textId="77777777" w:rsidR="001F4089" w:rsidRDefault="001F4089" w:rsidP="00C4579C">
      <w:pPr>
        <w:jc w:val="both"/>
        <w:rPr>
          <w:lang w:val="en-US"/>
        </w:rPr>
      </w:pPr>
      <w:r>
        <w:t xml:space="preserve">Maximum parking standards for residential and non-residential development should only be set where there is a clear and compelling justification that they are necessary for managing the local road network, or for optimising the density of development in city and town centres and other locations that are well served by public transport (in </w:t>
      </w:r>
      <w:r>
        <w:lastRenderedPageBreak/>
        <w:t>accordance with chapter 11 of this Framework). In town centres, local authorities should seek to improve the quality of parking so that it is convenient, safe and secure, alongside measures to promote accessibility for pedestrians and cyclists.</w:t>
      </w:r>
    </w:p>
    <w:p w14:paraId="1CDF6B22" w14:textId="77777777" w:rsidR="001F4089" w:rsidRDefault="001F4089" w:rsidP="00C4579C">
      <w:pPr>
        <w:ind w:left="720"/>
        <w:jc w:val="both"/>
        <w:rPr>
          <w:lang w:val="en-US"/>
        </w:rPr>
      </w:pPr>
    </w:p>
    <w:p w14:paraId="421DB265" w14:textId="77777777" w:rsidR="001F4089" w:rsidRDefault="001F4089" w:rsidP="00C4579C">
      <w:pPr>
        <w:jc w:val="both"/>
      </w:pPr>
      <w:r>
        <w:t>The NPPF also sets out in Paragraphs 110-112 “Considering development proposals” that:</w:t>
      </w:r>
    </w:p>
    <w:p w14:paraId="0851ABA1" w14:textId="77777777" w:rsidR="001F4089" w:rsidRDefault="001F4089" w:rsidP="00C4579C">
      <w:pPr>
        <w:jc w:val="both"/>
      </w:pPr>
    </w:p>
    <w:p w14:paraId="4031F849" w14:textId="77777777" w:rsidR="001F4089" w:rsidRDefault="001F4089" w:rsidP="00C4579C">
      <w:pPr>
        <w:jc w:val="both"/>
      </w:pPr>
      <w:r>
        <w:t>In assessing sites that may be allocated for development in plans, or specific applications for development, it should be ensured that:</w:t>
      </w:r>
    </w:p>
    <w:p w14:paraId="580ED638" w14:textId="77777777" w:rsidR="001F4089" w:rsidRDefault="001F4089" w:rsidP="00C4579C">
      <w:pPr>
        <w:jc w:val="both"/>
      </w:pPr>
    </w:p>
    <w:p w14:paraId="4C3D0A0B" w14:textId="77777777" w:rsidR="001F4089" w:rsidRDefault="001F4089" w:rsidP="00C4579C">
      <w:pPr>
        <w:jc w:val="both"/>
      </w:pPr>
      <w:r>
        <w:t xml:space="preserve">a) </w:t>
      </w:r>
      <w:proofErr w:type="gramStart"/>
      <w:r>
        <w:t>appropriate</w:t>
      </w:r>
      <w:proofErr w:type="gramEnd"/>
      <w:r>
        <w:t xml:space="preserve"> opportunities to promote sustainable transport modes can be – or have been – taken up, given the type of development and its location; </w:t>
      </w:r>
    </w:p>
    <w:p w14:paraId="5CB730D2" w14:textId="77777777" w:rsidR="001F4089" w:rsidRDefault="001F4089" w:rsidP="00C4579C">
      <w:pPr>
        <w:jc w:val="both"/>
      </w:pPr>
    </w:p>
    <w:p w14:paraId="7AD8C68C" w14:textId="77777777" w:rsidR="001F4089" w:rsidRDefault="001F4089" w:rsidP="00C4579C">
      <w:pPr>
        <w:jc w:val="both"/>
      </w:pPr>
      <w:r>
        <w:t xml:space="preserve">b) </w:t>
      </w:r>
      <w:proofErr w:type="gramStart"/>
      <w:r>
        <w:t>safe</w:t>
      </w:r>
      <w:proofErr w:type="gramEnd"/>
      <w:r>
        <w:t xml:space="preserve"> and suitable access to the site can be achieved for all users; </w:t>
      </w:r>
    </w:p>
    <w:p w14:paraId="6945D607" w14:textId="77777777" w:rsidR="001F4089" w:rsidRDefault="001F4089" w:rsidP="00C4579C">
      <w:pPr>
        <w:jc w:val="both"/>
      </w:pPr>
    </w:p>
    <w:p w14:paraId="3730BD69" w14:textId="77777777" w:rsidR="001F4089" w:rsidRDefault="001F4089" w:rsidP="00C4579C">
      <w:pPr>
        <w:jc w:val="both"/>
      </w:pPr>
      <w:r>
        <w:t xml:space="preserve">c) the design of streets, </w:t>
      </w:r>
      <w:r>
        <w:rPr>
          <w:b/>
        </w:rPr>
        <w:t>parking areas</w:t>
      </w:r>
      <w:r>
        <w:t xml:space="preserve">, other transport elements and the content of associated standards reflects current national guidance, including the National Design Guide and the National Model Design Code; and </w:t>
      </w:r>
    </w:p>
    <w:p w14:paraId="63DF2A14" w14:textId="77777777" w:rsidR="001F4089" w:rsidRDefault="001F4089" w:rsidP="00C4579C">
      <w:pPr>
        <w:jc w:val="both"/>
      </w:pPr>
    </w:p>
    <w:p w14:paraId="035E1F4E" w14:textId="77777777" w:rsidR="001F4089" w:rsidRDefault="001F4089" w:rsidP="00C4579C">
      <w:pPr>
        <w:jc w:val="both"/>
        <w:rPr>
          <w:lang w:val="en-US"/>
        </w:rPr>
      </w:pPr>
      <w:r>
        <w:t xml:space="preserve">d) </w:t>
      </w:r>
      <w:proofErr w:type="gramStart"/>
      <w:r>
        <w:t>any</w:t>
      </w:r>
      <w:proofErr w:type="gramEnd"/>
      <w:r>
        <w:t xml:space="preserve"> significant impacts from the development on the transport network (in terms of capacity and congestion), or on highway safety, can be cost effectively mitigated to an acceptable degree.</w:t>
      </w:r>
    </w:p>
    <w:p w14:paraId="4CE3A53D" w14:textId="77777777" w:rsidR="001F4089" w:rsidRDefault="001F4089" w:rsidP="00C4579C">
      <w:pPr>
        <w:ind w:left="720"/>
        <w:jc w:val="both"/>
        <w:rPr>
          <w:lang w:val="en-US"/>
        </w:rPr>
      </w:pPr>
    </w:p>
    <w:p w14:paraId="5446EDF3" w14:textId="77777777" w:rsidR="001F4089" w:rsidRDefault="001F4089" w:rsidP="00C4579C">
      <w:pPr>
        <w:jc w:val="both"/>
        <w:rPr>
          <w:lang w:val="en-US"/>
        </w:rPr>
      </w:pPr>
      <w:r>
        <w:t>Development should only be prevented or refused on highways grounds if there would be an unacceptable impact on highway safety, or the residual cumulative impacts on the road network would be severe.</w:t>
      </w:r>
    </w:p>
    <w:p w14:paraId="4023667C" w14:textId="77777777" w:rsidR="001F4089" w:rsidRDefault="001F4089" w:rsidP="00C4579C">
      <w:pPr>
        <w:jc w:val="both"/>
        <w:rPr>
          <w:lang w:val="en-US"/>
        </w:rPr>
      </w:pPr>
    </w:p>
    <w:p w14:paraId="291F6968" w14:textId="77777777" w:rsidR="001F4089" w:rsidRDefault="001F4089" w:rsidP="00C4579C">
      <w:pPr>
        <w:jc w:val="both"/>
      </w:pPr>
      <w:r>
        <w:t xml:space="preserve">Within this context, applications for development should: </w:t>
      </w:r>
    </w:p>
    <w:p w14:paraId="351B83C3" w14:textId="77777777" w:rsidR="001F4089" w:rsidRDefault="001F4089" w:rsidP="00C4579C">
      <w:pPr>
        <w:jc w:val="both"/>
      </w:pPr>
    </w:p>
    <w:p w14:paraId="7B9AA687" w14:textId="77777777" w:rsidR="001F4089" w:rsidRDefault="001F4089" w:rsidP="00C4579C">
      <w:pPr>
        <w:jc w:val="both"/>
      </w:pPr>
      <w:r>
        <w:t xml:space="preserve">a) give priority first to pedestrian and cycle movements, both within the scheme and with neighbouring areas; and second – so far as possible – to facilitating access to high quality public transport, with layouts that maximise the catchment area for bus or other public transport services, and appropriate facilities that encourage public transport use; </w:t>
      </w:r>
    </w:p>
    <w:p w14:paraId="76F38F50" w14:textId="77777777" w:rsidR="001F4089" w:rsidRDefault="001F4089" w:rsidP="00C4579C">
      <w:pPr>
        <w:jc w:val="both"/>
      </w:pPr>
    </w:p>
    <w:p w14:paraId="78CDDD14" w14:textId="77777777" w:rsidR="001F4089" w:rsidRDefault="001F4089" w:rsidP="00C4579C">
      <w:pPr>
        <w:jc w:val="both"/>
      </w:pPr>
      <w:r>
        <w:t xml:space="preserve">b) </w:t>
      </w:r>
      <w:proofErr w:type="gramStart"/>
      <w:r>
        <w:rPr>
          <w:b/>
        </w:rPr>
        <w:t>address</w:t>
      </w:r>
      <w:proofErr w:type="gramEnd"/>
      <w:r>
        <w:rPr>
          <w:b/>
        </w:rPr>
        <w:t xml:space="preserve"> the needs of people with disabilities</w:t>
      </w:r>
      <w:r>
        <w:t xml:space="preserve"> and reduced mobility in relation to all modes of transport; </w:t>
      </w:r>
    </w:p>
    <w:p w14:paraId="0CA75390" w14:textId="77777777" w:rsidR="001F4089" w:rsidRDefault="001F4089" w:rsidP="00C4579C">
      <w:pPr>
        <w:jc w:val="both"/>
      </w:pPr>
    </w:p>
    <w:p w14:paraId="0A3D6234" w14:textId="77777777" w:rsidR="001F4089" w:rsidRDefault="001F4089" w:rsidP="00C4579C">
      <w:pPr>
        <w:jc w:val="both"/>
      </w:pPr>
      <w:r>
        <w:t xml:space="preserve">c) create places that are safe, secure and attractive – which minimise the scope for conflicts between pedestrians, cyclists and vehicles, avoid unnecessary street clutter, and respond to local character and design standards; </w:t>
      </w:r>
    </w:p>
    <w:p w14:paraId="6FED22C7" w14:textId="77777777" w:rsidR="001F4089" w:rsidRDefault="001F4089" w:rsidP="00C4579C">
      <w:pPr>
        <w:jc w:val="both"/>
      </w:pPr>
    </w:p>
    <w:p w14:paraId="775C2DD7" w14:textId="77777777" w:rsidR="001F4089" w:rsidRDefault="001F4089" w:rsidP="00C4579C">
      <w:pPr>
        <w:jc w:val="both"/>
      </w:pPr>
      <w:r>
        <w:t xml:space="preserve">d) </w:t>
      </w:r>
      <w:proofErr w:type="gramStart"/>
      <w:r>
        <w:t>allow</w:t>
      </w:r>
      <w:proofErr w:type="gramEnd"/>
      <w:r>
        <w:t xml:space="preserve"> for the efficient delivery of goods, and access by service and emergency vehicles; and </w:t>
      </w:r>
    </w:p>
    <w:p w14:paraId="2657938F" w14:textId="77777777" w:rsidR="001F4089" w:rsidRDefault="001F4089" w:rsidP="00C4579C">
      <w:pPr>
        <w:jc w:val="both"/>
      </w:pPr>
    </w:p>
    <w:p w14:paraId="08C49192" w14:textId="77777777" w:rsidR="001F4089" w:rsidRDefault="001F4089" w:rsidP="00C4579C">
      <w:pPr>
        <w:jc w:val="both"/>
        <w:rPr>
          <w:lang w:val="en-US"/>
        </w:rPr>
      </w:pPr>
      <w:r>
        <w:t xml:space="preserve">e) </w:t>
      </w:r>
      <w:proofErr w:type="gramStart"/>
      <w:r>
        <w:t>be</w:t>
      </w:r>
      <w:proofErr w:type="gramEnd"/>
      <w:r>
        <w:t xml:space="preserve"> designed to enable charging of plug-in and other ultra-low emission vehicles in safe, accessible and convenient locations.</w:t>
      </w:r>
    </w:p>
    <w:p w14:paraId="78113F7D" w14:textId="77777777" w:rsidR="001F4089" w:rsidRDefault="001F4089" w:rsidP="00C4579C">
      <w:pPr>
        <w:jc w:val="both"/>
        <w:rPr>
          <w:lang w:val="en-US"/>
        </w:rPr>
      </w:pPr>
    </w:p>
    <w:p w14:paraId="48BD9A1E" w14:textId="77777777" w:rsidR="001F4089" w:rsidRDefault="001F4089" w:rsidP="00C4579C">
      <w:pPr>
        <w:jc w:val="both"/>
        <w:rPr>
          <w:lang w:val="en-US"/>
        </w:rPr>
      </w:pPr>
    </w:p>
    <w:p w14:paraId="2CCE468B" w14:textId="77777777" w:rsidR="001F4089" w:rsidRDefault="001F4089" w:rsidP="00C4579C">
      <w:pPr>
        <w:jc w:val="both"/>
        <w:rPr>
          <w:lang w:val="en-US"/>
        </w:rPr>
      </w:pPr>
    </w:p>
    <w:p w14:paraId="00750D94" w14:textId="77777777" w:rsidR="001F4089" w:rsidRDefault="001F4089" w:rsidP="00C4579C">
      <w:pPr>
        <w:jc w:val="both"/>
        <w:rPr>
          <w:lang w:val="en-US"/>
        </w:rPr>
      </w:pPr>
    </w:p>
    <w:p w14:paraId="25969A65" w14:textId="77777777" w:rsidR="001F4089" w:rsidRDefault="001F4089" w:rsidP="00C4579C">
      <w:pPr>
        <w:jc w:val="both"/>
        <w:rPr>
          <w:lang w:val="en-US"/>
        </w:rPr>
      </w:pPr>
      <w:r>
        <w:rPr>
          <w:lang w:val="en-US"/>
        </w:rPr>
        <w:t xml:space="preserve">Paragraph 120 sets out that (emphasis added): </w:t>
      </w:r>
    </w:p>
    <w:p w14:paraId="1DADCDF1" w14:textId="77777777" w:rsidR="001F4089" w:rsidRDefault="001F4089" w:rsidP="00C4579C">
      <w:pPr>
        <w:jc w:val="both"/>
        <w:rPr>
          <w:lang w:val="en-US"/>
        </w:rPr>
      </w:pPr>
    </w:p>
    <w:p w14:paraId="2FC24CD6" w14:textId="77777777" w:rsidR="001F4089" w:rsidRDefault="001F4089" w:rsidP="00C4579C">
      <w:pPr>
        <w:jc w:val="both"/>
      </w:pPr>
      <w:r>
        <w:t xml:space="preserve">Planning policies and decisions should, inter alia, promote and support the development of under-utilised land and buildings, especially if this would help to meet identified needs for housing where land supply is constrained and available sites could be used more effectively (for example converting space above shops, and building on or above service yards, </w:t>
      </w:r>
      <w:r>
        <w:rPr>
          <w:b/>
        </w:rPr>
        <w:t>car parks</w:t>
      </w:r>
      <w:r>
        <w:t>, lock-ups and railway infrastructure).</w:t>
      </w:r>
    </w:p>
    <w:p w14:paraId="4C0A8B5D" w14:textId="77777777" w:rsidR="001F4089" w:rsidRDefault="001F4089" w:rsidP="00C4579C">
      <w:pPr>
        <w:jc w:val="both"/>
        <w:rPr>
          <w:lang w:val="en-US"/>
        </w:rPr>
      </w:pPr>
    </w:p>
    <w:p w14:paraId="4B915A45" w14:textId="77777777" w:rsidR="001F4089" w:rsidRDefault="001F4089" w:rsidP="00C4579C">
      <w:pPr>
        <w:jc w:val="both"/>
        <w:rPr>
          <w:lang w:val="en-US"/>
        </w:rPr>
      </w:pPr>
    </w:p>
    <w:p w14:paraId="2240E561" w14:textId="77777777" w:rsidR="001F4089" w:rsidRDefault="001F4089" w:rsidP="00C4579C">
      <w:pPr>
        <w:jc w:val="both"/>
        <w:rPr>
          <w:u w:val="single"/>
          <w:lang w:val="en-US"/>
        </w:rPr>
      </w:pPr>
      <w:r>
        <w:rPr>
          <w:u w:val="single"/>
          <w:lang w:val="en-US"/>
        </w:rPr>
        <w:t>Planning Practice Guidance</w:t>
      </w:r>
    </w:p>
    <w:p w14:paraId="2EAC8BB0" w14:textId="77777777" w:rsidR="001F4089" w:rsidRDefault="001F4089" w:rsidP="00C4579C">
      <w:pPr>
        <w:jc w:val="both"/>
        <w:rPr>
          <w:u w:val="single"/>
          <w:lang w:val="en-US"/>
        </w:rPr>
      </w:pPr>
    </w:p>
    <w:p w14:paraId="2C77A36C" w14:textId="77777777" w:rsidR="001F4089" w:rsidRDefault="001F4089" w:rsidP="00C4579C">
      <w:pPr>
        <w:jc w:val="both"/>
        <w:rPr>
          <w:lang w:val="en-US"/>
        </w:rPr>
      </w:pPr>
      <w:r>
        <w:rPr>
          <w:lang w:val="en-US"/>
        </w:rPr>
        <w:t xml:space="preserve">The Planning Practice Guidance (PPG) – a website based resource – set out additional guidance on transport planning issues. The following sections of the PPG relate specifically to modal shift (emphasis added). </w:t>
      </w:r>
    </w:p>
    <w:p w14:paraId="04C540D4" w14:textId="77777777" w:rsidR="001F4089" w:rsidRDefault="001F4089" w:rsidP="00C4579C">
      <w:pPr>
        <w:jc w:val="both"/>
        <w:rPr>
          <w:lang w:val="en-US"/>
        </w:rPr>
      </w:pPr>
    </w:p>
    <w:p w14:paraId="1E54A949" w14:textId="77777777" w:rsidR="001F4089" w:rsidRDefault="001F4089" w:rsidP="00C4579C">
      <w:pPr>
        <w:jc w:val="both"/>
        <w:rPr>
          <w:lang w:val="en-US"/>
        </w:rPr>
      </w:pPr>
    </w:p>
    <w:p w14:paraId="30EF05B3" w14:textId="77777777" w:rsidR="001F4089" w:rsidRDefault="001F4089" w:rsidP="00C4579C">
      <w:pPr>
        <w:jc w:val="both"/>
        <w:rPr>
          <w:b/>
          <w:bCs/>
        </w:rPr>
      </w:pPr>
      <w:r>
        <w:rPr>
          <w:bCs/>
          <w:i/>
        </w:rPr>
        <w:t>Why establish a transport evidence base for Local Plans?</w:t>
      </w:r>
      <w:r>
        <w:rPr>
          <w:rStyle w:val="FootnoteReference"/>
          <w:b/>
          <w:bCs/>
        </w:rPr>
        <w:footnoteReference w:id="3"/>
      </w:r>
    </w:p>
    <w:p w14:paraId="5CBA75FF" w14:textId="77777777" w:rsidR="001F4089" w:rsidRDefault="001F4089" w:rsidP="00C4579C">
      <w:pPr>
        <w:jc w:val="both"/>
      </w:pPr>
    </w:p>
    <w:p w14:paraId="784DACE5" w14:textId="77777777" w:rsidR="001F4089" w:rsidRDefault="001F4089" w:rsidP="00C4579C">
      <w:pPr>
        <w:jc w:val="both"/>
      </w:pPr>
      <w:r>
        <w:t>It is important for local planning authorities to undertake an assessment of the transport implications in developing or reviewing their Local Plan so that a robust transport evidence base may be developed to support the preparation and/or review of that Plan. A robust transport evidence base can facilitate approval of the Local Plan and reduce costs and delays to the delivery of new development, thus reducing the burden on the public purse and private sector.</w:t>
      </w:r>
    </w:p>
    <w:p w14:paraId="56EED7A8" w14:textId="77777777" w:rsidR="001F4089" w:rsidRDefault="001F4089" w:rsidP="00C4579C">
      <w:pPr>
        <w:jc w:val="both"/>
      </w:pPr>
    </w:p>
    <w:p w14:paraId="23D43BA6" w14:textId="77777777" w:rsidR="001F4089" w:rsidRDefault="001F4089" w:rsidP="00C4579C">
      <w:pPr>
        <w:jc w:val="both"/>
      </w:pPr>
      <w:r>
        <w:t>The transport evidence base should identify the opportunities for encouraging a shift to more sustainable transport usage, where reasonable to do so; and highlight the infrastructure requirements for inclusion in infrastructure spending plans linked to the Community Infrastructure Levy, section 106 provisions and other funding sources.</w:t>
      </w:r>
    </w:p>
    <w:p w14:paraId="20010D33" w14:textId="77777777" w:rsidR="001F4089" w:rsidRDefault="001F4089" w:rsidP="00C4579C">
      <w:pPr>
        <w:jc w:val="both"/>
      </w:pPr>
    </w:p>
    <w:p w14:paraId="6364125A" w14:textId="77777777" w:rsidR="001F4089" w:rsidRDefault="001F4089" w:rsidP="00C4579C">
      <w:pPr>
        <w:jc w:val="both"/>
      </w:pPr>
      <w:r>
        <w:t>Local planning authorities should also refer to the Department for Transport’s Circular 02/2013: The Strategic Road Network and the Delivery of Sustainable Development</w:t>
      </w:r>
    </w:p>
    <w:p w14:paraId="1120E2B6" w14:textId="77777777" w:rsidR="001F4089" w:rsidRDefault="001F4089" w:rsidP="00C4579C">
      <w:pPr>
        <w:jc w:val="both"/>
      </w:pPr>
    </w:p>
    <w:p w14:paraId="35A615B1" w14:textId="77777777" w:rsidR="001F4089" w:rsidRDefault="001F4089" w:rsidP="00C4579C">
      <w:pPr>
        <w:jc w:val="both"/>
      </w:pPr>
    </w:p>
    <w:p w14:paraId="3F9AFC45" w14:textId="77777777" w:rsidR="001F4089" w:rsidRDefault="001F4089" w:rsidP="00C4579C">
      <w:pPr>
        <w:jc w:val="both"/>
        <w:rPr>
          <w:b/>
          <w:bCs/>
        </w:rPr>
      </w:pPr>
      <w:r>
        <w:rPr>
          <w:bCs/>
          <w:i/>
        </w:rPr>
        <w:t>What is the purpose of a transport evidence base to support the Local Plan?</w:t>
      </w:r>
      <w:r>
        <w:rPr>
          <w:rStyle w:val="FootnoteReference"/>
          <w:b/>
          <w:bCs/>
        </w:rPr>
        <w:footnoteReference w:id="4"/>
      </w:r>
    </w:p>
    <w:p w14:paraId="37CCBC28" w14:textId="77777777" w:rsidR="001F4089" w:rsidRDefault="001F4089" w:rsidP="00C4579C">
      <w:pPr>
        <w:jc w:val="both"/>
        <w:rPr>
          <w:b/>
          <w:bCs/>
        </w:rPr>
      </w:pPr>
    </w:p>
    <w:p w14:paraId="445B233F" w14:textId="77777777" w:rsidR="001F4089" w:rsidRDefault="001F4089" w:rsidP="00C4579C">
      <w:pPr>
        <w:jc w:val="both"/>
      </w:pPr>
      <w:r>
        <w:t>A robust evidence base will enable an assessment of the transport impacts of both existing development as well as that proposed, and can inform sustainable approaches to transport at a plan-making level. This will include consideration of viability and deliverability.</w:t>
      </w:r>
    </w:p>
    <w:p w14:paraId="7764041F" w14:textId="77777777" w:rsidR="001F4089" w:rsidRDefault="001F4089" w:rsidP="00C4579C">
      <w:pPr>
        <w:jc w:val="both"/>
      </w:pPr>
    </w:p>
    <w:p w14:paraId="26BCA5DB" w14:textId="553E78B0" w:rsidR="00732A7A" w:rsidRDefault="00732A7A" w:rsidP="00C4579C">
      <w:pPr>
        <w:jc w:val="both"/>
      </w:pPr>
    </w:p>
    <w:p w14:paraId="58A8D479" w14:textId="60BDF31E" w:rsidR="00CD3B5F" w:rsidRDefault="00CD3B5F" w:rsidP="00C4579C">
      <w:pPr>
        <w:jc w:val="both"/>
      </w:pPr>
    </w:p>
    <w:p w14:paraId="7224A401" w14:textId="77777777" w:rsidR="00CD3B5F" w:rsidRDefault="00CD3B5F" w:rsidP="00C4579C">
      <w:pPr>
        <w:jc w:val="both"/>
      </w:pPr>
    </w:p>
    <w:p w14:paraId="52FF0A1A" w14:textId="0DDF07CD" w:rsidR="001F4089" w:rsidRDefault="001F4089" w:rsidP="00C4579C">
      <w:pPr>
        <w:jc w:val="both"/>
      </w:pPr>
      <w:r>
        <w:t>A robust assessment will establish evidence that may be useful in:</w:t>
      </w:r>
    </w:p>
    <w:p w14:paraId="1D337691" w14:textId="77777777" w:rsidR="001F4089" w:rsidRDefault="001F4089" w:rsidP="00C4579C">
      <w:pPr>
        <w:jc w:val="both"/>
      </w:pPr>
    </w:p>
    <w:p w14:paraId="5A585A76" w14:textId="77777777" w:rsidR="001F4089" w:rsidRDefault="001F4089" w:rsidP="00C4579C">
      <w:pPr>
        <w:pStyle w:val="ListParagraph"/>
        <w:numPr>
          <w:ilvl w:val="0"/>
          <w:numId w:val="16"/>
        </w:numPr>
        <w:jc w:val="both"/>
      </w:pPr>
      <w:r>
        <w:t>improving the sustainability of transport provision</w:t>
      </w:r>
    </w:p>
    <w:p w14:paraId="0A934D24" w14:textId="77777777" w:rsidR="001F4089" w:rsidRDefault="001F4089" w:rsidP="00C4579C">
      <w:pPr>
        <w:pStyle w:val="ListParagraph"/>
        <w:numPr>
          <w:ilvl w:val="0"/>
          <w:numId w:val="16"/>
        </w:numPr>
        <w:jc w:val="both"/>
      </w:pPr>
      <w:r>
        <w:t>enhancing accessibility</w:t>
      </w:r>
    </w:p>
    <w:p w14:paraId="5003239C" w14:textId="77777777" w:rsidR="001F4089" w:rsidRDefault="001F4089" w:rsidP="00C4579C">
      <w:pPr>
        <w:pStyle w:val="ListParagraph"/>
        <w:numPr>
          <w:ilvl w:val="0"/>
          <w:numId w:val="16"/>
        </w:numPr>
        <w:jc w:val="both"/>
      </w:pPr>
      <w:r>
        <w:t xml:space="preserve">creating choice amongst </w:t>
      </w:r>
      <w:r>
        <w:rPr>
          <w:u w:val="single"/>
        </w:rPr>
        <w:t>different modes of transport</w:t>
      </w:r>
    </w:p>
    <w:p w14:paraId="237A0718" w14:textId="77777777" w:rsidR="001F4089" w:rsidRDefault="001F4089" w:rsidP="00C4579C">
      <w:pPr>
        <w:pStyle w:val="ListParagraph"/>
        <w:numPr>
          <w:ilvl w:val="0"/>
          <w:numId w:val="16"/>
        </w:numPr>
        <w:jc w:val="both"/>
      </w:pPr>
      <w:r>
        <w:t>improving health and well-being</w:t>
      </w:r>
    </w:p>
    <w:p w14:paraId="1B6EDB05" w14:textId="77777777" w:rsidR="001F4089" w:rsidRDefault="001F4089" w:rsidP="00C4579C">
      <w:pPr>
        <w:pStyle w:val="ListParagraph"/>
        <w:numPr>
          <w:ilvl w:val="0"/>
          <w:numId w:val="16"/>
        </w:numPr>
        <w:jc w:val="both"/>
      </w:pPr>
      <w:r>
        <w:t>supporting economic vitality</w:t>
      </w:r>
    </w:p>
    <w:p w14:paraId="06D5043E" w14:textId="77777777" w:rsidR="001F4089" w:rsidRDefault="001F4089" w:rsidP="00C4579C">
      <w:pPr>
        <w:pStyle w:val="ListParagraph"/>
        <w:numPr>
          <w:ilvl w:val="0"/>
          <w:numId w:val="16"/>
        </w:numPr>
        <w:jc w:val="both"/>
      </w:pPr>
      <w:r>
        <w:t>improving public understanding of the transport implications of development</w:t>
      </w:r>
    </w:p>
    <w:p w14:paraId="3510858E" w14:textId="77777777" w:rsidR="001F4089" w:rsidRDefault="001F4089" w:rsidP="00C4579C">
      <w:pPr>
        <w:pStyle w:val="ListParagraph"/>
        <w:numPr>
          <w:ilvl w:val="0"/>
          <w:numId w:val="16"/>
        </w:numPr>
        <w:jc w:val="both"/>
      </w:pPr>
      <w:r>
        <w:t>enabling other highway and transport authorities/service providers to support and deliver the transport infrastructure that conforms to the Local Plan</w:t>
      </w:r>
    </w:p>
    <w:p w14:paraId="55E079EB" w14:textId="77777777" w:rsidR="001F4089" w:rsidRDefault="001F4089" w:rsidP="00C4579C">
      <w:pPr>
        <w:pStyle w:val="ListParagraph"/>
        <w:numPr>
          <w:ilvl w:val="0"/>
          <w:numId w:val="16"/>
        </w:numPr>
        <w:jc w:val="both"/>
      </w:pPr>
      <w:r>
        <w:t>supporting local shops and the high street</w:t>
      </w:r>
    </w:p>
    <w:p w14:paraId="1FB20457" w14:textId="77777777" w:rsidR="001F4089" w:rsidRDefault="001F4089" w:rsidP="00C4579C">
      <w:pPr>
        <w:pStyle w:val="ListParagraph"/>
        <w:jc w:val="both"/>
      </w:pPr>
    </w:p>
    <w:p w14:paraId="0B5D3A87" w14:textId="77777777" w:rsidR="001F4089" w:rsidRDefault="001F4089" w:rsidP="00C4579C">
      <w:pPr>
        <w:pStyle w:val="Heading3"/>
        <w:shd w:val="clear" w:color="auto" w:fill="FFFFFF"/>
        <w:spacing w:before="0"/>
        <w:jc w:val="both"/>
        <w:rPr>
          <w:rFonts w:ascii="Arial" w:hAnsi="Arial" w:cs="Arial"/>
          <w:b/>
          <w:color w:val="0B0C0C"/>
        </w:rPr>
      </w:pPr>
    </w:p>
    <w:p w14:paraId="129AF402" w14:textId="77777777" w:rsidR="001F4089" w:rsidRDefault="001F4089" w:rsidP="00C4579C">
      <w:pPr>
        <w:pStyle w:val="Heading3"/>
        <w:shd w:val="clear" w:color="auto" w:fill="FFFFFF"/>
        <w:spacing w:before="0"/>
        <w:jc w:val="both"/>
        <w:rPr>
          <w:rFonts w:ascii="Arial" w:hAnsi="Arial" w:cs="Arial"/>
          <w:b/>
          <w:color w:val="0B0C0C"/>
        </w:rPr>
      </w:pPr>
      <w:r>
        <w:rPr>
          <w:rFonts w:ascii="Arial" w:hAnsi="Arial" w:cs="Arial"/>
          <w:i/>
          <w:color w:val="0B0C0C"/>
        </w:rPr>
        <w:t>What key issues should be considered in developing the transport evidence base to support the Local Plan</w:t>
      </w:r>
      <w:r>
        <w:rPr>
          <w:rFonts w:ascii="Arial" w:hAnsi="Arial" w:cs="Arial"/>
          <w:color w:val="0B0C0C"/>
        </w:rPr>
        <w:t>?</w:t>
      </w:r>
      <w:r>
        <w:rPr>
          <w:rStyle w:val="FootnoteReference"/>
          <w:rFonts w:ascii="Arial" w:hAnsi="Arial" w:cs="Arial"/>
          <w:b/>
          <w:color w:val="0B0C0C"/>
        </w:rPr>
        <w:footnoteReference w:id="5"/>
      </w:r>
    </w:p>
    <w:p w14:paraId="5D8FB596" w14:textId="77777777" w:rsidR="001F4089" w:rsidRDefault="001F4089" w:rsidP="00C4579C">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The key issues, which should be considered in developing a transport evidence base, include the need to:</w:t>
      </w:r>
    </w:p>
    <w:p w14:paraId="6D36128E" w14:textId="77777777" w:rsidR="001F4089" w:rsidRDefault="001F4089" w:rsidP="00C4579C">
      <w:pPr>
        <w:numPr>
          <w:ilvl w:val="0"/>
          <w:numId w:val="17"/>
        </w:numPr>
        <w:shd w:val="clear" w:color="auto" w:fill="FFFFFF"/>
        <w:spacing w:after="75"/>
        <w:ind w:left="1020"/>
        <w:jc w:val="both"/>
        <w:rPr>
          <w:rFonts w:cs="Arial"/>
          <w:color w:val="0B0C0C"/>
          <w:szCs w:val="24"/>
        </w:rPr>
      </w:pPr>
      <w:r>
        <w:rPr>
          <w:rFonts w:cs="Arial"/>
          <w:color w:val="0B0C0C"/>
          <w:szCs w:val="24"/>
        </w:rPr>
        <w:t xml:space="preserve">assess the existing situation and likely generation of trips over time by all </w:t>
      </w:r>
      <w:r>
        <w:rPr>
          <w:rFonts w:cs="Arial"/>
          <w:color w:val="0B0C0C"/>
          <w:szCs w:val="24"/>
          <w:u w:val="single"/>
        </w:rPr>
        <w:t>modes</w:t>
      </w:r>
      <w:r>
        <w:rPr>
          <w:rFonts w:cs="Arial"/>
          <w:color w:val="0B0C0C"/>
          <w:szCs w:val="24"/>
        </w:rPr>
        <w:t xml:space="preserve"> and the impact on the locality in economic, social and environmental terms</w:t>
      </w:r>
    </w:p>
    <w:p w14:paraId="4E72D456" w14:textId="77777777" w:rsidR="001F4089" w:rsidRDefault="001F4089" w:rsidP="00C4579C">
      <w:pPr>
        <w:numPr>
          <w:ilvl w:val="0"/>
          <w:numId w:val="17"/>
        </w:numPr>
        <w:shd w:val="clear" w:color="auto" w:fill="FFFFFF"/>
        <w:spacing w:after="75"/>
        <w:ind w:left="1020"/>
        <w:jc w:val="both"/>
        <w:rPr>
          <w:rFonts w:cs="Arial"/>
          <w:color w:val="0B0C0C"/>
          <w:szCs w:val="24"/>
        </w:rPr>
      </w:pPr>
      <w:r>
        <w:rPr>
          <w:rFonts w:cs="Arial"/>
          <w:color w:val="0B0C0C"/>
          <w:szCs w:val="24"/>
        </w:rPr>
        <w:t xml:space="preserve">assess the opportunities to support a pattern of development that, where reasonable to do so, facilitates the use of </w:t>
      </w:r>
      <w:r>
        <w:rPr>
          <w:rFonts w:cs="Arial"/>
          <w:color w:val="0B0C0C"/>
          <w:szCs w:val="24"/>
          <w:u w:val="single"/>
        </w:rPr>
        <w:t>sustainable modes</w:t>
      </w:r>
      <w:r>
        <w:rPr>
          <w:rFonts w:cs="Arial"/>
          <w:color w:val="0B0C0C"/>
          <w:szCs w:val="24"/>
        </w:rPr>
        <w:t xml:space="preserve"> of transport</w:t>
      </w:r>
    </w:p>
    <w:p w14:paraId="2648BFBC" w14:textId="77777777" w:rsidR="001F4089" w:rsidRDefault="001F4089" w:rsidP="00C4579C">
      <w:pPr>
        <w:numPr>
          <w:ilvl w:val="0"/>
          <w:numId w:val="17"/>
        </w:numPr>
        <w:shd w:val="clear" w:color="auto" w:fill="FFFFFF"/>
        <w:spacing w:after="75"/>
        <w:ind w:left="1020"/>
        <w:jc w:val="both"/>
        <w:rPr>
          <w:rFonts w:cs="Arial"/>
          <w:color w:val="0B0C0C"/>
          <w:szCs w:val="24"/>
        </w:rPr>
      </w:pPr>
      <w:r>
        <w:rPr>
          <w:rFonts w:cs="Arial"/>
          <w:color w:val="0B0C0C"/>
          <w:szCs w:val="24"/>
        </w:rPr>
        <w:t>highlight and promote opportunities to reduce the need for travel where appropriate</w:t>
      </w:r>
    </w:p>
    <w:p w14:paraId="4FF056A1" w14:textId="77777777" w:rsidR="001F4089" w:rsidRDefault="001F4089" w:rsidP="00C4579C">
      <w:pPr>
        <w:numPr>
          <w:ilvl w:val="0"/>
          <w:numId w:val="17"/>
        </w:numPr>
        <w:shd w:val="clear" w:color="auto" w:fill="FFFFFF"/>
        <w:spacing w:after="75"/>
        <w:ind w:left="1020"/>
        <w:jc w:val="both"/>
        <w:rPr>
          <w:rFonts w:cs="Arial"/>
          <w:color w:val="0B0C0C"/>
          <w:szCs w:val="24"/>
        </w:rPr>
      </w:pPr>
      <w:r>
        <w:rPr>
          <w:rFonts w:cs="Arial"/>
          <w:color w:val="0B0C0C"/>
          <w:szCs w:val="24"/>
        </w:rPr>
        <w:t xml:space="preserve">identify opportunities to prioritise the use of </w:t>
      </w:r>
      <w:r>
        <w:rPr>
          <w:rFonts w:cs="Arial"/>
          <w:color w:val="0B0C0C"/>
          <w:szCs w:val="24"/>
          <w:u w:val="single"/>
        </w:rPr>
        <w:t>alternative modes</w:t>
      </w:r>
      <w:r>
        <w:rPr>
          <w:rFonts w:cs="Arial"/>
          <w:color w:val="0B0C0C"/>
          <w:szCs w:val="24"/>
        </w:rPr>
        <w:t xml:space="preserve"> in both existing and new development locations if appropriate</w:t>
      </w:r>
    </w:p>
    <w:p w14:paraId="52383554" w14:textId="77777777" w:rsidR="001F4089" w:rsidRDefault="001F4089" w:rsidP="00C4579C">
      <w:pPr>
        <w:numPr>
          <w:ilvl w:val="0"/>
          <w:numId w:val="17"/>
        </w:numPr>
        <w:shd w:val="clear" w:color="auto" w:fill="FFFFFF"/>
        <w:spacing w:after="75"/>
        <w:ind w:left="1020"/>
        <w:jc w:val="both"/>
        <w:rPr>
          <w:rFonts w:cs="Arial"/>
          <w:color w:val="0B0C0C"/>
          <w:szCs w:val="24"/>
        </w:rPr>
      </w:pPr>
      <w:r>
        <w:rPr>
          <w:rFonts w:cs="Arial"/>
          <w:color w:val="0B0C0C"/>
          <w:szCs w:val="24"/>
        </w:rPr>
        <w:t>consider the cumulative impacts of existing and proposed development on transport networks</w:t>
      </w:r>
    </w:p>
    <w:p w14:paraId="5162C55C" w14:textId="77777777" w:rsidR="001F4089" w:rsidRDefault="001F4089" w:rsidP="00C4579C">
      <w:pPr>
        <w:numPr>
          <w:ilvl w:val="0"/>
          <w:numId w:val="17"/>
        </w:numPr>
        <w:shd w:val="clear" w:color="auto" w:fill="FFFFFF"/>
        <w:spacing w:after="75"/>
        <w:ind w:left="1020"/>
        <w:jc w:val="both"/>
        <w:rPr>
          <w:rFonts w:cs="Arial"/>
          <w:color w:val="0B0C0C"/>
          <w:szCs w:val="24"/>
        </w:rPr>
      </w:pPr>
      <w:r>
        <w:rPr>
          <w:rFonts w:cs="Arial"/>
          <w:color w:val="0B0C0C"/>
          <w:szCs w:val="24"/>
        </w:rPr>
        <w:t>assess the quality and capacity of transport infrastructure and its ability to meet forecast demands</w:t>
      </w:r>
    </w:p>
    <w:p w14:paraId="553A3F33" w14:textId="77777777" w:rsidR="001F4089" w:rsidRDefault="001F4089" w:rsidP="00C4579C">
      <w:pPr>
        <w:numPr>
          <w:ilvl w:val="0"/>
          <w:numId w:val="17"/>
        </w:numPr>
        <w:shd w:val="clear" w:color="auto" w:fill="FFFFFF"/>
        <w:spacing w:after="75"/>
        <w:ind w:left="1020"/>
        <w:jc w:val="both"/>
        <w:rPr>
          <w:rFonts w:cs="Arial"/>
          <w:color w:val="0B0C0C"/>
          <w:szCs w:val="24"/>
        </w:rPr>
      </w:pPr>
      <w:r>
        <w:rPr>
          <w:rFonts w:cs="Arial"/>
          <w:color w:val="0B0C0C"/>
          <w:szCs w:val="24"/>
        </w:rPr>
        <w:t xml:space="preserve">identify the short, medium and long-term transport proposals </w:t>
      </w:r>
      <w:r>
        <w:rPr>
          <w:rFonts w:cs="Arial"/>
          <w:color w:val="0B0C0C"/>
          <w:szCs w:val="24"/>
          <w:u w:val="single"/>
        </w:rPr>
        <w:t>across all modes</w:t>
      </w:r>
    </w:p>
    <w:p w14:paraId="36976D22" w14:textId="77777777" w:rsidR="001F4089" w:rsidRDefault="001F4089" w:rsidP="00C4579C">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The outcome could include assessing where alternative allocations or mitigation measures would improve the sustainability, viability and deliverability of proposed land allocations (including individual sites) provided these are compliant with national policy as a whole.</w:t>
      </w:r>
    </w:p>
    <w:p w14:paraId="6A427084" w14:textId="77777777" w:rsidR="001F4089" w:rsidRDefault="001F4089" w:rsidP="00C4579C">
      <w:pPr>
        <w:pStyle w:val="NormalWeb"/>
        <w:shd w:val="clear" w:color="auto" w:fill="FFFFFF"/>
        <w:spacing w:before="0" w:beforeAutospacing="0" w:after="0" w:afterAutospacing="0"/>
        <w:jc w:val="both"/>
        <w:rPr>
          <w:rFonts w:ascii="Arial" w:hAnsi="Arial" w:cs="Arial"/>
          <w:color w:val="0B0C0C"/>
        </w:rPr>
      </w:pPr>
    </w:p>
    <w:p w14:paraId="11E35684" w14:textId="77777777" w:rsidR="001F4089" w:rsidRDefault="001F4089" w:rsidP="00C4579C">
      <w:pPr>
        <w:pStyle w:val="Heading3"/>
        <w:shd w:val="clear" w:color="auto" w:fill="FFFFFF"/>
        <w:spacing w:before="0"/>
        <w:jc w:val="both"/>
        <w:rPr>
          <w:rFonts w:ascii="Arial" w:hAnsi="Arial" w:cs="Arial"/>
          <w:i/>
          <w:color w:val="0B0C0C"/>
        </w:rPr>
      </w:pPr>
      <w:r>
        <w:rPr>
          <w:rFonts w:ascii="Arial" w:hAnsi="Arial" w:cs="Arial"/>
          <w:i/>
          <w:color w:val="0B0C0C"/>
        </w:rPr>
        <w:lastRenderedPageBreak/>
        <w:t>What baseline information should inform a transport assessment of a Local Plan?</w:t>
      </w:r>
    </w:p>
    <w:p w14:paraId="597AC245" w14:textId="77777777" w:rsidR="001F4089" w:rsidRDefault="001F4089" w:rsidP="00C4579C">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The following list indicates the key aspects that should be addressed in the transport assessment. This list is not exhaustive, and there may be additional issues that are important to consider locally.</w:t>
      </w:r>
    </w:p>
    <w:p w14:paraId="557BB35F" w14:textId="77777777" w:rsidR="001F4089" w:rsidRDefault="001F4089" w:rsidP="00C4579C">
      <w:pPr>
        <w:numPr>
          <w:ilvl w:val="0"/>
          <w:numId w:val="18"/>
        </w:numPr>
        <w:shd w:val="clear" w:color="auto" w:fill="FFFFFF"/>
        <w:spacing w:after="75"/>
        <w:ind w:left="1020"/>
        <w:jc w:val="both"/>
        <w:rPr>
          <w:rFonts w:cs="Arial"/>
          <w:color w:val="0B0C0C"/>
          <w:szCs w:val="24"/>
        </w:rPr>
      </w:pPr>
      <w:r>
        <w:rPr>
          <w:rFonts w:cs="Arial"/>
          <w:color w:val="0B0C0C"/>
          <w:szCs w:val="24"/>
        </w:rPr>
        <w:t xml:space="preserve">all current transport issues as they </w:t>
      </w:r>
      <w:r>
        <w:rPr>
          <w:rFonts w:cs="Arial"/>
          <w:color w:val="0B0C0C"/>
          <w:szCs w:val="24"/>
          <w:u w:val="single"/>
        </w:rPr>
        <w:t>affect all modes</w:t>
      </w:r>
      <w:r>
        <w:rPr>
          <w:rFonts w:cs="Arial"/>
          <w:color w:val="0B0C0C"/>
          <w:szCs w:val="24"/>
        </w:rPr>
        <w:t xml:space="preserve"> and freight covering, for example, accessibility, congestion, mobility, safety, pollution, affordability, carbon reduction across the whole Plan area and, within relevant areas of the Plan, including existing settlements and proposed land allocations</w:t>
      </w:r>
    </w:p>
    <w:p w14:paraId="059D2958" w14:textId="77777777" w:rsidR="001F4089" w:rsidRDefault="001F4089" w:rsidP="00C4579C">
      <w:pPr>
        <w:numPr>
          <w:ilvl w:val="0"/>
          <w:numId w:val="18"/>
        </w:numPr>
        <w:shd w:val="clear" w:color="auto" w:fill="FFFFFF"/>
        <w:spacing w:after="75"/>
        <w:ind w:left="1020"/>
        <w:jc w:val="both"/>
        <w:rPr>
          <w:rFonts w:cs="Arial"/>
          <w:color w:val="0B0C0C"/>
          <w:szCs w:val="24"/>
        </w:rPr>
      </w:pPr>
      <w:r>
        <w:rPr>
          <w:rFonts w:cs="Arial"/>
          <w:color w:val="0B0C0C"/>
          <w:szCs w:val="24"/>
        </w:rPr>
        <w:t>the potential options to address the issues identified and any gaps in the networks in the short, medium and longer term covering, for example, accessibility, congestion, mobility, safety, pollution, carbon reduction</w:t>
      </w:r>
    </w:p>
    <w:p w14:paraId="7947C2AC" w14:textId="77777777" w:rsidR="001F4089" w:rsidRDefault="001F4089" w:rsidP="00C4579C">
      <w:pPr>
        <w:numPr>
          <w:ilvl w:val="0"/>
          <w:numId w:val="18"/>
        </w:numPr>
        <w:shd w:val="clear" w:color="auto" w:fill="FFFFFF"/>
        <w:spacing w:after="75"/>
        <w:ind w:left="1020"/>
        <w:jc w:val="both"/>
        <w:rPr>
          <w:rFonts w:cs="Arial"/>
          <w:color w:val="0B0C0C"/>
          <w:szCs w:val="24"/>
        </w:rPr>
      </w:pPr>
      <w:r>
        <w:rPr>
          <w:rFonts w:cs="Arial"/>
          <w:color w:val="0B0C0C"/>
          <w:szCs w:val="24"/>
        </w:rPr>
        <w:t>the locations of proposed land allocations and areas/corridors of development and potential options for the provision of sustainable transport and transport networks to serve them</w:t>
      </w:r>
    </w:p>
    <w:p w14:paraId="5104390B" w14:textId="77777777" w:rsidR="001F4089" w:rsidRDefault="001F4089" w:rsidP="00C4579C">
      <w:pPr>
        <w:numPr>
          <w:ilvl w:val="0"/>
          <w:numId w:val="18"/>
        </w:numPr>
        <w:shd w:val="clear" w:color="auto" w:fill="FFFFFF"/>
        <w:spacing w:after="75"/>
        <w:ind w:left="1020"/>
        <w:jc w:val="both"/>
        <w:rPr>
          <w:rFonts w:cs="Arial"/>
          <w:color w:val="0B0C0C"/>
          <w:szCs w:val="24"/>
        </w:rPr>
      </w:pPr>
      <w:r>
        <w:rPr>
          <w:rFonts w:cs="Arial"/>
          <w:color w:val="0B0C0C"/>
          <w:szCs w:val="24"/>
        </w:rPr>
        <w:t xml:space="preserve">solutions to support a pattern of development that, where reasonable to do so, </w:t>
      </w:r>
      <w:r>
        <w:rPr>
          <w:rFonts w:cs="Arial"/>
          <w:color w:val="0B0C0C"/>
          <w:szCs w:val="24"/>
          <w:u w:val="single"/>
        </w:rPr>
        <w:t>facilitates the use of sustainable modes of transport</w:t>
      </w:r>
    </w:p>
    <w:p w14:paraId="2A0D3EE1" w14:textId="77777777" w:rsidR="001F4089" w:rsidRDefault="001F4089" w:rsidP="00C4579C">
      <w:pPr>
        <w:numPr>
          <w:ilvl w:val="0"/>
          <w:numId w:val="18"/>
        </w:numPr>
        <w:shd w:val="clear" w:color="auto" w:fill="FFFFFF"/>
        <w:spacing w:after="75"/>
        <w:ind w:left="1020"/>
        <w:jc w:val="both"/>
        <w:rPr>
          <w:rFonts w:cs="Arial"/>
          <w:color w:val="0B0C0C"/>
          <w:szCs w:val="24"/>
        </w:rPr>
      </w:pPr>
      <w:proofErr w:type="gramStart"/>
      <w:r>
        <w:rPr>
          <w:rFonts w:cs="Arial"/>
          <w:color w:val="0B0C0C"/>
          <w:szCs w:val="24"/>
        </w:rPr>
        <w:t>the</w:t>
      </w:r>
      <w:proofErr w:type="gramEnd"/>
      <w:r>
        <w:rPr>
          <w:rFonts w:cs="Arial"/>
          <w:color w:val="0B0C0C"/>
          <w:szCs w:val="24"/>
        </w:rPr>
        <w:t xml:space="preserve"> scope and options for maximising travel planning and behavioural change.</w:t>
      </w:r>
    </w:p>
    <w:p w14:paraId="5931F615" w14:textId="77777777" w:rsidR="001F4089" w:rsidRDefault="001F4089" w:rsidP="00C4579C">
      <w:pPr>
        <w:numPr>
          <w:ilvl w:val="0"/>
          <w:numId w:val="18"/>
        </w:numPr>
        <w:shd w:val="clear" w:color="auto" w:fill="FFFFFF"/>
        <w:spacing w:after="75"/>
        <w:ind w:left="1020"/>
        <w:jc w:val="both"/>
        <w:rPr>
          <w:rFonts w:cs="Arial"/>
          <w:color w:val="0B0C0C"/>
          <w:szCs w:val="24"/>
        </w:rPr>
      </w:pPr>
      <w:r>
        <w:rPr>
          <w:rFonts w:cs="Arial"/>
          <w:color w:val="0B0C0C"/>
          <w:szCs w:val="24"/>
        </w:rPr>
        <w:t>accessibility of transport nodes such as rail/bus stations to facilitate integrated solutions</w:t>
      </w:r>
    </w:p>
    <w:p w14:paraId="6CBA743E" w14:textId="77777777" w:rsidR="001F4089" w:rsidRDefault="001F4089" w:rsidP="00C4579C">
      <w:pPr>
        <w:pStyle w:val="NormalWeb"/>
        <w:shd w:val="clear" w:color="auto" w:fill="FFFFFF"/>
        <w:spacing w:before="300" w:beforeAutospacing="0" w:after="300" w:afterAutospacing="0"/>
        <w:jc w:val="both"/>
        <w:rPr>
          <w:rFonts w:ascii="Arial" w:hAnsi="Arial" w:cs="Arial"/>
          <w:color w:val="0B0C0C"/>
        </w:rPr>
      </w:pPr>
      <w:r>
        <w:rPr>
          <w:rFonts w:ascii="Arial" w:hAnsi="Arial" w:cs="Arial"/>
          <w:color w:val="0B0C0C"/>
        </w:rPr>
        <w:t>The transport assessment should be produced at a Local Plan level in partnership with all relevant transport and planning authorities, transport providers and key stakeholders, for example, the Local Economic Partnership. It may be appropriate for the transport assessment to cover an area wider than the Local Plan at least initially given the size of some travel to work areas (this would be similar to the Strategic Housing Market Assessment). This process should help to identify any potential measures that may be required to mitigate negative impacts.</w:t>
      </w:r>
    </w:p>
    <w:p w14:paraId="480A6EF3" w14:textId="77777777" w:rsidR="001F4089" w:rsidRDefault="001F4089" w:rsidP="00C4579C">
      <w:pPr>
        <w:jc w:val="both"/>
        <w:rPr>
          <w:rFonts w:cs="Arial"/>
          <w:color w:val="0B0C0C"/>
          <w:szCs w:val="24"/>
          <w:lang w:eastAsia="en-GB"/>
        </w:rPr>
      </w:pPr>
      <w:r>
        <w:rPr>
          <w:rFonts w:cs="Arial"/>
          <w:color w:val="0B0C0C"/>
          <w:szCs w:val="24"/>
          <w:lang w:eastAsia="en-GB"/>
        </w:rPr>
        <w:t>GBC Comment: The Study being proposed here is more detailed than that required at a Local Plan level and will consider viable solutions to inform the eventual Masterplan.</w:t>
      </w:r>
    </w:p>
    <w:p w14:paraId="534F4701" w14:textId="77777777" w:rsidR="001F4089" w:rsidRDefault="001F4089" w:rsidP="00C4579C">
      <w:pPr>
        <w:jc w:val="both"/>
        <w:rPr>
          <w:b/>
          <w:u w:val="single"/>
        </w:rPr>
      </w:pPr>
    </w:p>
    <w:p w14:paraId="46A2799F" w14:textId="77777777" w:rsidR="001F4089" w:rsidRDefault="001F4089" w:rsidP="00C4579C">
      <w:pPr>
        <w:jc w:val="both"/>
        <w:rPr>
          <w:b/>
          <w:u w:val="single"/>
          <w:lang w:val="en-US"/>
        </w:rPr>
      </w:pPr>
      <w:r>
        <w:rPr>
          <w:b/>
          <w:u w:val="single"/>
        </w:rPr>
        <w:t>County and</w:t>
      </w:r>
      <w:r>
        <w:rPr>
          <w:u w:val="single"/>
        </w:rPr>
        <w:t xml:space="preserve"> </w:t>
      </w:r>
      <w:r>
        <w:rPr>
          <w:b/>
          <w:u w:val="single"/>
          <w:lang w:val="en-US"/>
        </w:rPr>
        <w:t>Local Planning Policy Context</w:t>
      </w:r>
    </w:p>
    <w:p w14:paraId="6220B10F" w14:textId="77777777" w:rsidR="001F4089" w:rsidRDefault="001F4089" w:rsidP="00C4579C">
      <w:pPr>
        <w:jc w:val="both"/>
        <w:rPr>
          <w:u w:val="single"/>
          <w:lang w:val="en-US"/>
        </w:rPr>
      </w:pPr>
    </w:p>
    <w:p w14:paraId="1B3586A9" w14:textId="77777777" w:rsidR="001F4089" w:rsidRDefault="001F4089" w:rsidP="00C4579C">
      <w:pPr>
        <w:jc w:val="both"/>
        <w:rPr>
          <w:b/>
          <w:lang w:val="en-US"/>
        </w:rPr>
      </w:pPr>
      <w:r>
        <w:rPr>
          <w:u w:val="single"/>
          <w:lang w:val="en-US"/>
        </w:rPr>
        <w:t>Hampshire County Council Local Transport Plan</w:t>
      </w:r>
    </w:p>
    <w:p w14:paraId="6F7BBEAF" w14:textId="77777777" w:rsidR="001F4089" w:rsidRDefault="001F4089" w:rsidP="00C4579C">
      <w:pPr>
        <w:jc w:val="both"/>
        <w:rPr>
          <w:lang w:val="en-US"/>
        </w:rPr>
      </w:pPr>
    </w:p>
    <w:p w14:paraId="794F2FBD" w14:textId="5A5EA493" w:rsidR="001F4089" w:rsidRDefault="001F4089" w:rsidP="00C4579C">
      <w:pPr>
        <w:jc w:val="both"/>
        <w:rPr>
          <w:color w:val="000000"/>
        </w:rPr>
      </w:pPr>
      <w:r>
        <w:rPr>
          <w:color w:val="000000"/>
        </w:rPr>
        <w:t>Hampshire County Council (HCC) has a statutory requirement to have a Local Transport Plan (LTP) which sets out its vision for future transport and travel infrastructure. The current Local Transport Plan (LTP3) was developed in 2011. Over the last two years HCC has been developing a new draft Local Transport Plan (LTP4) which</w:t>
      </w:r>
    </w:p>
    <w:p w14:paraId="5BFF7189" w14:textId="77777777" w:rsidR="00CD3B5F" w:rsidRDefault="00CD3B5F" w:rsidP="00C4579C">
      <w:pPr>
        <w:jc w:val="both"/>
        <w:rPr>
          <w:lang w:val="en-US"/>
        </w:rPr>
      </w:pPr>
    </w:p>
    <w:p w14:paraId="6DE762B7" w14:textId="77777777" w:rsidR="001F4089" w:rsidRDefault="001F4089" w:rsidP="00C4579C">
      <w:pPr>
        <w:ind w:left="720"/>
        <w:jc w:val="both"/>
        <w:rPr>
          <w:lang w:val="en-US"/>
        </w:rPr>
      </w:pPr>
    </w:p>
    <w:p w14:paraId="60C2E676" w14:textId="77777777" w:rsidR="001F4089" w:rsidRDefault="001F4089" w:rsidP="00C4579C">
      <w:pPr>
        <w:pStyle w:val="ListParagraph"/>
        <w:numPr>
          <w:ilvl w:val="0"/>
          <w:numId w:val="19"/>
        </w:numPr>
        <w:shd w:val="clear" w:color="auto" w:fill="FFFFFF"/>
        <w:ind w:left="470" w:hanging="357"/>
        <w:jc w:val="both"/>
        <w:textAlignment w:val="baseline"/>
        <w:rPr>
          <w:b/>
          <w:color w:val="000000"/>
          <w:szCs w:val="24"/>
        </w:rPr>
      </w:pPr>
      <w:r>
        <w:rPr>
          <w:rStyle w:val="Strong"/>
          <w:b w:val="0"/>
          <w:color w:val="000000"/>
          <w:szCs w:val="24"/>
          <w:bdr w:val="none" w:sz="0" w:space="0" w:color="auto" w:frame="1"/>
        </w:rPr>
        <w:lastRenderedPageBreak/>
        <w:t>describes the transport vision for 2050, the key transport outcomes HCC are seeking to achieve, and the principles that would guide future investment and decision making in relation to transport and travel;</w:t>
      </w:r>
    </w:p>
    <w:p w14:paraId="301030EF" w14:textId="77777777" w:rsidR="001F4089" w:rsidRDefault="001F4089" w:rsidP="00C4579C">
      <w:pPr>
        <w:pStyle w:val="ListParagraph"/>
        <w:numPr>
          <w:ilvl w:val="0"/>
          <w:numId w:val="19"/>
        </w:numPr>
        <w:shd w:val="clear" w:color="auto" w:fill="FFFFFF"/>
        <w:ind w:left="470" w:hanging="357"/>
        <w:jc w:val="both"/>
        <w:textAlignment w:val="baseline"/>
        <w:rPr>
          <w:b/>
          <w:color w:val="000000"/>
          <w:szCs w:val="24"/>
        </w:rPr>
      </w:pPr>
      <w:r>
        <w:rPr>
          <w:rStyle w:val="Strong"/>
          <w:b w:val="0"/>
          <w:color w:val="000000"/>
          <w:szCs w:val="24"/>
          <w:bdr w:val="none" w:sz="0" w:space="0" w:color="auto" w:frame="1"/>
        </w:rPr>
        <w:t xml:space="preserve">sets out transport polices covering all aspects of transport planning, delivery, and operation; </w:t>
      </w:r>
    </w:p>
    <w:p w14:paraId="78320229" w14:textId="77777777" w:rsidR="001F4089" w:rsidRDefault="001F4089" w:rsidP="00C4579C">
      <w:pPr>
        <w:pStyle w:val="ListParagraph"/>
        <w:numPr>
          <w:ilvl w:val="0"/>
          <w:numId w:val="19"/>
        </w:numPr>
        <w:shd w:val="clear" w:color="auto" w:fill="FFFFFF"/>
        <w:ind w:left="470" w:hanging="357"/>
        <w:jc w:val="both"/>
        <w:textAlignment w:val="baseline"/>
        <w:rPr>
          <w:b/>
          <w:color w:val="000000"/>
          <w:szCs w:val="24"/>
        </w:rPr>
      </w:pPr>
      <w:r>
        <w:rPr>
          <w:rStyle w:val="Strong"/>
          <w:b w:val="0"/>
          <w:color w:val="000000"/>
          <w:szCs w:val="24"/>
          <w:bdr w:val="none" w:sz="0" w:space="0" w:color="auto" w:frame="1"/>
        </w:rPr>
        <w:t>presents our approach to delivering the Plan – 'making it happen', setting out a roadmap to 2050 and how we would prioritise, fund and deliver interventions, and monitor our progress; and</w:t>
      </w:r>
    </w:p>
    <w:p w14:paraId="3189C7B8" w14:textId="77777777" w:rsidR="001F4089" w:rsidRDefault="001F4089" w:rsidP="00C4579C">
      <w:pPr>
        <w:pStyle w:val="ListParagraph"/>
        <w:numPr>
          <w:ilvl w:val="0"/>
          <w:numId w:val="19"/>
        </w:numPr>
        <w:shd w:val="clear" w:color="auto" w:fill="FFFFFF"/>
        <w:ind w:left="470" w:hanging="357"/>
        <w:jc w:val="both"/>
        <w:textAlignment w:val="baseline"/>
        <w:rPr>
          <w:b/>
          <w:color w:val="000000"/>
          <w:szCs w:val="24"/>
        </w:rPr>
      </w:pPr>
      <w:r>
        <w:rPr>
          <w:rStyle w:val="Strong"/>
          <w:b w:val="0"/>
          <w:color w:val="000000"/>
          <w:szCs w:val="24"/>
          <w:bdr w:val="none" w:sz="0" w:space="0" w:color="auto" w:frame="1"/>
        </w:rPr>
        <w:t>supports the County Council’s wider strategies, plans and priorities</w:t>
      </w:r>
    </w:p>
    <w:p w14:paraId="0DBFBC2F" w14:textId="77777777" w:rsidR="001F4089" w:rsidRDefault="001F4089" w:rsidP="00C4579C">
      <w:pPr>
        <w:ind w:left="720"/>
        <w:jc w:val="both"/>
        <w:rPr>
          <w:lang w:val="en-US"/>
        </w:rPr>
      </w:pPr>
    </w:p>
    <w:p w14:paraId="73390F69" w14:textId="6FD84976" w:rsidR="00623A83" w:rsidRDefault="00623A83" w:rsidP="00C4579C">
      <w:pPr>
        <w:jc w:val="both"/>
        <w:rPr>
          <w:lang w:val="en-US"/>
        </w:rPr>
      </w:pPr>
      <w:r>
        <w:rPr>
          <w:lang w:val="en-US"/>
        </w:rPr>
        <w:t xml:space="preserve">Further detail on the draft LTP4 can be found on the HCC website.  A particularly important theme of the emerging LTP4 for this study is a shift away from the traditional approach of planning for vehicles, which the emphasis firmly towards planning for people and places, and a reduced reliance on the private car.  This is to ensure transformational change and support sustainable economic development and regeneration, promote active lifestyles and meet national priorities to </w:t>
      </w:r>
      <w:proofErr w:type="spellStart"/>
      <w:r>
        <w:rPr>
          <w:lang w:val="en-US"/>
        </w:rPr>
        <w:t>decarbonise</w:t>
      </w:r>
      <w:proofErr w:type="spellEnd"/>
      <w:r>
        <w:rPr>
          <w:lang w:val="en-US"/>
        </w:rPr>
        <w:t xml:space="preserve"> the transport system:-</w:t>
      </w:r>
    </w:p>
    <w:p w14:paraId="7B09C9B6" w14:textId="77777777" w:rsidR="001F4089" w:rsidRDefault="006C26A6" w:rsidP="00C4579C">
      <w:pPr>
        <w:jc w:val="both"/>
        <w:rPr>
          <w:lang w:val="en-US"/>
        </w:rPr>
      </w:pPr>
      <w:hyperlink r:id="rId11" w:history="1">
        <w:r w:rsidR="001F4089">
          <w:rPr>
            <w:rStyle w:val="Hyperlink"/>
            <w:color w:val="000099"/>
            <w:lang w:val="en-US"/>
          </w:rPr>
          <w:t>https://www.hants.gov.uk/transport/localtransportplan</w:t>
        </w:r>
      </w:hyperlink>
      <w:r w:rsidR="001F4089">
        <w:rPr>
          <w:lang w:val="en-US"/>
        </w:rPr>
        <w:t xml:space="preserve"> </w:t>
      </w:r>
    </w:p>
    <w:p w14:paraId="418C562F" w14:textId="77777777" w:rsidR="001F4089" w:rsidRDefault="001F4089" w:rsidP="00C4579C">
      <w:pPr>
        <w:jc w:val="both"/>
        <w:rPr>
          <w:u w:val="single"/>
          <w:lang w:val="en-US"/>
        </w:rPr>
      </w:pPr>
    </w:p>
    <w:p w14:paraId="3FD327B6" w14:textId="77777777" w:rsidR="001F4089" w:rsidRDefault="001F4089" w:rsidP="00C4579C">
      <w:pPr>
        <w:jc w:val="both"/>
        <w:rPr>
          <w:u w:val="single"/>
          <w:lang w:val="en-US"/>
        </w:rPr>
      </w:pPr>
    </w:p>
    <w:p w14:paraId="22A73468" w14:textId="77777777" w:rsidR="001F4089" w:rsidRDefault="001F4089" w:rsidP="00C4579C">
      <w:pPr>
        <w:jc w:val="both"/>
        <w:rPr>
          <w:lang w:val="en-US"/>
        </w:rPr>
      </w:pPr>
      <w:r>
        <w:rPr>
          <w:u w:val="single"/>
        </w:rPr>
        <w:t>Gosport Borough Local Plan 2011-2029</w:t>
      </w:r>
    </w:p>
    <w:p w14:paraId="0392319B" w14:textId="77777777" w:rsidR="001F4089" w:rsidRDefault="001F4089" w:rsidP="00C4579C">
      <w:pPr>
        <w:pStyle w:val="NormalWeb"/>
        <w:shd w:val="clear" w:color="auto" w:fill="FFFFFF"/>
        <w:spacing w:before="0" w:beforeAutospacing="0" w:after="0" w:afterAutospacing="0"/>
        <w:jc w:val="both"/>
        <w:rPr>
          <w:rFonts w:ascii="Arial" w:hAnsi="Arial" w:cs="Arial"/>
          <w:color w:val="0B0C0C"/>
        </w:rPr>
      </w:pPr>
    </w:p>
    <w:p w14:paraId="1A85C726" w14:textId="77777777" w:rsidR="001F4089" w:rsidRDefault="001F4089" w:rsidP="00C4579C">
      <w:pPr>
        <w:pStyle w:val="NormalWeb"/>
        <w:shd w:val="clear" w:color="auto" w:fill="FFFFFF"/>
        <w:spacing w:before="0" w:beforeAutospacing="0" w:after="0" w:afterAutospacing="0"/>
        <w:jc w:val="both"/>
        <w:rPr>
          <w:rFonts w:ascii="Arial" w:hAnsi="Arial" w:cs="Arial"/>
          <w:color w:val="0B0C0C"/>
        </w:rPr>
      </w:pPr>
      <w:r>
        <w:rPr>
          <w:rFonts w:ascii="Arial" w:hAnsi="Arial" w:cs="Arial"/>
          <w:b/>
          <w:color w:val="0B0C0C"/>
        </w:rPr>
        <w:t>Policy LP21</w:t>
      </w:r>
      <w:r>
        <w:rPr>
          <w:rFonts w:ascii="Arial" w:hAnsi="Arial" w:cs="Arial"/>
          <w:color w:val="0B0C0C"/>
        </w:rPr>
        <w:t xml:space="preserve"> (Improving Transport Infrastructure) sets out that development proposals that are likely to generate significant levels of travel demand will be permitted, provide that:</w:t>
      </w:r>
    </w:p>
    <w:p w14:paraId="1935CD5B" w14:textId="77777777" w:rsidR="001F4089" w:rsidRDefault="001F4089" w:rsidP="00C4579C">
      <w:pPr>
        <w:pStyle w:val="ListParagraph"/>
        <w:numPr>
          <w:ilvl w:val="0"/>
          <w:numId w:val="20"/>
        </w:numPr>
        <w:jc w:val="both"/>
      </w:pPr>
      <w:r>
        <w:t xml:space="preserve">The Borough Council will work with the Highway Authority, Highways England, Fareham Borough Council, transport providers, developers and other stakeholders where necessary to promote and provide a transport system that supports development within the Borough and enables sustainable economic growth through a policy of reduce, manage and invest. </w:t>
      </w:r>
    </w:p>
    <w:p w14:paraId="4013D9A6" w14:textId="77777777" w:rsidR="001F4089" w:rsidRDefault="001F4089" w:rsidP="00C4579C">
      <w:pPr>
        <w:jc w:val="both"/>
      </w:pPr>
    </w:p>
    <w:p w14:paraId="54919AFB" w14:textId="77777777" w:rsidR="001F4089" w:rsidRDefault="001F4089" w:rsidP="00C4579C">
      <w:pPr>
        <w:pStyle w:val="ListParagraph"/>
        <w:numPr>
          <w:ilvl w:val="0"/>
          <w:numId w:val="20"/>
        </w:numPr>
        <w:jc w:val="both"/>
      </w:pPr>
      <w:r>
        <w:t xml:space="preserve">Development proposals will need to contribute to the delivery of an integrated and sustainable transport network including, where appropriate, measures outlined in the latest Local Transport Plan and Transport Delivery Plan (or equivalent) and supporting documents. </w:t>
      </w:r>
    </w:p>
    <w:p w14:paraId="70F37BAD" w14:textId="77777777" w:rsidR="001F4089" w:rsidRDefault="001F4089" w:rsidP="00C4579C">
      <w:pPr>
        <w:jc w:val="both"/>
      </w:pPr>
    </w:p>
    <w:p w14:paraId="47DC9CA6" w14:textId="77777777" w:rsidR="001F4089" w:rsidRDefault="001F4089" w:rsidP="00C4579C">
      <w:pPr>
        <w:pStyle w:val="ListParagraph"/>
        <w:numPr>
          <w:ilvl w:val="0"/>
          <w:numId w:val="20"/>
        </w:numPr>
        <w:jc w:val="both"/>
      </w:pPr>
      <w:r>
        <w:t>Development proposals will not be permitted which prejudice the delivery of transport improvements as identified in the latest Local Transport Plan (or equivalent) and supporting documents.</w:t>
      </w:r>
    </w:p>
    <w:p w14:paraId="75726F6F" w14:textId="77777777" w:rsidR="001F4089" w:rsidRDefault="001F4089" w:rsidP="00C4579C">
      <w:pPr>
        <w:pStyle w:val="NormalWeb"/>
        <w:shd w:val="clear" w:color="auto" w:fill="FFFFFF"/>
        <w:spacing w:before="0" w:beforeAutospacing="0" w:after="0" w:afterAutospacing="0"/>
        <w:jc w:val="both"/>
        <w:rPr>
          <w:rFonts w:ascii="Arial" w:hAnsi="Arial" w:cs="Arial"/>
          <w:color w:val="0B0C0C"/>
        </w:rPr>
      </w:pPr>
    </w:p>
    <w:p w14:paraId="4229DB14" w14:textId="77777777" w:rsidR="001F4089" w:rsidRDefault="001F4089" w:rsidP="00C4579C">
      <w:pPr>
        <w:pStyle w:val="NormalWeb"/>
        <w:shd w:val="clear" w:color="auto" w:fill="FFFFFF"/>
        <w:spacing w:before="0" w:beforeAutospacing="0" w:after="0" w:afterAutospacing="0"/>
        <w:jc w:val="both"/>
        <w:rPr>
          <w:rFonts w:ascii="Arial" w:hAnsi="Arial" w:cs="Arial"/>
          <w:color w:val="0B0C0C"/>
        </w:rPr>
      </w:pPr>
      <w:r>
        <w:rPr>
          <w:rFonts w:ascii="Arial" w:hAnsi="Arial" w:cs="Arial"/>
          <w:b/>
          <w:color w:val="0B0C0C"/>
        </w:rPr>
        <w:t>Policy LP22</w:t>
      </w:r>
      <w:r>
        <w:rPr>
          <w:rFonts w:ascii="Arial" w:hAnsi="Arial" w:cs="Arial"/>
          <w:color w:val="0B0C0C"/>
        </w:rPr>
        <w:t xml:space="preserve"> (Accessibility to New Development) sets out that development proposals that are likely to generate significant levels of travel demand will be permitted, provide that:</w:t>
      </w:r>
    </w:p>
    <w:p w14:paraId="5AC65B84" w14:textId="77777777" w:rsidR="001F4089" w:rsidRDefault="001F4089" w:rsidP="00C4579C">
      <w:pPr>
        <w:pStyle w:val="NormalWeb"/>
        <w:shd w:val="clear" w:color="auto" w:fill="FFFFFF"/>
        <w:spacing w:before="0" w:beforeAutospacing="0" w:after="0" w:afterAutospacing="0"/>
        <w:jc w:val="both"/>
        <w:rPr>
          <w:rFonts w:ascii="Arial" w:hAnsi="Arial" w:cs="Arial"/>
          <w:color w:val="0B0C0C"/>
        </w:rPr>
      </w:pPr>
    </w:p>
    <w:p w14:paraId="06B1BB36" w14:textId="77777777" w:rsidR="001F4089" w:rsidRDefault="001F4089" w:rsidP="00C4579C">
      <w:pPr>
        <w:pStyle w:val="NormalWeb"/>
        <w:numPr>
          <w:ilvl w:val="0"/>
          <w:numId w:val="21"/>
        </w:numPr>
        <w:shd w:val="clear" w:color="auto" w:fill="FFFFFF"/>
        <w:spacing w:before="0" w:beforeAutospacing="0" w:after="0" w:afterAutospacing="0"/>
        <w:jc w:val="both"/>
        <w:rPr>
          <w:rFonts w:ascii="Arial" w:hAnsi="Arial" w:cs="Arial"/>
          <w:color w:val="0B0C0C"/>
        </w:rPr>
      </w:pPr>
      <w:r>
        <w:rPr>
          <w:rFonts w:ascii="Arial" w:hAnsi="Arial" w:cs="Arial"/>
          <w:color w:val="0B0C0C"/>
        </w:rPr>
        <w:t>The site is located where convenient public transport services exist or there is a commitment by the developer and public transport providers to deliver such service.</w:t>
      </w:r>
    </w:p>
    <w:p w14:paraId="6B67BB70" w14:textId="77777777" w:rsidR="001F4089" w:rsidRDefault="001F4089" w:rsidP="00C4579C">
      <w:pPr>
        <w:pStyle w:val="NormalWeb"/>
        <w:numPr>
          <w:ilvl w:val="0"/>
          <w:numId w:val="21"/>
        </w:numPr>
        <w:shd w:val="clear" w:color="auto" w:fill="FFFFFF"/>
        <w:spacing w:before="0" w:beforeAutospacing="0" w:after="0" w:afterAutospacing="0"/>
        <w:jc w:val="both"/>
        <w:rPr>
          <w:rFonts w:ascii="Arial" w:hAnsi="Arial" w:cs="Arial"/>
          <w:color w:val="0B0C0C"/>
        </w:rPr>
      </w:pPr>
      <w:r>
        <w:rPr>
          <w:rFonts w:ascii="Arial" w:hAnsi="Arial" w:cs="Arial"/>
          <w:color w:val="0B0C0C"/>
        </w:rPr>
        <w:t>The site is, or will be made, accessible to pedestrians and cyclists.</w:t>
      </w:r>
    </w:p>
    <w:p w14:paraId="058EBA11" w14:textId="77777777" w:rsidR="001F4089" w:rsidRDefault="001F4089" w:rsidP="00C4579C">
      <w:pPr>
        <w:pStyle w:val="NormalWeb"/>
        <w:numPr>
          <w:ilvl w:val="0"/>
          <w:numId w:val="21"/>
        </w:numPr>
        <w:shd w:val="clear" w:color="auto" w:fill="FFFFFF"/>
        <w:spacing w:before="0" w:beforeAutospacing="0" w:after="0" w:afterAutospacing="0"/>
        <w:jc w:val="both"/>
        <w:rPr>
          <w:rFonts w:ascii="Arial" w:hAnsi="Arial" w:cs="Arial"/>
          <w:color w:val="0B0C0C"/>
        </w:rPr>
      </w:pPr>
      <w:r>
        <w:rPr>
          <w:rFonts w:ascii="Arial" w:hAnsi="Arial" w:cs="Arial"/>
          <w:color w:val="0B0C0C"/>
        </w:rPr>
        <w:lastRenderedPageBreak/>
        <w:t>Any new or improved road access and the traffic generated would not have any unacceptable environmental implications nor significantly prejudice the safety, function and capacity of the road network.</w:t>
      </w:r>
    </w:p>
    <w:p w14:paraId="4F84D3C0" w14:textId="77777777" w:rsidR="001F4089" w:rsidRDefault="001F4089" w:rsidP="00C4579C">
      <w:pPr>
        <w:pStyle w:val="NormalWeb"/>
        <w:numPr>
          <w:ilvl w:val="0"/>
          <w:numId w:val="21"/>
        </w:numPr>
        <w:shd w:val="clear" w:color="auto" w:fill="FFFFFF"/>
        <w:spacing w:before="0" w:beforeAutospacing="0" w:after="0" w:afterAutospacing="0"/>
        <w:jc w:val="both"/>
        <w:rPr>
          <w:rFonts w:ascii="Arial" w:hAnsi="Arial" w:cs="Arial"/>
          <w:color w:val="0B0C0C"/>
        </w:rPr>
      </w:pPr>
      <w:r>
        <w:rPr>
          <w:rFonts w:ascii="Arial" w:hAnsi="Arial" w:cs="Arial"/>
          <w:color w:val="0B0C0C"/>
        </w:rPr>
        <w:t>Local and strategic transport improvements will be provided, where necessary, to support the development and mitigate adverse impacts on the safety, function and capacity of the transport network.</w:t>
      </w:r>
    </w:p>
    <w:p w14:paraId="35BC41B8" w14:textId="77777777" w:rsidR="001F4089" w:rsidRDefault="001F4089" w:rsidP="00C4579C">
      <w:pPr>
        <w:pStyle w:val="NormalWeb"/>
        <w:numPr>
          <w:ilvl w:val="0"/>
          <w:numId w:val="21"/>
        </w:numPr>
        <w:shd w:val="clear" w:color="auto" w:fill="FFFFFF"/>
        <w:spacing w:before="0" w:beforeAutospacing="0" w:after="0" w:afterAutospacing="0"/>
        <w:jc w:val="both"/>
        <w:rPr>
          <w:rFonts w:ascii="Arial" w:hAnsi="Arial" w:cs="Arial"/>
          <w:color w:val="0B0C0C"/>
        </w:rPr>
      </w:pPr>
      <w:r>
        <w:rPr>
          <w:rFonts w:ascii="Arial" w:hAnsi="Arial" w:cs="Arial"/>
          <w:color w:val="0B0C0C"/>
        </w:rPr>
        <w:t>Transport Statements or Transport Assessments are submitted in support of the planning application to evaluate transport impacts, and demonstrate that transport improvements to be provided will meet the needs of the development and mitigate adverse impacts.</w:t>
      </w:r>
    </w:p>
    <w:p w14:paraId="123208F0" w14:textId="77777777" w:rsidR="001F4089" w:rsidRDefault="001F4089" w:rsidP="00C4579C">
      <w:pPr>
        <w:pStyle w:val="NormalWeb"/>
        <w:numPr>
          <w:ilvl w:val="0"/>
          <w:numId w:val="21"/>
        </w:numPr>
        <w:shd w:val="clear" w:color="auto" w:fill="FFFFFF"/>
        <w:spacing w:before="0" w:beforeAutospacing="0" w:after="0" w:afterAutospacing="0"/>
        <w:jc w:val="both"/>
        <w:rPr>
          <w:rFonts w:ascii="Arial" w:hAnsi="Arial" w:cs="Arial"/>
          <w:color w:val="0B0C0C"/>
        </w:rPr>
      </w:pPr>
      <w:r>
        <w:rPr>
          <w:rFonts w:ascii="Arial" w:hAnsi="Arial" w:cs="Arial"/>
          <w:color w:val="0B0C0C"/>
        </w:rPr>
        <w:t>A Travel Plan is provided in support of a planning application where appropriate in relation to the scale and type of development.</w:t>
      </w:r>
    </w:p>
    <w:p w14:paraId="6615375E" w14:textId="77777777" w:rsidR="001F4089" w:rsidRDefault="001F4089" w:rsidP="00C4579C">
      <w:pPr>
        <w:pStyle w:val="NormalWeb"/>
        <w:shd w:val="clear" w:color="auto" w:fill="FFFFFF"/>
        <w:spacing w:before="0" w:beforeAutospacing="0" w:after="0" w:afterAutospacing="0"/>
        <w:jc w:val="both"/>
        <w:rPr>
          <w:rFonts w:ascii="Arial" w:hAnsi="Arial" w:cs="Arial"/>
          <w:color w:val="0B0C0C"/>
        </w:rPr>
      </w:pPr>
    </w:p>
    <w:p w14:paraId="56FA01FD" w14:textId="77777777" w:rsidR="001F4089" w:rsidRDefault="001F4089" w:rsidP="00C4579C">
      <w:pPr>
        <w:jc w:val="both"/>
      </w:pPr>
      <w:r>
        <w:t>Improving accessibility to and from the Peninsula is a key objective of the Local Plan. The Borough needs an efficient multi-modal transport system that will meet everyone’s travel requirements, support new development and promote economic growth. Reducing car use and promoting alternative modes will play an important part in alleviating congestion and enabling more sustainable travel including minimising emissions.</w:t>
      </w:r>
    </w:p>
    <w:p w14:paraId="502B35E1" w14:textId="77777777" w:rsidR="001F4089" w:rsidRDefault="001F4089" w:rsidP="00C4579C">
      <w:pPr>
        <w:jc w:val="both"/>
      </w:pPr>
    </w:p>
    <w:p w14:paraId="24BED2F4" w14:textId="77777777" w:rsidR="001F4089" w:rsidRDefault="001F4089" w:rsidP="00C4579C">
      <w:pPr>
        <w:jc w:val="both"/>
      </w:pPr>
      <w:r>
        <w:t>The Local Plan aims to ensure residential areas have good access to employment, health, education, recreation, and retail opportunities. Development should be located on sites where they are, or will be, well connected by public transport, walking and cycling in order to provide travel choices and reduce the reliance on the car. The provision of more employment in the Borough is critical to reducing out commuting and congestion</w:t>
      </w:r>
    </w:p>
    <w:p w14:paraId="47AFA8CA" w14:textId="77777777" w:rsidR="001F4089" w:rsidRDefault="001F4089" w:rsidP="00C4579C">
      <w:pPr>
        <w:jc w:val="both"/>
      </w:pPr>
    </w:p>
    <w:tbl>
      <w:tblPr>
        <w:tblStyle w:val="TableGrid"/>
        <w:tblW w:w="0" w:type="auto"/>
        <w:tblLook w:val="04A0" w:firstRow="1" w:lastRow="0" w:firstColumn="1" w:lastColumn="0" w:noHBand="0" w:noVBand="1"/>
      </w:tblPr>
      <w:tblGrid>
        <w:gridCol w:w="9016"/>
      </w:tblGrid>
      <w:tr w:rsidR="001F4089" w14:paraId="537ECCA2" w14:textId="77777777" w:rsidTr="001F4089">
        <w:tc>
          <w:tcPr>
            <w:tcW w:w="9016" w:type="dxa"/>
            <w:tcBorders>
              <w:top w:val="single" w:sz="4" w:space="0" w:color="auto"/>
              <w:left w:val="single" w:sz="4" w:space="0" w:color="auto"/>
              <w:bottom w:val="single" w:sz="4" w:space="0" w:color="auto"/>
              <w:right w:val="single" w:sz="4" w:space="0" w:color="auto"/>
            </w:tcBorders>
          </w:tcPr>
          <w:p w14:paraId="38EB3888" w14:textId="77777777" w:rsidR="001F4089" w:rsidRDefault="001F4089" w:rsidP="00C4579C">
            <w:pPr>
              <w:jc w:val="both"/>
              <w:rPr>
                <w:b/>
              </w:rPr>
            </w:pPr>
            <w:r>
              <w:rPr>
                <w:b/>
              </w:rPr>
              <w:t>Box 10.1: Summary of key transport issues</w:t>
            </w:r>
          </w:p>
          <w:p w14:paraId="32E48981" w14:textId="77777777" w:rsidR="001F4089" w:rsidRDefault="001F4089" w:rsidP="00C4579C">
            <w:pPr>
              <w:jc w:val="both"/>
              <w:rPr>
                <w:b/>
              </w:rPr>
            </w:pPr>
          </w:p>
          <w:p w14:paraId="047BFA60" w14:textId="77777777" w:rsidR="001F4089" w:rsidRDefault="001F4089" w:rsidP="00C4579C">
            <w:pPr>
              <w:pStyle w:val="ListParagraph"/>
              <w:numPr>
                <w:ilvl w:val="0"/>
                <w:numId w:val="11"/>
              </w:numPr>
              <w:jc w:val="both"/>
              <w:rPr>
                <w:b/>
              </w:rPr>
            </w:pPr>
            <w:r>
              <w:rPr>
                <w:b/>
              </w:rPr>
              <w:t xml:space="preserve">There are high levels of out-commuting and a history of falling local employment in the Borough, particularly in relation to the rationalisation of Ministry of Defence sites; </w:t>
            </w:r>
          </w:p>
          <w:p w14:paraId="2340E68E" w14:textId="77777777" w:rsidR="001F4089" w:rsidRDefault="001F4089" w:rsidP="00C4579C">
            <w:pPr>
              <w:jc w:val="both"/>
              <w:rPr>
                <w:b/>
              </w:rPr>
            </w:pPr>
          </w:p>
          <w:p w14:paraId="0BD99979" w14:textId="77777777" w:rsidR="001F4089" w:rsidRDefault="001F4089" w:rsidP="00C4579C">
            <w:pPr>
              <w:pStyle w:val="ListParagraph"/>
              <w:numPr>
                <w:ilvl w:val="0"/>
                <w:numId w:val="11"/>
              </w:numPr>
              <w:jc w:val="both"/>
              <w:rPr>
                <w:b/>
              </w:rPr>
            </w:pPr>
            <w:r>
              <w:rPr>
                <w:b/>
              </w:rPr>
              <w:t xml:space="preserve">There is significant congestion on key routes over extended peak periods which is exacerbated by a limited road network serving the </w:t>
            </w:r>
            <w:proofErr w:type="spellStart"/>
            <w:r>
              <w:rPr>
                <w:b/>
              </w:rPr>
              <w:t>Haslar</w:t>
            </w:r>
            <w:proofErr w:type="spellEnd"/>
            <w:r>
              <w:rPr>
                <w:b/>
              </w:rPr>
              <w:t xml:space="preserve"> peninsula such as the </w:t>
            </w:r>
            <w:proofErr w:type="spellStart"/>
            <w:r>
              <w:rPr>
                <w:b/>
              </w:rPr>
              <w:t>Haslar</w:t>
            </w:r>
            <w:proofErr w:type="spellEnd"/>
            <w:r>
              <w:rPr>
                <w:b/>
              </w:rPr>
              <w:t xml:space="preserve"> Bridge </w:t>
            </w:r>
          </w:p>
          <w:p w14:paraId="35E1802A" w14:textId="77777777" w:rsidR="001F4089" w:rsidRDefault="001F4089" w:rsidP="00C4579C">
            <w:pPr>
              <w:jc w:val="both"/>
              <w:rPr>
                <w:b/>
              </w:rPr>
            </w:pPr>
          </w:p>
          <w:p w14:paraId="26FE907E" w14:textId="77777777" w:rsidR="001F4089" w:rsidRDefault="001F4089" w:rsidP="00C4579C">
            <w:pPr>
              <w:pStyle w:val="ListParagraph"/>
              <w:numPr>
                <w:ilvl w:val="0"/>
                <w:numId w:val="11"/>
              </w:numPr>
              <w:jc w:val="both"/>
              <w:rPr>
                <w:b/>
              </w:rPr>
            </w:pPr>
            <w:r>
              <w:rPr>
                <w:b/>
              </w:rPr>
              <w:t xml:space="preserve">Public transport choices are limited although this has considerably improved by the first phase of the Bus Rapid Transit. There is no railway station on the Peninsula and bus reliability to parts of the Borough is affected by road congestion. The Ferry is a major public transport provider and the main link to national railway services in Portsmouth; and </w:t>
            </w:r>
          </w:p>
          <w:p w14:paraId="0EFA0552" w14:textId="77777777" w:rsidR="001F4089" w:rsidRDefault="001F4089" w:rsidP="00C4579C">
            <w:pPr>
              <w:jc w:val="both"/>
              <w:rPr>
                <w:b/>
              </w:rPr>
            </w:pPr>
          </w:p>
          <w:p w14:paraId="28AAE292" w14:textId="77777777" w:rsidR="001F4089" w:rsidRDefault="001F4089" w:rsidP="00C4579C">
            <w:pPr>
              <w:pStyle w:val="ListParagraph"/>
              <w:numPr>
                <w:ilvl w:val="0"/>
                <w:numId w:val="11"/>
              </w:numPr>
              <w:jc w:val="both"/>
              <w:rPr>
                <w:b/>
              </w:rPr>
            </w:pPr>
            <w:r>
              <w:rPr>
                <w:b/>
              </w:rPr>
              <w:t xml:space="preserve">Cycling remains a significant mode of transport for commuting and other journeys. </w:t>
            </w:r>
          </w:p>
          <w:p w14:paraId="3EC2D554" w14:textId="77777777" w:rsidR="001F4089" w:rsidRDefault="001F4089" w:rsidP="00C4579C">
            <w:pPr>
              <w:jc w:val="both"/>
            </w:pPr>
          </w:p>
        </w:tc>
      </w:tr>
    </w:tbl>
    <w:p w14:paraId="427D49E1" w14:textId="77777777" w:rsidR="001F4089" w:rsidRDefault="001F4089" w:rsidP="00C4579C">
      <w:pPr>
        <w:jc w:val="both"/>
      </w:pPr>
    </w:p>
    <w:p w14:paraId="5B880D36" w14:textId="77777777" w:rsidR="001F4089" w:rsidRDefault="001F4089" w:rsidP="00C4579C">
      <w:pPr>
        <w:jc w:val="both"/>
      </w:pPr>
    </w:p>
    <w:p w14:paraId="1063D6BF" w14:textId="77777777" w:rsidR="001F4089" w:rsidRDefault="001F4089" w:rsidP="00C4579C">
      <w:pPr>
        <w:jc w:val="both"/>
      </w:pPr>
      <w:r>
        <w:lastRenderedPageBreak/>
        <w:t>The promotion of Smarter Choices and Travel Planning will contribute to the reduce strategy by improving awareness of travel choices and encouraging non car modes. Travel Planning will be promoted to discourage single occupancy car use and to encourage travel by non-car modes. Travel Plans may restrict and / or charge for car parking and encourage walking, cycling, bus and rail use. Car sharing can also make a significant contribution to trip reduction. For occasional drivers car clubs can provide access to a car in their neighbourhood without having to own it. Other methods of reducing the need to travel will be encouraged including increased home working through the application of technology such as broadband and cable networks.</w:t>
      </w:r>
    </w:p>
    <w:p w14:paraId="61322325" w14:textId="77777777" w:rsidR="001F4089" w:rsidRDefault="001F4089" w:rsidP="00C4579C">
      <w:pPr>
        <w:jc w:val="both"/>
      </w:pPr>
    </w:p>
    <w:p w14:paraId="5B7B2066" w14:textId="77777777" w:rsidR="001F4089" w:rsidRDefault="001F4089" w:rsidP="00C4579C">
      <w:pPr>
        <w:jc w:val="both"/>
      </w:pPr>
      <w:r>
        <w:t>It is the policy of HCC and Solent Transport to work with bus operators to encourage provision of better bus services to make them a more viable alternative to the private car for everyday journeys. A modal shift to public transport will also reduce the carbon footprint and help prevent further congestion and deterioration in journey time reliability on the main routes.</w:t>
      </w:r>
    </w:p>
    <w:p w14:paraId="1D96E0B8" w14:textId="77777777" w:rsidR="001F4089" w:rsidRDefault="001F4089" w:rsidP="00C4579C">
      <w:pPr>
        <w:jc w:val="both"/>
      </w:pPr>
    </w:p>
    <w:p w14:paraId="4037A964" w14:textId="77777777" w:rsidR="001F4089" w:rsidRDefault="001F4089" w:rsidP="00C4579C">
      <w:pPr>
        <w:jc w:val="both"/>
      </w:pPr>
      <w:r>
        <w:t xml:space="preserve">Bus Rapid Transit (BRT) is being promoted by HCC and Solent Transport. Phase1a of a dedicated busway on the disused railway line between Gosport and Fareham has been completed and will form part of a wider quality bus network for South East Hampshire. HCC and Solent Transport envisage additional off-road sections towards Gosport Town Centre as well as a number of future routes extending to the proposed Fareham Strategic Development Area (SDA) known as </w:t>
      </w:r>
      <w:proofErr w:type="spellStart"/>
      <w:r>
        <w:t>Welborne</w:t>
      </w:r>
      <w:proofErr w:type="spellEnd"/>
      <w:r>
        <w:t xml:space="preserve">, Queen Alexandra Hospital and Portsmouth. It is proposed that these routes will be supported by a range of bus priority measures, high quality vehicles, </w:t>
      </w:r>
      <w:proofErr w:type="gramStart"/>
      <w:r>
        <w:t>bus</w:t>
      </w:r>
      <w:proofErr w:type="gramEnd"/>
      <w:r>
        <w:t xml:space="preserve"> stop infrastructure and information facilities. The viability and the priorities for the future phases of the BRT network are currently being considered by HCC and Solent Transport. The priority for the Borough is to extend the BRT towards the centres of Fareham and Gosport to improve connections with rail, bus and ferry services accessing a wider area beyond the peninsula.</w:t>
      </w:r>
    </w:p>
    <w:p w14:paraId="326A4429" w14:textId="77777777" w:rsidR="001F4089" w:rsidRDefault="001F4089" w:rsidP="00C4579C">
      <w:pPr>
        <w:jc w:val="both"/>
      </w:pPr>
    </w:p>
    <w:p w14:paraId="31C5A2C6" w14:textId="77777777" w:rsidR="001F4089" w:rsidRDefault="001F4089" w:rsidP="00C4579C">
      <w:pPr>
        <w:jc w:val="both"/>
      </w:pPr>
      <w:r>
        <w:t>In order to encourage more sustainable travel, the interchange between modes should be made as comfortable and convenient as possible. There is scope to improve the interchange facilities in Gosport Town Centre between the bus and ferry services as part of the regeneration proposals for Gosport Waterfront.</w:t>
      </w:r>
    </w:p>
    <w:p w14:paraId="06026385" w14:textId="77777777" w:rsidR="001F4089" w:rsidRDefault="001F4089" w:rsidP="00C4579C">
      <w:pPr>
        <w:jc w:val="both"/>
      </w:pPr>
    </w:p>
    <w:p w14:paraId="24B093C6" w14:textId="77777777" w:rsidR="001F4089" w:rsidRDefault="001F4089" w:rsidP="00C4579C">
      <w:pPr>
        <w:jc w:val="both"/>
      </w:pPr>
      <w:r>
        <w:t xml:space="preserve">Gosport already has good ferry links with Portsmouth and the cross harbour ferry is a major public transport service. The </w:t>
      </w:r>
      <w:proofErr w:type="spellStart"/>
      <w:r>
        <w:t>StAG</w:t>
      </w:r>
      <w:proofErr w:type="spellEnd"/>
      <w:r>
        <w:t xml:space="preserve"> study proposes that new ferry services be considered in the longer term between Portsmouth and Southampton, serving intermediate communities, to widen travel choice and reduce peak hour congestion.</w:t>
      </w:r>
    </w:p>
    <w:p w14:paraId="2521DE16" w14:textId="77777777" w:rsidR="001F4089" w:rsidRDefault="001F4089" w:rsidP="00C4579C">
      <w:pPr>
        <w:jc w:val="both"/>
      </w:pPr>
    </w:p>
    <w:p w14:paraId="1F51AC97" w14:textId="77777777" w:rsidR="001F4089" w:rsidRDefault="001F4089" w:rsidP="00C4579C">
      <w:pPr>
        <w:jc w:val="both"/>
      </w:pPr>
      <w:r>
        <w:t xml:space="preserve">BRT Phase 1a is a shared bus / cycle route extending the existing off road cycle track towards Fareham and offering an alternative to the A32. The future extension of the off road BRT route utilising the Fareham to Gosport disused railway line will continue to provide for cycles. There is a need to incorporate improved cycle routes as part of new development including Daedalus, the Gosport Waterfront and the </w:t>
      </w:r>
      <w:proofErr w:type="spellStart"/>
      <w:r>
        <w:t>Haslar</w:t>
      </w:r>
      <w:proofErr w:type="spellEnd"/>
      <w:r>
        <w:t xml:space="preserve"> Peninsula. Cycling infrastructure between Lee-on-the-Solent and Fareham Town Centre via Newgate Lane is a priority, along with the extension of the existing coastal route westward through Lee-on-the-Solent to Daedalus, which would also contribute to the National Cycleway Network, Route 2. There is also potential for developing </w:t>
      </w:r>
      <w:r>
        <w:lastRenderedPageBreak/>
        <w:t>recreational routes to the countryside which are included as initiatives in the PUSH Green Infrastructure Strategy and HCC’s Countryside Access Plans (CAP).</w:t>
      </w:r>
    </w:p>
    <w:p w14:paraId="083EE3D8" w14:textId="77777777" w:rsidR="001F4089" w:rsidRPr="001B0CFD" w:rsidRDefault="001F4089" w:rsidP="00C4579C">
      <w:pPr>
        <w:jc w:val="both"/>
        <w:rPr>
          <w:b/>
        </w:rPr>
      </w:pPr>
    </w:p>
    <w:sectPr w:rsidR="001F4089" w:rsidRPr="001B0CFD" w:rsidSect="00970544">
      <w:headerReference w:type="default" r:id="rId12"/>
      <w:footerReference w:type="default" r:id="rId13"/>
      <w:pgSz w:w="11906" w:h="16838"/>
      <w:pgMar w:top="1702"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5120" w16cex:dateUtc="2023-02-02T15:11:00Z"/>
  <w16cex:commentExtensible w16cex:durableId="278651AA" w16cex:dateUtc="2023-02-02T15:13:00Z"/>
  <w16cex:commentExtensible w16cex:durableId="27865225" w16cex:dateUtc="2023-02-02T15:15:00Z"/>
  <w16cex:commentExtensible w16cex:durableId="27865241" w16cex:dateUtc="2023-02-02T15:16:00Z"/>
  <w16cex:commentExtensible w16cex:durableId="2786556E" w16cex:dateUtc="2023-02-02T15:29:00Z"/>
  <w16cex:commentExtensible w16cex:durableId="2786565F" w16cex:dateUtc="2023-02-02T15:33:00Z"/>
  <w16cex:commentExtensible w16cex:durableId="27865AAE" w16cex:dateUtc="2023-02-02T15:52:00Z"/>
  <w16cex:commentExtensible w16cex:durableId="27865E51" w16cex:dateUtc="2023-02-02T16:07:00Z"/>
  <w16cex:commentExtensible w16cex:durableId="278659DD" w16cex:dateUtc="2023-02-02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A32A3" w16cid:durableId="27864965"/>
  <w16cid:commentId w16cid:paraId="3931D3E8" w16cid:durableId="27865120"/>
  <w16cid:commentId w16cid:paraId="257D77FB" w16cid:durableId="27864966"/>
  <w16cid:commentId w16cid:paraId="540A0E25" w16cid:durableId="27864967"/>
  <w16cid:commentId w16cid:paraId="19679399" w16cid:durableId="278651AA"/>
  <w16cid:commentId w16cid:paraId="3369427E" w16cid:durableId="27864968"/>
  <w16cid:commentId w16cid:paraId="18E412BE" w16cid:durableId="27865225"/>
  <w16cid:commentId w16cid:paraId="455F7DDD" w16cid:durableId="27865241"/>
  <w16cid:commentId w16cid:paraId="07693996" w16cid:durableId="2786556E"/>
  <w16cid:commentId w16cid:paraId="2E97F29E" w16cid:durableId="27864969"/>
  <w16cid:commentId w16cid:paraId="673083A0" w16cid:durableId="2786565F"/>
  <w16cid:commentId w16cid:paraId="59709626" w16cid:durableId="2786496A"/>
  <w16cid:commentId w16cid:paraId="4B453C80" w16cid:durableId="27865AAE"/>
  <w16cid:commentId w16cid:paraId="1B890458" w16cid:durableId="27865E51"/>
  <w16cid:commentId w16cid:paraId="4573FBD3" w16cid:durableId="278659DD"/>
  <w16cid:commentId w16cid:paraId="1B56D1FB" w16cid:durableId="278649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B13FD" w14:textId="77777777" w:rsidR="006C26A6" w:rsidRDefault="006C26A6" w:rsidP="00B76F0E">
      <w:r>
        <w:separator/>
      </w:r>
    </w:p>
  </w:endnote>
  <w:endnote w:type="continuationSeparator" w:id="0">
    <w:p w14:paraId="0A7017F6" w14:textId="77777777" w:rsidR="006C26A6" w:rsidRDefault="006C26A6" w:rsidP="00B76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336388"/>
      <w:docPartObj>
        <w:docPartGallery w:val="Page Numbers (Bottom of Page)"/>
        <w:docPartUnique/>
      </w:docPartObj>
    </w:sdtPr>
    <w:sdtEndPr>
      <w:rPr>
        <w:b/>
        <w:noProof/>
        <w:sz w:val="20"/>
        <w:szCs w:val="20"/>
      </w:rPr>
    </w:sdtEndPr>
    <w:sdtContent>
      <w:p w14:paraId="0EA7268D" w14:textId="49ED7910" w:rsidR="006C26A6" w:rsidRPr="0005703B" w:rsidRDefault="006C26A6">
        <w:pPr>
          <w:pStyle w:val="Footer"/>
          <w:jc w:val="center"/>
          <w:rPr>
            <w:b/>
            <w:sz w:val="20"/>
            <w:szCs w:val="20"/>
          </w:rPr>
        </w:pPr>
        <w:r w:rsidRPr="0005703B">
          <w:rPr>
            <w:b/>
            <w:sz w:val="20"/>
            <w:szCs w:val="20"/>
          </w:rPr>
          <w:fldChar w:fldCharType="begin"/>
        </w:r>
        <w:r w:rsidRPr="0005703B">
          <w:rPr>
            <w:b/>
            <w:sz w:val="20"/>
            <w:szCs w:val="20"/>
          </w:rPr>
          <w:instrText xml:space="preserve"> PAGE   \* MERGEFORMAT </w:instrText>
        </w:r>
        <w:r w:rsidRPr="0005703B">
          <w:rPr>
            <w:b/>
            <w:sz w:val="20"/>
            <w:szCs w:val="20"/>
          </w:rPr>
          <w:fldChar w:fldCharType="separate"/>
        </w:r>
        <w:r w:rsidR="002647B2">
          <w:rPr>
            <w:b/>
            <w:noProof/>
            <w:sz w:val="20"/>
            <w:szCs w:val="20"/>
          </w:rPr>
          <w:t>2</w:t>
        </w:r>
        <w:r w:rsidRPr="0005703B">
          <w:rPr>
            <w:b/>
            <w:noProof/>
            <w:sz w:val="20"/>
            <w:szCs w:val="20"/>
          </w:rPr>
          <w:fldChar w:fldCharType="end"/>
        </w:r>
      </w:p>
    </w:sdtContent>
  </w:sdt>
  <w:p w14:paraId="3D7E9D61" w14:textId="77777777" w:rsidR="006C26A6" w:rsidRDefault="006C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82B3" w14:textId="77777777" w:rsidR="006C26A6" w:rsidRDefault="006C26A6" w:rsidP="00B76F0E">
      <w:r>
        <w:separator/>
      </w:r>
    </w:p>
  </w:footnote>
  <w:footnote w:type="continuationSeparator" w:id="0">
    <w:p w14:paraId="757E5DBD" w14:textId="77777777" w:rsidR="006C26A6" w:rsidRDefault="006C26A6" w:rsidP="00B76F0E">
      <w:r>
        <w:continuationSeparator/>
      </w:r>
    </w:p>
  </w:footnote>
  <w:footnote w:id="1">
    <w:p w14:paraId="146E6EBE" w14:textId="77777777" w:rsidR="006C26A6" w:rsidRDefault="006C26A6" w:rsidP="001B0CFD">
      <w:pPr>
        <w:pStyle w:val="FootnoteText"/>
        <w:rPr>
          <w:sz w:val="18"/>
          <w:szCs w:val="18"/>
        </w:rPr>
      </w:pPr>
      <w:r>
        <w:rPr>
          <w:rStyle w:val="FootnoteReference"/>
          <w:sz w:val="18"/>
          <w:szCs w:val="18"/>
        </w:rPr>
        <w:footnoteRef/>
      </w:r>
      <w:r>
        <w:rPr>
          <w:sz w:val="18"/>
          <w:szCs w:val="18"/>
        </w:rPr>
        <w:t xml:space="preserve"> Source: ONS Standard Area Measurements (SAM) 2019. Total extent includes land area to mean high water.</w:t>
      </w:r>
    </w:p>
  </w:footnote>
  <w:footnote w:id="2">
    <w:p w14:paraId="6B9B3E85" w14:textId="77777777" w:rsidR="006C26A6" w:rsidRDefault="006C26A6" w:rsidP="001B0CFD">
      <w:pPr>
        <w:pStyle w:val="FootnoteText"/>
        <w:rPr>
          <w:sz w:val="16"/>
          <w:szCs w:val="16"/>
        </w:rPr>
      </w:pPr>
      <w:r>
        <w:rPr>
          <w:rStyle w:val="FootnoteReference"/>
          <w:rFonts w:eastAsiaTheme="majorEastAsia"/>
          <w:sz w:val="18"/>
          <w:szCs w:val="18"/>
        </w:rPr>
        <w:footnoteRef/>
      </w:r>
      <w:r>
        <w:rPr>
          <w:sz w:val="18"/>
          <w:szCs w:val="18"/>
        </w:rPr>
        <w:t xml:space="preserve"> Made up of 61% discontinuous urban fabric and 20% industrial or commercial units. Source and land cover breakdown available from: A Land Cover Atlas of the UK: </w:t>
      </w:r>
      <w:hyperlink r:id="rId1" w:history="1">
        <w:r>
          <w:rPr>
            <w:rStyle w:val="Hyperlink"/>
            <w:sz w:val="18"/>
            <w:szCs w:val="18"/>
          </w:rPr>
          <w:t>https://doi.org/10.15131/shef.data.5219956</w:t>
        </w:r>
      </w:hyperlink>
      <w:r>
        <w:rPr>
          <w:sz w:val="16"/>
          <w:szCs w:val="16"/>
        </w:rPr>
        <w:t xml:space="preserve">  </w:t>
      </w:r>
    </w:p>
  </w:footnote>
  <w:footnote w:id="3">
    <w:p w14:paraId="6CC25BB4" w14:textId="77777777" w:rsidR="006C26A6" w:rsidRDefault="006C26A6" w:rsidP="001F4089">
      <w:pPr>
        <w:rPr>
          <w:lang w:val="en-US"/>
        </w:rPr>
      </w:pPr>
      <w:r>
        <w:rPr>
          <w:rStyle w:val="FootnoteReference"/>
        </w:rPr>
        <w:footnoteRef/>
      </w:r>
      <w:r>
        <w:rPr>
          <w:sz w:val="20"/>
          <w:szCs w:val="20"/>
        </w:rPr>
        <w:t xml:space="preserve"> Paragraph: 001 Reference ID: 54-001-20141010</w:t>
      </w:r>
    </w:p>
  </w:footnote>
  <w:footnote w:id="4">
    <w:p w14:paraId="7744FA34" w14:textId="77777777" w:rsidR="006C26A6" w:rsidRDefault="006C26A6" w:rsidP="001F4089">
      <w:pPr>
        <w:rPr>
          <w:sz w:val="20"/>
          <w:szCs w:val="20"/>
        </w:rPr>
      </w:pPr>
      <w:r>
        <w:rPr>
          <w:rStyle w:val="FootnoteReference"/>
        </w:rPr>
        <w:footnoteRef/>
      </w:r>
      <w:r>
        <w:t xml:space="preserve"> </w:t>
      </w:r>
      <w:r>
        <w:rPr>
          <w:sz w:val="20"/>
          <w:szCs w:val="20"/>
        </w:rPr>
        <w:t>Paragraph: 002 Reference ID: 54-002-20141010</w:t>
      </w:r>
    </w:p>
    <w:p w14:paraId="2C3F99CC" w14:textId="77777777" w:rsidR="006C26A6" w:rsidRDefault="006C26A6" w:rsidP="001F4089">
      <w:pPr>
        <w:pStyle w:val="FootnoteText"/>
        <w:rPr>
          <w:lang w:val="en-US"/>
        </w:rPr>
      </w:pPr>
    </w:p>
  </w:footnote>
  <w:footnote w:id="5">
    <w:p w14:paraId="1EFBF928" w14:textId="77777777" w:rsidR="006C26A6" w:rsidRDefault="006C26A6" w:rsidP="001F4089">
      <w:pPr>
        <w:pStyle w:val="NormalWeb"/>
        <w:shd w:val="clear" w:color="auto" w:fill="FFFFFF"/>
        <w:spacing w:before="0" w:beforeAutospacing="0" w:after="0" w:afterAutospacing="0"/>
        <w:rPr>
          <w:rFonts w:ascii="Arial" w:hAnsi="Arial" w:cs="Arial"/>
          <w:color w:val="0B0C0C"/>
          <w:sz w:val="20"/>
          <w:szCs w:val="20"/>
        </w:rPr>
      </w:pPr>
      <w:r>
        <w:rPr>
          <w:rStyle w:val="FootnoteReference"/>
          <w:rFonts w:ascii="Arial" w:hAnsi="Arial" w:cs="Arial"/>
        </w:rPr>
        <w:footnoteRef/>
      </w:r>
      <w:r>
        <w:rPr>
          <w:rFonts w:ascii="Arial" w:hAnsi="Arial" w:cs="Arial"/>
          <w:sz w:val="20"/>
          <w:szCs w:val="20"/>
        </w:rPr>
        <w:t xml:space="preserve"> </w:t>
      </w:r>
      <w:r>
        <w:rPr>
          <w:rFonts w:ascii="Arial" w:hAnsi="Arial" w:cs="Arial"/>
          <w:color w:val="0B0C0C"/>
          <w:sz w:val="20"/>
          <w:szCs w:val="20"/>
        </w:rPr>
        <w:t>Paragraph: 003 Reference ID: 54-003-20141010</w:t>
      </w:r>
    </w:p>
    <w:p w14:paraId="43924966" w14:textId="77777777" w:rsidR="006C26A6" w:rsidRDefault="006C26A6" w:rsidP="001F408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9D17" w14:textId="1F2E9748" w:rsidR="006C26A6" w:rsidRDefault="006C26A6">
    <w:pPr>
      <w:pStyle w:val="Header"/>
      <w:rPr>
        <w:b/>
        <w:color w:val="808080" w:themeColor="background1" w:themeShade="80"/>
        <w:lang w:val="en-US"/>
      </w:rPr>
    </w:pPr>
    <w:r>
      <w:rPr>
        <w:noProof/>
        <w:lang w:eastAsia="en-GB"/>
      </w:rPr>
      <w:drawing>
        <wp:anchor distT="0" distB="0" distL="114300" distR="114300" simplePos="0" relativeHeight="251659264" behindDoc="1" locked="0" layoutInCell="1" allowOverlap="1" wp14:anchorId="735AA628" wp14:editId="00DEEF23">
          <wp:simplePos x="0" y="0"/>
          <wp:positionH relativeFrom="column">
            <wp:posOffset>4619625</wp:posOffset>
          </wp:positionH>
          <wp:positionV relativeFrom="paragraph">
            <wp:posOffset>-363855</wp:posOffset>
          </wp:positionV>
          <wp:extent cx="938371"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
                  <a:srcRect l="27234" t="12141" r="27234" b="12287"/>
                  <a:stretch/>
                </pic:blipFill>
                <pic:spPr bwMode="auto">
                  <a:xfrm>
                    <a:off x="0" y="0"/>
                    <a:ext cx="938371"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3DF9">
      <w:rPr>
        <w:b/>
        <w:color w:val="808080" w:themeColor="background1" w:themeShade="80"/>
        <w:lang w:val="en-US"/>
      </w:rPr>
      <w:t>Invitation to Quote</w:t>
    </w:r>
    <w:r>
      <w:rPr>
        <w:b/>
        <w:color w:val="808080" w:themeColor="background1" w:themeShade="80"/>
        <w:lang w:val="en-US"/>
      </w:rPr>
      <w:t xml:space="preserve"> 17.04.2023</w:t>
    </w:r>
  </w:p>
  <w:p w14:paraId="26155AC3" w14:textId="77777777" w:rsidR="006C26A6" w:rsidRPr="00A33DF9" w:rsidRDefault="006C26A6">
    <w:pPr>
      <w:pStyle w:val="Header"/>
      <w:rPr>
        <w:b/>
        <w:color w:val="808080" w:themeColor="background1" w:themeShade="8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485"/>
    <w:multiLevelType w:val="hybridMultilevel"/>
    <w:tmpl w:val="804E94A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54AEA"/>
    <w:multiLevelType w:val="hybridMultilevel"/>
    <w:tmpl w:val="56D0F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DF593D"/>
    <w:multiLevelType w:val="hybridMultilevel"/>
    <w:tmpl w:val="E398E962"/>
    <w:lvl w:ilvl="0" w:tplc="DA4E78FE">
      <w:start w:val="1"/>
      <w:numFmt w:val="bullet"/>
      <w:lvlText w:val=""/>
      <w:lvlJc w:val="left"/>
      <w:pPr>
        <w:ind w:left="1797" w:hanging="360"/>
      </w:pPr>
      <w:rPr>
        <w:rFonts w:ascii="Symbol" w:hAnsi="Symbol" w:hint="default"/>
        <w:sz w:val="20"/>
        <w:szCs w:val="2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15:restartNumberingAfterBreak="0">
    <w:nsid w:val="1123262E"/>
    <w:multiLevelType w:val="hybridMultilevel"/>
    <w:tmpl w:val="F1C46C9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9651C"/>
    <w:multiLevelType w:val="hybridMultilevel"/>
    <w:tmpl w:val="4CF00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2785F"/>
    <w:multiLevelType w:val="hybridMultilevel"/>
    <w:tmpl w:val="7130CC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D78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A60D1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F42EC6"/>
    <w:multiLevelType w:val="multilevel"/>
    <w:tmpl w:val="3796FFBA"/>
    <w:lvl w:ilvl="0">
      <w:start w:val="1"/>
      <w:numFmt w:val="bullet"/>
      <w:lvlText w:val=""/>
      <w:lvlJc w:val="left"/>
      <w:pPr>
        <w:ind w:left="1440" w:hanging="720"/>
      </w:pPr>
      <w:rPr>
        <w:rFonts w:ascii="Wingdings" w:hAnsi="Wingding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2E802EEB"/>
    <w:multiLevelType w:val="hybridMultilevel"/>
    <w:tmpl w:val="A0A2F374"/>
    <w:lvl w:ilvl="0" w:tplc="3F7AB7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8003A8"/>
    <w:multiLevelType w:val="hybridMultilevel"/>
    <w:tmpl w:val="D1D22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D64671A"/>
    <w:multiLevelType w:val="hybridMultilevel"/>
    <w:tmpl w:val="FF8C3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34192"/>
    <w:multiLevelType w:val="hybridMultilevel"/>
    <w:tmpl w:val="B61AAAAC"/>
    <w:lvl w:ilvl="0" w:tplc="52AE5A64">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353"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B0561E"/>
    <w:multiLevelType w:val="hybridMultilevel"/>
    <w:tmpl w:val="0BB2251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C03E4A"/>
    <w:multiLevelType w:val="hybridMultilevel"/>
    <w:tmpl w:val="95FA29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916EAF"/>
    <w:multiLevelType w:val="hybridMultilevel"/>
    <w:tmpl w:val="F522A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287D1F"/>
    <w:multiLevelType w:val="hybridMultilevel"/>
    <w:tmpl w:val="A30EEAA0"/>
    <w:lvl w:ilvl="0" w:tplc="716013B2">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3D7A14"/>
    <w:multiLevelType w:val="hybridMultilevel"/>
    <w:tmpl w:val="62085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F741ED"/>
    <w:multiLevelType w:val="hybridMultilevel"/>
    <w:tmpl w:val="18143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5A2B9A"/>
    <w:multiLevelType w:val="hybridMultilevel"/>
    <w:tmpl w:val="F920F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BC4C59"/>
    <w:multiLevelType w:val="hybridMultilevel"/>
    <w:tmpl w:val="67C2122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65E94"/>
    <w:multiLevelType w:val="hybridMultilevel"/>
    <w:tmpl w:val="D2349982"/>
    <w:lvl w:ilvl="0" w:tplc="33EC6774">
      <w:start w:val="1"/>
      <w:numFmt w:val="bullet"/>
      <w:lvlText w:val="-"/>
      <w:lvlJc w:val="left"/>
      <w:pPr>
        <w:ind w:left="720" w:hanging="360"/>
      </w:pPr>
      <w:rPr>
        <w:rFonts w:ascii="Calibri" w:eastAsiaTheme="minorHAnsi" w:hAnsi="Calibri" w:cs="Calibri" w:hint="default"/>
      </w:rPr>
    </w:lvl>
    <w:lvl w:ilvl="1" w:tplc="33EC6774">
      <w:start w:val="1"/>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337C2"/>
    <w:multiLevelType w:val="hybridMultilevel"/>
    <w:tmpl w:val="85523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5DB4138"/>
    <w:multiLevelType w:val="hybridMultilevel"/>
    <w:tmpl w:val="76041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6F0628"/>
    <w:multiLevelType w:val="hybridMultilevel"/>
    <w:tmpl w:val="1A6E75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77694"/>
    <w:multiLevelType w:val="hybridMultilevel"/>
    <w:tmpl w:val="8F66D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8715BD"/>
    <w:multiLevelType w:val="hybridMultilevel"/>
    <w:tmpl w:val="51B63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E84C91"/>
    <w:multiLevelType w:val="hybridMultilevel"/>
    <w:tmpl w:val="774AD84E"/>
    <w:lvl w:ilvl="0" w:tplc="C670337E">
      <w:numFmt w:val="bullet"/>
      <w:lvlText w:val="-"/>
      <w:lvlJc w:val="left"/>
      <w:pPr>
        <w:ind w:left="1440" w:hanging="360"/>
      </w:pPr>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77C7519D"/>
    <w:multiLevelType w:val="hybridMultilevel"/>
    <w:tmpl w:val="7F0096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C0A6E51"/>
    <w:multiLevelType w:val="hybridMultilevel"/>
    <w:tmpl w:val="BC463D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A083D"/>
    <w:multiLevelType w:val="hybridMultilevel"/>
    <w:tmpl w:val="771AAE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9"/>
  </w:num>
  <w:num w:numId="2">
    <w:abstractNumId w:val="17"/>
  </w:num>
  <w:num w:numId="3">
    <w:abstractNumId w:val="26"/>
  </w:num>
  <w:num w:numId="4">
    <w:abstractNumId w:val="18"/>
  </w:num>
  <w:num w:numId="5">
    <w:abstractNumId w:val="25"/>
  </w:num>
  <w:num w:numId="6">
    <w:abstractNumId w:val="15"/>
  </w:num>
  <w:num w:numId="7">
    <w:abstractNumId w:val="23"/>
  </w:num>
  <w:num w:numId="8">
    <w:abstractNumId w:val="22"/>
  </w:num>
  <w:num w:numId="9">
    <w:abstractNumId w:val="21"/>
  </w:num>
  <w:num w:numId="10">
    <w:abstractNumId w:val="21"/>
  </w:num>
  <w:num w:numId="11">
    <w:abstractNumId w:val="14"/>
  </w:num>
  <w:num w:numId="12">
    <w:abstractNumId w:val="12"/>
  </w:num>
  <w:num w:numId="13">
    <w:abstractNumId w:val="16"/>
  </w:num>
  <w:num w:numId="14">
    <w:abstractNumId w:val="2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6"/>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8"/>
  </w:num>
  <w:num w:numId="25">
    <w:abstractNumId w:val="24"/>
  </w:num>
  <w:num w:numId="26">
    <w:abstractNumId w:val="13"/>
  </w:num>
  <w:num w:numId="27">
    <w:abstractNumId w:val="20"/>
  </w:num>
  <w:num w:numId="28">
    <w:abstractNumId w:val="30"/>
  </w:num>
  <w:num w:numId="29">
    <w:abstractNumId w:val="4"/>
  </w:num>
  <w:num w:numId="30">
    <w:abstractNumId w:val="5"/>
  </w:num>
  <w:num w:numId="31">
    <w:abstractNumId w:val="29"/>
  </w:num>
  <w:num w:numId="32">
    <w:abstractNumId w:val="0"/>
  </w:num>
  <w:num w:numId="33">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C3"/>
    <w:rsid w:val="0001153F"/>
    <w:rsid w:val="00015F67"/>
    <w:rsid w:val="00033254"/>
    <w:rsid w:val="000464A3"/>
    <w:rsid w:val="00053635"/>
    <w:rsid w:val="0005600A"/>
    <w:rsid w:val="0005703B"/>
    <w:rsid w:val="000667A2"/>
    <w:rsid w:val="00081505"/>
    <w:rsid w:val="0009163E"/>
    <w:rsid w:val="00094ED8"/>
    <w:rsid w:val="0009716A"/>
    <w:rsid w:val="00097D38"/>
    <w:rsid w:val="000A111F"/>
    <w:rsid w:val="000A1471"/>
    <w:rsid w:val="000A257C"/>
    <w:rsid w:val="000C698D"/>
    <w:rsid w:val="000D4F40"/>
    <w:rsid w:val="000D7948"/>
    <w:rsid w:val="000F7A23"/>
    <w:rsid w:val="00104B7C"/>
    <w:rsid w:val="0011189F"/>
    <w:rsid w:val="0012198C"/>
    <w:rsid w:val="00123EE4"/>
    <w:rsid w:val="0012641D"/>
    <w:rsid w:val="00134B7D"/>
    <w:rsid w:val="0014209B"/>
    <w:rsid w:val="00143599"/>
    <w:rsid w:val="001441D9"/>
    <w:rsid w:val="00144C83"/>
    <w:rsid w:val="0017561C"/>
    <w:rsid w:val="00177444"/>
    <w:rsid w:val="001802E3"/>
    <w:rsid w:val="00183A2A"/>
    <w:rsid w:val="001A46D3"/>
    <w:rsid w:val="001A642F"/>
    <w:rsid w:val="001B0759"/>
    <w:rsid w:val="001B0CFD"/>
    <w:rsid w:val="001B5BB5"/>
    <w:rsid w:val="001C216D"/>
    <w:rsid w:val="001D54DD"/>
    <w:rsid w:val="001F1A6C"/>
    <w:rsid w:val="001F4089"/>
    <w:rsid w:val="00235BF2"/>
    <w:rsid w:val="00245F1A"/>
    <w:rsid w:val="00253678"/>
    <w:rsid w:val="002647B2"/>
    <w:rsid w:val="00266937"/>
    <w:rsid w:val="002678D9"/>
    <w:rsid w:val="0027117F"/>
    <w:rsid w:val="00274208"/>
    <w:rsid w:val="00284DDF"/>
    <w:rsid w:val="0028507F"/>
    <w:rsid w:val="00285166"/>
    <w:rsid w:val="002A55B7"/>
    <w:rsid w:val="002D441B"/>
    <w:rsid w:val="002E5717"/>
    <w:rsid w:val="002E602C"/>
    <w:rsid w:val="002F39F9"/>
    <w:rsid w:val="00300AB4"/>
    <w:rsid w:val="00317587"/>
    <w:rsid w:val="00324486"/>
    <w:rsid w:val="0032602A"/>
    <w:rsid w:val="00342529"/>
    <w:rsid w:val="00345A4A"/>
    <w:rsid w:val="00354670"/>
    <w:rsid w:val="003549A5"/>
    <w:rsid w:val="00355B14"/>
    <w:rsid w:val="00364C72"/>
    <w:rsid w:val="00367CAD"/>
    <w:rsid w:val="00370617"/>
    <w:rsid w:val="003748CE"/>
    <w:rsid w:val="00377011"/>
    <w:rsid w:val="0039783D"/>
    <w:rsid w:val="003A79BF"/>
    <w:rsid w:val="003B31F4"/>
    <w:rsid w:val="003C43FE"/>
    <w:rsid w:val="003D1C22"/>
    <w:rsid w:val="003D1FEF"/>
    <w:rsid w:val="003D4D7A"/>
    <w:rsid w:val="003E1113"/>
    <w:rsid w:val="003E13A5"/>
    <w:rsid w:val="004070AE"/>
    <w:rsid w:val="0040751D"/>
    <w:rsid w:val="004104AD"/>
    <w:rsid w:val="00415E7B"/>
    <w:rsid w:val="00436E70"/>
    <w:rsid w:val="00440D1C"/>
    <w:rsid w:val="00442640"/>
    <w:rsid w:val="00464ECA"/>
    <w:rsid w:val="0046508B"/>
    <w:rsid w:val="004704EE"/>
    <w:rsid w:val="00473328"/>
    <w:rsid w:val="00480645"/>
    <w:rsid w:val="0048615B"/>
    <w:rsid w:val="00492CE4"/>
    <w:rsid w:val="00496634"/>
    <w:rsid w:val="004A0619"/>
    <w:rsid w:val="004B201C"/>
    <w:rsid w:val="004B673B"/>
    <w:rsid w:val="004B751E"/>
    <w:rsid w:val="004C584A"/>
    <w:rsid w:val="004F3E5F"/>
    <w:rsid w:val="004F6F12"/>
    <w:rsid w:val="004F7014"/>
    <w:rsid w:val="00502027"/>
    <w:rsid w:val="00506F60"/>
    <w:rsid w:val="005126ED"/>
    <w:rsid w:val="005145C7"/>
    <w:rsid w:val="0052656F"/>
    <w:rsid w:val="00527F6D"/>
    <w:rsid w:val="00532701"/>
    <w:rsid w:val="00532EC3"/>
    <w:rsid w:val="005365C3"/>
    <w:rsid w:val="00537A94"/>
    <w:rsid w:val="005420AE"/>
    <w:rsid w:val="00543F12"/>
    <w:rsid w:val="00550A42"/>
    <w:rsid w:val="00554222"/>
    <w:rsid w:val="00566048"/>
    <w:rsid w:val="00571F77"/>
    <w:rsid w:val="00575FA0"/>
    <w:rsid w:val="005801AD"/>
    <w:rsid w:val="00581F61"/>
    <w:rsid w:val="00585164"/>
    <w:rsid w:val="005A4D64"/>
    <w:rsid w:val="005A6B45"/>
    <w:rsid w:val="005B0EC7"/>
    <w:rsid w:val="005B4203"/>
    <w:rsid w:val="005B470B"/>
    <w:rsid w:val="005C38B7"/>
    <w:rsid w:val="005D0826"/>
    <w:rsid w:val="005D2CD2"/>
    <w:rsid w:val="005D664D"/>
    <w:rsid w:val="005E1410"/>
    <w:rsid w:val="005E4B22"/>
    <w:rsid w:val="0060662E"/>
    <w:rsid w:val="00613ACF"/>
    <w:rsid w:val="00615194"/>
    <w:rsid w:val="00622256"/>
    <w:rsid w:val="00623A83"/>
    <w:rsid w:val="00626132"/>
    <w:rsid w:val="0063225E"/>
    <w:rsid w:val="00633A7C"/>
    <w:rsid w:val="00642F6B"/>
    <w:rsid w:val="006447AE"/>
    <w:rsid w:val="00651EFD"/>
    <w:rsid w:val="006742A0"/>
    <w:rsid w:val="00675D41"/>
    <w:rsid w:val="006877D3"/>
    <w:rsid w:val="006A227E"/>
    <w:rsid w:val="006A26EF"/>
    <w:rsid w:val="006A5DD2"/>
    <w:rsid w:val="006A7934"/>
    <w:rsid w:val="006B012D"/>
    <w:rsid w:val="006B2243"/>
    <w:rsid w:val="006B2E49"/>
    <w:rsid w:val="006B31CC"/>
    <w:rsid w:val="006B5830"/>
    <w:rsid w:val="006B6DBB"/>
    <w:rsid w:val="006B7FB2"/>
    <w:rsid w:val="006C26A6"/>
    <w:rsid w:val="006C4B65"/>
    <w:rsid w:val="006C755B"/>
    <w:rsid w:val="006D5806"/>
    <w:rsid w:val="006F1BC3"/>
    <w:rsid w:val="007014FF"/>
    <w:rsid w:val="00711581"/>
    <w:rsid w:val="007147DC"/>
    <w:rsid w:val="0071488E"/>
    <w:rsid w:val="007253B8"/>
    <w:rsid w:val="007324D2"/>
    <w:rsid w:val="00732A7A"/>
    <w:rsid w:val="007350A5"/>
    <w:rsid w:val="00741CDC"/>
    <w:rsid w:val="007465CF"/>
    <w:rsid w:val="00752356"/>
    <w:rsid w:val="00756EDE"/>
    <w:rsid w:val="007615AC"/>
    <w:rsid w:val="00765169"/>
    <w:rsid w:val="00780A9C"/>
    <w:rsid w:val="00793DF4"/>
    <w:rsid w:val="007A1618"/>
    <w:rsid w:val="007B50A0"/>
    <w:rsid w:val="007C4AAD"/>
    <w:rsid w:val="007C57D0"/>
    <w:rsid w:val="007E7CE3"/>
    <w:rsid w:val="0080192A"/>
    <w:rsid w:val="0080402A"/>
    <w:rsid w:val="00804F1E"/>
    <w:rsid w:val="008158BA"/>
    <w:rsid w:val="0082583F"/>
    <w:rsid w:val="00836661"/>
    <w:rsid w:val="00841C5D"/>
    <w:rsid w:val="00847888"/>
    <w:rsid w:val="00851FB7"/>
    <w:rsid w:val="00853848"/>
    <w:rsid w:val="00856817"/>
    <w:rsid w:val="00863045"/>
    <w:rsid w:val="00865236"/>
    <w:rsid w:val="00872A2E"/>
    <w:rsid w:val="008745F9"/>
    <w:rsid w:val="00874FCE"/>
    <w:rsid w:val="0087585C"/>
    <w:rsid w:val="00884106"/>
    <w:rsid w:val="00897B6B"/>
    <w:rsid w:val="008B5B4C"/>
    <w:rsid w:val="008C1877"/>
    <w:rsid w:val="008C5825"/>
    <w:rsid w:val="008D2961"/>
    <w:rsid w:val="008D7BEF"/>
    <w:rsid w:val="008E28A4"/>
    <w:rsid w:val="008F3521"/>
    <w:rsid w:val="008F5028"/>
    <w:rsid w:val="00903FBD"/>
    <w:rsid w:val="00910517"/>
    <w:rsid w:val="00921531"/>
    <w:rsid w:val="0092168F"/>
    <w:rsid w:val="00925A1A"/>
    <w:rsid w:val="0093647B"/>
    <w:rsid w:val="0094093D"/>
    <w:rsid w:val="00940E5C"/>
    <w:rsid w:val="009414EC"/>
    <w:rsid w:val="00941FC9"/>
    <w:rsid w:val="00944826"/>
    <w:rsid w:val="00950F98"/>
    <w:rsid w:val="00953B3E"/>
    <w:rsid w:val="009568F4"/>
    <w:rsid w:val="00970544"/>
    <w:rsid w:val="009714A6"/>
    <w:rsid w:val="00985263"/>
    <w:rsid w:val="009912DD"/>
    <w:rsid w:val="009949BA"/>
    <w:rsid w:val="00997BC1"/>
    <w:rsid w:val="009A012F"/>
    <w:rsid w:val="009A455A"/>
    <w:rsid w:val="009C73A5"/>
    <w:rsid w:val="009D3D7B"/>
    <w:rsid w:val="009D5A8B"/>
    <w:rsid w:val="009E1B63"/>
    <w:rsid w:val="009E7E93"/>
    <w:rsid w:val="00A00CF3"/>
    <w:rsid w:val="00A02BF5"/>
    <w:rsid w:val="00A15989"/>
    <w:rsid w:val="00A233E1"/>
    <w:rsid w:val="00A27537"/>
    <w:rsid w:val="00A33DF9"/>
    <w:rsid w:val="00A41A6E"/>
    <w:rsid w:val="00A45081"/>
    <w:rsid w:val="00A465B2"/>
    <w:rsid w:val="00A50656"/>
    <w:rsid w:val="00A51F43"/>
    <w:rsid w:val="00A524B5"/>
    <w:rsid w:val="00A54CF6"/>
    <w:rsid w:val="00A56062"/>
    <w:rsid w:val="00A5675A"/>
    <w:rsid w:val="00A608ED"/>
    <w:rsid w:val="00A60A48"/>
    <w:rsid w:val="00A63BBC"/>
    <w:rsid w:val="00A71CBE"/>
    <w:rsid w:val="00A86184"/>
    <w:rsid w:val="00A92FC1"/>
    <w:rsid w:val="00A966FE"/>
    <w:rsid w:val="00AB16CD"/>
    <w:rsid w:val="00AB30CD"/>
    <w:rsid w:val="00AC502A"/>
    <w:rsid w:val="00AD6E2C"/>
    <w:rsid w:val="00AE7CE1"/>
    <w:rsid w:val="00AF0315"/>
    <w:rsid w:val="00AF2EAC"/>
    <w:rsid w:val="00B049A3"/>
    <w:rsid w:val="00B04B6B"/>
    <w:rsid w:val="00B12628"/>
    <w:rsid w:val="00B15D0C"/>
    <w:rsid w:val="00B224C1"/>
    <w:rsid w:val="00B305E3"/>
    <w:rsid w:val="00B32DDF"/>
    <w:rsid w:val="00B348B7"/>
    <w:rsid w:val="00B35EEB"/>
    <w:rsid w:val="00B364D7"/>
    <w:rsid w:val="00B52B2A"/>
    <w:rsid w:val="00B602F8"/>
    <w:rsid w:val="00B703F0"/>
    <w:rsid w:val="00B726E8"/>
    <w:rsid w:val="00B76F0E"/>
    <w:rsid w:val="00BA2BB4"/>
    <w:rsid w:val="00BA66BD"/>
    <w:rsid w:val="00BB0998"/>
    <w:rsid w:val="00BF26D9"/>
    <w:rsid w:val="00C00135"/>
    <w:rsid w:val="00C0471F"/>
    <w:rsid w:val="00C17D79"/>
    <w:rsid w:val="00C349DE"/>
    <w:rsid w:val="00C4579C"/>
    <w:rsid w:val="00C47787"/>
    <w:rsid w:val="00C5505F"/>
    <w:rsid w:val="00C57E28"/>
    <w:rsid w:val="00C57FF0"/>
    <w:rsid w:val="00C71154"/>
    <w:rsid w:val="00C779A9"/>
    <w:rsid w:val="00C8442B"/>
    <w:rsid w:val="00C901AD"/>
    <w:rsid w:val="00C90E97"/>
    <w:rsid w:val="00C968E6"/>
    <w:rsid w:val="00C97D21"/>
    <w:rsid w:val="00CA4C85"/>
    <w:rsid w:val="00CA5629"/>
    <w:rsid w:val="00CB2695"/>
    <w:rsid w:val="00CB6406"/>
    <w:rsid w:val="00CC2286"/>
    <w:rsid w:val="00CC4D5A"/>
    <w:rsid w:val="00CC696F"/>
    <w:rsid w:val="00CC6F42"/>
    <w:rsid w:val="00CD3B5F"/>
    <w:rsid w:val="00CE1D88"/>
    <w:rsid w:val="00CF08A0"/>
    <w:rsid w:val="00D14BD0"/>
    <w:rsid w:val="00D23654"/>
    <w:rsid w:val="00D35CCB"/>
    <w:rsid w:val="00D4385B"/>
    <w:rsid w:val="00D50948"/>
    <w:rsid w:val="00D60A04"/>
    <w:rsid w:val="00D615D8"/>
    <w:rsid w:val="00D64633"/>
    <w:rsid w:val="00D8525E"/>
    <w:rsid w:val="00D85384"/>
    <w:rsid w:val="00D86D5C"/>
    <w:rsid w:val="00DB2F84"/>
    <w:rsid w:val="00DB6EC0"/>
    <w:rsid w:val="00DC7CDB"/>
    <w:rsid w:val="00DD3496"/>
    <w:rsid w:val="00DD702A"/>
    <w:rsid w:val="00DE5952"/>
    <w:rsid w:val="00DF07C8"/>
    <w:rsid w:val="00E047F5"/>
    <w:rsid w:val="00E107F3"/>
    <w:rsid w:val="00E15426"/>
    <w:rsid w:val="00E30407"/>
    <w:rsid w:val="00E30A9C"/>
    <w:rsid w:val="00E42F23"/>
    <w:rsid w:val="00E4416D"/>
    <w:rsid w:val="00E76BF2"/>
    <w:rsid w:val="00E867B4"/>
    <w:rsid w:val="00E934ED"/>
    <w:rsid w:val="00EB388E"/>
    <w:rsid w:val="00EC123D"/>
    <w:rsid w:val="00EC49D8"/>
    <w:rsid w:val="00ED4ADD"/>
    <w:rsid w:val="00ED656F"/>
    <w:rsid w:val="00EE7968"/>
    <w:rsid w:val="00EF4B71"/>
    <w:rsid w:val="00F03D2D"/>
    <w:rsid w:val="00F06F44"/>
    <w:rsid w:val="00F12186"/>
    <w:rsid w:val="00F16304"/>
    <w:rsid w:val="00F30BE6"/>
    <w:rsid w:val="00F40A0B"/>
    <w:rsid w:val="00F55771"/>
    <w:rsid w:val="00F61C84"/>
    <w:rsid w:val="00F63E78"/>
    <w:rsid w:val="00F678BC"/>
    <w:rsid w:val="00F73DEE"/>
    <w:rsid w:val="00F85DDF"/>
    <w:rsid w:val="00F862BB"/>
    <w:rsid w:val="00F96C38"/>
    <w:rsid w:val="00F97004"/>
    <w:rsid w:val="00FA4B1A"/>
    <w:rsid w:val="00FC26E9"/>
    <w:rsid w:val="00FC2C3C"/>
    <w:rsid w:val="00FC4D2C"/>
    <w:rsid w:val="00FD507F"/>
    <w:rsid w:val="00FE555E"/>
    <w:rsid w:val="00FE7585"/>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0AB8A"/>
  <w15:chartTrackingRefBased/>
  <w15:docId w15:val="{292107CA-5112-4F7E-A2FA-3AA8E97D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1F4089"/>
    <w:pPr>
      <w:keepNext/>
      <w:spacing w:before="40"/>
      <w:outlineLvl w:val="2"/>
    </w:pPr>
    <w:rPr>
      <w:rFonts w:ascii="Calibri Light" w:eastAsia="Times New Roman" w:hAnsi="Calibri Light" w:cs="Calibri Light"/>
      <w:color w:val="1F3763"/>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F5 List Paragraph,List Paragraph1,List Paragraph11,Dot pt,No Spacing1,List Paragraph Char Char Char,Indicator Text,Numbered Para 1,Bullet 1,Bullet Points,MAIN CONTENT,List Paragraph12,Bullet Style,Colorful List - Accent 11"/>
    <w:basedOn w:val="Normal"/>
    <w:link w:val="ListParagraphChar"/>
    <w:uiPriority w:val="34"/>
    <w:qFormat/>
    <w:rsid w:val="00532EC3"/>
    <w:pPr>
      <w:ind w:left="720"/>
      <w:contextualSpacing/>
    </w:pPr>
  </w:style>
  <w:style w:type="paragraph" w:styleId="FootnoteText">
    <w:name w:val="footnote text"/>
    <w:basedOn w:val="Normal"/>
    <w:link w:val="FootnoteTextChar"/>
    <w:uiPriority w:val="99"/>
    <w:semiHidden/>
    <w:unhideWhenUsed/>
    <w:rsid w:val="00B76F0E"/>
    <w:rPr>
      <w:sz w:val="20"/>
      <w:szCs w:val="20"/>
    </w:rPr>
  </w:style>
  <w:style w:type="character" w:customStyle="1" w:styleId="FootnoteTextChar">
    <w:name w:val="Footnote Text Char"/>
    <w:basedOn w:val="DefaultParagraphFont"/>
    <w:link w:val="FootnoteText"/>
    <w:uiPriority w:val="99"/>
    <w:semiHidden/>
    <w:rsid w:val="00B76F0E"/>
    <w:rPr>
      <w:sz w:val="20"/>
      <w:szCs w:val="20"/>
    </w:rPr>
  </w:style>
  <w:style w:type="character" w:styleId="FootnoteReference">
    <w:name w:val="footnote reference"/>
    <w:unhideWhenUsed/>
    <w:rsid w:val="00B76F0E"/>
    <w:rPr>
      <w:vertAlign w:val="superscript"/>
    </w:rPr>
  </w:style>
  <w:style w:type="character" w:styleId="Hyperlink">
    <w:name w:val="Hyperlink"/>
    <w:basedOn w:val="DefaultParagraphFont"/>
    <w:uiPriority w:val="99"/>
    <w:unhideWhenUsed/>
    <w:rsid w:val="00B76F0E"/>
    <w:rPr>
      <w:strike w:val="0"/>
      <w:dstrike w:val="0"/>
      <w:color w:val="17365D" w:themeColor="text2" w:themeShade="BF"/>
      <w:u w:val="none"/>
      <w:effect w:val="none"/>
    </w:rPr>
  </w:style>
  <w:style w:type="character" w:customStyle="1" w:styleId="ListParagraphChar">
    <w:name w:val="List Paragraph Char"/>
    <w:aliases w:val="Bullets Char,F5 List Paragraph Char,List Paragraph1 Char,List Paragraph11 Char,Dot pt Char,No Spacing1 Char,List Paragraph Char Char Char Char,Indicator Text Char,Numbered Para 1 Char,Bullet 1 Char,Bullet Points Char"/>
    <w:link w:val="ListParagraph"/>
    <w:uiPriority w:val="34"/>
    <w:qFormat/>
    <w:locked/>
    <w:rsid w:val="005E4B22"/>
  </w:style>
  <w:style w:type="table" w:styleId="TableGrid">
    <w:name w:val="Table Grid"/>
    <w:basedOn w:val="TableNormal"/>
    <w:uiPriority w:val="59"/>
    <w:rsid w:val="0099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62BB"/>
    <w:pPr>
      <w:autoSpaceDE w:val="0"/>
      <w:autoSpaceDN w:val="0"/>
      <w:adjustRightInd w:val="0"/>
    </w:pPr>
    <w:rPr>
      <w:rFonts w:cs="Arial"/>
      <w:color w:val="000000"/>
      <w:szCs w:val="24"/>
    </w:rPr>
  </w:style>
  <w:style w:type="paragraph" w:styleId="Header">
    <w:name w:val="header"/>
    <w:basedOn w:val="Normal"/>
    <w:link w:val="HeaderChar"/>
    <w:uiPriority w:val="99"/>
    <w:unhideWhenUsed/>
    <w:rsid w:val="0005703B"/>
    <w:pPr>
      <w:tabs>
        <w:tab w:val="center" w:pos="4513"/>
        <w:tab w:val="right" w:pos="9026"/>
      </w:tabs>
    </w:pPr>
  </w:style>
  <w:style w:type="character" w:customStyle="1" w:styleId="HeaderChar">
    <w:name w:val="Header Char"/>
    <w:basedOn w:val="DefaultParagraphFont"/>
    <w:link w:val="Header"/>
    <w:uiPriority w:val="99"/>
    <w:rsid w:val="0005703B"/>
  </w:style>
  <w:style w:type="paragraph" w:styleId="Footer">
    <w:name w:val="footer"/>
    <w:basedOn w:val="Normal"/>
    <w:link w:val="FooterChar"/>
    <w:uiPriority w:val="99"/>
    <w:unhideWhenUsed/>
    <w:rsid w:val="0005703B"/>
    <w:pPr>
      <w:tabs>
        <w:tab w:val="center" w:pos="4513"/>
        <w:tab w:val="right" w:pos="9026"/>
      </w:tabs>
    </w:pPr>
  </w:style>
  <w:style w:type="character" w:customStyle="1" w:styleId="FooterChar">
    <w:name w:val="Footer Char"/>
    <w:basedOn w:val="DefaultParagraphFont"/>
    <w:link w:val="Footer"/>
    <w:uiPriority w:val="99"/>
    <w:rsid w:val="0005703B"/>
  </w:style>
  <w:style w:type="character" w:styleId="Strong">
    <w:name w:val="Strong"/>
    <w:basedOn w:val="DefaultParagraphFont"/>
    <w:uiPriority w:val="22"/>
    <w:qFormat/>
    <w:rsid w:val="00A465B2"/>
    <w:rPr>
      <w:b/>
      <w:bCs/>
    </w:rPr>
  </w:style>
  <w:style w:type="character" w:styleId="CommentReference">
    <w:name w:val="annotation reference"/>
    <w:basedOn w:val="DefaultParagraphFont"/>
    <w:uiPriority w:val="99"/>
    <w:semiHidden/>
    <w:unhideWhenUsed/>
    <w:rsid w:val="00F16304"/>
    <w:rPr>
      <w:sz w:val="16"/>
      <w:szCs w:val="16"/>
    </w:rPr>
  </w:style>
  <w:style w:type="paragraph" w:styleId="CommentText">
    <w:name w:val="annotation text"/>
    <w:basedOn w:val="Normal"/>
    <w:link w:val="CommentTextChar"/>
    <w:uiPriority w:val="99"/>
    <w:unhideWhenUsed/>
    <w:rsid w:val="00F16304"/>
    <w:rPr>
      <w:sz w:val="20"/>
      <w:szCs w:val="20"/>
    </w:rPr>
  </w:style>
  <w:style w:type="character" w:customStyle="1" w:styleId="CommentTextChar">
    <w:name w:val="Comment Text Char"/>
    <w:basedOn w:val="DefaultParagraphFont"/>
    <w:link w:val="CommentText"/>
    <w:uiPriority w:val="99"/>
    <w:rsid w:val="00F16304"/>
    <w:rPr>
      <w:sz w:val="20"/>
      <w:szCs w:val="20"/>
    </w:rPr>
  </w:style>
  <w:style w:type="paragraph" w:styleId="CommentSubject">
    <w:name w:val="annotation subject"/>
    <w:basedOn w:val="CommentText"/>
    <w:next w:val="CommentText"/>
    <w:link w:val="CommentSubjectChar"/>
    <w:uiPriority w:val="99"/>
    <w:semiHidden/>
    <w:unhideWhenUsed/>
    <w:rsid w:val="00F16304"/>
    <w:rPr>
      <w:b/>
      <w:bCs/>
    </w:rPr>
  </w:style>
  <w:style w:type="character" w:customStyle="1" w:styleId="CommentSubjectChar">
    <w:name w:val="Comment Subject Char"/>
    <w:basedOn w:val="CommentTextChar"/>
    <w:link w:val="CommentSubject"/>
    <w:uiPriority w:val="99"/>
    <w:semiHidden/>
    <w:rsid w:val="00F16304"/>
    <w:rPr>
      <w:b/>
      <w:bCs/>
      <w:sz w:val="20"/>
      <w:szCs w:val="20"/>
    </w:rPr>
  </w:style>
  <w:style w:type="paragraph" w:styleId="BalloonText">
    <w:name w:val="Balloon Text"/>
    <w:basedOn w:val="Normal"/>
    <w:link w:val="BalloonTextChar"/>
    <w:uiPriority w:val="99"/>
    <w:semiHidden/>
    <w:unhideWhenUsed/>
    <w:rsid w:val="00F16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04"/>
    <w:rPr>
      <w:rFonts w:ascii="Segoe UI" w:hAnsi="Segoe UI" w:cs="Segoe UI"/>
      <w:sz w:val="18"/>
      <w:szCs w:val="18"/>
    </w:rPr>
  </w:style>
  <w:style w:type="table" w:customStyle="1" w:styleId="TableGrid0">
    <w:name w:val="TableGrid"/>
    <w:rsid w:val="00585164"/>
    <w:rPr>
      <w:rFonts w:asciiTheme="minorHAnsi" w:eastAsiaTheme="minorEastAsia" w:hAnsiTheme="minorHAnsi"/>
      <w:sz w:val="22"/>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7253B8"/>
    <w:pPr>
      <w:spacing w:before="100" w:beforeAutospacing="1" w:after="100" w:afterAutospacing="1"/>
    </w:pPr>
    <w:rPr>
      <w:rFonts w:ascii="Times New Roman" w:hAnsi="Times New Roman" w:cs="Times New Roman"/>
      <w:szCs w:val="24"/>
      <w:lang w:eastAsia="en-GB"/>
    </w:rPr>
  </w:style>
  <w:style w:type="character" w:customStyle="1" w:styleId="Heading3Char">
    <w:name w:val="Heading 3 Char"/>
    <w:basedOn w:val="DefaultParagraphFont"/>
    <w:link w:val="Heading3"/>
    <w:uiPriority w:val="9"/>
    <w:semiHidden/>
    <w:rsid w:val="001F4089"/>
    <w:rPr>
      <w:rFonts w:ascii="Calibri Light" w:eastAsia="Times New Roman" w:hAnsi="Calibri Light" w:cs="Calibri Light"/>
      <w:color w:val="1F3763"/>
      <w:szCs w:val="24"/>
      <w:lang w:eastAsia="en-GB"/>
    </w:rPr>
  </w:style>
  <w:style w:type="paragraph" w:styleId="NoSpacing">
    <w:name w:val="No Spacing"/>
    <w:aliases w:val="Text"/>
    <w:link w:val="NoSpacingChar"/>
    <w:uiPriority w:val="1"/>
    <w:qFormat/>
    <w:rsid w:val="006B6DBB"/>
    <w:rPr>
      <w:rFonts w:asciiTheme="minorHAnsi" w:hAnsiTheme="minorHAnsi"/>
      <w:sz w:val="22"/>
    </w:rPr>
  </w:style>
  <w:style w:type="character" w:customStyle="1" w:styleId="NoSpacingChar">
    <w:name w:val="No Spacing Char"/>
    <w:aliases w:val="Text Char"/>
    <w:basedOn w:val="DefaultParagraphFont"/>
    <w:link w:val="NoSpacing"/>
    <w:uiPriority w:val="1"/>
    <w:rsid w:val="006B6DBB"/>
    <w:rPr>
      <w:rFonts w:asciiTheme="minorHAnsi" w:hAnsiTheme="minorHAnsi"/>
      <w:sz w:val="22"/>
    </w:rPr>
  </w:style>
  <w:style w:type="paragraph" w:styleId="Revision">
    <w:name w:val="Revision"/>
    <w:hidden/>
    <w:uiPriority w:val="99"/>
    <w:semiHidden/>
    <w:rsid w:val="00274208"/>
  </w:style>
  <w:style w:type="character" w:styleId="FollowedHyperlink">
    <w:name w:val="FollowedHyperlink"/>
    <w:basedOn w:val="DefaultParagraphFont"/>
    <w:uiPriority w:val="99"/>
    <w:semiHidden/>
    <w:unhideWhenUsed/>
    <w:rsid w:val="005B4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3166">
      <w:bodyDiv w:val="1"/>
      <w:marLeft w:val="0"/>
      <w:marRight w:val="0"/>
      <w:marTop w:val="0"/>
      <w:marBottom w:val="0"/>
      <w:divBdr>
        <w:top w:val="none" w:sz="0" w:space="0" w:color="auto"/>
        <w:left w:val="none" w:sz="0" w:space="0" w:color="auto"/>
        <w:bottom w:val="none" w:sz="0" w:space="0" w:color="auto"/>
        <w:right w:val="none" w:sz="0" w:space="0" w:color="auto"/>
      </w:divBdr>
    </w:div>
    <w:div w:id="467406741">
      <w:bodyDiv w:val="1"/>
      <w:marLeft w:val="0"/>
      <w:marRight w:val="0"/>
      <w:marTop w:val="0"/>
      <w:marBottom w:val="0"/>
      <w:divBdr>
        <w:top w:val="none" w:sz="0" w:space="0" w:color="auto"/>
        <w:left w:val="none" w:sz="0" w:space="0" w:color="auto"/>
        <w:bottom w:val="none" w:sz="0" w:space="0" w:color="auto"/>
        <w:right w:val="none" w:sz="0" w:space="0" w:color="auto"/>
      </w:divBdr>
    </w:div>
    <w:div w:id="471292957">
      <w:bodyDiv w:val="1"/>
      <w:marLeft w:val="0"/>
      <w:marRight w:val="0"/>
      <w:marTop w:val="0"/>
      <w:marBottom w:val="0"/>
      <w:divBdr>
        <w:top w:val="none" w:sz="0" w:space="0" w:color="auto"/>
        <w:left w:val="none" w:sz="0" w:space="0" w:color="auto"/>
        <w:bottom w:val="none" w:sz="0" w:space="0" w:color="auto"/>
        <w:right w:val="none" w:sz="0" w:space="0" w:color="auto"/>
      </w:divBdr>
    </w:div>
    <w:div w:id="555748263">
      <w:bodyDiv w:val="1"/>
      <w:marLeft w:val="0"/>
      <w:marRight w:val="0"/>
      <w:marTop w:val="0"/>
      <w:marBottom w:val="0"/>
      <w:divBdr>
        <w:top w:val="none" w:sz="0" w:space="0" w:color="auto"/>
        <w:left w:val="none" w:sz="0" w:space="0" w:color="auto"/>
        <w:bottom w:val="none" w:sz="0" w:space="0" w:color="auto"/>
        <w:right w:val="none" w:sz="0" w:space="0" w:color="auto"/>
      </w:divBdr>
    </w:div>
    <w:div w:id="561913198">
      <w:bodyDiv w:val="1"/>
      <w:marLeft w:val="0"/>
      <w:marRight w:val="0"/>
      <w:marTop w:val="0"/>
      <w:marBottom w:val="0"/>
      <w:divBdr>
        <w:top w:val="none" w:sz="0" w:space="0" w:color="auto"/>
        <w:left w:val="none" w:sz="0" w:space="0" w:color="auto"/>
        <w:bottom w:val="none" w:sz="0" w:space="0" w:color="auto"/>
        <w:right w:val="none" w:sz="0" w:space="0" w:color="auto"/>
      </w:divBdr>
    </w:div>
    <w:div w:id="604726202">
      <w:bodyDiv w:val="1"/>
      <w:marLeft w:val="0"/>
      <w:marRight w:val="0"/>
      <w:marTop w:val="0"/>
      <w:marBottom w:val="0"/>
      <w:divBdr>
        <w:top w:val="none" w:sz="0" w:space="0" w:color="auto"/>
        <w:left w:val="none" w:sz="0" w:space="0" w:color="auto"/>
        <w:bottom w:val="none" w:sz="0" w:space="0" w:color="auto"/>
        <w:right w:val="none" w:sz="0" w:space="0" w:color="auto"/>
      </w:divBdr>
    </w:div>
    <w:div w:id="787697916">
      <w:bodyDiv w:val="1"/>
      <w:marLeft w:val="0"/>
      <w:marRight w:val="0"/>
      <w:marTop w:val="0"/>
      <w:marBottom w:val="0"/>
      <w:divBdr>
        <w:top w:val="none" w:sz="0" w:space="0" w:color="auto"/>
        <w:left w:val="none" w:sz="0" w:space="0" w:color="auto"/>
        <w:bottom w:val="none" w:sz="0" w:space="0" w:color="auto"/>
        <w:right w:val="none" w:sz="0" w:space="0" w:color="auto"/>
      </w:divBdr>
    </w:div>
    <w:div w:id="829254919">
      <w:bodyDiv w:val="1"/>
      <w:marLeft w:val="0"/>
      <w:marRight w:val="0"/>
      <w:marTop w:val="0"/>
      <w:marBottom w:val="0"/>
      <w:divBdr>
        <w:top w:val="none" w:sz="0" w:space="0" w:color="auto"/>
        <w:left w:val="none" w:sz="0" w:space="0" w:color="auto"/>
        <w:bottom w:val="none" w:sz="0" w:space="0" w:color="auto"/>
        <w:right w:val="none" w:sz="0" w:space="0" w:color="auto"/>
      </w:divBdr>
    </w:div>
    <w:div w:id="862404713">
      <w:bodyDiv w:val="1"/>
      <w:marLeft w:val="0"/>
      <w:marRight w:val="0"/>
      <w:marTop w:val="0"/>
      <w:marBottom w:val="0"/>
      <w:divBdr>
        <w:top w:val="none" w:sz="0" w:space="0" w:color="auto"/>
        <w:left w:val="none" w:sz="0" w:space="0" w:color="auto"/>
        <w:bottom w:val="none" w:sz="0" w:space="0" w:color="auto"/>
        <w:right w:val="none" w:sz="0" w:space="0" w:color="auto"/>
      </w:divBdr>
    </w:div>
    <w:div w:id="897976322">
      <w:bodyDiv w:val="1"/>
      <w:marLeft w:val="0"/>
      <w:marRight w:val="0"/>
      <w:marTop w:val="0"/>
      <w:marBottom w:val="0"/>
      <w:divBdr>
        <w:top w:val="none" w:sz="0" w:space="0" w:color="auto"/>
        <w:left w:val="none" w:sz="0" w:space="0" w:color="auto"/>
        <w:bottom w:val="none" w:sz="0" w:space="0" w:color="auto"/>
        <w:right w:val="none" w:sz="0" w:space="0" w:color="auto"/>
      </w:divBdr>
    </w:div>
    <w:div w:id="906576381">
      <w:bodyDiv w:val="1"/>
      <w:marLeft w:val="0"/>
      <w:marRight w:val="0"/>
      <w:marTop w:val="0"/>
      <w:marBottom w:val="0"/>
      <w:divBdr>
        <w:top w:val="none" w:sz="0" w:space="0" w:color="auto"/>
        <w:left w:val="none" w:sz="0" w:space="0" w:color="auto"/>
        <w:bottom w:val="none" w:sz="0" w:space="0" w:color="auto"/>
        <w:right w:val="none" w:sz="0" w:space="0" w:color="auto"/>
      </w:divBdr>
    </w:div>
    <w:div w:id="1100953243">
      <w:bodyDiv w:val="1"/>
      <w:marLeft w:val="0"/>
      <w:marRight w:val="0"/>
      <w:marTop w:val="0"/>
      <w:marBottom w:val="0"/>
      <w:divBdr>
        <w:top w:val="none" w:sz="0" w:space="0" w:color="auto"/>
        <w:left w:val="none" w:sz="0" w:space="0" w:color="auto"/>
        <w:bottom w:val="none" w:sz="0" w:space="0" w:color="auto"/>
        <w:right w:val="none" w:sz="0" w:space="0" w:color="auto"/>
      </w:divBdr>
    </w:div>
    <w:div w:id="1112440606">
      <w:bodyDiv w:val="1"/>
      <w:marLeft w:val="0"/>
      <w:marRight w:val="0"/>
      <w:marTop w:val="0"/>
      <w:marBottom w:val="0"/>
      <w:divBdr>
        <w:top w:val="none" w:sz="0" w:space="0" w:color="auto"/>
        <w:left w:val="none" w:sz="0" w:space="0" w:color="auto"/>
        <w:bottom w:val="none" w:sz="0" w:space="0" w:color="auto"/>
        <w:right w:val="none" w:sz="0" w:space="0" w:color="auto"/>
      </w:divBdr>
    </w:div>
    <w:div w:id="1290745908">
      <w:bodyDiv w:val="1"/>
      <w:marLeft w:val="0"/>
      <w:marRight w:val="0"/>
      <w:marTop w:val="0"/>
      <w:marBottom w:val="0"/>
      <w:divBdr>
        <w:top w:val="none" w:sz="0" w:space="0" w:color="auto"/>
        <w:left w:val="none" w:sz="0" w:space="0" w:color="auto"/>
        <w:bottom w:val="none" w:sz="0" w:space="0" w:color="auto"/>
        <w:right w:val="none" w:sz="0" w:space="0" w:color="auto"/>
      </w:divBdr>
    </w:div>
    <w:div w:id="1339847193">
      <w:bodyDiv w:val="1"/>
      <w:marLeft w:val="0"/>
      <w:marRight w:val="0"/>
      <w:marTop w:val="0"/>
      <w:marBottom w:val="0"/>
      <w:divBdr>
        <w:top w:val="none" w:sz="0" w:space="0" w:color="auto"/>
        <w:left w:val="none" w:sz="0" w:space="0" w:color="auto"/>
        <w:bottom w:val="none" w:sz="0" w:space="0" w:color="auto"/>
        <w:right w:val="none" w:sz="0" w:space="0" w:color="auto"/>
      </w:divBdr>
    </w:div>
    <w:div w:id="1476945796">
      <w:bodyDiv w:val="1"/>
      <w:marLeft w:val="0"/>
      <w:marRight w:val="0"/>
      <w:marTop w:val="0"/>
      <w:marBottom w:val="0"/>
      <w:divBdr>
        <w:top w:val="none" w:sz="0" w:space="0" w:color="auto"/>
        <w:left w:val="none" w:sz="0" w:space="0" w:color="auto"/>
        <w:bottom w:val="none" w:sz="0" w:space="0" w:color="auto"/>
        <w:right w:val="none" w:sz="0" w:space="0" w:color="auto"/>
      </w:divBdr>
    </w:div>
    <w:div w:id="1482187651">
      <w:bodyDiv w:val="1"/>
      <w:marLeft w:val="0"/>
      <w:marRight w:val="0"/>
      <w:marTop w:val="0"/>
      <w:marBottom w:val="0"/>
      <w:divBdr>
        <w:top w:val="none" w:sz="0" w:space="0" w:color="auto"/>
        <w:left w:val="none" w:sz="0" w:space="0" w:color="auto"/>
        <w:bottom w:val="none" w:sz="0" w:space="0" w:color="auto"/>
        <w:right w:val="none" w:sz="0" w:space="0" w:color="auto"/>
      </w:divBdr>
    </w:div>
    <w:div w:id="1514345411">
      <w:bodyDiv w:val="1"/>
      <w:marLeft w:val="0"/>
      <w:marRight w:val="0"/>
      <w:marTop w:val="0"/>
      <w:marBottom w:val="0"/>
      <w:divBdr>
        <w:top w:val="none" w:sz="0" w:space="0" w:color="auto"/>
        <w:left w:val="none" w:sz="0" w:space="0" w:color="auto"/>
        <w:bottom w:val="none" w:sz="0" w:space="0" w:color="auto"/>
        <w:right w:val="none" w:sz="0" w:space="0" w:color="auto"/>
      </w:divBdr>
    </w:div>
    <w:div w:id="1579900000">
      <w:bodyDiv w:val="1"/>
      <w:marLeft w:val="0"/>
      <w:marRight w:val="0"/>
      <w:marTop w:val="0"/>
      <w:marBottom w:val="0"/>
      <w:divBdr>
        <w:top w:val="none" w:sz="0" w:space="0" w:color="auto"/>
        <w:left w:val="none" w:sz="0" w:space="0" w:color="auto"/>
        <w:bottom w:val="none" w:sz="0" w:space="0" w:color="auto"/>
        <w:right w:val="none" w:sz="0" w:space="0" w:color="auto"/>
      </w:divBdr>
    </w:div>
    <w:div w:id="17883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ent-transport.com/solent-future-transport-zo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transport/localtransportplan"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ebp.due-north.com/"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5131/shef.data.52199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70A8-2B3F-411A-B6C3-35FFB98A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33</Pages>
  <Words>9600</Words>
  <Characters>54724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Thain, Robert</dc:creator>
  <cp:keywords/>
  <dc:description/>
  <cp:lastModifiedBy>Lee, Nicola</cp:lastModifiedBy>
  <cp:revision>14</cp:revision>
  <cp:lastPrinted>2023-01-27T15:43:00Z</cp:lastPrinted>
  <dcterms:created xsi:type="dcterms:W3CDTF">2023-04-04T15:07:00Z</dcterms:created>
  <dcterms:modified xsi:type="dcterms:W3CDTF">2023-04-13T08:55:00Z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2023-02-02T17:04:02Z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9c666401-f1eb-404f-8869-230e0dd31d34</vt:lpwstr>
  </property>
  <property fmtid="{D5CDD505-2E9C-101B-9397-08002B2CF9AE}" pid="8" name="MSIP_Label_d8a60473-494b-4586-a1bb-b0e663054676_ContentBits">
    <vt:lpwstr>0</vt:lpwstr>
  </property>
</Properties>
</file>