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041E" w14:textId="77777777" w:rsidR="00763F99" w:rsidRPr="00881B13" w:rsidRDefault="00763F99">
      <w:pPr>
        <w:rPr>
          <w:rFonts w:cstheme="minorHAnsi"/>
          <w:b/>
          <w:bCs/>
        </w:rPr>
      </w:pPr>
      <w:r w:rsidRPr="00881B13">
        <w:rPr>
          <w:rFonts w:cstheme="minorHAnsi"/>
          <w:b/>
          <w:bCs/>
        </w:rPr>
        <w:t xml:space="preserve">FRAMEWORK SCHEDULE 2: </w:t>
      </w:r>
    </w:p>
    <w:p w14:paraId="7ACB4266" w14:textId="77777777" w:rsidR="00763F99" w:rsidRPr="00881B13" w:rsidRDefault="00763F99">
      <w:pPr>
        <w:rPr>
          <w:rFonts w:cstheme="minorHAnsi"/>
          <w:b/>
          <w:bCs/>
        </w:rPr>
      </w:pPr>
      <w:r w:rsidRPr="00881B13">
        <w:rPr>
          <w:rFonts w:cstheme="minorHAnsi"/>
          <w:b/>
          <w:bCs/>
        </w:rPr>
        <w:t xml:space="preserve">GOODS AND/OR SERVICES AND KEY PERFORMANCE INDICATORS </w:t>
      </w:r>
    </w:p>
    <w:p w14:paraId="5CDA9FDD" w14:textId="77777777" w:rsidR="00763F99" w:rsidRPr="00881B13" w:rsidRDefault="00763F99">
      <w:pPr>
        <w:rPr>
          <w:rFonts w:cstheme="minorHAnsi"/>
          <w:b/>
          <w:bCs/>
        </w:rPr>
      </w:pPr>
    </w:p>
    <w:p w14:paraId="3E0327C5" w14:textId="77777777" w:rsidR="00763F99" w:rsidRPr="00881B13" w:rsidRDefault="00763F99" w:rsidP="00763F99">
      <w:pPr>
        <w:ind w:left="567" w:hanging="567"/>
        <w:rPr>
          <w:rFonts w:cstheme="minorHAnsi"/>
          <w:b/>
          <w:bCs/>
        </w:rPr>
      </w:pPr>
      <w:r w:rsidRPr="00881B13">
        <w:rPr>
          <w:rFonts w:cstheme="minorHAnsi"/>
          <w:b/>
          <w:bCs/>
        </w:rPr>
        <w:t xml:space="preserve">PART A – GOODS AND/OR SERVICES </w:t>
      </w:r>
    </w:p>
    <w:p w14:paraId="622FDA52" w14:textId="58AEFED1" w:rsidR="00763F99" w:rsidRPr="00881B13" w:rsidRDefault="00763F99" w:rsidP="00763F99">
      <w:pPr>
        <w:ind w:left="567" w:hanging="567"/>
        <w:rPr>
          <w:rFonts w:cstheme="minorHAnsi"/>
          <w:b/>
          <w:bCs/>
        </w:rPr>
      </w:pPr>
      <w:r w:rsidRPr="00881B13">
        <w:rPr>
          <w:rFonts w:cstheme="minorHAnsi"/>
          <w:b/>
          <w:bCs/>
        </w:rPr>
        <w:t xml:space="preserve">1. </w:t>
      </w:r>
      <w:r w:rsidR="00881B13">
        <w:rPr>
          <w:rFonts w:cstheme="minorHAnsi"/>
          <w:b/>
          <w:bCs/>
        </w:rPr>
        <w:tab/>
      </w:r>
      <w:r w:rsidRPr="00881B13">
        <w:rPr>
          <w:rFonts w:cstheme="minorHAnsi"/>
          <w:b/>
          <w:bCs/>
        </w:rPr>
        <w:t xml:space="preserve">GENERAL </w:t>
      </w:r>
    </w:p>
    <w:p w14:paraId="7E6093C6" w14:textId="77777777" w:rsidR="00763F99" w:rsidRPr="00881B13" w:rsidRDefault="00763F99" w:rsidP="00763F99">
      <w:pPr>
        <w:ind w:left="567" w:hanging="567"/>
        <w:rPr>
          <w:rFonts w:cstheme="minorHAnsi"/>
        </w:rPr>
      </w:pPr>
      <w:r w:rsidRPr="00881B13">
        <w:rPr>
          <w:rFonts w:cstheme="minorHAnsi"/>
        </w:rPr>
        <w:t>1.1</w:t>
      </w:r>
      <w:r w:rsidRPr="00881B13">
        <w:rPr>
          <w:rFonts w:cstheme="minorHAnsi"/>
        </w:rPr>
        <w:tab/>
        <w:t xml:space="preserve">The purpose of this Part A of Framework Schedule 2 (Goods and/or Services and Key Performance Indicators) is to lay down the characteristics of the Goods and/or Services that the Supplier will be required to make available to all Contracting Authorities under this Framework Agreement together with any specific Standards applicable to the Goods and/or Services. </w:t>
      </w:r>
    </w:p>
    <w:p w14:paraId="09EB87D1" w14:textId="66BB6C36" w:rsidR="00763F99" w:rsidRPr="00881B13" w:rsidRDefault="00763F99" w:rsidP="00763F99">
      <w:pPr>
        <w:ind w:left="567" w:hanging="567"/>
        <w:rPr>
          <w:rFonts w:cstheme="minorHAnsi"/>
        </w:rPr>
      </w:pPr>
      <w:r w:rsidRPr="00881B13">
        <w:rPr>
          <w:rFonts w:cstheme="minorHAnsi"/>
        </w:rPr>
        <w:t>1.2</w:t>
      </w:r>
      <w:r w:rsidRPr="00881B13">
        <w:rPr>
          <w:rFonts w:cstheme="minorHAnsi"/>
        </w:rPr>
        <w:tab/>
        <w:t>The Goods and/or Services and any Standards set out in paragraph</w:t>
      </w:r>
      <w:r w:rsidR="00E058E5" w:rsidRPr="00881B13">
        <w:rPr>
          <w:rFonts w:cstheme="minorHAnsi"/>
        </w:rPr>
        <w:t xml:space="preserve"> </w:t>
      </w:r>
      <w:r w:rsidRPr="00881B13">
        <w:rPr>
          <w:rFonts w:cstheme="minorHAnsi"/>
        </w:rPr>
        <w:t xml:space="preserve">below may be refined by a Contracting Authority during </w:t>
      </w:r>
      <w:r w:rsidR="00E058E5" w:rsidRPr="00881B13">
        <w:rPr>
          <w:rFonts w:cstheme="minorHAnsi"/>
        </w:rPr>
        <w:t xml:space="preserve">the Framework Period </w:t>
      </w:r>
      <w:r w:rsidRPr="00881B13">
        <w:rPr>
          <w:rFonts w:cstheme="minorHAnsi"/>
        </w:rPr>
        <w:t xml:space="preserve">to reflect its Goods and/or Services Requirements for entering a particular Call Off Agreement. </w:t>
      </w:r>
    </w:p>
    <w:p w14:paraId="65FD78C8" w14:textId="00855FEF" w:rsidR="00763F99" w:rsidRPr="00881B13" w:rsidRDefault="00763F99" w:rsidP="00881B13">
      <w:pPr>
        <w:ind w:left="567" w:hanging="567"/>
        <w:rPr>
          <w:rFonts w:cstheme="minorHAnsi"/>
          <w:b/>
          <w:bCs/>
        </w:rPr>
      </w:pPr>
      <w:r w:rsidRPr="00881B13">
        <w:rPr>
          <w:rFonts w:cstheme="minorHAnsi"/>
          <w:b/>
          <w:bCs/>
        </w:rPr>
        <w:t xml:space="preserve">2. </w:t>
      </w:r>
      <w:r w:rsidR="00881B13" w:rsidRPr="00881B13">
        <w:rPr>
          <w:rFonts w:cstheme="minorHAnsi"/>
          <w:b/>
          <w:bCs/>
        </w:rPr>
        <w:tab/>
      </w:r>
      <w:r w:rsidRPr="00881B13">
        <w:rPr>
          <w:rFonts w:cstheme="minorHAnsi"/>
          <w:b/>
          <w:bCs/>
        </w:rPr>
        <w:t xml:space="preserve">GOODS AND/OR SERVICES </w:t>
      </w:r>
    </w:p>
    <w:p w14:paraId="487FB948" w14:textId="5FC3FC6A" w:rsidR="00563121" w:rsidRPr="00881B13" w:rsidRDefault="00881B13" w:rsidP="00881B13">
      <w:pPr>
        <w:pStyle w:val="paragraph"/>
        <w:spacing w:before="0" w:beforeAutospacing="0" w:after="0" w:afterAutospacing="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2.1</w:t>
      </w:r>
      <w:r w:rsidRPr="00881B13">
        <w:rPr>
          <w:rFonts w:asciiTheme="minorHAnsi" w:eastAsiaTheme="minorHAnsi" w:hAnsiTheme="minorHAnsi" w:cstheme="minorHAnsi"/>
          <w:sz w:val="22"/>
          <w:szCs w:val="22"/>
          <w:lang w:eastAsia="en-US"/>
        </w:rPr>
        <w:tab/>
      </w:r>
      <w:r w:rsidRPr="00881B13">
        <w:rPr>
          <w:rFonts w:asciiTheme="minorHAnsi" w:eastAsiaTheme="minorHAnsi" w:hAnsiTheme="minorHAnsi" w:cstheme="minorHAnsi"/>
          <w:b/>
          <w:bCs/>
          <w:sz w:val="22"/>
          <w:szCs w:val="22"/>
          <w:lang w:eastAsia="en-US"/>
        </w:rPr>
        <w:t>Framework Services</w:t>
      </w:r>
      <w:r w:rsidRPr="00881B13">
        <w:rPr>
          <w:rFonts w:asciiTheme="minorHAnsi" w:eastAsiaTheme="minorHAnsi" w:hAnsiTheme="minorHAnsi" w:cstheme="minorHAnsi"/>
          <w:sz w:val="22"/>
          <w:szCs w:val="22"/>
          <w:lang w:eastAsia="en-US"/>
        </w:rPr>
        <w:br/>
      </w:r>
      <w:r w:rsidR="00563121" w:rsidRPr="00881B13">
        <w:rPr>
          <w:rFonts w:asciiTheme="minorHAnsi" w:eastAsiaTheme="minorHAnsi" w:hAnsiTheme="minorHAnsi" w:cstheme="minorHAnsi"/>
          <w:sz w:val="22"/>
          <w:szCs w:val="22"/>
          <w:lang w:eastAsia="en-US"/>
        </w:rPr>
        <w:t>The Authority is putting in place a Framework Agreement, for the duration of 2 years plus 1, for the provision of managed human resources (HR) services. </w:t>
      </w:r>
    </w:p>
    <w:p w14:paraId="66F3E13C" w14:textId="77777777" w:rsidR="00563121" w:rsidRPr="00881B13" w:rsidRDefault="00563121" w:rsidP="00881B13">
      <w:pPr>
        <w:pStyle w:val="paragraph"/>
        <w:spacing w:before="0" w:beforeAutospacing="0" w:after="0" w:afterAutospacing="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w:t>
      </w:r>
    </w:p>
    <w:p w14:paraId="3514B215" w14:textId="4ADBEFE9" w:rsidR="00563121" w:rsidRPr="00881B13" w:rsidRDefault="00881B13" w:rsidP="00881B13">
      <w:pPr>
        <w:pStyle w:val="paragraph"/>
        <w:spacing w:before="0" w:beforeAutospacing="0" w:after="0" w:afterAutospacing="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2.1.1</w:t>
      </w:r>
      <w:r w:rsidRPr="00881B13">
        <w:rPr>
          <w:rFonts w:asciiTheme="minorHAnsi" w:eastAsiaTheme="minorHAnsi" w:hAnsiTheme="minorHAnsi" w:cstheme="minorHAnsi"/>
          <w:sz w:val="22"/>
          <w:szCs w:val="22"/>
          <w:lang w:eastAsia="en-US"/>
        </w:rPr>
        <w:tab/>
      </w:r>
      <w:r w:rsidR="00563121" w:rsidRPr="00881B13">
        <w:rPr>
          <w:rFonts w:asciiTheme="minorHAnsi" w:eastAsiaTheme="minorHAnsi" w:hAnsiTheme="minorHAnsi" w:cstheme="minorHAnsi"/>
          <w:sz w:val="22"/>
          <w:szCs w:val="22"/>
          <w:lang w:eastAsia="en-US"/>
        </w:rPr>
        <w:t>The Authority have a need to appointment a single prime contractor, or a consortium with a lead supplier acting as prime contractor, to work in effective partnership by providing access to a range of high-quality HR services and solutions on a managed service basis.  </w:t>
      </w:r>
    </w:p>
    <w:p w14:paraId="7600B00F" w14:textId="77777777" w:rsidR="00563121" w:rsidRPr="00881B13" w:rsidRDefault="00563121" w:rsidP="00881B13">
      <w:pPr>
        <w:pStyle w:val="paragraph"/>
        <w:spacing w:before="0" w:beforeAutospacing="0" w:after="0" w:afterAutospacing="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w:t>
      </w:r>
    </w:p>
    <w:p w14:paraId="136F26E3" w14:textId="7D498D4E" w:rsidR="00563121" w:rsidRPr="00881B13" w:rsidRDefault="00881B13" w:rsidP="00881B13">
      <w:pPr>
        <w:pStyle w:val="paragraph"/>
        <w:spacing w:before="0" w:beforeAutospacing="0" w:after="0" w:afterAutospacing="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2.1.2</w:t>
      </w:r>
      <w:r w:rsidRPr="00881B13">
        <w:rPr>
          <w:rFonts w:asciiTheme="minorHAnsi" w:eastAsiaTheme="minorHAnsi" w:hAnsiTheme="minorHAnsi" w:cstheme="minorHAnsi"/>
          <w:sz w:val="22"/>
          <w:szCs w:val="22"/>
          <w:lang w:eastAsia="en-US"/>
        </w:rPr>
        <w:tab/>
      </w:r>
      <w:r w:rsidR="00563121" w:rsidRPr="00881B13">
        <w:rPr>
          <w:rFonts w:asciiTheme="minorHAnsi" w:eastAsiaTheme="minorHAnsi" w:hAnsiTheme="minorHAnsi" w:cstheme="minorHAnsi"/>
          <w:sz w:val="22"/>
          <w:szCs w:val="22"/>
          <w:lang w:eastAsia="en-US"/>
        </w:rPr>
        <w:t>The solution will range from enabling the full managed service of the entire HR function, just a single element of it (e.g., administration and support function), or a bespoke solution tailored to complement the Authority’s in-house resources. </w:t>
      </w:r>
    </w:p>
    <w:p w14:paraId="35D37FA6" w14:textId="4C7278F5" w:rsidR="00881B13" w:rsidRPr="00881B13" w:rsidRDefault="00881B13" w:rsidP="00881B13">
      <w:pPr>
        <w:pStyle w:val="paragraph"/>
        <w:spacing w:after="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2</w:t>
      </w:r>
      <w:r>
        <w:rPr>
          <w:rFonts w:asciiTheme="minorHAnsi" w:eastAsiaTheme="minorHAnsi" w:hAnsiTheme="minorHAnsi" w:cstheme="minorHAnsi"/>
          <w:sz w:val="22"/>
          <w:szCs w:val="22"/>
          <w:lang w:eastAsia="en-US"/>
        </w:rPr>
        <w:t>.</w:t>
      </w:r>
      <w:r w:rsidRPr="00881B13">
        <w:rPr>
          <w:rFonts w:asciiTheme="minorHAnsi" w:eastAsiaTheme="minorHAnsi" w:hAnsiTheme="minorHAnsi" w:cstheme="minorHAnsi"/>
          <w:sz w:val="22"/>
          <w:szCs w:val="22"/>
          <w:lang w:eastAsia="en-US"/>
        </w:rPr>
        <w:t>1.3</w:t>
      </w:r>
      <w:r w:rsidRPr="00881B13">
        <w:rPr>
          <w:rFonts w:asciiTheme="minorHAnsi" w:eastAsiaTheme="minorHAnsi" w:hAnsiTheme="minorHAnsi" w:cstheme="minorHAnsi"/>
          <w:sz w:val="22"/>
          <w:szCs w:val="22"/>
          <w:lang w:eastAsia="en-US"/>
        </w:rPr>
        <w:tab/>
      </w:r>
      <w:r w:rsidRPr="00881B13">
        <w:rPr>
          <w:rFonts w:asciiTheme="minorHAnsi" w:eastAsiaTheme="minorHAnsi" w:hAnsiTheme="minorHAnsi" w:cstheme="minorHAnsi"/>
          <w:sz w:val="22"/>
          <w:szCs w:val="22"/>
          <w:lang w:eastAsia="en-US"/>
        </w:rPr>
        <w:t xml:space="preserve">The Supplier shall offer as a minimum the following specialisms listed below to the Required Standard:  </w:t>
      </w:r>
    </w:p>
    <w:p w14:paraId="0DD4C3AC" w14:textId="24D68D27"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Project Management – The management and delivery of programs and projects designed to enhance the effectiveness of the organisations HR management and planning and of its HR function and strategy </w:t>
      </w:r>
    </w:p>
    <w:p w14:paraId="36635216" w14:textId="75BD4DB6"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Cultural transformation </w:t>
      </w:r>
    </w:p>
    <w:p w14:paraId="1B50DD1A" w14:textId="7A5B30B5"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Dispute management </w:t>
      </w:r>
    </w:p>
    <w:p w14:paraId="083EF063" w14:textId="176877AF"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Employee relations and communications </w:t>
      </w:r>
    </w:p>
    <w:p w14:paraId="7198B372" w14:textId="1DC425A8"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Human resource functions, process and design </w:t>
      </w:r>
    </w:p>
    <w:p w14:paraId="0A290013" w14:textId="08E55089"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Human resource terms and conditions and policies including health and safety, employment contracts and company handbook </w:t>
      </w:r>
    </w:p>
    <w:p w14:paraId="61F47C7E" w14:textId="604F5B94"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Advice on managing agency and temporary staff; and review of IR35 governance </w:t>
      </w:r>
    </w:p>
    <w:p w14:paraId="7B58D253" w14:textId="5F79255D"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Organisational training and development </w:t>
      </w:r>
    </w:p>
    <w:p w14:paraId="1989B137" w14:textId="459B5081"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Performance management (including pay, reward and benchmarking) </w:t>
      </w:r>
    </w:p>
    <w:p w14:paraId="52605695" w14:textId="726C3808"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xml:space="preserve">Recruitment policy (internal and external) and strategy (not delivery of staffing and recruitment services) </w:t>
      </w:r>
    </w:p>
    <w:p w14:paraId="54E67688" w14:textId="3CAE7C93"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lastRenderedPageBreak/>
        <w:t xml:space="preserve">Staffing </w:t>
      </w:r>
    </w:p>
    <w:p w14:paraId="166F2A38" w14:textId="0CEDDC03" w:rsidR="00881B13" w:rsidRPr="00881B13" w:rsidRDefault="00881B13" w:rsidP="00881B13">
      <w:pPr>
        <w:pStyle w:val="paragraph"/>
        <w:numPr>
          <w:ilvl w:val="0"/>
          <w:numId w:val="6"/>
        </w:numPr>
        <w:spacing w:after="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Talent management</w:t>
      </w:r>
    </w:p>
    <w:p w14:paraId="2A339A9F" w14:textId="77777777" w:rsidR="00563121" w:rsidRPr="00881B13" w:rsidRDefault="00563121" w:rsidP="00881B13">
      <w:pPr>
        <w:pStyle w:val="paragraph"/>
        <w:spacing w:before="0" w:beforeAutospacing="0" w:after="0" w:afterAutospacing="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w:t>
      </w:r>
    </w:p>
    <w:p w14:paraId="18BF9C88" w14:textId="6C4A869B" w:rsidR="00563121" w:rsidRPr="00881B13" w:rsidRDefault="00881B13" w:rsidP="00881B13">
      <w:pPr>
        <w:pStyle w:val="paragraph"/>
        <w:spacing w:before="0" w:beforeAutospacing="0" w:after="0" w:afterAutospacing="0"/>
        <w:ind w:left="567" w:hanging="567"/>
        <w:textAlignment w:val="baseline"/>
        <w:rPr>
          <w:rFonts w:asciiTheme="minorHAnsi" w:eastAsiaTheme="minorHAnsi" w:hAnsiTheme="minorHAnsi" w:cstheme="minorHAnsi"/>
          <w:b/>
          <w:bCs/>
          <w:sz w:val="22"/>
          <w:szCs w:val="22"/>
          <w:lang w:eastAsia="en-US"/>
        </w:rPr>
      </w:pPr>
      <w:r w:rsidRPr="00881B13">
        <w:rPr>
          <w:rFonts w:asciiTheme="minorHAnsi" w:eastAsiaTheme="minorHAnsi" w:hAnsiTheme="minorHAnsi" w:cstheme="minorHAnsi"/>
          <w:b/>
          <w:bCs/>
          <w:sz w:val="22"/>
          <w:szCs w:val="22"/>
          <w:lang w:eastAsia="en-US"/>
        </w:rPr>
        <w:t>2.2</w:t>
      </w:r>
      <w:r w:rsidRPr="00881B13">
        <w:rPr>
          <w:rFonts w:asciiTheme="minorHAnsi" w:eastAsiaTheme="minorHAnsi" w:hAnsiTheme="minorHAnsi" w:cstheme="minorHAnsi"/>
          <w:b/>
          <w:bCs/>
          <w:sz w:val="22"/>
          <w:szCs w:val="22"/>
          <w:lang w:eastAsia="en-US"/>
        </w:rPr>
        <w:tab/>
        <w:t xml:space="preserve">Call-Off Contract - </w:t>
      </w:r>
      <w:r w:rsidR="00563121" w:rsidRPr="00881B13">
        <w:rPr>
          <w:rFonts w:asciiTheme="minorHAnsi" w:eastAsiaTheme="minorHAnsi" w:hAnsiTheme="minorHAnsi" w:cstheme="minorHAnsi"/>
          <w:b/>
          <w:bCs/>
          <w:sz w:val="22"/>
          <w:szCs w:val="22"/>
          <w:lang w:eastAsia="en-US"/>
        </w:rPr>
        <w:t>Phase 1 Organisational Transformation Project </w:t>
      </w:r>
    </w:p>
    <w:p w14:paraId="09E4CDEC" w14:textId="77777777" w:rsidR="00563121" w:rsidRPr="00881B13" w:rsidRDefault="00563121" w:rsidP="00881B13">
      <w:pPr>
        <w:pStyle w:val="paragraph"/>
        <w:spacing w:before="0" w:beforeAutospacing="0" w:after="0" w:afterAutospacing="0"/>
        <w:ind w:left="567" w:hanging="567"/>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b/>
          <w:bCs/>
          <w:sz w:val="22"/>
          <w:szCs w:val="22"/>
          <w:lang w:eastAsia="en-US"/>
        </w:rPr>
        <w:t> </w:t>
      </w:r>
    </w:p>
    <w:p w14:paraId="29BC9946" w14:textId="562C31D6" w:rsidR="00563121" w:rsidRPr="00881B13" w:rsidRDefault="00563121" w:rsidP="00881B13">
      <w:pPr>
        <w:pStyle w:val="paragraph"/>
        <w:spacing w:before="0" w:beforeAutospacing="0" w:after="0" w:afterAutospacing="0"/>
        <w:ind w:left="567"/>
        <w:textAlignment w:val="baseline"/>
        <w:rPr>
          <w:rFonts w:asciiTheme="minorHAnsi" w:eastAsiaTheme="minorHAnsi" w:hAnsiTheme="minorHAnsi" w:cstheme="minorHAnsi"/>
          <w:b/>
          <w:bCs/>
          <w:sz w:val="22"/>
          <w:szCs w:val="22"/>
          <w:lang w:eastAsia="en-US"/>
        </w:rPr>
      </w:pPr>
      <w:r w:rsidRPr="00881B13">
        <w:rPr>
          <w:rFonts w:asciiTheme="minorHAnsi" w:eastAsiaTheme="minorHAnsi" w:hAnsiTheme="minorHAnsi" w:cstheme="minorHAnsi"/>
          <w:sz w:val="22"/>
          <w:szCs w:val="22"/>
          <w:lang w:eastAsia="en-US"/>
        </w:rPr>
        <w:t>On award and establishment of the Framework Agreement, there will be an immediate call-off requirement to manage a project of organisational transformation towards a new operating model which will include the TUPE of workforce.  This requirement is more fully described in </w:t>
      </w:r>
      <w:r w:rsidRPr="00881B13">
        <w:rPr>
          <w:rFonts w:asciiTheme="minorHAnsi" w:eastAsiaTheme="minorHAnsi" w:hAnsiTheme="minorHAnsi" w:cstheme="minorHAnsi"/>
          <w:b/>
          <w:bCs/>
          <w:sz w:val="22"/>
          <w:szCs w:val="22"/>
          <w:lang w:eastAsia="en-US"/>
        </w:rPr>
        <w:t>Appendix</w:t>
      </w:r>
      <w:r w:rsidR="00881B13" w:rsidRPr="00881B13">
        <w:rPr>
          <w:rFonts w:asciiTheme="minorHAnsi" w:eastAsiaTheme="minorHAnsi" w:hAnsiTheme="minorHAnsi" w:cstheme="minorHAnsi"/>
          <w:b/>
          <w:bCs/>
          <w:sz w:val="22"/>
          <w:szCs w:val="22"/>
          <w:lang w:eastAsia="en-US"/>
        </w:rPr>
        <w:t xml:space="preserve"> A</w:t>
      </w:r>
      <w:r w:rsidRPr="00881B13">
        <w:rPr>
          <w:rFonts w:asciiTheme="minorHAnsi" w:eastAsiaTheme="minorHAnsi" w:hAnsiTheme="minorHAnsi" w:cstheme="minorHAnsi"/>
          <w:b/>
          <w:bCs/>
          <w:sz w:val="22"/>
          <w:szCs w:val="22"/>
          <w:lang w:eastAsia="en-US"/>
        </w:rPr>
        <w:t xml:space="preserve"> - </w:t>
      </w:r>
      <w:r w:rsidR="00881B13" w:rsidRPr="00881B13">
        <w:rPr>
          <w:rFonts w:asciiTheme="minorHAnsi" w:eastAsiaTheme="minorHAnsi" w:hAnsiTheme="minorHAnsi" w:cstheme="minorHAnsi"/>
          <w:b/>
          <w:bCs/>
          <w:sz w:val="22"/>
          <w:szCs w:val="22"/>
          <w:lang w:eastAsia="en-US"/>
        </w:rPr>
        <w:t>SPECIFICATION FOR HR PROJECT MANAGED SERVICES</w:t>
      </w:r>
    </w:p>
    <w:p w14:paraId="3CCDDF98" w14:textId="710F8987" w:rsidR="000E5D86" w:rsidRPr="00881B13" w:rsidRDefault="00563121" w:rsidP="00881B13">
      <w:pPr>
        <w:pStyle w:val="paragraph"/>
        <w:spacing w:before="0" w:beforeAutospacing="0" w:after="0" w:afterAutospacing="0"/>
        <w:textAlignment w:val="baseline"/>
        <w:rPr>
          <w:rFonts w:asciiTheme="minorHAnsi" w:eastAsiaTheme="minorHAnsi" w:hAnsiTheme="minorHAnsi" w:cstheme="minorHAnsi"/>
          <w:sz w:val="22"/>
          <w:szCs w:val="22"/>
          <w:lang w:eastAsia="en-US"/>
        </w:rPr>
      </w:pPr>
      <w:r w:rsidRPr="00881B13">
        <w:rPr>
          <w:rFonts w:asciiTheme="minorHAnsi" w:eastAsiaTheme="minorHAnsi" w:hAnsiTheme="minorHAnsi" w:cstheme="minorHAnsi"/>
          <w:sz w:val="22"/>
          <w:szCs w:val="22"/>
          <w:lang w:eastAsia="en-US"/>
        </w:rPr>
        <w:t> </w:t>
      </w:r>
      <w:r w:rsidR="000E5D86" w:rsidRPr="00881B13">
        <w:rPr>
          <w:rFonts w:asciiTheme="minorHAnsi" w:hAnsiTheme="minorHAnsi" w:cstheme="minorHAnsi"/>
          <w:sz w:val="22"/>
          <w:szCs w:val="22"/>
        </w:rPr>
        <w:br w:type="page"/>
      </w:r>
    </w:p>
    <w:p w14:paraId="223BFE4D" w14:textId="3DDE1DF4" w:rsidR="00E058E5" w:rsidRPr="00881B13" w:rsidRDefault="000E5D86" w:rsidP="000E5D86">
      <w:pPr>
        <w:rPr>
          <w:rFonts w:cstheme="minorHAnsi"/>
          <w:b/>
          <w:bCs/>
        </w:rPr>
      </w:pPr>
      <w:r w:rsidRPr="00881B13">
        <w:rPr>
          <w:rFonts w:cstheme="minorHAnsi"/>
          <w:b/>
          <w:bCs/>
        </w:rPr>
        <w:lastRenderedPageBreak/>
        <w:t>PART B – KEY PERFORMANCE INDICATORS</w:t>
      </w:r>
    </w:p>
    <w:p w14:paraId="0D2FE279" w14:textId="011004B7" w:rsidR="000E5D86" w:rsidRPr="00881B13" w:rsidRDefault="000E5D86" w:rsidP="000E5D86">
      <w:pPr>
        <w:rPr>
          <w:rFonts w:cstheme="minorHAnsi"/>
          <w:b/>
          <w:bCs/>
        </w:rPr>
      </w:pPr>
    </w:p>
    <w:p w14:paraId="5C185B5A" w14:textId="1C7FC04E" w:rsidR="0044254C" w:rsidRPr="00881B13" w:rsidRDefault="0044254C" w:rsidP="0044254C">
      <w:pPr>
        <w:ind w:left="567" w:hanging="567"/>
        <w:rPr>
          <w:rFonts w:cstheme="minorHAnsi"/>
          <w:b/>
          <w:bCs/>
        </w:rPr>
      </w:pPr>
      <w:r w:rsidRPr="00881B13">
        <w:rPr>
          <w:rFonts w:cstheme="minorHAnsi"/>
          <w:b/>
          <w:bCs/>
        </w:rPr>
        <w:t xml:space="preserve">1. </w:t>
      </w:r>
      <w:r w:rsidRPr="00881B13">
        <w:rPr>
          <w:rFonts w:cstheme="minorHAnsi"/>
          <w:b/>
          <w:bCs/>
        </w:rPr>
        <w:tab/>
        <w:t xml:space="preserve">GENERAL </w:t>
      </w:r>
    </w:p>
    <w:p w14:paraId="33F39062" w14:textId="3B182A0F" w:rsidR="0044254C" w:rsidRPr="00881B13" w:rsidRDefault="0044254C" w:rsidP="0044254C">
      <w:pPr>
        <w:ind w:left="567" w:hanging="567"/>
        <w:rPr>
          <w:rFonts w:cstheme="minorHAnsi"/>
        </w:rPr>
      </w:pPr>
      <w:r w:rsidRPr="00881B13">
        <w:rPr>
          <w:rFonts w:cstheme="minorHAnsi"/>
        </w:rPr>
        <w:t>1.1</w:t>
      </w:r>
      <w:r w:rsidRPr="00881B13">
        <w:rPr>
          <w:rFonts w:cstheme="minorHAnsi"/>
        </w:rPr>
        <w:tab/>
        <w:t xml:space="preserve">The purpose of this Part B is to set out the KPIs by which the Supplier’s overall performance under this Framework Agreement shall be monitored and managed. The Authority reserves the right to adjust, introduce new, or remove KPIs throughout the Framework Period, however any significant changes to KPIs shall be agreed between the Authority and the Supplier in accordance with Clause 20.1 (Variation Procedure). </w:t>
      </w:r>
    </w:p>
    <w:p w14:paraId="15821B6A" w14:textId="5D909D37" w:rsidR="0044254C" w:rsidRPr="00881B13" w:rsidRDefault="0044254C" w:rsidP="0044254C">
      <w:pPr>
        <w:ind w:left="567" w:hanging="567"/>
        <w:rPr>
          <w:rFonts w:cstheme="minorHAnsi"/>
        </w:rPr>
      </w:pPr>
      <w:r w:rsidRPr="00881B13">
        <w:rPr>
          <w:rFonts w:cstheme="minorHAnsi"/>
        </w:rPr>
        <w:t xml:space="preserve">1.2 </w:t>
      </w:r>
      <w:r w:rsidRPr="00881B13">
        <w:rPr>
          <w:rFonts w:cstheme="minorHAnsi"/>
        </w:rPr>
        <w:tab/>
        <w:t xml:space="preserve">The Supplier shall comply with all its obligations related to KPIs set out in this Framework Agreement including Framework Schedule 8 (Framework Management) and shall use all reasonable endeavours to meet the KPI Targets identified in the table below. </w:t>
      </w:r>
    </w:p>
    <w:p w14:paraId="60F31982" w14:textId="77777777" w:rsidR="0044254C" w:rsidRPr="00881B13" w:rsidRDefault="0044254C" w:rsidP="0044254C">
      <w:pPr>
        <w:ind w:left="567" w:hanging="567"/>
        <w:rPr>
          <w:rFonts w:cstheme="minorHAnsi"/>
        </w:rPr>
      </w:pPr>
      <w:r w:rsidRPr="00881B13">
        <w:rPr>
          <w:rFonts w:cstheme="minorHAnsi"/>
        </w:rPr>
        <w:t xml:space="preserve">1.3 </w:t>
      </w:r>
      <w:r w:rsidRPr="00881B13">
        <w:rPr>
          <w:rFonts w:cstheme="minorHAnsi"/>
        </w:rPr>
        <w:tab/>
        <w:t>The KPIs from which performance by the Supplier of this Framework Agreement will be reported against are set out below:</w:t>
      </w:r>
    </w:p>
    <w:p w14:paraId="049FBEBF" w14:textId="77777777" w:rsidR="0044254C" w:rsidRPr="00881B13" w:rsidRDefault="0044254C" w:rsidP="0044254C">
      <w:pPr>
        <w:ind w:left="567" w:hanging="567"/>
        <w:rPr>
          <w:rFonts w:cstheme="minorHAnsi"/>
        </w:rPr>
      </w:pPr>
    </w:p>
    <w:p w14:paraId="5E91A244" w14:textId="216C6076" w:rsidR="000E5D86" w:rsidRPr="00881B13" w:rsidRDefault="0044254C" w:rsidP="0044254C">
      <w:pPr>
        <w:rPr>
          <w:rFonts w:cstheme="minorHAnsi"/>
        </w:rPr>
      </w:pPr>
      <w:r w:rsidRPr="00881B13">
        <w:rPr>
          <w:rFonts w:cstheme="minorHAnsi"/>
          <w:highlight w:val="green"/>
        </w:rPr>
        <w:t xml:space="preserve">[Guidance Note: The KPI targets including any applicable KPI weightings and scoring methodology will be set out in the Supplier Action Plan – see Framework Schedule </w:t>
      </w:r>
      <w:r w:rsidR="00081EBC" w:rsidRPr="00881B13">
        <w:rPr>
          <w:rFonts w:cstheme="minorHAnsi"/>
          <w:highlight w:val="green"/>
        </w:rPr>
        <w:t>6</w:t>
      </w:r>
      <w:r w:rsidRPr="00881B13">
        <w:rPr>
          <w:rFonts w:cstheme="minorHAnsi"/>
          <w:highlight w:val="green"/>
        </w:rPr>
        <w:t xml:space="preserve"> (Framework Management)]</w:t>
      </w:r>
    </w:p>
    <w:sectPr w:rsidR="000E5D86" w:rsidRPr="00881B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76A5" w14:textId="77777777" w:rsidR="005370F1" w:rsidRDefault="005370F1" w:rsidP="00D26C34">
      <w:pPr>
        <w:spacing w:after="0" w:line="240" w:lineRule="auto"/>
      </w:pPr>
      <w:r>
        <w:separator/>
      </w:r>
    </w:p>
  </w:endnote>
  <w:endnote w:type="continuationSeparator" w:id="0">
    <w:p w14:paraId="666D8FB7" w14:textId="77777777" w:rsidR="005370F1" w:rsidRDefault="005370F1" w:rsidP="00D2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0F9F" w14:textId="77777777" w:rsidR="00920D59" w:rsidRDefault="00920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2DF4" w14:textId="631BF5AA" w:rsidR="00D26C34" w:rsidRPr="00135AA1" w:rsidRDefault="00D26C34" w:rsidP="00D26C34">
    <w:pPr>
      <w:pStyle w:val="Footer"/>
      <w:pBdr>
        <w:top w:val="single" w:sz="18" w:space="1" w:color="808080" w:themeColor="background1" w:themeShade="80"/>
      </w:pBdr>
      <w:rPr>
        <w:rFonts w:cstheme="minorHAnsi"/>
      </w:rPr>
    </w:pPr>
    <w:r>
      <w:rPr>
        <w:rFonts w:cstheme="minorHAnsi"/>
      </w:rPr>
      <w:t xml:space="preserve">NFCC </w:t>
    </w:r>
    <w:r w:rsidRPr="00135AA1">
      <w:rPr>
        <w:rFonts w:cstheme="minorHAnsi"/>
      </w:rPr>
      <w:t>Framework Agreement</w:t>
    </w:r>
  </w:p>
  <w:p w14:paraId="135BC5CC" w14:textId="77777777" w:rsidR="00D26C34" w:rsidRPr="00135AA1" w:rsidRDefault="00D26C34" w:rsidP="00D26C34">
    <w:pPr>
      <w:pStyle w:val="Footer"/>
      <w:rPr>
        <w:rFonts w:cstheme="minorHAnsi"/>
      </w:rPr>
    </w:pPr>
    <w:r w:rsidRPr="00135AA1">
      <w:rPr>
        <w:rFonts w:cstheme="minorHAnsi"/>
      </w:rPr>
      <w:t>HR Managed Services</w:t>
    </w:r>
  </w:p>
  <w:p w14:paraId="42BFD756" w14:textId="77777777" w:rsidR="00D26C34" w:rsidRDefault="00D26C34" w:rsidP="00D26C34">
    <w:pPr>
      <w:pStyle w:val="Footer"/>
      <w:rPr>
        <w:rFonts w:cstheme="minorHAnsi"/>
        <w:color w:val="444444"/>
        <w:shd w:val="clear" w:color="auto" w:fill="FFFFFF"/>
      </w:rPr>
    </w:pPr>
    <w:r w:rsidRPr="00135AA1">
      <w:rPr>
        <w:rFonts w:cstheme="minorHAnsi"/>
      </w:rPr>
      <w:t xml:space="preserve">Agreement Ref: </w:t>
    </w:r>
    <w:r w:rsidRPr="00135AA1">
      <w:rPr>
        <w:rFonts w:cstheme="minorHAnsi"/>
        <w:color w:val="444444"/>
        <w:shd w:val="clear" w:color="auto" w:fill="FFFFFF"/>
      </w:rPr>
      <w:t>NFCC-CEN-002</w:t>
    </w:r>
  </w:p>
  <w:p w14:paraId="572179E7" w14:textId="347CBE4B" w:rsidR="00D26C34" w:rsidRDefault="00D26C34" w:rsidP="00D26C34">
    <w:pPr>
      <w:pStyle w:val="Footer"/>
    </w:pPr>
    <w:r w:rsidRPr="00B62807">
      <w:rPr>
        <w:rFonts w:cstheme="minorHAnsi"/>
        <w:b/>
        <w:bCs/>
        <w:color w:val="444444"/>
        <w:shd w:val="clear" w:color="auto" w:fill="FFFFFF"/>
      </w:rPr>
      <w:t xml:space="preserve">SCHEDULE </w:t>
    </w:r>
    <w:r>
      <w:rPr>
        <w:rFonts w:cstheme="minorHAnsi"/>
        <w:b/>
        <w:bCs/>
        <w:color w:val="444444"/>
        <w:shd w:val="clear" w:color="auto" w:fill="FFFFFF"/>
      </w:rPr>
      <w:t>2 – SERVICES &amp; KPIs</w:t>
    </w:r>
    <w:r w:rsidRPr="00135AA1">
      <w:rPr>
        <w:rFonts w:cstheme="minorHAnsi"/>
      </w:rPr>
      <w:ptab w:relativeTo="margin" w:alignment="center" w:leader="none"/>
    </w:r>
    <w:r w:rsidRPr="00135AA1">
      <w:rPr>
        <w:rFonts w:cstheme="minorHAnsi"/>
      </w:rPr>
      <w:ptab w:relativeTo="margin" w:alignment="right" w:leader="none"/>
    </w:r>
    <w:r w:rsidRPr="00135AA1">
      <w:rPr>
        <w:rFonts w:cstheme="minorHAnsi"/>
      </w:rPr>
      <w:t>Page</w:t>
    </w:r>
    <w:r w:rsidR="00FA52EC">
      <w:rPr>
        <w:rFonts w:cstheme="minorHAnsi"/>
      </w:rPr>
      <w:t xml:space="preserve"> </w:t>
    </w:r>
    <w:r w:rsidR="00FA52EC">
      <w:rPr>
        <w:rFonts w:cstheme="minorHAnsi"/>
      </w:rPr>
      <w:fldChar w:fldCharType="begin"/>
    </w:r>
    <w:r w:rsidR="00FA52EC">
      <w:rPr>
        <w:rFonts w:cstheme="minorHAnsi"/>
      </w:rPr>
      <w:instrText xml:space="preserve"> PAGE  \* Arabic  \* MERGEFORMAT </w:instrText>
    </w:r>
    <w:r w:rsidR="00FA52EC">
      <w:rPr>
        <w:rFonts w:cstheme="minorHAnsi"/>
      </w:rPr>
      <w:fldChar w:fldCharType="separate"/>
    </w:r>
    <w:r w:rsidR="00FA52EC">
      <w:rPr>
        <w:rFonts w:cstheme="minorHAnsi"/>
        <w:noProof/>
      </w:rPr>
      <w:t>1</w:t>
    </w:r>
    <w:r w:rsidR="00FA52EC">
      <w:rPr>
        <w:rFonts w:cstheme="minorHAnsi"/>
      </w:rPr>
      <w:fldChar w:fldCharType="end"/>
    </w:r>
    <w:r w:rsidR="00FA52EC">
      <w:rPr>
        <w:rFonts w:cstheme="minorHAnsi"/>
      </w:rPr>
      <w:t xml:space="preserve"> of </w:t>
    </w:r>
    <w:r w:rsidR="00FA52EC">
      <w:rPr>
        <w:rFonts w:cstheme="minorHAnsi"/>
      </w:rPr>
      <w:fldChar w:fldCharType="begin"/>
    </w:r>
    <w:r w:rsidR="00FA52EC">
      <w:rPr>
        <w:rFonts w:cstheme="minorHAnsi"/>
      </w:rPr>
      <w:instrText xml:space="preserve"> NUMPAGES  \* Arabic  \* MERGEFORMAT </w:instrText>
    </w:r>
    <w:r w:rsidR="00FA52EC">
      <w:rPr>
        <w:rFonts w:cstheme="minorHAnsi"/>
      </w:rPr>
      <w:fldChar w:fldCharType="separate"/>
    </w:r>
    <w:r w:rsidR="00FA52EC">
      <w:rPr>
        <w:rFonts w:cstheme="minorHAnsi"/>
        <w:noProof/>
      </w:rPr>
      <w:t>1</w:t>
    </w:r>
    <w:r w:rsidR="00FA52EC">
      <w:rPr>
        <w:rFonts w:cstheme="minorHAnsi"/>
      </w:rPr>
      <w:fldChar w:fldCharType="end"/>
    </w:r>
  </w:p>
  <w:p w14:paraId="1206064F" w14:textId="77777777" w:rsidR="00D26C34" w:rsidRDefault="00D26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3B95" w14:textId="77777777" w:rsidR="00920D59" w:rsidRDefault="0092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13B4" w14:textId="77777777" w:rsidR="005370F1" w:rsidRDefault="005370F1" w:rsidP="00D26C34">
      <w:pPr>
        <w:spacing w:after="0" w:line="240" w:lineRule="auto"/>
      </w:pPr>
      <w:r>
        <w:separator/>
      </w:r>
    </w:p>
  </w:footnote>
  <w:footnote w:type="continuationSeparator" w:id="0">
    <w:p w14:paraId="425CB868" w14:textId="77777777" w:rsidR="005370F1" w:rsidRDefault="005370F1" w:rsidP="00D2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B629" w14:textId="77777777" w:rsidR="00920D59" w:rsidRDefault="00920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E46D" w14:textId="77777777" w:rsidR="00920D59" w:rsidRDefault="00920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7D58" w14:textId="77777777" w:rsidR="00920D59" w:rsidRDefault="0092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2B3"/>
    <w:multiLevelType w:val="multilevel"/>
    <w:tmpl w:val="A1D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8637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647E42"/>
    <w:multiLevelType w:val="hybridMultilevel"/>
    <w:tmpl w:val="F2C2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C069B"/>
    <w:multiLevelType w:val="hybridMultilevel"/>
    <w:tmpl w:val="147E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219F0"/>
    <w:multiLevelType w:val="hybridMultilevel"/>
    <w:tmpl w:val="960A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13733"/>
    <w:multiLevelType w:val="hybridMultilevel"/>
    <w:tmpl w:val="D5CC8D5E"/>
    <w:lvl w:ilvl="0" w:tplc="7EFAD910">
      <w:numFmt w:val="bullet"/>
      <w:lvlText w:val="•"/>
      <w:lvlJc w:val="left"/>
      <w:pPr>
        <w:ind w:left="930" w:hanging="57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99"/>
    <w:rsid w:val="00051AE4"/>
    <w:rsid w:val="00081EBC"/>
    <w:rsid w:val="000E5D86"/>
    <w:rsid w:val="003E1505"/>
    <w:rsid w:val="004105B4"/>
    <w:rsid w:val="0044254C"/>
    <w:rsid w:val="005370F1"/>
    <w:rsid w:val="00563121"/>
    <w:rsid w:val="005D1D2E"/>
    <w:rsid w:val="0074047A"/>
    <w:rsid w:val="00763F99"/>
    <w:rsid w:val="00881B13"/>
    <w:rsid w:val="00920D59"/>
    <w:rsid w:val="00A33442"/>
    <w:rsid w:val="00D26C34"/>
    <w:rsid w:val="00DE4ABE"/>
    <w:rsid w:val="00E058E5"/>
    <w:rsid w:val="00FA52EC"/>
    <w:rsid w:val="00FF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33FC"/>
  <w15:chartTrackingRefBased/>
  <w15:docId w15:val="{218D007C-82D7-4C72-A251-B5805064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C34"/>
  </w:style>
  <w:style w:type="paragraph" w:styleId="Footer">
    <w:name w:val="footer"/>
    <w:basedOn w:val="Normal"/>
    <w:link w:val="FooterChar"/>
    <w:uiPriority w:val="99"/>
    <w:unhideWhenUsed/>
    <w:rsid w:val="00D26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34"/>
  </w:style>
  <w:style w:type="paragraph" w:styleId="ListParagraph">
    <w:name w:val="List Paragraph"/>
    <w:basedOn w:val="Normal"/>
    <w:uiPriority w:val="34"/>
    <w:qFormat/>
    <w:rsid w:val="00E058E5"/>
    <w:pPr>
      <w:ind w:left="720"/>
      <w:contextualSpacing/>
    </w:pPr>
  </w:style>
  <w:style w:type="table" w:styleId="TableGrid">
    <w:name w:val="Table Grid"/>
    <w:basedOn w:val="TableNormal"/>
    <w:uiPriority w:val="39"/>
    <w:rsid w:val="00442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63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3121"/>
  </w:style>
  <w:style w:type="character" w:customStyle="1" w:styleId="eop">
    <w:name w:val="eop"/>
    <w:basedOn w:val="DefaultParagraphFont"/>
    <w:rsid w:val="0056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Richardson-Jess</dc:creator>
  <cp:keywords/>
  <dc:description/>
  <cp:lastModifiedBy>Amanda Richardson-Jess</cp:lastModifiedBy>
  <cp:revision>8</cp:revision>
  <dcterms:created xsi:type="dcterms:W3CDTF">2021-07-12T11:42:00Z</dcterms:created>
  <dcterms:modified xsi:type="dcterms:W3CDTF">2021-07-16T08:11:00Z</dcterms:modified>
</cp:coreProperties>
</file>