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F3" w:rsidRDefault="005A2FF3" w:rsidP="005A2FF3">
      <w:pPr>
        <w:jc w:val="center"/>
        <w:rPr>
          <w:b/>
          <w:sz w:val="32"/>
          <w:szCs w:val="32"/>
        </w:rPr>
      </w:pPr>
      <w:r>
        <w:rPr>
          <w:noProof/>
          <w:lang w:eastAsia="en-GB"/>
        </w:rPr>
        <w:drawing>
          <wp:inline distT="0" distB="0" distL="0" distR="0" wp14:anchorId="518E960B" wp14:editId="661F0E64">
            <wp:extent cx="1375410" cy="1382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1382395"/>
                    </a:xfrm>
                    <a:prstGeom prst="rect">
                      <a:avLst/>
                    </a:prstGeom>
                    <a:solidFill>
                      <a:srgbClr val="FFFFFF"/>
                    </a:solidFill>
                    <a:ln>
                      <a:noFill/>
                    </a:ln>
                  </pic:spPr>
                </pic:pic>
              </a:graphicData>
            </a:graphic>
          </wp:inline>
        </w:drawing>
      </w:r>
    </w:p>
    <w:p w:rsidR="005A2FF3" w:rsidRDefault="005A2FF3" w:rsidP="005A2FF3">
      <w:pPr>
        <w:jc w:val="center"/>
        <w:rPr>
          <w:b/>
          <w:sz w:val="32"/>
          <w:szCs w:val="32"/>
        </w:rPr>
      </w:pPr>
    </w:p>
    <w:p w:rsidR="005A2FF3" w:rsidRDefault="005A2FF3" w:rsidP="005A2FF3">
      <w:pPr>
        <w:jc w:val="center"/>
        <w:rPr>
          <w:b/>
          <w:sz w:val="32"/>
          <w:szCs w:val="32"/>
        </w:rPr>
      </w:pPr>
    </w:p>
    <w:p w:rsidR="005A2FF3" w:rsidRDefault="005A2FF3" w:rsidP="005A2FF3">
      <w:pPr>
        <w:pStyle w:val="Subtitle"/>
        <w:rPr>
          <w:b/>
          <w:bCs/>
          <w:i w:val="0"/>
          <w:iCs w:val="0"/>
          <w:szCs w:val="24"/>
        </w:rPr>
      </w:pPr>
      <w:r>
        <w:rPr>
          <w:b/>
          <w:bCs/>
          <w:i w:val="0"/>
          <w:iCs w:val="0"/>
          <w:szCs w:val="24"/>
        </w:rPr>
        <w:t>SPECIFICATION</w:t>
      </w:r>
    </w:p>
    <w:p w:rsidR="005A2FF3" w:rsidRDefault="005A2FF3" w:rsidP="005A2FF3">
      <w:pPr>
        <w:pStyle w:val="BodyText"/>
        <w:rPr>
          <w:rFonts w:ascii="Arial" w:hAnsi="Arial"/>
          <w:color w:val="auto"/>
          <w:sz w:val="24"/>
          <w:szCs w:val="24"/>
        </w:rPr>
      </w:pPr>
    </w:p>
    <w:p w:rsidR="005A2FF3" w:rsidRDefault="005A2FF3" w:rsidP="005A2FF3">
      <w:pPr>
        <w:pStyle w:val="BodyText"/>
        <w:rPr>
          <w:rFonts w:ascii="Arial" w:hAnsi="Arial"/>
          <w:color w:val="auto"/>
          <w:sz w:val="24"/>
          <w:szCs w:val="24"/>
        </w:rPr>
      </w:pPr>
    </w:p>
    <w:p w:rsidR="005A2FF3" w:rsidRDefault="005A2FF3" w:rsidP="005A2FF3">
      <w:pPr>
        <w:pStyle w:val="BodyText"/>
        <w:jc w:val="center"/>
        <w:rPr>
          <w:rFonts w:ascii="Arial" w:hAnsi="Arial"/>
          <w:b/>
          <w:sz w:val="24"/>
          <w:szCs w:val="24"/>
        </w:rPr>
      </w:pPr>
      <w:r>
        <w:rPr>
          <w:rFonts w:ascii="Arial" w:hAnsi="Arial"/>
          <w:b/>
          <w:bCs/>
          <w:sz w:val="24"/>
          <w:szCs w:val="24"/>
        </w:rPr>
        <w:t>TENANT ENERGY ADVICE SERVICE</w:t>
      </w:r>
    </w:p>
    <w:p w:rsidR="005A2FF3" w:rsidRDefault="005A2FF3" w:rsidP="005A2FF3">
      <w:pPr>
        <w:pStyle w:val="BodyText"/>
        <w:jc w:val="center"/>
        <w:rPr>
          <w:rFonts w:ascii="Arial" w:hAnsi="Arial"/>
          <w:b/>
          <w:bCs/>
          <w:color w:val="auto"/>
          <w:sz w:val="24"/>
          <w:szCs w:val="24"/>
        </w:rPr>
      </w:pPr>
    </w:p>
    <w:p w:rsidR="005A2FF3" w:rsidRDefault="005A2FF3" w:rsidP="005A2FF3">
      <w:pPr>
        <w:pStyle w:val="Title"/>
        <w:jc w:val="both"/>
        <w:rPr>
          <w:rFonts w:ascii="Arial" w:hAnsi="Arial"/>
          <w:sz w:val="24"/>
          <w:szCs w:val="24"/>
        </w:rPr>
      </w:pPr>
    </w:p>
    <w:p w:rsidR="005A2FF3" w:rsidRDefault="005A2FF3" w:rsidP="005A2FF3">
      <w:pPr>
        <w:pStyle w:val="Title"/>
        <w:jc w:val="left"/>
        <w:rPr>
          <w:rFonts w:ascii="Arial" w:hAnsi="Arial"/>
          <w:sz w:val="24"/>
          <w:szCs w:val="24"/>
        </w:rPr>
      </w:pPr>
    </w:p>
    <w:p w:rsidR="005A2FF3" w:rsidRDefault="005A2FF3" w:rsidP="005A2FF3">
      <w:pPr>
        <w:pStyle w:val="Title"/>
        <w:jc w:val="both"/>
        <w:rPr>
          <w:rFonts w:ascii="Arial" w:hAnsi="Arial"/>
          <w:sz w:val="24"/>
          <w:szCs w:val="24"/>
        </w:rPr>
      </w:pPr>
    </w:p>
    <w:p w:rsidR="005A2FF3" w:rsidRDefault="005A2FF3" w:rsidP="005A2FF3">
      <w:pPr>
        <w:pStyle w:val="Title"/>
        <w:jc w:val="both"/>
        <w:rPr>
          <w:rFonts w:ascii="Arial" w:hAnsi="Arial"/>
          <w:sz w:val="24"/>
          <w:szCs w:val="24"/>
        </w:rPr>
      </w:pPr>
    </w:p>
    <w:p w:rsidR="005A2FF3" w:rsidRDefault="005A2FF3" w:rsidP="005A2FF3">
      <w:pPr>
        <w:pStyle w:val="Title"/>
        <w:jc w:val="both"/>
        <w:rPr>
          <w:rFonts w:ascii="Arial" w:hAnsi="Arial"/>
          <w:sz w:val="24"/>
          <w:szCs w:val="24"/>
        </w:rPr>
      </w:pPr>
    </w:p>
    <w:p w:rsidR="005A2FF3" w:rsidRDefault="005A2FF3" w:rsidP="005A2FF3">
      <w:pPr>
        <w:suppressAutoHyphens/>
        <w:jc w:val="center"/>
        <w:rPr>
          <w:rFonts w:ascii="Arial" w:hAnsi="Arial" w:cs="Arial"/>
          <w:b/>
          <w:bCs/>
          <w:color w:val="FF0000"/>
          <w:lang w:eastAsia="ar-SA"/>
        </w:rPr>
      </w:pPr>
      <w:r>
        <w:rPr>
          <w:rFonts w:ascii="Arial" w:hAnsi="Arial" w:cs="Arial"/>
          <w:bCs/>
          <w:color w:val="000000"/>
          <w:lang w:eastAsia="ar-SA"/>
        </w:rPr>
        <w:t>PROCONTRACT PORTAL REFERENCE:</w:t>
      </w:r>
      <w:r>
        <w:rPr>
          <w:rFonts w:ascii="Arial" w:hAnsi="Arial" w:cs="Arial"/>
          <w:color w:val="FF0000"/>
          <w:lang w:eastAsia="ar-SA"/>
        </w:rPr>
        <w:t xml:space="preserve"> </w:t>
      </w:r>
    </w:p>
    <w:p w:rsidR="005A2FF3" w:rsidRDefault="005A2FF3" w:rsidP="005A2FF3">
      <w:pPr>
        <w:jc w:val="center"/>
        <w:rPr>
          <w:b/>
          <w:sz w:val="32"/>
          <w:szCs w:val="32"/>
        </w:rPr>
      </w:pPr>
    </w:p>
    <w:p w:rsidR="005A2FF3" w:rsidRDefault="005A2FF3" w:rsidP="005A2FF3">
      <w:pPr>
        <w:jc w:val="center"/>
        <w:rPr>
          <w:b/>
          <w:sz w:val="32"/>
          <w:szCs w:val="32"/>
        </w:rPr>
      </w:pPr>
    </w:p>
    <w:p w:rsidR="005A2FF3" w:rsidRDefault="005A2FF3" w:rsidP="005A2FF3">
      <w:pPr>
        <w:jc w:val="center"/>
        <w:rPr>
          <w:b/>
          <w:sz w:val="32"/>
          <w:szCs w:val="32"/>
        </w:rPr>
      </w:pPr>
    </w:p>
    <w:p w:rsidR="005A2FF3" w:rsidRDefault="005A2FF3" w:rsidP="005A2FF3">
      <w:pPr>
        <w:jc w:val="center"/>
        <w:rPr>
          <w:b/>
          <w:sz w:val="32"/>
          <w:szCs w:val="32"/>
        </w:rPr>
      </w:pPr>
    </w:p>
    <w:p w:rsidR="005A2FF3" w:rsidRDefault="005A2FF3" w:rsidP="005A2FF3">
      <w:pPr>
        <w:jc w:val="center"/>
        <w:rPr>
          <w:b/>
          <w:sz w:val="32"/>
          <w:szCs w:val="32"/>
        </w:rPr>
      </w:pPr>
    </w:p>
    <w:p w:rsidR="005A2FF3" w:rsidRDefault="005A2FF3" w:rsidP="005A2FF3">
      <w:pPr>
        <w:jc w:val="center"/>
        <w:rPr>
          <w:b/>
          <w:sz w:val="32"/>
          <w:szCs w:val="32"/>
        </w:rPr>
      </w:pPr>
    </w:p>
    <w:p w:rsidR="005A2FF3" w:rsidRDefault="005A2FF3" w:rsidP="005A2FF3">
      <w:pPr>
        <w:jc w:val="center"/>
        <w:rPr>
          <w:b/>
          <w:sz w:val="32"/>
          <w:szCs w:val="32"/>
        </w:rPr>
      </w:pPr>
    </w:p>
    <w:p w:rsidR="00AC24B4" w:rsidRDefault="00AC24B4" w:rsidP="005A2FF3">
      <w:pPr>
        <w:rPr>
          <w:b/>
          <w:sz w:val="32"/>
          <w:szCs w:val="32"/>
        </w:rPr>
      </w:pPr>
    </w:p>
    <w:p w:rsidR="00AC24B4" w:rsidRDefault="00F637FF" w:rsidP="00F637FF">
      <w:pPr>
        <w:tabs>
          <w:tab w:val="left" w:pos="6011"/>
        </w:tabs>
        <w:rPr>
          <w:b/>
          <w:sz w:val="32"/>
          <w:szCs w:val="32"/>
        </w:rPr>
      </w:pPr>
      <w:r>
        <w:rPr>
          <w:b/>
          <w:sz w:val="32"/>
          <w:szCs w:val="32"/>
        </w:rPr>
        <w:tab/>
      </w:r>
    </w:p>
    <w:p w:rsidR="00AC24B4" w:rsidRDefault="00AC24B4" w:rsidP="005A2FF3">
      <w:pPr>
        <w:rPr>
          <w:b/>
          <w:sz w:val="32"/>
          <w:szCs w:val="32"/>
        </w:rPr>
      </w:pPr>
    </w:p>
    <w:p w:rsidR="005A2FF3" w:rsidRPr="002862E6" w:rsidRDefault="005A2FF3" w:rsidP="005A2FF3">
      <w:pPr>
        <w:rPr>
          <w:rFonts w:ascii="Arial" w:hAnsi="Arial" w:cs="Arial"/>
          <w:b/>
          <w:sz w:val="32"/>
          <w:szCs w:val="32"/>
        </w:rPr>
      </w:pPr>
      <w:r w:rsidRPr="002862E6">
        <w:rPr>
          <w:rFonts w:ascii="Arial" w:hAnsi="Arial" w:cs="Arial"/>
          <w:b/>
          <w:sz w:val="32"/>
          <w:szCs w:val="32"/>
        </w:rPr>
        <w:lastRenderedPageBreak/>
        <w:t>Specification</w:t>
      </w:r>
    </w:p>
    <w:p w:rsidR="005A2FF3" w:rsidRPr="00F85570" w:rsidRDefault="00F637FF" w:rsidP="005A2FF3">
      <w:pPr>
        <w:rPr>
          <w:rFonts w:ascii="Arial" w:hAnsi="Arial" w:cs="Arial"/>
          <w:b/>
          <w:sz w:val="28"/>
          <w:szCs w:val="28"/>
        </w:rPr>
      </w:pPr>
      <w:r>
        <w:rPr>
          <w:rFonts w:ascii="Arial" w:hAnsi="Arial" w:cs="Arial"/>
          <w:b/>
          <w:sz w:val="28"/>
          <w:szCs w:val="28"/>
        </w:rPr>
        <w:t>1</w:t>
      </w:r>
      <w:r>
        <w:rPr>
          <w:rFonts w:ascii="Arial" w:hAnsi="Arial" w:cs="Arial"/>
          <w:b/>
          <w:sz w:val="28"/>
          <w:szCs w:val="28"/>
        </w:rPr>
        <w:tab/>
        <w:t>Glossary of T</w:t>
      </w:r>
      <w:r w:rsidR="005A2FF3" w:rsidRPr="00F85570">
        <w:rPr>
          <w:rFonts w:ascii="Arial" w:hAnsi="Arial" w:cs="Arial"/>
          <w:b/>
          <w:sz w:val="28"/>
          <w:szCs w:val="28"/>
        </w:rPr>
        <w:t>erms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355"/>
      </w:tblGrid>
      <w:tr w:rsidR="005A2FF3" w:rsidRPr="009077C6" w:rsidTr="00FE4798">
        <w:tc>
          <w:tcPr>
            <w:tcW w:w="1874" w:type="dxa"/>
            <w:shd w:val="clear" w:color="auto" w:fill="C6D9F1"/>
          </w:tcPr>
          <w:p w:rsidR="005A2FF3" w:rsidRPr="009077C6" w:rsidRDefault="005A2FF3" w:rsidP="00FE4798">
            <w:pPr>
              <w:rPr>
                <w:rFonts w:ascii="Arial" w:eastAsia="Calibri" w:hAnsi="Arial" w:cs="Arial"/>
                <w:sz w:val="24"/>
                <w:szCs w:val="24"/>
              </w:rPr>
            </w:pPr>
            <w:r w:rsidRPr="009077C6">
              <w:rPr>
                <w:rFonts w:ascii="Arial" w:eastAsia="Calibri" w:hAnsi="Arial" w:cs="Arial"/>
                <w:sz w:val="24"/>
                <w:szCs w:val="24"/>
              </w:rPr>
              <w:t>Abbreviation</w:t>
            </w:r>
          </w:p>
        </w:tc>
        <w:tc>
          <w:tcPr>
            <w:tcW w:w="5355" w:type="dxa"/>
            <w:shd w:val="clear" w:color="auto" w:fill="C6D9F1"/>
          </w:tcPr>
          <w:p w:rsidR="005A2FF3" w:rsidRPr="009077C6" w:rsidRDefault="005A2FF3" w:rsidP="00FE4798">
            <w:pPr>
              <w:rPr>
                <w:rFonts w:ascii="Arial" w:eastAsia="Calibri" w:hAnsi="Arial" w:cs="Arial"/>
                <w:sz w:val="24"/>
                <w:szCs w:val="24"/>
              </w:rPr>
            </w:pPr>
            <w:r w:rsidRPr="009077C6">
              <w:rPr>
                <w:rFonts w:ascii="Arial" w:eastAsia="Calibri" w:hAnsi="Arial" w:cs="Arial"/>
                <w:sz w:val="24"/>
                <w:szCs w:val="24"/>
              </w:rPr>
              <w:t>Meaning</w:t>
            </w:r>
          </w:p>
        </w:tc>
      </w:tr>
      <w:tr w:rsidR="005A2FF3" w:rsidRPr="009077C6" w:rsidTr="00FE4798">
        <w:trPr>
          <w:trHeight w:val="345"/>
        </w:trPr>
        <w:tc>
          <w:tcPr>
            <w:tcW w:w="1874" w:type="dxa"/>
            <w:shd w:val="clear" w:color="auto" w:fill="auto"/>
          </w:tcPr>
          <w:p w:rsidR="005A2FF3" w:rsidRPr="009077C6" w:rsidRDefault="005A2FF3" w:rsidP="00FE4798">
            <w:pPr>
              <w:rPr>
                <w:rFonts w:ascii="Arial" w:eastAsia="Calibri" w:hAnsi="Arial" w:cs="Arial"/>
                <w:sz w:val="24"/>
                <w:szCs w:val="24"/>
              </w:rPr>
            </w:pPr>
            <w:r w:rsidRPr="009077C6">
              <w:rPr>
                <w:rFonts w:ascii="Arial" w:eastAsia="Calibri" w:hAnsi="Arial" w:cs="Arial"/>
                <w:sz w:val="24"/>
                <w:szCs w:val="24"/>
              </w:rPr>
              <w:t>BCC</w:t>
            </w:r>
          </w:p>
        </w:tc>
        <w:tc>
          <w:tcPr>
            <w:tcW w:w="5355" w:type="dxa"/>
            <w:shd w:val="clear" w:color="auto" w:fill="auto"/>
          </w:tcPr>
          <w:p w:rsidR="005A2FF3" w:rsidRPr="009077C6" w:rsidRDefault="005A2FF3" w:rsidP="00FE4798">
            <w:pPr>
              <w:rPr>
                <w:rFonts w:ascii="Arial" w:eastAsia="Calibri" w:hAnsi="Arial" w:cs="Arial"/>
                <w:sz w:val="24"/>
                <w:szCs w:val="24"/>
              </w:rPr>
            </w:pPr>
            <w:r w:rsidRPr="009077C6">
              <w:rPr>
                <w:rFonts w:ascii="Arial" w:eastAsia="Calibri" w:hAnsi="Arial" w:cs="Arial"/>
                <w:sz w:val="24"/>
                <w:szCs w:val="24"/>
              </w:rPr>
              <w:t>Bristol City Council</w:t>
            </w:r>
          </w:p>
        </w:tc>
      </w:tr>
      <w:tr w:rsidR="005A2FF3" w:rsidRPr="009077C6" w:rsidTr="00FE4798">
        <w:trPr>
          <w:trHeight w:val="381"/>
        </w:trPr>
        <w:tc>
          <w:tcPr>
            <w:tcW w:w="1874" w:type="dxa"/>
            <w:shd w:val="clear" w:color="auto" w:fill="auto"/>
          </w:tcPr>
          <w:p w:rsidR="005A2FF3" w:rsidRPr="009077C6" w:rsidRDefault="005A2FF3" w:rsidP="00FE4798">
            <w:pPr>
              <w:rPr>
                <w:rFonts w:ascii="Arial" w:eastAsia="Calibri" w:hAnsi="Arial" w:cs="Arial"/>
                <w:sz w:val="24"/>
                <w:szCs w:val="24"/>
              </w:rPr>
            </w:pPr>
            <w:r>
              <w:rPr>
                <w:rFonts w:ascii="Arial" w:eastAsia="Calibri" w:hAnsi="Arial" w:cs="Arial"/>
                <w:sz w:val="24"/>
                <w:szCs w:val="24"/>
              </w:rPr>
              <w:t>TEA</w:t>
            </w:r>
          </w:p>
        </w:tc>
        <w:tc>
          <w:tcPr>
            <w:tcW w:w="5355" w:type="dxa"/>
            <w:shd w:val="clear" w:color="auto" w:fill="auto"/>
          </w:tcPr>
          <w:p w:rsidR="005A2FF3" w:rsidRPr="009077C6" w:rsidRDefault="007550CF" w:rsidP="00FE4798">
            <w:pPr>
              <w:rPr>
                <w:rFonts w:ascii="Arial" w:eastAsia="Calibri" w:hAnsi="Arial" w:cs="Arial"/>
                <w:sz w:val="24"/>
                <w:szCs w:val="24"/>
              </w:rPr>
            </w:pPr>
            <w:r>
              <w:rPr>
                <w:rFonts w:ascii="Arial" w:eastAsia="Calibri" w:hAnsi="Arial" w:cs="Arial"/>
                <w:sz w:val="24"/>
                <w:szCs w:val="24"/>
              </w:rPr>
              <w:t>Tenant Energy Advice s</w:t>
            </w:r>
            <w:r w:rsidR="005A2FF3">
              <w:rPr>
                <w:rFonts w:ascii="Arial" w:eastAsia="Calibri" w:hAnsi="Arial" w:cs="Arial"/>
                <w:sz w:val="24"/>
                <w:szCs w:val="24"/>
              </w:rPr>
              <w:t>ervice</w:t>
            </w:r>
          </w:p>
        </w:tc>
      </w:tr>
    </w:tbl>
    <w:p w:rsidR="005A2FF3" w:rsidRPr="002862E6" w:rsidRDefault="005A2FF3" w:rsidP="005A2FF3">
      <w:pPr>
        <w:rPr>
          <w:rFonts w:ascii="Arial" w:hAnsi="Arial" w:cs="Arial"/>
          <w:b/>
          <w:sz w:val="24"/>
          <w:szCs w:val="24"/>
        </w:rPr>
      </w:pPr>
    </w:p>
    <w:p w:rsidR="005A2FF3" w:rsidRPr="00AF569F" w:rsidRDefault="005A2FF3" w:rsidP="005A2FF3">
      <w:pPr>
        <w:rPr>
          <w:rFonts w:ascii="Arial" w:hAnsi="Arial" w:cs="Arial"/>
          <w:b/>
          <w:sz w:val="28"/>
          <w:szCs w:val="28"/>
        </w:rPr>
      </w:pPr>
      <w:r w:rsidRPr="00AF569F">
        <w:rPr>
          <w:rFonts w:ascii="Arial" w:hAnsi="Arial" w:cs="Arial"/>
          <w:b/>
          <w:sz w:val="28"/>
          <w:szCs w:val="28"/>
        </w:rPr>
        <w:t>2</w:t>
      </w:r>
      <w:r>
        <w:rPr>
          <w:rFonts w:ascii="Arial" w:hAnsi="Arial" w:cs="Arial"/>
          <w:b/>
          <w:sz w:val="28"/>
          <w:szCs w:val="28"/>
        </w:rPr>
        <w:t>.</w:t>
      </w:r>
      <w:r w:rsidRPr="00AF569F">
        <w:rPr>
          <w:rFonts w:ascii="Arial" w:hAnsi="Arial" w:cs="Arial"/>
          <w:b/>
          <w:sz w:val="28"/>
          <w:szCs w:val="28"/>
        </w:rPr>
        <w:tab/>
        <w:t>Introduction</w:t>
      </w:r>
    </w:p>
    <w:p w:rsidR="005A2FF3" w:rsidRPr="00100F2E" w:rsidRDefault="00100F2E" w:rsidP="00100F2E">
      <w:pPr>
        <w:ind w:left="720" w:hanging="720"/>
        <w:jc w:val="both"/>
        <w:rPr>
          <w:rFonts w:ascii="Arial" w:hAnsi="Arial" w:cs="Arial"/>
          <w:sz w:val="24"/>
          <w:szCs w:val="24"/>
        </w:rPr>
      </w:pPr>
      <w:r w:rsidRPr="00100F2E">
        <w:rPr>
          <w:rFonts w:ascii="Arial" w:hAnsi="Arial" w:cs="Arial"/>
          <w:sz w:val="24"/>
          <w:szCs w:val="24"/>
        </w:rPr>
        <w:t>2.1</w:t>
      </w:r>
      <w:r w:rsidRPr="00100F2E">
        <w:rPr>
          <w:rFonts w:ascii="Arial" w:hAnsi="Arial" w:cs="Arial"/>
          <w:sz w:val="24"/>
          <w:szCs w:val="24"/>
        </w:rPr>
        <w:tab/>
      </w:r>
      <w:r w:rsidR="000632E3" w:rsidRPr="00BC4304">
        <w:rPr>
          <w:rFonts w:ascii="Arial" w:hAnsi="Arial" w:cs="Arial"/>
          <w:sz w:val="24"/>
          <w:szCs w:val="24"/>
        </w:rPr>
        <w:t>Bristol City Council’s</w:t>
      </w:r>
      <w:r w:rsidR="00086E50" w:rsidRPr="00BC4304">
        <w:rPr>
          <w:rFonts w:ascii="Arial" w:hAnsi="Arial" w:cs="Arial"/>
          <w:sz w:val="24"/>
          <w:szCs w:val="24"/>
        </w:rPr>
        <w:t xml:space="preserve"> Landlord Services</w:t>
      </w:r>
      <w:r w:rsidR="000632E3" w:rsidRPr="00BC4304">
        <w:rPr>
          <w:rFonts w:ascii="Arial" w:hAnsi="Arial" w:cs="Arial"/>
          <w:sz w:val="24"/>
          <w:szCs w:val="24"/>
        </w:rPr>
        <w:t xml:space="preserve"> service maintains and manages</w:t>
      </w:r>
      <w:r w:rsidR="005A2FF3" w:rsidRPr="00BC4304">
        <w:rPr>
          <w:rFonts w:ascii="Arial" w:hAnsi="Arial" w:cs="Arial"/>
          <w:sz w:val="24"/>
          <w:szCs w:val="24"/>
        </w:rPr>
        <w:t xml:space="preserve"> </w:t>
      </w:r>
      <w:r w:rsidR="007B3EAB">
        <w:rPr>
          <w:rFonts w:ascii="Arial" w:hAnsi="Arial" w:cs="Arial"/>
          <w:sz w:val="24"/>
          <w:szCs w:val="24"/>
        </w:rPr>
        <w:t>27,000</w:t>
      </w:r>
      <w:bookmarkStart w:id="0" w:name="_GoBack"/>
      <w:bookmarkEnd w:id="0"/>
      <w:r w:rsidR="00BC4304" w:rsidRPr="00BC4304">
        <w:rPr>
          <w:rFonts w:ascii="Arial" w:hAnsi="Arial" w:cs="Arial"/>
          <w:sz w:val="24"/>
          <w:szCs w:val="24"/>
        </w:rPr>
        <w:t xml:space="preserve"> </w:t>
      </w:r>
      <w:r w:rsidR="005A2FF3" w:rsidRPr="00BC4304">
        <w:rPr>
          <w:rFonts w:ascii="Arial" w:hAnsi="Arial" w:cs="Arial"/>
          <w:sz w:val="24"/>
          <w:szCs w:val="24"/>
        </w:rPr>
        <w:t>social housing homes</w:t>
      </w:r>
      <w:r w:rsidR="005A2FF3" w:rsidRPr="00100F2E">
        <w:rPr>
          <w:rFonts w:ascii="Arial" w:hAnsi="Arial" w:cs="Arial"/>
          <w:sz w:val="24"/>
          <w:szCs w:val="24"/>
        </w:rPr>
        <w:t xml:space="preserve">.  Our tenants </w:t>
      </w:r>
      <w:r w:rsidR="00357792">
        <w:rPr>
          <w:rFonts w:ascii="Arial" w:hAnsi="Arial" w:cs="Arial"/>
          <w:sz w:val="24"/>
          <w:szCs w:val="24"/>
        </w:rPr>
        <w:t xml:space="preserve">(appendix 2) </w:t>
      </w:r>
      <w:r w:rsidR="005A2FF3" w:rsidRPr="00100F2E">
        <w:rPr>
          <w:rFonts w:ascii="Arial" w:hAnsi="Arial" w:cs="Arial"/>
          <w:sz w:val="24"/>
          <w:szCs w:val="24"/>
        </w:rPr>
        <w:t xml:space="preserve">are generally amongst the poorest households </w:t>
      </w:r>
      <w:r w:rsidR="005A2FF3" w:rsidRPr="00514042">
        <w:rPr>
          <w:rFonts w:ascii="Arial" w:hAnsi="Arial" w:cs="Arial"/>
          <w:sz w:val="24"/>
          <w:szCs w:val="24"/>
        </w:rPr>
        <w:t>(over 7</w:t>
      </w:r>
      <w:r w:rsidR="00932DD0">
        <w:rPr>
          <w:rFonts w:ascii="Arial" w:hAnsi="Arial" w:cs="Arial"/>
          <w:sz w:val="24"/>
          <w:szCs w:val="24"/>
        </w:rPr>
        <w:t>5</w:t>
      </w:r>
      <w:r w:rsidR="005A2FF3" w:rsidRPr="00514042">
        <w:rPr>
          <w:rFonts w:ascii="Arial" w:hAnsi="Arial" w:cs="Arial"/>
          <w:sz w:val="24"/>
          <w:szCs w:val="24"/>
        </w:rPr>
        <w:t xml:space="preserve">% of tenants receive </w:t>
      </w:r>
      <w:r w:rsidR="00F124A7">
        <w:rPr>
          <w:rFonts w:ascii="Arial" w:hAnsi="Arial" w:cs="Arial"/>
          <w:sz w:val="24"/>
          <w:szCs w:val="24"/>
        </w:rPr>
        <w:t>State support</w:t>
      </w:r>
      <w:r w:rsidR="005A2FF3" w:rsidRPr="00100F2E">
        <w:rPr>
          <w:rFonts w:ascii="Arial" w:hAnsi="Arial" w:cs="Arial"/>
          <w:sz w:val="24"/>
          <w:szCs w:val="24"/>
        </w:rPr>
        <w:t xml:space="preserve"> to help pay their rent) and have been further affected by reductions in welfare benefits. We have a high proportion of older tenants, large families and tenants with vulnerability issues – making warm, </w:t>
      </w:r>
      <w:r w:rsidR="000846CA">
        <w:rPr>
          <w:rFonts w:ascii="Arial" w:hAnsi="Arial" w:cs="Arial"/>
          <w:sz w:val="24"/>
          <w:szCs w:val="24"/>
        </w:rPr>
        <w:t xml:space="preserve">affordable and </w:t>
      </w:r>
      <w:r w:rsidR="005A2FF3" w:rsidRPr="00100F2E">
        <w:rPr>
          <w:rFonts w:ascii="Arial" w:hAnsi="Arial" w:cs="Arial"/>
          <w:sz w:val="24"/>
          <w:szCs w:val="24"/>
        </w:rPr>
        <w:t>energy efficient homes crucial. When asked for their priority for investment in their homes, most tenants placed energy efficiency top.</w:t>
      </w:r>
      <w:r w:rsidR="00FF5877">
        <w:rPr>
          <w:rFonts w:ascii="Arial" w:hAnsi="Arial" w:cs="Arial"/>
          <w:sz w:val="24"/>
          <w:szCs w:val="24"/>
        </w:rPr>
        <w:t xml:space="preserve"> Furthermore, i</w:t>
      </w:r>
      <w:r w:rsidR="00CD67F7">
        <w:rPr>
          <w:rFonts w:ascii="Arial" w:hAnsi="Arial" w:cs="Arial"/>
          <w:sz w:val="24"/>
          <w:szCs w:val="24"/>
        </w:rPr>
        <w:t xml:space="preserve">n July 2019, Bristol </w:t>
      </w:r>
      <w:r w:rsidR="00274789">
        <w:rPr>
          <w:rFonts w:ascii="Arial" w:hAnsi="Arial" w:cs="Arial"/>
          <w:sz w:val="24"/>
          <w:szCs w:val="24"/>
        </w:rPr>
        <w:t xml:space="preserve">City Council </w:t>
      </w:r>
      <w:r w:rsidR="00CD67F7">
        <w:rPr>
          <w:rFonts w:ascii="Arial" w:hAnsi="Arial" w:cs="Arial"/>
          <w:sz w:val="24"/>
          <w:szCs w:val="24"/>
        </w:rPr>
        <w:t>declared a climate emergency</w:t>
      </w:r>
      <w:r w:rsidR="00DD3A89">
        <w:rPr>
          <w:rFonts w:ascii="Arial" w:hAnsi="Arial" w:cs="Arial"/>
          <w:sz w:val="24"/>
          <w:szCs w:val="24"/>
        </w:rPr>
        <w:t xml:space="preserve"> </w:t>
      </w:r>
      <w:r w:rsidR="00812184">
        <w:rPr>
          <w:rFonts w:ascii="Arial" w:hAnsi="Arial" w:cs="Arial"/>
          <w:sz w:val="24"/>
          <w:szCs w:val="24"/>
        </w:rPr>
        <w:t xml:space="preserve">and this </w:t>
      </w:r>
      <w:r w:rsidR="00FF5877">
        <w:rPr>
          <w:rFonts w:ascii="Arial" w:hAnsi="Arial" w:cs="Arial"/>
          <w:sz w:val="24"/>
          <w:szCs w:val="24"/>
        </w:rPr>
        <w:t xml:space="preserve">highlighted </w:t>
      </w:r>
      <w:r w:rsidR="00DD3A89">
        <w:rPr>
          <w:rFonts w:ascii="Arial" w:hAnsi="Arial" w:cs="Arial"/>
          <w:sz w:val="24"/>
          <w:szCs w:val="24"/>
        </w:rPr>
        <w:t xml:space="preserve">the </w:t>
      </w:r>
      <w:r w:rsidR="00645006">
        <w:rPr>
          <w:rFonts w:ascii="Arial" w:hAnsi="Arial" w:cs="Arial"/>
          <w:sz w:val="24"/>
          <w:szCs w:val="24"/>
        </w:rPr>
        <w:t xml:space="preserve">urgent </w:t>
      </w:r>
      <w:r w:rsidR="00DD3A89">
        <w:rPr>
          <w:rFonts w:ascii="Arial" w:hAnsi="Arial" w:cs="Arial"/>
          <w:sz w:val="24"/>
          <w:szCs w:val="24"/>
        </w:rPr>
        <w:t xml:space="preserve">need for improvements </w:t>
      </w:r>
      <w:r w:rsidR="00842E93">
        <w:rPr>
          <w:rFonts w:ascii="Arial" w:hAnsi="Arial" w:cs="Arial"/>
          <w:sz w:val="24"/>
          <w:szCs w:val="24"/>
        </w:rPr>
        <w:t>to me made in housing to reduce carbon and improve energy efficiency</w:t>
      </w:r>
      <w:r w:rsidR="00812184">
        <w:rPr>
          <w:rFonts w:ascii="Arial" w:hAnsi="Arial" w:cs="Arial"/>
          <w:sz w:val="24"/>
          <w:szCs w:val="24"/>
        </w:rPr>
        <w:t xml:space="preserve">. </w:t>
      </w:r>
    </w:p>
    <w:p w:rsidR="005A2FF3" w:rsidRPr="00100F2E" w:rsidRDefault="005A2FF3" w:rsidP="005A2FF3">
      <w:pPr>
        <w:pStyle w:val="ListParagraph"/>
        <w:ind w:left="851"/>
        <w:jc w:val="both"/>
        <w:rPr>
          <w:rFonts w:ascii="Arial" w:hAnsi="Arial" w:cs="Arial"/>
        </w:rPr>
      </w:pPr>
    </w:p>
    <w:p w:rsidR="005A2FF3" w:rsidRPr="00100F2E" w:rsidRDefault="00100F2E" w:rsidP="00100F2E">
      <w:pPr>
        <w:ind w:left="720" w:hanging="720"/>
        <w:jc w:val="both"/>
        <w:rPr>
          <w:rFonts w:ascii="Arial" w:hAnsi="Arial" w:cs="Arial"/>
          <w:sz w:val="24"/>
          <w:szCs w:val="24"/>
        </w:rPr>
      </w:pPr>
      <w:r w:rsidRPr="00100F2E">
        <w:rPr>
          <w:rFonts w:ascii="Arial" w:hAnsi="Arial" w:cs="Arial"/>
          <w:sz w:val="24"/>
          <w:szCs w:val="24"/>
        </w:rPr>
        <w:t>2.2</w:t>
      </w:r>
      <w:r w:rsidRPr="00100F2E">
        <w:rPr>
          <w:rFonts w:ascii="Arial" w:hAnsi="Arial" w:cs="Arial"/>
          <w:sz w:val="24"/>
          <w:szCs w:val="24"/>
        </w:rPr>
        <w:tab/>
      </w:r>
      <w:r w:rsidR="005A2FF3" w:rsidRPr="00100F2E">
        <w:rPr>
          <w:rFonts w:ascii="Arial" w:hAnsi="Arial" w:cs="Arial"/>
          <w:sz w:val="24"/>
          <w:szCs w:val="24"/>
        </w:rPr>
        <w:t>Our housing stock</w:t>
      </w:r>
      <w:r w:rsidR="00357792">
        <w:rPr>
          <w:rFonts w:ascii="Arial" w:hAnsi="Arial" w:cs="Arial"/>
          <w:sz w:val="24"/>
          <w:szCs w:val="24"/>
        </w:rPr>
        <w:t xml:space="preserve"> (appendix 1)</w:t>
      </w:r>
      <w:r w:rsidR="005A2FF3" w:rsidRPr="00100F2E">
        <w:rPr>
          <w:rFonts w:ascii="Arial" w:hAnsi="Arial" w:cs="Arial"/>
          <w:sz w:val="24"/>
          <w:szCs w:val="24"/>
        </w:rPr>
        <w:t xml:space="preserve"> is old (much built 5</w:t>
      </w:r>
      <w:r w:rsidR="00F37D24">
        <w:rPr>
          <w:rFonts w:ascii="Arial" w:hAnsi="Arial" w:cs="Arial"/>
          <w:sz w:val="24"/>
          <w:szCs w:val="24"/>
        </w:rPr>
        <w:t>5</w:t>
      </w:r>
      <w:r w:rsidR="005A2FF3" w:rsidRPr="00100F2E">
        <w:rPr>
          <w:rFonts w:ascii="Arial" w:hAnsi="Arial" w:cs="Arial"/>
          <w:sz w:val="24"/>
          <w:szCs w:val="24"/>
        </w:rPr>
        <w:t>-8</w:t>
      </w:r>
      <w:r w:rsidR="00F37D24">
        <w:rPr>
          <w:rFonts w:ascii="Arial" w:hAnsi="Arial" w:cs="Arial"/>
          <w:sz w:val="24"/>
          <w:szCs w:val="24"/>
        </w:rPr>
        <w:t>5</w:t>
      </w:r>
      <w:r w:rsidR="005A2FF3" w:rsidRPr="00100F2E">
        <w:rPr>
          <w:rFonts w:ascii="Arial" w:hAnsi="Arial" w:cs="Arial"/>
          <w:sz w:val="24"/>
          <w:szCs w:val="24"/>
        </w:rPr>
        <w:t xml:space="preserve"> years ago</w:t>
      </w:r>
      <w:r>
        <w:rPr>
          <w:rFonts w:ascii="Arial" w:hAnsi="Arial" w:cs="Arial"/>
          <w:sz w:val="24"/>
          <w:szCs w:val="24"/>
        </w:rPr>
        <w:t>)</w:t>
      </w:r>
      <w:r w:rsidR="005A2FF3" w:rsidRPr="00100F2E">
        <w:rPr>
          <w:rFonts w:ascii="Arial" w:hAnsi="Arial" w:cs="Arial"/>
          <w:sz w:val="24"/>
          <w:szCs w:val="24"/>
        </w:rPr>
        <w:t>, many homes are of non-traditional construction (Precast Reinforced Concrete, insitu poured concrete, multi-storey blocks) and over half the stock is flats</w:t>
      </w:r>
      <w:r w:rsidR="00F657DD">
        <w:rPr>
          <w:rFonts w:ascii="Arial" w:hAnsi="Arial" w:cs="Arial"/>
          <w:sz w:val="24"/>
          <w:szCs w:val="24"/>
        </w:rPr>
        <w:t xml:space="preserve"> including 62 high rise blocks and over 400 low rise blocks</w:t>
      </w:r>
      <w:r w:rsidR="005A2FF3" w:rsidRPr="00100F2E">
        <w:rPr>
          <w:rFonts w:ascii="Arial" w:hAnsi="Arial" w:cs="Arial"/>
          <w:sz w:val="24"/>
          <w:szCs w:val="24"/>
        </w:rPr>
        <w:t xml:space="preserve"> – all factors meaning making them energy efficient homes is more of a challenge.</w:t>
      </w:r>
    </w:p>
    <w:p w:rsidR="005A2FF3" w:rsidRPr="00AF569F" w:rsidRDefault="005A2FF3" w:rsidP="005A2FF3">
      <w:pPr>
        <w:pStyle w:val="ListParagraph"/>
        <w:ind w:left="851"/>
        <w:jc w:val="both"/>
        <w:rPr>
          <w:rFonts w:ascii="Arial" w:hAnsi="Arial" w:cs="Arial"/>
        </w:rPr>
      </w:pPr>
    </w:p>
    <w:p w:rsidR="005A2FF3" w:rsidRPr="00100F2E" w:rsidRDefault="00100F2E" w:rsidP="00100F2E">
      <w:pPr>
        <w:ind w:left="720" w:hanging="720"/>
        <w:jc w:val="both"/>
        <w:rPr>
          <w:rFonts w:ascii="Arial" w:hAnsi="Arial" w:cs="Arial"/>
          <w:color w:val="000000"/>
          <w:sz w:val="24"/>
          <w:szCs w:val="24"/>
        </w:rPr>
      </w:pPr>
      <w:r w:rsidRPr="00100F2E">
        <w:rPr>
          <w:rFonts w:ascii="Arial" w:hAnsi="Arial" w:cs="Arial"/>
          <w:color w:val="000000"/>
          <w:sz w:val="24"/>
          <w:szCs w:val="24"/>
        </w:rPr>
        <w:t>2.3</w:t>
      </w:r>
      <w:r w:rsidRPr="00100F2E">
        <w:rPr>
          <w:rFonts w:ascii="Arial" w:hAnsi="Arial" w:cs="Arial"/>
          <w:color w:val="000000"/>
          <w:sz w:val="24"/>
          <w:szCs w:val="24"/>
        </w:rPr>
        <w:tab/>
      </w:r>
      <w:r w:rsidR="005E652A">
        <w:rPr>
          <w:rFonts w:ascii="Arial" w:hAnsi="Arial" w:cs="Arial"/>
          <w:color w:val="000000"/>
          <w:sz w:val="24"/>
          <w:szCs w:val="24"/>
        </w:rPr>
        <w:t>Landlord Services</w:t>
      </w:r>
      <w:r w:rsidR="005A2FF3" w:rsidRPr="00100F2E">
        <w:rPr>
          <w:rFonts w:ascii="Arial" w:hAnsi="Arial" w:cs="Arial"/>
          <w:color w:val="000000"/>
          <w:sz w:val="24"/>
          <w:szCs w:val="24"/>
        </w:rPr>
        <w:t xml:space="preserve"> invested </w:t>
      </w:r>
      <w:r w:rsidR="005A2FF3" w:rsidRPr="00514042">
        <w:rPr>
          <w:rFonts w:ascii="Arial" w:hAnsi="Arial" w:cs="Arial"/>
          <w:color w:val="000000"/>
          <w:sz w:val="24"/>
          <w:szCs w:val="24"/>
        </w:rPr>
        <w:t xml:space="preserve">around </w:t>
      </w:r>
      <w:r w:rsidR="005A2FF3" w:rsidRPr="00FD1A0E">
        <w:rPr>
          <w:rFonts w:ascii="Arial" w:hAnsi="Arial" w:cs="Arial"/>
          <w:color w:val="000000"/>
          <w:sz w:val="24"/>
          <w:szCs w:val="24"/>
        </w:rPr>
        <w:t>£</w:t>
      </w:r>
      <w:r w:rsidR="00FD1A0E" w:rsidRPr="00FD1A0E">
        <w:rPr>
          <w:rFonts w:ascii="Arial" w:hAnsi="Arial" w:cs="Arial"/>
          <w:color w:val="000000"/>
          <w:sz w:val="24"/>
          <w:szCs w:val="24"/>
        </w:rPr>
        <w:t>8</w:t>
      </w:r>
      <w:r w:rsidR="005A2FF3" w:rsidRPr="00FD1A0E">
        <w:rPr>
          <w:rFonts w:ascii="Arial" w:hAnsi="Arial" w:cs="Arial"/>
          <w:color w:val="000000"/>
          <w:sz w:val="24"/>
          <w:szCs w:val="24"/>
        </w:rPr>
        <w:t>m</w:t>
      </w:r>
      <w:r w:rsidR="005A2FF3" w:rsidRPr="00514042">
        <w:rPr>
          <w:rFonts w:ascii="Arial" w:hAnsi="Arial" w:cs="Arial"/>
          <w:color w:val="000000"/>
          <w:sz w:val="24"/>
          <w:szCs w:val="24"/>
        </w:rPr>
        <w:t xml:space="preserve"> in 201</w:t>
      </w:r>
      <w:r w:rsidR="00407A78">
        <w:rPr>
          <w:rFonts w:ascii="Arial" w:hAnsi="Arial" w:cs="Arial"/>
          <w:color w:val="000000"/>
          <w:sz w:val="24"/>
          <w:szCs w:val="24"/>
        </w:rPr>
        <w:t>9</w:t>
      </w:r>
      <w:r w:rsidR="005A2FF3" w:rsidRPr="00514042">
        <w:rPr>
          <w:rFonts w:ascii="Arial" w:hAnsi="Arial" w:cs="Arial"/>
          <w:color w:val="000000"/>
          <w:sz w:val="24"/>
          <w:szCs w:val="24"/>
        </w:rPr>
        <w:t xml:space="preserve"> / 20</w:t>
      </w:r>
      <w:r w:rsidR="00407A78">
        <w:rPr>
          <w:rFonts w:ascii="Arial" w:hAnsi="Arial" w:cs="Arial"/>
          <w:color w:val="000000"/>
          <w:sz w:val="24"/>
          <w:szCs w:val="24"/>
        </w:rPr>
        <w:t>20</w:t>
      </w:r>
      <w:r w:rsidR="005A2FF3" w:rsidRPr="00100F2E">
        <w:rPr>
          <w:rFonts w:ascii="Arial" w:hAnsi="Arial" w:cs="Arial"/>
          <w:color w:val="000000"/>
          <w:sz w:val="24"/>
          <w:szCs w:val="24"/>
        </w:rPr>
        <w:t xml:space="preserve"> on energy related improvements/repairs to homes (cladding,</w:t>
      </w:r>
      <w:r w:rsidR="00436C72">
        <w:rPr>
          <w:rFonts w:ascii="Arial" w:hAnsi="Arial" w:cs="Arial"/>
          <w:color w:val="000000"/>
          <w:sz w:val="24"/>
          <w:szCs w:val="24"/>
        </w:rPr>
        <w:t xml:space="preserve"> cavity wall insulation,</w:t>
      </w:r>
      <w:r w:rsidR="005A2FF3" w:rsidRPr="00100F2E">
        <w:rPr>
          <w:rFonts w:ascii="Arial" w:hAnsi="Arial" w:cs="Arial"/>
          <w:color w:val="000000"/>
          <w:sz w:val="24"/>
          <w:szCs w:val="24"/>
        </w:rPr>
        <w:t xml:space="preserve"> improved heating system</w:t>
      </w:r>
      <w:r>
        <w:rPr>
          <w:rFonts w:ascii="Arial" w:hAnsi="Arial" w:cs="Arial"/>
          <w:color w:val="000000"/>
          <w:sz w:val="24"/>
          <w:szCs w:val="24"/>
        </w:rPr>
        <w:t>s</w:t>
      </w:r>
      <w:r w:rsidR="00436C72">
        <w:rPr>
          <w:rFonts w:ascii="Arial" w:hAnsi="Arial" w:cs="Arial"/>
          <w:color w:val="000000"/>
          <w:sz w:val="24"/>
          <w:szCs w:val="24"/>
        </w:rPr>
        <w:t xml:space="preserve"> </w:t>
      </w:r>
      <w:r>
        <w:rPr>
          <w:rFonts w:ascii="Arial" w:hAnsi="Arial" w:cs="Arial"/>
          <w:color w:val="000000"/>
          <w:sz w:val="24"/>
          <w:szCs w:val="24"/>
        </w:rPr>
        <w:t>etc.) and</w:t>
      </w:r>
      <w:r w:rsidR="00407A78">
        <w:rPr>
          <w:rFonts w:ascii="Arial" w:hAnsi="Arial" w:cs="Arial"/>
          <w:color w:val="000000"/>
          <w:sz w:val="24"/>
          <w:szCs w:val="24"/>
        </w:rPr>
        <w:t xml:space="preserve"> this level of investment is set to continue for a number of years </w:t>
      </w:r>
      <w:r w:rsidR="004403B5">
        <w:rPr>
          <w:rFonts w:ascii="Arial" w:hAnsi="Arial" w:cs="Arial"/>
          <w:color w:val="000000"/>
          <w:sz w:val="24"/>
          <w:szCs w:val="24"/>
        </w:rPr>
        <w:t>in response</w:t>
      </w:r>
      <w:r w:rsidR="00407A78">
        <w:rPr>
          <w:rFonts w:ascii="Arial" w:hAnsi="Arial" w:cs="Arial"/>
          <w:color w:val="000000"/>
          <w:sz w:val="24"/>
          <w:szCs w:val="24"/>
        </w:rPr>
        <w:t xml:space="preserve"> to the climate emergency.</w:t>
      </w:r>
    </w:p>
    <w:p w:rsidR="005A2FF3" w:rsidRPr="00AF569F" w:rsidRDefault="005A2FF3" w:rsidP="005A2FF3">
      <w:pPr>
        <w:pStyle w:val="ListParagraph"/>
        <w:ind w:left="851"/>
        <w:jc w:val="both"/>
        <w:rPr>
          <w:rFonts w:ascii="Arial" w:hAnsi="Arial" w:cs="Arial"/>
          <w:color w:val="000000"/>
        </w:rPr>
      </w:pPr>
    </w:p>
    <w:p w:rsidR="005A2FF3" w:rsidRPr="00100F2E" w:rsidRDefault="00100F2E" w:rsidP="00100F2E">
      <w:pPr>
        <w:ind w:left="720" w:hanging="720"/>
        <w:jc w:val="both"/>
        <w:rPr>
          <w:rFonts w:ascii="Arial" w:hAnsi="Arial" w:cs="Arial"/>
          <w:color w:val="000000"/>
          <w:sz w:val="24"/>
          <w:szCs w:val="24"/>
        </w:rPr>
      </w:pPr>
      <w:r w:rsidRPr="00100F2E">
        <w:rPr>
          <w:rFonts w:ascii="Arial" w:hAnsi="Arial" w:cs="Arial"/>
          <w:color w:val="000000"/>
          <w:sz w:val="24"/>
          <w:szCs w:val="24"/>
        </w:rPr>
        <w:t>2.4</w:t>
      </w:r>
      <w:r w:rsidRPr="00100F2E">
        <w:rPr>
          <w:rFonts w:ascii="Arial" w:hAnsi="Arial" w:cs="Arial"/>
          <w:color w:val="000000"/>
          <w:sz w:val="24"/>
          <w:szCs w:val="24"/>
        </w:rPr>
        <w:tab/>
      </w:r>
      <w:r w:rsidR="005A2FF3" w:rsidRPr="00100F2E">
        <w:rPr>
          <w:rFonts w:ascii="Arial" w:hAnsi="Arial" w:cs="Arial"/>
          <w:color w:val="000000"/>
          <w:sz w:val="24"/>
          <w:szCs w:val="24"/>
        </w:rPr>
        <w:t>However, anecdotally we are aware of situations where tenants are not getting the most from energy improvements due to a lack of understanding or awareness of how to use them (e.g. ineffectively controlling new heating systems, opening windows to ‘cool down’ properties which have been clad).</w:t>
      </w:r>
    </w:p>
    <w:p w:rsidR="005A2FF3" w:rsidRPr="00AF569F" w:rsidRDefault="005A2FF3" w:rsidP="005A2FF3">
      <w:pPr>
        <w:pStyle w:val="ListParagraph"/>
        <w:ind w:left="851"/>
        <w:jc w:val="both"/>
        <w:rPr>
          <w:rFonts w:ascii="Arial" w:hAnsi="Arial" w:cs="Arial"/>
          <w:color w:val="000000"/>
        </w:rPr>
      </w:pPr>
    </w:p>
    <w:p w:rsidR="005A2FF3" w:rsidRPr="00100F2E" w:rsidRDefault="00100F2E" w:rsidP="00100F2E">
      <w:pPr>
        <w:ind w:left="720" w:hanging="720"/>
        <w:rPr>
          <w:rFonts w:ascii="Arial" w:hAnsi="Arial" w:cs="Arial"/>
          <w:color w:val="000000"/>
          <w:sz w:val="24"/>
          <w:szCs w:val="24"/>
        </w:rPr>
      </w:pPr>
      <w:r w:rsidRPr="00100F2E">
        <w:rPr>
          <w:rFonts w:ascii="Arial" w:hAnsi="Arial" w:cs="Arial"/>
          <w:color w:val="000000"/>
          <w:sz w:val="24"/>
          <w:szCs w:val="24"/>
        </w:rPr>
        <w:lastRenderedPageBreak/>
        <w:t>2.5</w:t>
      </w:r>
      <w:r w:rsidRPr="00100F2E">
        <w:rPr>
          <w:rFonts w:ascii="Arial" w:hAnsi="Arial" w:cs="Arial"/>
          <w:color w:val="000000"/>
          <w:sz w:val="24"/>
          <w:szCs w:val="24"/>
        </w:rPr>
        <w:tab/>
      </w:r>
      <w:r w:rsidR="005A2FF3" w:rsidRPr="00100F2E">
        <w:rPr>
          <w:rFonts w:ascii="Arial" w:hAnsi="Arial" w:cs="Arial"/>
          <w:color w:val="000000"/>
          <w:sz w:val="24"/>
          <w:szCs w:val="24"/>
        </w:rPr>
        <w:t xml:space="preserve">Therefore </w:t>
      </w:r>
      <w:r w:rsidR="005E652A">
        <w:rPr>
          <w:rFonts w:ascii="Arial" w:hAnsi="Arial" w:cs="Arial"/>
          <w:sz w:val="24"/>
          <w:szCs w:val="24"/>
        </w:rPr>
        <w:t>Landlord Services</w:t>
      </w:r>
      <w:r w:rsidR="000632E3">
        <w:rPr>
          <w:rFonts w:ascii="Arial" w:hAnsi="Arial" w:cs="Arial"/>
          <w:sz w:val="24"/>
          <w:szCs w:val="24"/>
        </w:rPr>
        <w:t xml:space="preserve"> </w:t>
      </w:r>
      <w:r w:rsidR="005A2FF3" w:rsidRPr="00100F2E">
        <w:rPr>
          <w:rFonts w:ascii="Arial" w:hAnsi="Arial" w:cs="Arial"/>
          <w:sz w:val="24"/>
          <w:szCs w:val="24"/>
        </w:rPr>
        <w:t xml:space="preserve">is seeking provision of an independent, targeted, impartial, and holistic energy advice service for tenants to include:  </w:t>
      </w:r>
    </w:p>
    <w:p w:rsidR="005A2FF3" w:rsidRPr="00AF569F" w:rsidRDefault="005A2FF3" w:rsidP="005A2FF3">
      <w:pPr>
        <w:pStyle w:val="ListParagraph"/>
        <w:ind w:left="851"/>
        <w:rPr>
          <w:rFonts w:ascii="Arial" w:hAnsi="Arial" w:cs="Arial"/>
          <w:color w:val="000000"/>
        </w:rPr>
      </w:pPr>
    </w:p>
    <w:p w:rsidR="005A2FF3" w:rsidRPr="002862E6" w:rsidRDefault="005A2FF3" w:rsidP="005A2FF3">
      <w:pPr>
        <w:numPr>
          <w:ilvl w:val="0"/>
          <w:numId w:val="1"/>
        </w:numPr>
        <w:suppressAutoHyphens/>
        <w:spacing w:after="0" w:line="240" w:lineRule="auto"/>
        <w:ind w:left="1276" w:hanging="425"/>
        <w:jc w:val="both"/>
        <w:rPr>
          <w:rFonts w:ascii="Arial" w:hAnsi="Arial" w:cs="Arial"/>
          <w:color w:val="000000"/>
          <w:sz w:val="24"/>
          <w:szCs w:val="24"/>
        </w:rPr>
      </w:pPr>
      <w:r w:rsidRPr="002862E6">
        <w:rPr>
          <w:rFonts w:ascii="Arial" w:hAnsi="Arial" w:cs="Arial"/>
          <w:color w:val="000000"/>
          <w:sz w:val="24"/>
          <w:szCs w:val="24"/>
        </w:rPr>
        <w:t>‘</w:t>
      </w:r>
      <w:r w:rsidRPr="00AF569F">
        <w:rPr>
          <w:rFonts w:ascii="Arial" w:hAnsi="Arial" w:cs="Arial"/>
          <w:color w:val="000000"/>
          <w:sz w:val="24"/>
          <w:szCs w:val="24"/>
          <w:u w:val="single"/>
        </w:rPr>
        <w:t>Proactive</w:t>
      </w:r>
      <w:r w:rsidRPr="002862E6">
        <w:rPr>
          <w:rFonts w:ascii="Arial" w:hAnsi="Arial" w:cs="Arial"/>
          <w:color w:val="000000"/>
          <w:sz w:val="24"/>
          <w:szCs w:val="24"/>
        </w:rPr>
        <w:t>’ advice to complement</w:t>
      </w:r>
      <w:r w:rsidR="004626EB">
        <w:rPr>
          <w:rFonts w:ascii="Arial" w:hAnsi="Arial" w:cs="Arial"/>
          <w:color w:val="000000"/>
          <w:sz w:val="24"/>
          <w:szCs w:val="24"/>
        </w:rPr>
        <w:t xml:space="preserve"> </w:t>
      </w:r>
      <w:r w:rsidR="005E652A">
        <w:rPr>
          <w:rFonts w:ascii="Arial" w:hAnsi="Arial" w:cs="Arial"/>
          <w:color w:val="000000"/>
          <w:sz w:val="24"/>
          <w:szCs w:val="24"/>
        </w:rPr>
        <w:t>Landlord Services</w:t>
      </w:r>
      <w:r w:rsidR="004626EB">
        <w:rPr>
          <w:rFonts w:ascii="Arial" w:hAnsi="Arial" w:cs="Arial"/>
          <w:color w:val="000000"/>
          <w:sz w:val="24"/>
          <w:szCs w:val="24"/>
        </w:rPr>
        <w:t>’</w:t>
      </w:r>
      <w:r w:rsidRPr="002862E6">
        <w:rPr>
          <w:rFonts w:ascii="Arial" w:hAnsi="Arial" w:cs="Arial"/>
          <w:color w:val="000000"/>
          <w:sz w:val="24"/>
          <w:szCs w:val="24"/>
        </w:rPr>
        <w:t xml:space="preserve"> investment in energy measures to ensure tenants make the best use of improvements, and</w:t>
      </w:r>
    </w:p>
    <w:p w:rsidR="005A2FF3" w:rsidRPr="00F93930" w:rsidRDefault="005A2FF3" w:rsidP="005A2FF3">
      <w:pPr>
        <w:pStyle w:val="ListParagraph"/>
        <w:numPr>
          <w:ilvl w:val="0"/>
          <w:numId w:val="1"/>
        </w:numPr>
        <w:suppressAutoHyphens/>
        <w:spacing w:after="200" w:line="276" w:lineRule="auto"/>
        <w:ind w:left="1276" w:hanging="425"/>
        <w:contextualSpacing w:val="0"/>
        <w:jc w:val="both"/>
        <w:rPr>
          <w:rFonts w:ascii="Arial" w:hAnsi="Arial" w:cs="Arial"/>
        </w:rPr>
      </w:pPr>
      <w:r w:rsidRPr="002862E6">
        <w:rPr>
          <w:rFonts w:ascii="Arial" w:hAnsi="Arial" w:cs="Arial"/>
          <w:color w:val="000000"/>
        </w:rPr>
        <w:t>‘</w:t>
      </w:r>
      <w:r w:rsidRPr="00AF569F">
        <w:rPr>
          <w:rFonts w:ascii="Arial" w:hAnsi="Arial" w:cs="Arial"/>
          <w:color w:val="000000"/>
          <w:u w:val="single"/>
        </w:rPr>
        <w:t>Reactive</w:t>
      </w:r>
      <w:r w:rsidRPr="002862E6">
        <w:rPr>
          <w:rFonts w:ascii="Arial" w:hAnsi="Arial" w:cs="Arial"/>
          <w:color w:val="000000"/>
        </w:rPr>
        <w:t>’ advice to tenants who are having financial difficulties (possibly as a result of welfare benefit reform) to ensure they are getting the best value for money from their energy bills</w:t>
      </w:r>
    </w:p>
    <w:p w:rsidR="00F93930" w:rsidRPr="000632E3" w:rsidRDefault="00F93930" w:rsidP="00BF6DA6">
      <w:pPr>
        <w:suppressAutoHyphens/>
        <w:ind w:left="720" w:hanging="720"/>
        <w:jc w:val="both"/>
        <w:rPr>
          <w:rFonts w:ascii="Arial" w:hAnsi="Arial" w:cs="Arial"/>
          <w:sz w:val="24"/>
          <w:szCs w:val="24"/>
        </w:rPr>
      </w:pPr>
      <w:r w:rsidRPr="000632E3">
        <w:rPr>
          <w:rFonts w:ascii="Arial" w:hAnsi="Arial" w:cs="Arial"/>
          <w:sz w:val="24"/>
          <w:szCs w:val="24"/>
        </w:rPr>
        <w:t>2.6</w:t>
      </w:r>
      <w:r w:rsidRPr="000632E3">
        <w:rPr>
          <w:rFonts w:ascii="Arial" w:hAnsi="Arial" w:cs="Arial"/>
          <w:sz w:val="24"/>
          <w:szCs w:val="24"/>
        </w:rPr>
        <w:tab/>
      </w:r>
      <w:r w:rsidR="00BF6DA6">
        <w:rPr>
          <w:rFonts w:ascii="Arial" w:hAnsi="Arial" w:cs="Arial"/>
          <w:sz w:val="24"/>
          <w:szCs w:val="24"/>
        </w:rPr>
        <w:t xml:space="preserve">The main focus of the service will be direct advice provision to </w:t>
      </w:r>
      <w:r w:rsidR="00D9434D">
        <w:rPr>
          <w:rFonts w:ascii="Arial" w:hAnsi="Arial" w:cs="Arial"/>
          <w:sz w:val="24"/>
          <w:szCs w:val="24"/>
        </w:rPr>
        <w:t>tenants;</w:t>
      </w:r>
      <w:r w:rsidR="00BF6DA6">
        <w:rPr>
          <w:rFonts w:ascii="Arial" w:hAnsi="Arial" w:cs="Arial"/>
          <w:sz w:val="24"/>
          <w:szCs w:val="24"/>
        </w:rPr>
        <w:t xml:space="preserve"> however, </w:t>
      </w:r>
      <w:r w:rsidR="004C3C1D">
        <w:rPr>
          <w:rFonts w:ascii="Arial" w:hAnsi="Arial" w:cs="Arial"/>
          <w:sz w:val="24"/>
          <w:szCs w:val="24"/>
        </w:rPr>
        <w:t>the service will also</w:t>
      </w:r>
      <w:r w:rsidR="00BF6DA6">
        <w:rPr>
          <w:rFonts w:ascii="Arial" w:hAnsi="Arial" w:cs="Arial"/>
          <w:sz w:val="24"/>
          <w:szCs w:val="24"/>
        </w:rPr>
        <w:t xml:space="preserve"> include</w:t>
      </w:r>
      <w:r w:rsidR="00AD0B64">
        <w:rPr>
          <w:rFonts w:ascii="Arial" w:hAnsi="Arial" w:cs="Arial"/>
          <w:sz w:val="24"/>
          <w:szCs w:val="24"/>
        </w:rPr>
        <w:t xml:space="preserve"> provision for</w:t>
      </w:r>
      <w:r w:rsidR="004C3C1D">
        <w:rPr>
          <w:rFonts w:ascii="Arial" w:hAnsi="Arial" w:cs="Arial"/>
          <w:sz w:val="24"/>
          <w:szCs w:val="24"/>
        </w:rPr>
        <w:t>:</w:t>
      </w:r>
    </w:p>
    <w:p w:rsidR="00F93930" w:rsidRPr="000632E3" w:rsidRDefault="00F93930" w:rsidP="005A2FF3">
      <w:pPr>
        <w:pStyle w:val="ListParagraph"/>
        <w:numPr>
          <w:ilvl w:val="0"/>
          <w:numId w:val="1"/>
        </w:numPr>
        <w:suppressAutoHyphens/>
        <w:spacing w:after="200" w:line="276" w:lineRule="auto"/>
        <w:ind w:left="1276" w:hanging="425"/>
        <w:contextualSpacing w:val="0"/>
        <w:jc w:val="both"/>
        <w:rPr>
          <w:rFonts w:ascii="Arial" w:hAnsi="Arial" w:cs="Arial"/>
        </w:rPr>
      </w:pPr>
      <w:r>
        <w:rPr>
          <w:rFonts w:ascii="Arial" w:hAnsi="Arial" w:cs="Arial"/>
          <w:color w:val="000000"/>
        </w:rPr>
        <w:t>Ad hoc advice/support</w:t>
      </w:r>
      <w:r w:rsidR="00355F39">
        <w:rPr>
          <w:rFonts w:ascii="Arial" w:hAnsi="Arial" w:cs="Arial"/>
          <w:color w:val="000000"/>
        </w:rPr>
        <w:t>/research</w:t>
      </w:r>
      <w:r>
        <w:rPr>
          <w:rFonts w:ascii="Arial" w:hAnsi="Arial" w:cs="Arial"/>
          <w:color w:val="000000"/>
        </w:rPr>
        <w:t xml:space="preserve"> </w:t>
      </w:r>
      <w:r w:rsidR="004C3C1D">
        <w:rPr>
          <w:rFonts w:ascii="Arial" w:hAnsi="Arial" w:cs="Arial"/>
          <w:color w:val="000000"/>
        </w:rPr>
        <w:t xml:space="preserve">to </w:t>
      </w:r>
      <w:r w:rsidR="005E652A">
        <w:rPr>
          <w:rFonts w:ascii="Arial" w:hAnsi="Arial" w:cs="Arial"/>
          <w:color w:val="000000"/>
        </w:rPr>
        <w:t>Landlord Services</w:t>
      </w:r>
      <w:r w:rsidR="004C3C1D">
        <w:rPr>
          <w:rFonts w:ascii="Arial" w:hAnsi="Arial" w:cs="Arial"/>
          <w:color w:val="000000"/>
        </w:rPr>
        <w:t xml:space="preserve"> </w:t>
      </w:r>
      <w:r>
        <w:rPr>
          <w:rFonts w:ascii="Arial" w:hAnsi="Arial" w:cs="Arial"/>
          <w:color w:val="000000"/>
        </w:rPr>
        <w:t xml:space="preserve">regarding </w:t>
      </w:r>
      <w:r w:rsidR="000632E3">
        <w:rPr>
          <w:rFonts w:ascii="Arial" w:hAnsi="Arial" w:cs="Arial"/>
          <w:color w:val="000000"/>
        </w:rPr>
        <w:t>local and national changes in the energy field</w:t>
      </w:r>
      <w:r w:rsidR="001E3B67">
        <w:rPr>
          <w:rFonts w:ascii="Arial" w:hAnsi="Arial" w:cs="Arial"/>
          <w:color w:val="000000"/>
        </w:rPr>
        <w:t>, grant funding</w:t>
      </w:r>
      <w:r w:rsidR="009B3EC4">
        <w:rPr>
          <w:rFonts w:ascii="Arial" w:hAnsi="Arial" w:cs="Arial"/>
          <w:color w:val="000000"/>
        </w:rPr>
        <w:t xml:space="preserve"> </w:t>
      </w:r>
      <w:r w:rsidR="000632E3">
        <w:rPr>
          <w:rFonts w:ascii="Arial" w:hAnsi="Arial" w:cs="Arial"/>
          <w:color w:val="000000"/>
        </w:rPr>
        <w:t>and the potential impact on policies and programmes</w:t>
      </w:r>
      <w:r w:rsidR="00F44300">
        <w:rPr>
          <w:rFonts w:ascii="Arial" w:hAnsi="Arial" w:cs="Arial"/>
          <w:color w:val="000000"/>
        </w:rPr>
        <w:t>. The provider will be expected assist Landlord Services in around two enquiries a year</w:t>
      </w:r>
    </w:p>
    <w:p w:rsidR="005A2FF3" w:rsidRPr="000632E3" w:rsidRDefault="000632E3" w:rsidP="005A2FF3">
      <w:pPr>
        <w:pStyle w:val="ListParagraph"/>
        <w:numPr>
          <w:ilvl w:val="0"/>
          <w:numId w:val="1"/>
        </w:numPr>
        <w:suppressAutoHyphens/>
        <w:spacing w:after="200" w:line="276" w:lineRule="auto"/>
        <w:ind w:left="1276" w:hanging="425"/>
        <w:contextualSpacing w:val="0"/>
        <w:jc w:val="both"/>
        <w:rPr>
          <w:rFonts w:ascii="Arial" w:hAnsi="Arial" w:cs="Arial"/>
        </w:rPr>
      </w:pPr>
      <w:r>
        <w:rPr>
          <w:rFonts w:ascii="Arial" w:hAnsi="Arial" w:cs="Arial"/>
          <w:color w:val="000000"/>
        </w:rPr>
        <w:t xml:space="preserve">Training for </w:t>
      </w:r>
      <w:r w:rsidR="005E652A">
        <w:rPr>
          <w:rFonts w:ascii="Arial" w:hAnsi="Arial" w:cs="Arial"/>
          <w:color w:val="000000"/>
        </w:rPr>
        <w:t>Landlord Services</w:t>
      </w:r>
      <w:r>
        <w:rPr>
          <w:rFonts w:ascii="Arial" w:hAnsi="Arial" w:cs="Arial"/>
          <w:color w:val="000000"/>
        </w:rPr>
        <w:t xml:space="preserve"> officers on what the service offers, and making referrals to the service on behalf of tenants who could benefit from it</w:t>
      </w:r>
      <w:r w:rsidR="00F44300">
        <w:rPr>
          <w:rFonts w:ascii="Arial" w:hAnsi="Arial" w:cs="Arial"/>
          <w:color w:val="000000"/>
        </w:rPr>
        <w:t>. The provider will be expected to offer referral training at least four times a year</w:t>
      </w:r>
      <w:r w:rsidR="00436C72">
        <w:rPr>
          <w:rFonts w:ascii="Arial" w:hAnsi="Arial" w:cs="Arial"/>
          <w:color w:val="000000"/>
        </w:rPr>
        <w:t>.</w:t>
      </w:r>
    </w:p>
    <w:p w:rsidR="005A2FF3" w:rsidRPr="00AF569F" w:rsidRDefault="005A2FF3" w:rsidP="005A2FF3">
      <w:pPr>
        <w:suppressAutoHyphens/>
        <w:rPr>
          <w:rFonts w:ascii="Arial" w:hAnsi="Arial" w:cs="Arial"/>
          <w:b/>
          <w:sz w:val="28"/>
          <w:szCs w:val="28"/>
        </w:rPr>
      </w:pPr>
      <w:r w:rsidRPr="00AF569F">
        <w:rPr>
          <w:rFonts w:ascii="Arial" w:hAnsi="Arial" w:cs="Arial"/>
          <w:b/>
          <w:sz w:val="28"/>
          <w:szCs w:val="28"/>
        </w:rPr>
        <w:t>3</w:t>
      </w:r>
      <w:r>
        <w:rPr>
          <w:rFonts w:ascii="Arial" w:hAnsi="Arial" w:cs="Arial"/>
          <w:b/>
          <w:sz w:val="28"/>
          <w:szCs w:val="28"/>
        </w:rPr>
        <w:t>.</w:t>
      </w:r>
      <w:r w:rsidRPr="00AF569F">
        <w:rPr>
          <w:rFonts w:ascii="Arial" w:hAnsi="Arial" w:cs="Arial"/>
          <w:b/>
          <w:sz w:val="28"/>
          <w:szCs w:val="28"/>
        </w:rPr>
        <w:t xml:space="preserve">  </w:t>
      </w:r>
      <w:r>
        <w:rPr>
          <w:rFonts w:ascii="Arial" w:hAnsi="Arial" w:cs="Arial"/>
          <w:b/>
          <w:sz w:val="28"/>
          <w:szCs w:val="28"/>
        </w:rPr>
        <w:t xml:space="preserve">The </w:t>
      </w:r>
      <w:r w:rsidRPr="00AF569F">
        <w:rPr>
          <w:rFonts w:ascii="Arial" w:hAnsi="Arial" w:cs="Arial"/>
          <w:b/>
          <w:sz w:val="28"/>
          <w:szCs w:val="28"/>
        </w:rPr>
        <w:t>Scope</w:t>
      </w:r>
    </w:p>
    <w:p w:rsidR="005A2FF3" w:rsidRDefault="005A2FF3" w:rsidP="005A2FF3">
      <w:pPr>
        <w:ind w:left="720" w:hanging="720"/>
        <w:jc w:val="both"/>
        <w:rPr>
          <w:rFonts w:ascii="Arial" w:hAnsi="Arial" w:cs="Arial"/>
          <w:sz w:val="24"/>
          <w:szCs w:val="24"/>
        </w:rPr>
      </w:pPr>
      <w:r>
        <w:rPr>
          <w:rFonts w:ascii="Arial" w:hAnsi="Arial" w:cs="Arial"/>
          <w:sz w:val="24"/>
          <w:szCs w:val="24"/>
        </w:rPr>
        <w:t>3.1</w:t>
      </w:r>
      <w:r w:rsidRPr="005A2FF3">
        <w:rPr>
          <w:rFonts w:ascii="Arial" w:hAnsi="Arial" w:cs="Arial"/>
          <w:sz w:val="24"/>
          <w:szCs w:val="24"/>
        </w:rPr>
        <w:tab/>
      </w:r>
      <w:r w:rsidR="003B76BD">
        <w:rPr>
          <w:rFonts w:ascii="Arial" w:hAnsi="Arial" w:cs="Arial"/>
          <w:sz w:val="24"/>
          <w:szCs w:val="24"/>
        </w:rPr>
        <w:t>Landlord Services</w:t>
      </w:r>
      <w:r w:rsidR="00201132">
        <w:rPr>
          <w:rFonts w:ascii="Arial" w:hAnsi="Arial" w:cs="Arial"/>
          <w:sz w:val="24"/>
          <w:szCs w:val="24"/>
        </w:rPr>
        <w:t xml:space="preserve"> is</w:t>
      </w:r>
      <w:r w:rsidRPr="005A2FF3">
        <w:rPr>
          <w:rFonts w:ascii="Arial" w:hAnsi="Arial" w:cs="Arial"/>
          <w:sz w:val="24"/>
          <w:szCs w:val="24"/>
        </w:rPr>
        <w:t xml:space="preserve"> looking to obtain resources of one </w:t>
      </w:r>
      <w:r w:rsidR="00201132">
        <w:rPr>
          <w:rFonts w:ascii="Arial" w:hAnsi="Arial" w:cs="Arial"/>
          <w:sz w:val="24"/>
          <w:szCs w:val="24"/>
        </w:rPr>
        <w:t>s</w:t>
      </w:r>
      <w:r w:rsidRPr="005A2FF3">
        <w:rPr>
          <w:rFonts w:ascii="Arial" w:hAnsi="Arial" w:cs="Arial"/>
          <w:sz w:val="24"/>
          <w:szCs w:val="24"/>
        </w:rPr>
        <w:t>ervice provider or consortium, to supply a complete Tenant Energy Advice service (TEA).</w:t>
      </w:r>
      <w:r w:rsidRPr="005A2FF3">
        <w:rPr>
          <w:rFonts w:cs="Arial"/>
          <w:sz w:val="24"/>
          <w:szCs w:val="24"/>
        </w:rPr>
        <w:t xml:space="preserve"> </w:t>
      </w:r>
      <w:r w:rsidRPr="005A2FF3">
        <w:rPr>
          <w:rFonts w:ascii="Arial" w:hAnsi="Arial" w:cs="Arial"/>
          <w:sz w:val="24"/>
          <w:szCs w:val="24"/>
        </w:rPr>
        <w:t>The TEA service will be available to all Bristol City Council tenants with no eligibility criteria.</w:t>
      </w:r>
    </w:p>
    <w:p w:rsidR="005A2FF3" w:rsidRPr="005A2FF3" w:rsidRDefault="000E1622" w:rsidP="009E16D2">
      <w:pPr>
        <w:ind w:left="720" w:hanging="720"/>
        <w:rPr>
          <w:rFonts w:ascii="Arial" w:hAnsi="Arial" w:cs="Arial"/>
          <w:sz w:val="24"/>
          <w:szCs w:val="24"/>
        </w:rPr>
      </w:pPr>
      <w:r>
        <w:rPr>
          <w:rFonts w:ascii="Arial" w:hAnsi="Arial" w:cs="Arial"/>
          <w:sz w:val="24"/>
          <w:szCs w:val="24"/>
        </w:rPr>
        <w:t>3.2</w:t>
      </w:r>
      <w:r w:rsidR="009D09A6">
        <w:rPr>
          <w:rFonts w:ascii="Arial" w:hAnsi="Arial" w:cs="Arial"/>
          <w:sz w:val="24"/>
          <w:szCs w:val="24"/>
        </w:rPr>
        <w:tab/>
        <w:t>The</w:t>
      </w:r>
      <w:r w:rsidR="009E16D2">
        <w:rPr>
          <w:rFonts w:ascii="Arial" w:hAnsi="Arial" w:cs="Arial"/>
          <w:sz w:val="24"/>
          <w:szCs w:val="24"/>
        </w:rPr>
        <w:t xml:space="preserve"> </w:t>
      </w:r>
      <w:r w:rsidR="005A2FF3" w:rsidRPr="005A2FF3">
        <w:rPr>
          <w:rFonts w:ascii="Arial" w:hAnsi="Arial" w:cs="Arial"/>
          <w:sz w:val="24"/>
          <w:szCs w:val="24"/>
        </w:rPr>
        <w:t xml:space="preserve">service should </w:t>
      </w:r>
      <w:r w:rsidR="009E16D2">
        <w:rPr>
          <w:rFonts w:ascii="Arial" w:hAnsi="Arial" w:cs="Arial"/>
          <w:sz w:val="24"/>
          <w:szCs w:val="24"/>
        </w:rPr>
        <w:t xml:space="preserve">be available to any tenant who </w:t>
      </w:r>
      <w:r w:rsidR="009D09A6">
        <w:rPr>
          <w:rFonts w:ascii="Arial" w:hAnsi="Arial" w:cs="Arial"/>
          <w:sz w:val="24"/>
          <w:szCs w:val="24"/>
        </w:rPr>
        <w:t>requests</w:t>
      </w:r>
      <w:r w:rsidR="009E16D2">
        <w:rPr>
          <w:rFonts w:ascii="Arial" w:hAnsi="Arial" w:cs="Arial"/>
          <w:sz w:val="24"/>
          <w:szCs w:val="24"/>
        </w:rPr>
        <w:t xml:space="preserve"> energy advice, but it should </w:t>
      </w:r>
      <w:r w:rsidR="005A2FF3" w:rsidRPr="005A2FF3">
        <w:rPr>
          <w:rFonts w:ascii="Arial" w:hAnsi="Arial" w:cs="Arial"/>
          <w:sz w:val="24"/>
          <w:szCs w:val="24"/>
        </w:rPr>
        <w:t>seek to target the following groups</w:t>
      </w:r>
      <w:r w:rsidR="00803575">
        <w:rPr>
          <w:rFonts w:ascii="Arial" w:hAnsi="Arial" w:cs="Arial"/>
          <w:sz w:val="24"/>
          <w:szCs w:val="24"/>
        </w:rPr>
        <w:t xml:space="preserve"> (N.B. this list is not exhaustive and may vary over the course of the contract)</w:t>
      </w:r>
      <w:r w:rsidR="005A2FF3" w:rsidRPr="005A2FF3">
        <w:rPr>
          <w:rFonts w:ascii="Arial" w:hAnsi="Arial" w:cs="Arial"/>
          <w:sz w:val="24"/>
          <w:szCs w:val="24"/>
        </w:rPr>
        <w:t>:</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Older people</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People with physical health issues</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People with mental health issues</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 xml:space="preserve">People who are known to the council as being vulnerable for any other reason than the above </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People who are known as having previously requested their gas supply to be capped off</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People who have refused the offer of new central heating</w:t>
      </w:r>
      <w:r w:rsidR="00485131">
        <w:rPr>
          <w:rFonts w:ascii="Arial" w:hAnsi="Arial" w:cs="Arial"/>
        </w:rPr>
        <w:t xml:space="preserve"> or other energy works</w:t>
      </w:r>
    </w:p>
    <w:p w:rsidR="005A2FF3" w:rsidRPr="00F658D6" w:rsidRDefault="005A2FF3" w:rsidP="00F658D6">
      <w:pPr>
        <w:pStyle w:val="ListParagraph"/>
        <w:numPr>
          <w:ilvl w:val="0"/>
          <w:numId w:val="20"/>
        </w:numPr>
        <w:rPr>
          <w:rFonts w:ascii="Arial" w:hAnsi="Arial" w:cs="Arial"/>
        </w:rPr>
      </w:pPr>
      <w:r w:rsidRPr="00F658D6">
        <w:rPr>
          <w:rFonts w:ascii="Arial" w:hAnsi="Arial" w:cs="Arial"/>
        </w:rPr>
        <w:t xml:space="preserve">People who are known to be in rent arrears and are therefore likely to be in arrears with other </w:t>
      </w:r>
      <w:r w:rsidR="00100F2E">
        <w:rPr>
          <w:rFonts w:ascii="Arial" w:hAnsi="Arial" w:cs="Arial"/>
        </w:rPr>
        <w:t>household</w:t>
      </w:r>
      <w:r w:rsidRPr="00F658D6">
        <w:rPr>
          <w:rFonts w:ascii="Arial" w:hAnsi="Arial" w:cs="Arial"/>
        </w:rPr>
        <w:t xml:space="preserve"> bills</w:t>
      </w:r>
    </w:p>
    <w:p w:rsidR="005A2FF3" w:rsidRPr="002862E6" w:rsidRDefault="005A2FF3" w:rsidP="005A2FF3">
      <w:pPr>
        <w:pStyle w:val="ListParagraph"/>
        <w:ind w:left="2160"/>
        <w:rPr>
          <w:rFonts w:ascii="Arial" w:hAnsi="Arial" w:cs="Arial"/>
        </w:rPr>
      </w:pPr>
    </w:p>
    <w:p w:rsidR="005A2FF3" w:rsidRPr="00F658D6" w:rsidRDefault="000E1622" w:rsidP="00F658D6">
      <w:pPr>
        <w:spacing w:after="120"/>
        <w:ind w:left="720" w:hanging="720"/>
        <w:rPr>
          <w:rFonts w:ascii="Arial" w:hAnsi="Arial" w:cs="Arial"/>
        </w:rPr>
      </w:pPr>
      <w:r w:rsidRPr="00100F2E">
        <w:rPr>
          <w:rFonts w:ascii="Arial" w:hAnsi="Arial" w:cs="Arial"/>
          <w:sz w:val="24"/>
          <w:szCs w:val="24"/>
        </w:rPr>
        <w:t>3.3</w:t>
      </w:r>
      <w:r w:rsidR="005A2FF3">
        <w:rPr>
          <w:rFonts w:ascii="Arial" w:hAnsi="Arial" w:cs="Arial"/>
        </w:rPr>
        <w:tab/>
      </w:r>
      <w:r w:rsidR="005A2FF3" w:rsidRPr="00FE4798">
        <w:rPr>
          <w:rFonts w:ascii="Arial" w:hAnsi="Arial" w:cs="Arial"/>
          <w:sz w:val="24"/>
          <w:szCs w:val="24"/>
        </w:rPr>
        <w:t>The advic</w:t>
      </w:r>
      <w:r>
        <w:rPr>
          <w:rFonts w:ascii="Arial" w:hAnsi="Arial" w:cs="Arial"/>
          <w:sz w:val="24"/>
          <w:szCs w:val="24"/>
        </w:rPr>
        <w:t>e service should include</w:t>
      </w:r>
      <w:r w:rsidR="005A2FF3" w:rsidRPr="00FE4798">
        <w:rPr>
          <w:rFonts w:ascii="Arial" w:hAnsi="Arial" w:cs="Arial"/>
          <w:sz w:val="24"/>
          <w:szCs w:val="24"/>
        </w:rPr>
        <w:t>, but is not limited to, the following energy topics:</w:t>
      </w:r>
    </w:p>
    <w:p w:rsidR="005A2FF3" w:rsidRPr="00F658D6" w:rsidRDefault="005A2FF3" w:rsidP="00F658D6">
      <w:pPr>
        <w:pStyle w:val="ListParagraph"/>
        <w:numPr>
          <w:ilvl w:val="0"/>
          <w:numId w:val="21"/>
        </w:numPr>
        <w:spacing w:after="120"/>
        <w:rPr>
          <w:rFonts w:ascii="Arial" w:hAnsi="Arial" w:cs="Arial"/>
        </w:rPr>
      </w:pPr>
      <w:r w:rsidRPr="00F658D6">
        <w:rPr>
          <w:rFonts w:ascii="Arial" w:hAnsi="Arial" w:cs="Arial"/>
        </w:rPr>
        <w:t>Reducing fuel debt</w:t>
      </w:r>
    </w:p>
    <w:p w:rsidR="005A2FF3" w:rsidRPr="00F658D6" w:rsidRDefault="005A2FF3" w:rsidP="00F658D6">
      <w:pPr>
        <w:pStyle w:val="ListParagraph"/>
        <w:numPr>
          <w:ilvl w:val="0"/>
          <w:numId w:val="21"/>
        </w:numPr>
        <w:spacing w:after="120"/>
        <w:rPr>
          <w:rFonts w:ascii="Arial" w:hAnsi="Arial" w:cs="Arial"/>
        </w:rPr>
      </w:pPr>
      <w:r w:rsidRPr="00F658D6">
        <w:rPr>
          <w:rFonts w:ascii="Arial" w:hAnsi="Arial" w:cs="Arial"/>
        </w:rPr>
        <w:t>Switching supplier to reduce energy bills</w:t>
      </w:r>
    </w:p>
    <w:p w:rsidR="005A2FF3" w:rsidRPr="00F658D6" w:rsidRDefault="005A2FF3" w:rsidP="00F658D6">
      <w:pPr>
        <w:pStyle w:val="ListParagraph"/>
        <w:numPr>
          <w:ilvl w:val="0"/>
          <w:numId w:val="21"/>
        </w:numPr>
        <w:spacing w:after="120"/>
        <w:rPr>
          <w:rFonts w:ascii="Arial" w:hAnsi="Arial" w:cs="Arial"/>
        </w:rPr>
      </w:pPr>
      <w:r w:rsidRPr="00F658D6">
        <w:rPr>
          <w:rFonts w:ascii="Arial" w:hAnsi="Arial" w:cs="Arial"/>
        </w:rPr>
        <w:t>Making best use of heating systems to reduce energy consumption and maintain a warm and healthy home</w:t>
      </w:r>
    </w:p>
    <w:p w:rsidR="005A2FF3" w:rsidRPr="00F658D6" w:rsidRDefault="005A2FF3" w:rsidP="00F658D6">
      <w:pPr>
        <w:pStyle w:val="ListParagraph"/>
        <w:numPr>
          <w:ilvl w:val="0"/>
          <w:numId w:val="21"/>
        </w:numPr>
        <w:spacing w:after="120"/>
        <w:rPr>
          <w:rFonts w:ascii="Arial" w:hAnsi="Arial" w:cs="Arial"/>
        </w:rPr>
      </w:pPr>
      <w:r w:rsidRPr="00F658D6">
        <w:rPr>
          <w:rFonts w:ascii="Arial" w:hAnsi="Arial" w:cs="Arial"/>
        </w:rPr>
        <w:t>Claiming fuel discounts and grants (e.g. Warm Home Discount)</w:t>
      </w:r>
    </w:p>
    <w:p w:rsidR="005A2FF3" w:rsidRDefault="005A2FF3" w:rsidP="00201132">
      <w:pPr>
        <w:pStyle w:val="ListParagraph"/>
        <w:numPr>
          <w:ilvl w:val="0"/>
          <w:numId w:val="21"/>
        </w:numPr>
        <w:spacing w:after="120"/>
        <w:rPr>
          <w:rFonts w:ascii="Arial" w:hAnsi="Arial" w:cs="Arial"/>
        </w:rPr>
      </w:pPr>
      <w:r w:rsidRPr="00F658D6">
        <w:rPr>
          <w:rFonts w:ascii="Arial" w:hAnsi="Arial" w:cs="Arial"/>
        </w:rPr>
        <w:t>Minimising damp, mould and condensation through behavioural changes</w:t>
      </w:r>
    </w:p>
    <w:p w:rsidR="00201132" w:rsidRPr="00201132" w:rsidRDefault="00201132" w:rsidP="00201132">
      <w:pPr>
        <w:pStyle w:val="ListParagraph"/>
        <w:spacing w:after="120"/>
        <w:ind w:left="1080"/>
        <w:rPr>
          <w:rFonts w:ascii="Arial" w:hAnsi="Arial" w:cs="Arial"/>
        </w:rPr>
      </w:pPr>
    </w:p>
    <w:p w:rsidR="005A2FF3" w:rsidRDefault="000E1622" w:rsidP="00F658D6">
      <w:pPr>
        <w:ind w:left="720" w:hanging="720"/>
        <w:jc w:val="both"/>
        <w:rPr>
          <w:rFonts w:ascii="Arial" w:hAnsi="Arial" w:cs="Arial"/>
          <w:sz w:val="24"/>
          <w:szCs w:val="24"/>
        </w:rPr>
      </w:pPr>
      <w:r>
        <w:rPr>
          <w:rFonts w:ascii="Arial" w:hAnsi="Arial" w:cs="Arial"/>
          <w:sz w:val="24"/>
          <w:szCs w:val="24"/>
        </w:rPr>
        <w:t>3.4</w:t>
      </w:r>
      <w:r w:rsidR="005A2FF3" w:rsidRPr="00F658D6">
        <w:rPr>
          <w:rFonts w:ascii="Arial" w:hAnsi="Arial" w:cs="Arial"/>
          <w:sz w:val="24"/>
          <w:szCs w:val="24"/>
        </w:rPr>
        <w:tab/>
        <w:t xml:space="preserve">The </w:t>
      </w:r>
      <w:r w:rsidR="00201132">
        <w:rPr>
          <w:rFonts w:ascii="Arial" w:hAnsi="Arial" w:cs="Arial"/>
          <w:sz w:val="24"/>
          <w:szCs w:val="24"/>
        </w:rPr>
        <w:t>service provider</w:t>
      </w:r>
      <w:r w:rsidR="005A2FF3" w:rsidRPr="00F658D6">
        <w:rPr>
          <w:rFonts w:ascii="Arial" w:hAnsi="Arial" w:cs="Arial"/>
          <w:sz w:val="24"/>
          <w:szCs w:val="24"/>
        </w:rPr>
        <w:t xml:space="preserve"> will be expected to have an awareness of the types of issues facing council tenants</w:t>
      </w:r>
      <w:r w:rsidR="000B2BFE">
        <w:rPr>
          <w:rFonts w:ascii="Arial" w:hAnsi="Arial" w:cs="Arial"/>
          <w:sz w:val="24"/>
          <w:szCs w:val="24"/>
        </w:rPr>
        <w:t>.  This awareness, together with</w:t>
      </w:r>
      <w:r w:rsidR="005A2FF3" w:rsidRPr="00F658D6">
        <w:rPr>
          <w:rFonts w:ascii="Arial" w:hAnsi="Arial" w:cs="Arial"/>
          <w:sz w:val="24"/>
          <w:szCs w:val="24"/>
        </w:rPr>
        <w:t xml:space="preserve"> expertise in</w:t>
      </w:r>
      <w:r w:rsidR="000B2BFE">
        <w:rPr>
          <w:rFonts w:ascii="Arial" w:hAnsi="Arial" w:cs="Arial"/>
          <w:sz w:val="24"/>
          <w:szCs w:val="24"/>
        </w:rPr>
        <w:t xml:space="preserve"> the energy and advice field, will enable the provider to</w:t>
      </w:r>
      <w:r w:rsidR="005A2FF3" w:rsidRPr="00F658D6">
        <w:rPr>
          <w:rFonts w:ascii="Arial" w:hAnsi="Arial" w:cs="Arial"/>
          <w:sz w:val="24"/>
          <w:szCs w:val="24"/>
        </w:rPr>
        <w:t xml:space="preserve"> research and suggest services and activities which contribute towards the desired outcomes (see section 13 – </w:t>
      </w:r>
      <w:r w:rsidR="000B2BFE">
        <w:rPr>
          <w:rFonts w:ascii="Arial" w:hAnsi="Arial" w:cs="Arial"/>
          <w:sz w:val="24"/>
          <w:szCs w:val="24"/>
        </w:rPr>
        <w:t>Service Level O</w:t>
      </w:r>
      <w:r w:rsidR="005A2FF3" w:rsidRPr="00F658D6">
        <w:rPr>
          <w:rFonts w:ascii="Arial" w:hAnsi="Arial" w:cs="Arial"/>
          <w:sz w:val="24"/>
          <w:szCs w:val="24"/>
        </w:rPr>
        <w:t>utcomes) and which will make a positive impact on our tenants.</w:t>
      </w:r>
    </w:p>
    <w:p w:rsidR="00957956" w:rsidRDefault="000E1622" w:rsidP="00957956">
      <w:pPr>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Pr="00E634B6">
        <w:rPr>
          <w:rFonts w:ascii="Arial" w:hAnsi="Arial" w:cs="Arial"/>
          <w:sz w:val="24"/>
          <w:szCs w:val="24"/>
        </w:rPr>
        <w:t>As this</w:t>
      </w:r>
      <w:r>
        <w:rPr>
          <w:rFonts w:ascii="Arial" w:hAnsi="Arial" w:cs="Arial"/>
          <w:sz w:val="24"/>
          <w:szCs w:val="24"/>
        </w:rPr>
        <w:t xml:space="preserve"> is a fluid service in terms of</w:t>
      </w:r>
      <w:r w:rsidRPr="00E634B6">
        <w:rPr>
          <w:rFonts w:ascii="Arial" w:hAnsi="Arial" w:cs="Arial"/>
          <w:sz w:val="24"/>
          <w:szCs w:val="24"/>
        </w:rPr>
        <w:t>, for example, tenant types and needs, property types, different heating appliances, availability of grants, competition in the energy market</w:t>
      </w:r>
      <w:r>
        <w:rPr>
          <w:rFonts w:ascii="Arial" w:hAnsi="Arial" w:cs="Arial"/>
          <w:sz w:val="24"/>
          <w:szCs w:val="24"/>
        </w:rPr>
        <w:t xml:space="preserve">, and the weather, </w:t>
      </w:r>
      <w:r w:rsidRPr="00E634B6">
        <w:rPr>
          <w:rFonts w:ascii="Arial" w:hAnsi="Arial" w:cs="Arial"/>
          <w:sz w:val="24"/>
          <w:szCs w:val="24"/>
        </w:rPr>
        <w:t xml:space="preserve">it is difficult to predict what the </w:t>
      </w:r>
      <w:r>
        <w:rPr>
          <w:rFonts w:ascii="Arial" w:hAnsi="Arial" w:cs="Arial"/>
          <w:sz w:val="24"/>
          <w:szCs w:val="24"/>
        </w:rPr>
        <w:t xml:space="preserve">exact service requirements will be.  </w:t>
      </w:r>
      <w:r w:rsidRPr="00E634B6">
        <w:rPr>
          <w:rFonts w:ascii="Arial" w:hAnsi="Arial" w:cs="Arial"/>
          <w:sz w:val="24"/>
          <w:szCs w:val="24"/>
        </w:rPr>
        <w:t xml:space="preserve">Flexibility of service in response to changing needs </w:t>
      </w:r>
      <w:r>
        <w:rPr>
          <w:rFonts w:ascii="Arial" w:hAnsi="Arial" w:cs="Arial"/>
          <w:sz w:val="24"/>
          <w:szCs w:val="24"/>
        </w:rPr>
        <w:t>is therefore a key requirement.</w:t>
      </w:r>
    </w:p>
    <w:p w:rsidR="00AD0B64" w:rsidRDefault="003C442D" w:rsidP="00F658D6">
      <w:pPr>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Data relating to the </w:t>
      </w:r>
      <w:r w:rsidR="00933CFB">
        <w:rPr>
          <w:rFonts w:ascii="Arial" w:hAnsi="Arial" w:cs="Arial"/>
          <w:sz w:val="24"/>
          <w:szCs w:val="24"/>
        </w:rPr>
        <w:t>profile of BCC properties and</w:t>
      </w:r>
      <w:r>
        <w:rPr>
          <w:rFonts w:ascii="Arial" w:hAnsi="Arial" w:cs="Arial"/>
          <w:sz w:val="24"/>
          <w:szCs w:val="24"/>
        </w:rPr>
        <w:t xml:space="preserve"> BCC tenants </w:t>
      </w:r>
      <w:r w:rsidR="00933CFB">
        <w:rPr>
          <w:rFonts w:ascii="Arial" w:hAnsi="Arial" w:cs="Arial"/>
          <w:sz w:val="24"/>
          <w:szCs w:val="24"/>
        </w:rPr>
        <w:t>is included</w:t>
      </w:r>
      <w:r w:rsidR="004626EB">
        <w:rPr>
          <w:rFonts w:ascii="Arial" w:hAnsi="Arial" w:cs="Arial"/>
          <w:sz w:val="24"/>
          <w:szCs w:val="24"/>
        </w:rPr>
        <w:t xml:space="preserve"> for information</w:t>
      </w:r>
      <w:r>
        <w:rPr>
          <w:rFonts w:ascii="Arial" w:hAnsi="Arial" w:cs="Arial"/>
          <w:sz w:val="24"/>
          <w:szCs w:val="24"/>
        </w:rPr>
        <w:t xml:space="preserve"> in appendix one and appendix two respectively.</w:t>
      </w:r>
    </w:p>
    <w:p w:rsidR="003C442D" w:rsidRDefault="00AD0B64" w:rsidP="00AD0B64">
      <w:pPr>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Training required for </w:t>
      </w:r>
      <w:r w:rsidR="003B76BD">
        <w:rPr>
          <w:rFonts w:ascii="Arial" w:hAnsi="Arial" w:cs="Arial"/>
          <w:sz w:val="24"/>
          <w:szCs w:val="24"/>
        </w:rPr>
        <w:t xml:space="preserve">Landlord Services </w:t>
      </w:r>
      <w:r>
        <w:rPr>
          <w:rFonts w:ascii="Arial" w:hAnsi="Arial" w:cs="Arial"/>
          <w:sz w:val="24"/>
          <w:szCs w:val="24"/>
        </w:rPr>
        <w:t>officers will be delivered to teams who most frequently come into contact with tenants as part of their day-to-day roles, such as Rents Officers and Repairs Operatives.</w:t>
      </w:r>
    </w:p>
    <w:p w:rsidR="005A2FF3" w:rsidRPr="00CC16BD" w:rsidRDefault="00AD0B64" w:rsidP="00AD0B64">
      <w:pPr>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Advice and guidance to </w:t>
      </w:r>
      <w:r w:rsidR="003B76BD">
        <w:rPr>
          <w:rFonts w:ascii="Arial" w:hAnsi="Arial" w:cs="Arial"/>
          <w:sz w:val="24"/>
          <w:szCs w:val="24"/>
        </w:rPr>
        <w:t xml:space="preserve">Landlord Services </w:t>
      </w:r>
      <w:r>
        <w:rPr>
          <w:rFonts w:ascii="Arial" w:hAnsi="Arial" w:cs="Arial"/>
          <w:sz w:val="24"/>
          <w:szCs w:val="24"/>
        </w:rPr>
        <w:t xml:space="preserve">will be on an ad-hoc basis and will be requested by the </w:t>
      </w:r>
      <w:r w:rsidR="003B76BD">
        <w:rPr>
          <w:rFonts w:ascii="Arial" w:hAnsi="Arial" w:cs="Arial"/>
          <w:sz w:val="24"/>
          <w:szCs w:val="24"/>
        </w:rPr>
        <w:t>Landlord Services</w:t>
      </w:r>
      <w:r>
        <w:rPr>
          <w:rFonts w:ascii="Arial" w:hAnsi="Arial" w:cs="Arial"/>
          <w:sz w:val="24"/>
          <w:szCs w:val="24"/>
        </w:rPr>
        <w:t xml:space="preserve"> contract manager where required.</w:t>
      </w:r>
    </w:p>
    <w:p w:rsidR="005A2FF3" w:rsidRPr="00AF569F" w:rsidRDefault="005A2FF3" w:rsidP="005A2FF3">
      <w:pPr>
        <w:ind w:left="720" w:hanging="720"/>
        <w:rPr>
          <w:rFonts w:ascii="Arial" w:hAnsi="Arial" w:cs="Arial"/>
          <w:b/>
          <w:sz w:val="28"/>
          <w:szCs w:val="28"/>
        </w:rPr>
      </w:pPr>
      <w:r w:rsidRPr="00AF569F">
        <w:rPr>
          <w:rFonts w:ascii="Arial" w:hAnsi="Arial" w:cs="Arial"/>
          <w:b/>
          <w:sz w:val="28"/>
          <w:szCs w:val="28"/>
        </w:rPr>
        <w:t>4</w:t>
      </w:r>
      <w:r>
        <w:rPr>
          <w:rFonts w:ascii="Arial" w:hAnsi="Arial" w:cs="Arial"/>
          <w:b/>
          <w:sz w:val="28"/>
          <w:szCs w:val="28"/>
        </w:rPr>
        <w:t>.</w:t>
      </w:r>
      <w:r w:rsidRPr="00AF569F">
        <w:rPr>
          <w:rFonts w:ascii="Arial" w:hAnsi="Arial" w:cs="Arial"/>
          <w:b/>
          <w:sz w:val="28"/>
          <w:szCs w:val="28"/>
        </w:rPr>
        <w:tab/>
        <w:t>The Service</w:t>
      </w:r>
    </w:p>
    <w:p w:rsidR="005A2FF3" w:rsidRDefault="0055216D" w:rsidP="00E634B6">
      <w:pPr>
        <w:spacing w:after="120"/>
        <w:ind w:left="720" w:hanging="720"/>
        <w:jc w:val="both"/>
        <w:rPr>
          <w:rFonts w:ascii="Arial" w:hAnsi="Arial" w:cs="Arial"/>
          <w:sz w:val="24"/>
          <w:szCs w:val="24"/>
        </w:rPr>
      </w:pPr>
      <w:r>
        <w:rPr>
          <w:rFonts w:ascii="Arial" w:hAnsi="Arial" w:cs="Arial"/>
          <w:sz w:val="24"/>
          <w:szCs w:val="24"/>
        </w:rPr>
        <w:t>4.1</w:t>
      </w:r>
      <w:r w:rsidR="005A2FF3" w:rsidRPr="003B6563">
        <w:rPr>
          <w:rFonts w:ascii="Arial" w:hAnsi="Arial" w:cs="Arial"/>
          <w:sz w:val="24"/>
          <w:szCs w:val="24"/>
        </w:rPr>
        <w:tab/>
        <w:t xml:space="preserve">The TEA service will be </w:t>
      </w:r>
      <w:r w:rsidR="005A2FF3" w:rsidRPr="0003411F">
        <w:rPr>
          <w:rFonts w:ascii="Arial" w:hAnsi="Arial" w:cs="Arial"/>
          <w:sz w:val="24"/>
          <w:szCs w:val="24"/>
        </w:rPr>
        <w:t xml:space="preserve">a diverse and </w:t>
      </w:r>
      <w:r w:rsidR="005A2FF3" w:rsidRPr="003B6563">
        <w:rPr>
          <w:rFonts w:ascii="Arial" w:hAnsi="Arial" w:cs="Arial"/>
          <w:sz w:val="24"/>
          <w:szCs w:val="24"/>
        </w:rPr>
        <w:t>flexible</w:t>
      </w:r>
      <w:r w:rsidR="005A2FF3">
        <w:rPr>
          <w:rFonts w:ascii="Arial" w:hAnsi="Arial" w:cs="Arial"/>
          <w:sz w:val="24"/>
          <w:szCs w:val="24"/>
        </w:rPr>
        <w:t xml:space="preserve"> </w:t>
      </w:r>
      <w:r w:rsidR="005A2FF3" w:rsidRPr="0003411F">
        <w:rPr>
          <w:rFonts w:ascii="Arial" w:hAnsi="Arial" w:cs="Arial"/>
          <w:sz w:val="24"/>
          <w:szCs w:val="24"/>
        </w:rPr>
        <w:t xml:space="preserve">service, capable of meeting </w:t>
      </w:r>
      <w:r w:rsidR="005A2FF3">
        <w:rPr>
          <w:rFonts w:ascii="Arial" w:hAnsi="Arial" w:cs="Arial"/>
          <w:sz w:val="24"/>
          <w:szCs w:val="24"/>
        </w:rPr>
        <w:t>BCC</w:t>
      </w:r>
      <w:r w:rsidR="005A2FF3" w:rsidRPr="0003411F">
        <w:rPr>
          <w:rFonts w:ascii="Arial" w:hAnsi="Arial" w:cs="Arial"/>
          <w:sz w:val="24"/>
          <w:szCs w:val="24"/>
        </w:rPr>
        <w:t xml:space="preserve"> priorities and </w:t>
      </w:r>
      <w:r w:rsidR="00201132">
        <w:rPr>
          <w:rFonts w:ascii="Arial" w:hAnsi="Arial" w:cs="Arial"/>
          <w:sz w:val="24"/>
          <w:szCs w:val="24"/>
        </w:rPr>
        <w:t xml:space="preserve">the </w:t>
      </w:r>
      <w:r w:rsidR="005A2FF3" w:rsidRPr="0003411F">
        <w:rPr>
          <w:rFonts w:ascii="Arial" w:hAnsi="Arial" w:cs="Arial"/>
          <w:sz w:val="24"/>
          <w:szCs w:val="24"/>
        </w:rPr>
        <w:t>changing needs of our tenants, as well as</w:t>
      </w:r>
      <w:r w:rsidR="00201132">
        <w:rPr>
          <w:rFonts w:ascii="Arial" w:hAnsi="Arial" w:cs="Arial"/>
          <w:sz w:val="24"/>
          <w:szCs w:val="24"/>
        </w:rPr>
        <w:t xml:space="preserve"> being</w:t>
      </w:r>
      <w:r w:rsidR="005A2FF3" w:rsidRPr="0003411F">
        <w:rPr>
          <w:rFonts w:ascii="Arial" w:hAnsi="Arial" w:cs="Arial"/>
          <w:sz w:val="24"/>
          <w:szCs w:val="24"/>
        </w:rPr>
        <w:t xml:space="preserve"> able to adapt to </w:t>
      </w:r>
      <w:r w:rsidR="00201132">
        <w:rPr>
          <w:rFonts w:ascii="Arial" w:hAnsi="Arial" w:cs="Arial"/>
          <w:sz w:val="24"/>
          <w:szCs w:val="24"/>
        </w:rPr>
        <w:t xml:space="preserve">new regulatory requirements, </w:t>
      </w:r>
      <w:r w:rsidR="005A2FF3" w:rsidRPr="0003411F">
        <w:rPr>
          <w:rFonts w:ascii="Arial" w:hAnsi="Arial" w:cs="Arial"/>
          <w:sz w:val="24"/>
          <w:szCs w:val="24"/>
        </w:rPr>
        <w:t>changes in law</w:t>
      </w:r>
      <w:r w:rsidR="00201132">
        <w:rPr>
          <w:rFonts w:ascii="Arial" w:hAnsi="Arial" w:cs="Arial"/>
          <w:sz w:val="24"/>
          <w:szCs w:val="24"/>
        </w:rPr>
        <w:t xml:space="preserve"> and availability of energy grants/discounts</w:t>
      </w:r>
      <w:r w:rsidR="005A2FF3" w:rsidRPr="003B6563">
        <w:rPr>
          <w:rFonts w:ascii="Arial" w:hAnsi="Arial" w:cs="Arial"/>
          <w:sz w:val="24"/>
          <w:szCs w:val="24"/>
        </w:rPr>
        <w:t xml:space="preserve">.  </w:t>
      </w:r>
    </w:p>
    <w:p w:rsidR="005A2FF3" w:rsidRPr="00201132" w:rsidRDefault="005A2FF3" w:rsidP="005A2FF3">
      <w:pPr>
        <w:spacing w:after="120"/>
        <w:ind w:left="720" w:hanging="720"/>
        <w:jc w:val="both"/>
        <w:rPr>
          <w:rFonts w:ascii="Arial" w:hAnsi="Arial" w:cs="Arial"/>
          <w:sz w:val="24"/>
          <w:szCs w:val="24"/>
        </w:rPr>
      </w:pPr>
      <w:r w:rsidRPr="00201132">
        <w:rPr>
          <w:rFonts w:ascii="Arial" w:hAnsi="Arial" w:cs="Arial"/>
          <w:sz w:val="24"/>
          <w:szCs w:val="24"/>
        </w:rPr>
        <w:t>4.2</w:t>
      </w:r>
      <w:r w:rsidRPr="00201132">
        <w:rPr>
          <w:rFonts w:ascii="Arial" w:hAnsi="Arial" w:cs="Arial"/>
          <w:sz w:val="24"/>
          <w:szCs w:val="24"/>
        </w:rPr>
        <w:tab/>
        <w:t xml:space="preserve">Priorities and objectives will be </w:t>
      </w:r>
      <w:r w:rsidR="00201132">
        <w:rPr>
          <w:rFonts w:ascii="Arial" w:hAnsi="Arial" w:cs="Arial"/>
          <w:sz w:val="24"/>
          <w:szCs w:val="24"/>
        </w:rPr>
        <w:t xml:space="preserve">agreed jointly between </w:t>
      </w:r>
      <w:r w:rsidR="00ED04D2">
        <w:rPr>
          <w:rFonts w:ascii="Arial" w:hAnsi="Arial" w:cs="Arial"/>
          <w:sz w:val="24"/>
          <w:szCs w:val="24"/>
        </w:rPr>
        <w:t xml:space="preserve">dedicated contract </w:t>
      </w:r>
      <w:r w:rsidR="001B5379">
        <w:rPr>
          <w:rFonts w:ascii="Arial" w:hAnsi="Arial" w:cs="Arial"/>
          <w:sz w:val="24"/>
          <w:szCs w:val="24"/>
        </w:rPr>
        <w:t>managers from</w:t>
      </w:r>
      <w:r w:rsidR="00E20D87">
        <w:rPr>
          <w:rFonts w:ascii="Arial" w:hAnsi="Arial" w:cs="Arial"/>
          <w:sz w:val="24"/>
          <w:szCs w:val="24"/>
        </w:rPr>
        <w:t xml:space="preserve"> </w:t>
      </w:r>
      <w:r w:rsidR="003B76BD">
        <w:rPr>
          <w:rFonts w:ascii="Arial" w:hAnsi="Arial" w:cs="Arial"/>
          <w:sz w:val="24"/>
          <w:szCs w:val="24"/>
        </w:rPr>
        <w:t>Landlord Services</w:t>
      </w:r>
      <w:r w:rsidR="00201132">
        <w:rPr>
          <w:rFonts w:ascii="Arial" w:hAnsi="Arial" w:cs="Arial"/>
          <w:sz w:val="24"/>
          <w:szCs w:val="24"/>
        </w:rPr>
        <w:t xml:space="preserve"> and</w:t>
      </w:r>
      <w:r w:rsidR="00E20D87">
        <w:rPr>
          <w:rFonts w:ascii="Arial" w:hAnsi="Arial" w:cs="Arial"/>
          <w:sz w:val="24"/>
          <w:szCs w:val="24"/>
        </w:rPr>
        <w:t xml:space="preserve"> </w:t>
      </w:r>
      <w:r w:rsidR="00201132">
        <w:rPr>
          <w:rFonts w:ascii="Arial" w:hAnsi="Arial" w:cs="Arial"/>
          <w:sz w:val="24"/>
          <w:szCs w:val="24"/>
        </w:rPr>
        <w:t>the service provider</w:t>
      </w:r>
      <w:r w:rsidR="005D7BF0">
        <w:rPr>
          <w:rFonts w:ascii="Arial" w:hAnsi="Arial" w:cs="Arial"/>
          <w:sz w:val="24"/>
          <w:szCs w:val="24"/>
        </w:rPr>
        <w:t>,</w:t>
      </w:r>
      <w:r w:rsidRPr="00201132">
        <w:rPr>
          <w:rFonts w:ascii="Arial" w:hAnsi="Arial" w:cs="Arial"/>
          <w:sz w:val="24"/>
          <w:szCs w:val="24"/>
        </w:rPr>
        <w:t xml:space="preserve"> immediately prior to the contract start date and will be reviewed regularly via monthly point of contact meetings.</w:t>
      </w:r>
    </w:p>
    <w:p w:rsidR="005A2FF3" w:rsidRPr="00CC16BD" w:rsidRDefault="005A2FF3" w:rsidP="005D7BF0">
      <w:pPr>
        <w:ind w:left="720" w:hanging="720"/>
        <w:rPr>
          <w:rFonts w:ascii="Arial" w:hAnsi="Arial" w:cs="Arial"/>
          <w:sz w:val="24"/>
          <w:szCs w:val="24"/>
        </w:rPr>
      </w:pPr>
      <w:r w:rsidRPr="00CC16BD">
        <w:rPr>
          <w:rFonts w:ascii="Arial" w:hAnsi="Arial" w:cs="Arial"/>
          <w:sz w:val="24"/>
          <w:szCs w:val="24"/>
        </w:rPr>
        <w:t>4.</w:t>
      </w:r>
      <w:r>
        <w:rPr>
          <w:rFonts w:ascii="Arial" w:hAnsi="Arial" w:cs="Arial"/>
          <w:sz w:val="24"/>
          <w:szCs w:val="24"/>
        </w:rPr>
        <w:t>3</w:t>
      </w:r>
      <w:r>
        <w:rPr>
          <w:rFonts w:ascii="Arial" w:hAnsi="Arial" w:cs="Arial"/>
          <w:sz w:val="24"/>
          <w:szCs w:val="24"/>
        </w:rPr>
        <w:tab/>
      </w:r>
      <w:r w:rsidR="00FB711A" w:rsidRPr="00436C72">
        <w:rPr>
          <w:rFonts w:ascii="Arial" w:hAnsi="Arial" w:cs="Arial"/>
          <w:sz w:val="24"/>
          <w:szCs w:val="24"/>
        </w:rPr>
        <w:t>The Council reserves the rights to review the contractual performance and on an annual basis will determine whether the contract is to be extended or terminated. BCC expect the successful contractor to produce management information and data reports to evi</w:t>
      </w:r>
      <w:r w:rsidR="00FB711A" w:rsidRPr="00FB711A">
        <w:rPr>
          <w:rFonts w:ascii="Arial" w:hAnsi="Arial" w:cs="Arial"/>
          <w:sz w:val="24"/>
          <w:szCs w:val="24"/>
        </w:rPr>
        <w:t>dent the monitoring of the KPIs</w:t>
      </w:r>
      <w:r w:rsidR="00436C72">
        <w:rPr>
          <w:rFonts w:ascii="Arial" w:hAnsi="Arial" w:cs="Arial"/>
          <w:sz w:val="24"/>
          <w:szCs w:val="24"/>
        </w:rPr>
        <w:t>.</w:t>
      </w:r>
    </w:p>
    <w:p w:rsidR="006D07D3" w:rsidRDefault="005A2FF3" w:rsidP="006D07D3">
      <w:pPr>
        <w:spacing w:after="120"/>
        <w:ind w:left="720" w:hanging="720"/>
        <w:jc w:val="both"/>
        <w:rPr>
          <w:rFonts w:ascii="Arial" w:hAnsi="Arial" w:cs="Arial"/>
          <w:sz w:val="24"/>
          <w:szCs w:val="24"/>
        </w:rPr>
      </w:pPr>
      <w:r w:rsidRPr="00A80AA2">
        <w:rPr>
          <w:rFonts w:ascii="Arial" w:hAnsi="Arial" w:cs="Arial"/>
          <w:sz w:val="24"/>
          <w:szCs w:val="24"/>
        </w:rPr>
        <w:t>4.</w:t>
      </w:r>
      <w:r>
        <w:rPr>
          <w:rFonts w:ascii="Arial" w:hAnsi="Arial" w:cs="Arial"/>
          <w:sz w:val="24"/>
          <w:szCs w:val="24"/>
        </w:rPr>
        <w:t>4</w:t>
      </w:r>
      <w:r>
        <w:rPr>
          <w:rFonts w:ascii="Arial" w:hAnsi="Arial" w:cs="Arial"/>
          <w:sz w:val="24"/>
          <w:szCs w:val="24"/>
        </w:rPr>
        <w:tab/>
      </w:r>
      <w:r w:rsidR="001E312D">
        <w:rPr>
          <w:rFonts w:ascii="Arial" w:hAnsi="Arial" w:cs="Arial"/>
          <w:sz w:val="24"/>
          <w:szCs w:val="24"/>
        </w:rPr>
        <w:t>The Tenant Energy Advice s</w:t>
      </w:r>
      <w:r w:rsidRPr="00A80AA2">
        <w:rPr>
          <w:rFonts w:ascii="Arial" w:hAnsi="Arial" w:cs="Arial"/>
          <w:sz w:val="24"/>
          <w:szCs w:val="24"/>
        </w:rPr>
        <w:t>ervice should include (but is not limited to) the following mechanisms for delivering advice to tenants</w:t>
      </w:r>
      <w:r w:rsidR="006C5219">
        <w:rPr>
          <w:rFonts w:ascii="Arial" w:hAnsi="Arial" w:cs="Arial"/>
          <w:sz w:val="24"/>
          <w:szCs w:val="24"/>
        </w:rPr>
        <w:t>:</w:t>
      </w:r>
      <w:r w:rsidR="00820650">
        <w:rPr>
          <w:rFonts w:ascii="Arial" w:hAnsi="Arial" w:cs="Arial"/>
          <w:sz w:val="24"/>
          <w:szCs w:val="24"/>
        </w:rPr>
        <w:t xml:space="preserve"> </w:t>
      </w:r>
    </w:p>
    <w:p w:rsidR="006D07D3" w:rsidRPr="00A80AA2" w:rsidRDefault="006D07D3" w:rsidP="006D07D3">
      <w:pPr>
        <w:spacing w:after="0" w:line="240" w:lineRule="auto"/>
        <w:ind w:left="720" w:hanging="720"/>
        <w:jc w:val="both"/>
        <w:rPr>
          <w:rFonts w:ascii="Arial" w:hAnsi="Arial" w:cs="Arial"/>
          <w:sz w:val="24"/>
          <w:szCs w:val="24"/>
        </w:rPr>
      </w:pPr>
    </w:p>
    <w:p w:rsidR="005A2FF3" w:rsidRDefault="005A2FF3" w:rsidP="005A2FF3">
      <w:pPr>
        <w:pStyle w:val="ListParagraph"/>
        <w:numPr>
          <w:ilvl w:val="0"/>
          <w:numId w:val="3"/>
        </w:numPr>
        <w:spacing w:after="120"/>
        <w:rPr>
          <w:rFonts w:ascii="Arial" w:hAnsi="Arial" w:cs="Arial"/>
        </w:rPr>
      </w:pPr>
      <w:r w:rsidRPr="00A80AA2">
        <w:rPr>
          <w:rFonts w:ascii="Arial" w:hAnsi="Arial" w:cs="Arial"/>
        </w:rPr>
        <w:t xml:space="preserve">A </w:t>
      </w:r>
      <w:r w:rsidRPr="00815546">
        <w:rPr>
          <w:rFonts w:ascii="Arial" w:hAnsi="Arial" w:cs="Arial"/>
          <w:b/>
        </w:rPr>
        <w:t>dedicated free phone telephone advice line</w:t>
      </w:r>
      <w:r w:rsidRPr="00A80AA2">
        <w:rPr>
          <w:rFonts w:ascii="Arial" w:hAnsi="Arial" w:cs="Arial"/>
        </w:rPr>
        <w:t xml:space="preserve"> which is available Monday – Friday</w:t>
      </w:r>
      <w:r w:rsidR="00815546">
        <w:rPr>
          <w:rFonts w:ascii="Arial" w:hAnsi="Arial" w:cs="Arial"/>
        </w:rPr>
        <w:t>, for at least 8</w:t>
      </w:r>
      <w:r>
        <w:rPr>
          <w:rFonts w:ascii="Arial" w:hAnsi="Arial" w:cs="Arial"/>
        </w:rPr>
        <w:t xml:space="preserve"> hours per day</w:t>
      </w:r>
      <w:r w:rsidR="00815546">
        <w:rPr>
          <w:rFonts w:ascii="Arial" w:hAnsi="Arial" w:cs="Arial"/>
        </w:rPr>
        <w:t xml:space="preserve"> (e.g. 8:30am – 4:30pm)</w:t>
      </w:r>
    </w:p>
    <w:p w:rsidR="006D07D3" w:rsidRPr="00A80AA2" w:rsidRDefault="006D07D3" w:rsidP="006D07D3">
      <w:pPr>
        <w:pStyle w:val="ListParagraph"/>
        <w:spacing w:after="120"/>
        <w:ind w:left="1440"/>
        <w:rPr>
          <w:rFonts w:ascii="Arial" w:hAnsi="Arial" w:cs="Arial"/>
        </w:rPr>
      </w:pPr>
    </w:p>
    <w:p w:rsidR="006D07D3" w:rsidRPr="006D07D3" w:rsidRDefault="005A2FF3" w:rsidP="006D07D3">
      <w:pPr>
        <w:pStyle w:val="ListParagraph"/>
        <w:numPr>
          <w:ilvl w:val="0"/>
          <w:numId w:val="3"/>
        </w:numPr>
        <w:spacing w:after="120"/>
        <w:rPr>
          <w:rFonts w:ascii="Arial" w:hAnsi="Arial" w:cs="Arial"/>
        </w:rPr>
      </w:pPr>
      <w:r w:rsidRPr="00A80AA2">
        <w:rPr>
          <w:rFonts w:ascii="Arial" w:hAnsi="Arial" w:cs="Arial"/>
        </w:rPr>
        <w:t xml:space="preserve">A </w:t>
      </w:r>
      <w:r w:rsidRPr="00815546">
        <w:rPr>
          <w:rFonts w:ascii="Arial" w:hAnsi="Arial" w:cs="Arial"/>
          <w:b/>
        </w:rPr>
        <w:t>dedicated email address and web page</w:t>
      </w:r>
      <w:r w:rsidR="00E7499F">
        <w:rPr>
          <w:rFonts w:ascii="Arial" w:hAnsi="Arial" w:cs="Arial"/>
          <w:b/>
        </w:rPr>
        <w:t xml:space="preserve"> </w:t>
      </w:r>
      <w:r w:rsidR="00E7499F">
        <w:rPr>
          <w:rFonts w:ascii="Arial" w:hAnsi="Arial" w:cs="Arial"/>
        </w:rPr>
        <w:t>with a minimum service standard that emails will be responded to within 5 working days</w:t>
      </w:r>
    </w:p>
    <w:p w:rsidR="006D07D3" w:rsidRPr="006D07D3" w:rsidRDefault="006D07D3" w:rsidP="006D07D3">
      <w:pPr>
        <w:spacing w:after="0" w:line="240" w:lineRule="auto"/>
        <w:rPr>
          <w:rFonts w:ascii="Arial" w:hAnsi="Arial" w:cs="Arial"/>
        </w:rPr>
      </w:pPr>
    </w:p>
    <w:p w:rsidR="00D20617" w:rsidRDefault="005A2FF3" w:rsidP="00D20617">
      <w:pPr>
        <w:pStyle w:val="ListParagraph"/>
        <w:numPr>
          <w:ilvl w:val="0"/>
          <w:numId w:val="3"/>
        </w:numPr>
        <w:spacing w:after="120"/>
        <w:rPr>
          <w:rFonts w:ascii="Arial" w:hAnsi="Arial" w:cs="Arial"/>
        </w:rPr>
      </w:pPr>
      <w:r w:rsidRPr="00B655D4">
        <w:rPr>
          <w:rFonts w:ascii="Arial" w:hAnsi="Arial" w:cs="Arial"/>
          <w:b/>
        </w:rPr>
        <w:t>Home visits</w:t>
      </w:r>
      <w:r w:rsidRPr="00A80AA2">
        <w:rPr>
          <w:rFonts w:ascii="Arial" w:hAnsi="Arial" w:cs="Arial"/>
        </w:rPr>
        <w:t xml:space="preserve"> for tenants who require advice in person</w:t>
      </w:r>
      <w:r w:rsidR="00646E6F">
        <w:rPr>
          <w:rFonts w:ascii="Arial" w:hAnsi="Arial" w:cs="Arial"/>
        </w:rPr>
        <w:t xml:space="preserve"> </w:t>
      </w:r>
      <w:r w:rsidR="001B3CBD">
        <w:rPr>
          <w:rFonts w:ascii="Arial" w:hAnsi="Arial" w:cs="Arial"/>
        </w:rPr>
        <w:t>with at least a 30-</w:t>
      </w:r>
      <w:r w:rsidR="00646E6F">
        <w:rPr>
          <w:rFonts w:ascii="Arial" w:hAnsi="Arial" w:cs="Arial"/>
        </w:rPr>
        <w:t>minute appointment</w:t>
      </w:r>
      <w:r w:rsidR="00815546">
        <w:rPr>
          <w:rFonts w:ascii="Arial" w:hAnsi="Arial" w:cs="Arial"/>
        </w:rPr>
        <w:t xml:space="preserve"> slot</w:t>
      </w:r>
      <w:r w:rsidR="00913E8C">
        <w:rPr>
          <w:rFonts w:ascii="Arial" w:hAnsi="Arial" w:cs="Arial"/>
        </w:rPr>
        <w:t xml:space="preserve">.  Home visits should be offered where telephone advice has not been sufficient to deal with the issues raised by the tenant/referrer, and/or where the person is vulnerable and </w:t>
      </w:r>
      <w:r w:rsidR="00E7499F">
        <w:rPr>
          <w:rFonts w:ascii="Arial" w:hAnsi="Arial" w:cs="Arial"/>
        </w:rPr>
        <w:t>will benefit from advice in person</w:t>
      </w:r>
      <w:r w:rsidR="00131675">
        <w:rPr>
          <w:rFonts w:ascii="Arial" w:hAnsi="Arial" w:cs="Arial"/>
        </w:rPr>
        <w:t>.</w:t>
      </w:r>
      <w:r w:rsidR="00E222BC">
        <w:rPr>
          <w:rFonts w:ascii="Arial" w:hAnsi="Arial" w:cs="Arial"/>
        </w:rPr>
        <w:t xml:space="preserve"> </w:t>
      </w:r>
      <w:r w:rsidR="00C87DBD">
        <w:rPr>
          <w:rFonts w:ascii="Arial" w:hAnsi="Arial" w:cs="Arial"/>
        </w:rPr>
        <w:t>It is expected that the provider will accommodate at least 50 home visits a year</w:t>
      </w:r>
    </w:p>
    <w:p w:rsidR="00D20617" w:rsidRPr="00CA22D8" w:rsidRDefault="00D20617" w:rsidP="00CA22D8">
      <w:pPr>
        <w:pStyle w:val="ListParagraph"/>
        <w:rPr>
          <w:rFonts w:ascii="Arial" w:hAnsi="Arial" w:cs="Arial"/>
        </w:rPr>
      </w:pPr>
    </w:p>
    <w:p w:rsidR="00D20617" w:rsidRDefault="00D20617" w:rsidP="00D20617">
      <w:pPr>
        <w:pStyle w:val="ListParagraph"/>
        <w:numPr>
          <w:ilvl w:val="0"/>
          <w:numId w:val="3"/>
        </w:numPr>
        <w:spacing w:after="120"/>
        <w:rPr>
          <w:rFonts w:ascii="Arial" w:hAnsi="Arial" w:cs="Arial"/>
        </w:rPr>
      </w:pPr>
      <w:r w:rsidRPr="00CA22D8">
        <w:rPr>
          <w:rFonts w:ascii="Arial" w:hAnsi="Arial" w:cs="Arial"/>
          <w:b/>
        </w:rPr>
        <w:t>Home visit demonstrations</w:t>
      </w:r>
      <w:r>
        <w:rPr>
          <w:rFonts w:ascii="Arial" w:hAnsi="Arial" w:cs="Arial"/>
        </w:rPr>
        <w:t xml:space="preserve"> for tenants who require help in </w:t>
      </w:r>
      <w:r w:rsidR="007F59D9">
        <w:rPr>
          <w:rFonts w:ascii="Arial" w:hAnsi="Arial" w:cs="Arial"/>
        </w:rPr>
        <w:t xml:space="preserve">using their heating system, draught proofing and </w:t>
      </w:r>
      <w:r w:rsidR="00071823">
        <w:rPr>
          <w:rFonts w:ascii="Arial" w:hAnsi="Arial" w:cs="Arial"/>
        </w:rPr>
        <w:t xml:space="preserve">support in </w:t>
      </w:r>
      <w:r w:rsidR="007F59D9">
        <w:rPr>
          <w:rFonts w:ascii="Arial" w:hAnsi="Arial" w:cs="Arial"/>
        </w:rPr>
        <w:t>other energy saving initiatives including supplying energy effici</w:t>
      </w:r>
      <w:r w:rsidR="00B216D4">
        <w:rPr>
          <w:rFonts w:ascii="Arial" w:hAnsi="Arial" w:cs="Arial"/>
        </w:rPr>
        <w:t>ent light bulbs where necessary</w:t>
      </w:r>
    </w:p>
    <w:p w:rsidR="000A5C4D" w:rsidRPr="00436C72" w:rsidRDefault="000A5C4D" w:rsidP="00436C72">
      <w:pPr>
        <w:pStyle w:val="ListParagraph"/>
        <w:rPr>
          <w:rFonts w:ascii="Arial" w:hAnsi="Arial" w:cs="Arial"/>
        </w:rPr>
      </w:pPr>
    </w:p>
    <w:p w:rsidR="00AA1F22" w:rsidRPr="00436C72" w:rsidRDefault="005607E5" w:rsidP="00B318D9">
      <w:pPr>
        <w:pStyle w:val="ListParagraph"/>
        <w:numPr>
          <w:ilvl w:val="0"/>
          <w:numId w:val="3"/>
        </w:numPr>
        <w:spacing w:after="120"/>
        <w:rPr>
          <w:rFonts w:ascii="Arial" w:hAnsi="Arial" w:cs="Arial"/>
        </w:rPr>
      </w:pPr>
      <w:r w:rsidRPr="00436C72">
        <w:rPr>
          <w:rFonts w:ascii="Arial" w:hAnsi="Arial" w:cs="Arial"/>
          <w:b/>
        </w:rPr>
        <w:t xml:space="preserve">Alternative </w:t>
      </w:r>
      <w:r w:rsidR="00573401" w:rsidRPr="00436C72">
        <w:rPr>
          <w:rFonts w:ascii="Arial" w:hAnsi="Arial" w:cs="Arial"/>
          <w:b/>
        </w:rPr>
        <w:t>and innovative methods of providing advice</w:t>
      </w:r>
      <w:r w:rsidR="00CF087A">
        <w:rPr>
          <w:rFonts w:ascii="Arial" w:hAnsi="Arial" w:cs="Arial"/>
        </w:rPr>
        <w:t xml:space="preserve"> for </w:t>
      </w:r>
      <w:r w:rsidR="00573401">
        <w:rPr>
          <w:rFonts w:ascii="Arial" w:hAnsi="Arial" w:cs="Arial"/>
        </w:rPr>
        <w:t>tenants who prefer to</w:t>
      </w:r>
      <w:r w:rsidR="00AD5A84">
        <w:rPr>
          <w:rFonts w:ascii="Arial" w:hAnsi="Arial" w:cs="Arial"/>
        </w:rPr>
        <w:t xml:space="preserve"> use a digital platform to</w:t>
      </w:r>
      <w:r w:rsidR="00573401">
        <w:rPr>
          <w:rFonts w:ascii="Arial" w:hAnsi="Arial" w:cs="Arial"/>
        </w:rPr>
        <w:t xml:space="preserve"> engage with the service</w:t>
      </w:r>
      <w:r w:rsidR="00FD4AA1">
        <w:rPr>
          <w:rFonts w:ascii="Arial" w:hAnsi="Arial" w:cs="Arial"/>
        </w:rPr>
        <w:t>,</w:t>
      </w:r>
      <w:r w:rsidR="00AA1F22">
        <w:rPr>
          <w:rFonts w:ascii="Arial" w:hAnsi="Arial" w:cs="Arial"/>
        </w:rPr>
        <w:t xml:space="preserve"> for example video calling or live chat</w:t>
      </w:r>
    </w:p>
    <w:p w:rsidR="006D07D3" w:rsidRPr="006D07D3" w:rsidRDefault="006D07D3" w:rsidP="006D07D3">
      <w:pPr>
        <w:spacing w:after="0" w:line="240" w:lineRule="auto"/>
        <w:rPr>
          <w:rFonts w:ascii="Arial" w:hAnsi="Arial" w:cs="Arial"/>
        </w:rPr>
      </w:pPr>
    </w:p>
    <w:p w:rsidR="005A2FF3" w:rsidRDefault="005A2FF3" w:rsidP="005A2FF3">
      <w:pPr>
        <w:pStyle w:val="ListParagraph"/>
        <w:numPr>
          <w:ilvl w:val="0"/>
          <w:numId w:val="3"/>
        </w:numPr>
        <w:spacing w:after="120"/>
        <w:rPr>
          <w:rFonts w:ascii="Arial" w:hAnsi="Arial" w:cs="Arial"/>
        </w:rPr>
      </w:pPr>
      <w:r w:rsidRPr="00815546">
        <w:rPr>
          <w:rFonts w:ascii="Arial" w:hAnsi="Arial" w:cs="Arial"/>
          <w:b/>
        </w:rPr>
        <w:t>Workshops for specific energy topics</w:t>
      </w:r>
      <w:r w:rsidR="00DF786D">
        <w:rPr>
          <w:rFonts w:ascii="Arial" w:hAnsi="Arial" w:cs="Arial"/>
          <w:b/>
        </w:rPr>
        <w:t xml:space="preserve"> </w:t>
      </w:r>
      <w:r w:rsidR="00DF786D" w:rsidRPr="00A80AA2">
        <w:rPr>
          <w:rFonts w:ascii="Arial" w:hAnsi="Arial" w:cs="Arial"/>
        </w:rPr>
        <w:t>(e.g. claiming Warm Home Discount)</w:t>
      </w:r>
      <w:r w:rsidR="00DF786D">
        <w:rPr>
          <w:rFonts w:ascii="Arial" w:hAnsi="Arial" w:cs="Arial"/>
        </w:rPr>
        <w:t xml:space="preserve"> and </w:t>
      </w:r>
      <w:r w:rsidR="00436C72">
        <w:rPr>
          <w:rFonts w:ascii="Arial" w:hAnsi="Arial" w:cs="Arial"/>
        </w:rPr>
        <w:t xml:space="preserve">a </w:t>
      </w:r>
      <w:r w:rsidR="00DF786D">
        <w:rPr>
          <w:rFonts w:ascii="Arial" w:hAnsi="Arial" w:cs="Arial"/>
        </w:rPr>
        <w:t>regular presence at organised events/drop-ins (e.g</w:t>
      </w:r>
      <w:r w:rsidR="0085121C">
        <w:rPr>
          <w:rFonts w:ascii="Arial" w:hAnsi="Arial" w:cs="Arial"/>
        </w:rPr>
        <w:t>.</w:t>
      </w:r>
      <w:r w:rsidR="00DF786D">
        <w:rPr>
          <w:rFonts w:ascii="Arial" w:hAnsi="Arial" w:cs="Arial"/>
        </w:rPr>
        <w:t xml:space="preserve"> food banks) within our communities</w:t>
      </w:r>
      <w:r w:rsidR="00436C72">
        <w:rPr>
          <w:rFonts w:ascii="Arial" w:hAnsi="Arial" w:cs="Arial"/>
        </w:rPr>
        <w:t xml:space="preserve"> all workshops/events/drop-ins must</w:t>
      </w:r>
      <w:r w:rsidR="00646E6F">
        <w:rPr>
          <w:rFonts w:ascii="Arial" w:hAnsi="Arial" w:cs="Arial"/>
        </w:rPr>
        <w:t xml:space="preserve"> be held at accessible venues, using council-owned venues where </w:t>
      </w:r>
      <w:r w:rsidR="00815546">
        <w:rPr>
          <w:rFonts w:ascii="Arial" w:hAnsi="Arial" w:cs="Arial"/>
        </w:rPr>
        <w:t>possible</w:t>
      </w:r>
      <w:r w:rsidR="00646E6F">
        <w:rPr>
          <w:rFonts w:ascii="Arial" w:hAnsi="Arial" w:cs="Arial"/>
        </w:rPr>
        <w:t>.  Workshops will be for a minimum two-hour</w:t>
      </w:r>
      <w:r w:rsidR="00815546">
        <w:rPr>
          <w:rFonts w:ascii="Arial" w:hAnsi="Arial" w:cs="Arial"/>
        </w:rPr>
        <w:t xml:space="preserve"> period and be staffed by at least two people</w:t>
      </w:r>
      <w:r w:rsidR="00E7499F">
        <w:rPr>
          <w:rFonts w:ascii="Arial" w:hAnsi="Arial" w:cs="Arial"/>
        </w:rPr>
        <w:t>.  The venue costs will be met by the TEA service budget</w:t>
      </w:r>
      <w:r w:rsidR="00AA1F22">
        <w:rPr>
          <w:rFonts w:ascii="Arial" w:hAnsi="Arial" w:cs="Arial"/>
        </w:rPr>
        <w:t xml:space="preserve">. It is expected that the provider will accommodate at least four </w:t>
      </w:r>
      <w:r w:rsidR="00DF786D">
        <w:rPr>
          <w:rFonts w:ascii="Arial" w:hAnsi="Arial" w:cs="Arial"/>
        </w:rPr>
        <w:t>workshops</w:t>
      </w:r>
      <w:r w:rsidR="00AA1F22">
        <w:rPr>
          <w:rFonts w:ascii="Arial" w:hAnsi="Arial" w:cs="Arial"/>
        </w:rPr>
        <w:t xml:space="preserve"> a year</w:t>
      </w:r>
      <w:r w:rsidR="00DF786D">
        <w:rPr>
          <w:rFonts w:ascii="Arial" w:hAnsi="Arial" w:cs="Arial"/>
        </w:rPr>
        <w:t xml:space="preserve"> and attend at least </w:t>
      </w:r>
      <w:r w:rsidR="0085121C">
        <w:rPr>
          <w:rFonts w:ascii="Arial" w:hAnsi="Arial" w:cs="Arial"/>
        </w:rPr>
        <w:t>ten  organised events or drop-ins</w:t>
      </w:r>
    </w:p>
    <w:p w:rsidR="006D07D3" w:rsidRPr="006D07D3" w:rsidRDefault="006D07D3" w:rsidP="006D07D3">
      <w:pPr>
        <w:spacing w:after="0" w:line="240" w:lineRule="auto"/>
        <w:rPr>
          <w:rFonts w:ascii="Arial" w:hAnsi="Arial" w:cs="Arial"/>
        </w:rPr>
      </w:pPr>
    </w:p>
    <w:p w:rsidR="005A2FF3" w:rsidRPr="006D07D3" w:rsidRDefault="005A2FF3" w:rsidP="005A2FF3">
      <w:pPr>
        <w:pStyle w:val="ListParagraph"/>
        <w:numPr>
          <w:ilvl w:val="0"/>
          <w:numId w:val="3"/>
        </w:numPr>
        <w:spacing w:after="120"/>
        <w:rPr>
          <w:rFonts w:ascii="Arial" w:hAnsi="Arial" w:cs="Arial"/>
          <w:b/>
        </w:rPr>
      </w:pPr>
      <w:r w:rsidRPr="00815546">
        <w:rPr>
          <w:rFonts w:ascii="Arial" w:hAnsi="Arial" w:cs="Arial"/>
          <w:b/>
        </w:rPr>
        <w:t>Presentations at existing tenant events</w:t>
      </w:r>
      <w:r w:rsidR="001B3CBD">
        <w:rPr>
          <w:rFonts w:ascii="Arial" w:hAnsi="Arial" w:cs="Arial"/>
        </w:rPr>
        <w:t>, such as Service User Group meetings</w:t>
      </w:r>
      <w:r w:rsidR="00CA22D8">
        <w:rPr>
          <w:rFonts w:ascii="Arial" w:hAnsi="Arial" w:cs="Arial"/>
        </w:rPr>
        <w:t xml:space="preserve"> and</w:t>
      </w:r>
      <w:r w:rsidR="009D6CEE">
        <w:rPr>
          <w:rFonts w:ascii="Arial" w:hAnsi="Arial" w:cs="Arial"/>
        </w:rPr>
        <w:t xml:space="preserve"> Local Housing Forums</w:t>
      </w:r>
      <w:r w:rsidR="001B3CBD">
        <w:rPr>
          <w:rFonts w:ascii="Arial" w:hAnsi="Arial" w:cs="Arial"/>
        </w:rPr>
        <w:t xml:space="preserve"> or as part of any other health, financial inclusion or energy-related work affiliated with BCC</w:t>
      </w:r>
      <w:r w:rsidR="00AD5A84">
        <w:rPr>
          <w:rFonts w:ascii="Arial" w:hAnsi="Arial" w:cs="Arial"/>
        </w:rPr>
        <w:t xml:space="preserve">. It is expected that the provider will </w:t>
      </w:r>
      <w:r w:rsidR="00F44300">
        <w:rPr>
          <w:rFonts w:ascii="Arial" w:hAnsi="Arial" w:cs="Arial"/>
        </w:rPr>
        <w:t>accommodate</w:t>
      </w:r>
      <w:r w:rsidR="00AA1F22">
        <w:rPr>
          <w:rFonts w:ascii="Arial" w:hAnsi="Arial" w:cs="Arial"/>
        </w:rPr>
        <w:t xml:space="preserve"> </w:t>
      </w:r>
      <w:r w:rsidR="00F44300">
        <w:rPr>
          <w:rFonts w:ascii="Arial" w:hAnsi="Arial" w:cs="Arial"/>
        </w:rPr>
        <w:t xml:space="preserve">at least </w:t>
      </w:r>
      <w:r w:rsidR="00AA1F22">
        <w:rPr>
          <w:rFonts w:ascii="Arial" w:hAnsi="Arial" w:cs="Arial"/>
        </w:rPr>
        <w:t>four events a year</w:t>
      </w:r>
    </w:p>
    <w:p w:rsidR="006D07D3" w:rsidRPr="006D07D3" w:rsidRDefault="006D07D3" w:rsidP="00041C10">
      <w:pPr>
        <w:spacing w:after="0" w:line="240" w:lineRule="auto"/>
        <w:rPr>
          <w:rFonts w:ascii="Arial" w:hAnsi="Arial" w:cs="Arial"/>
          <w:b/>
        </w:rPr>
      </w:pPr>
    </w:p>
    <w:p w:rsidR="005A2FF3" w:rsidRDefault="005A2FF3" w:rsidP="005A2FF3">
      <w:pPr>
        <w:pStyle w:val="ListParagraph"/>
        <w:numPr>
          <w:ilvl w:val="0"/>
          <w:numId w:val="3"/>
        </w:numPr>
        <w:spacing w:after="120"/>
        <w:rPr>
          <w:rFonts w:ascii="Arial" w:hAnsi="Arial" w:cs="Arial"/>
        </w:rPr>
      </w:pPr>
      <w:r w:rsidRPr="00815546">
        <w:rPr>
          <w:rFonts w:ascii="Arial" w:hAnsi="Arial" w:cs="Arial"/>
          <w:b/>
        </w:rPr>
        <w:t>Mail outs to tenants on specific subjects</w:t>
      </w:r>
      <w:r w:rsidRPr="00A80AA2">
        <w:rPr>
          <w:rFonts w:ascii="Arial" w:hAnsi="Arial" w:cs="Arial"/>
        </w:rPr>
        <w:t xml:space="preserve"> (e.g. offering advice to tenants who have received new heating systems to make the most of this)</w:t>
      </w:r>
      <w:r w:rsidR="00815546">
        <w:rPr>
          <w:rFonts w:ascii="Arial" w:hAnsi="Arial" w:cs="Arial"/>
        </w:rPr>
        <w:t>.  This includes production and distribution of the materials needed</w:t>
      </w:r>
      <w:r w:rsidR="00A46F9C">
        <w:rPr>
          <w:rFonts w:ascii="Arial" w:hAnsi="Arial" w:cs="Arial"/>
        </w:rPr>
        <w:t xml:space="preserve"> and translated information provided where requested</w:t>
      </w:r>
      <w:r w:rsidR="0067570C">
        <w:rPr>
          <w:rFonts w:ascii="Arial" w:hAnsi="Arial" w:cs="Arial"/>
        </w:rPr>
        <w:t>.</w:t>
      </w:r>
      <w:r w:rsidR="00755CB5">
        <w:rPr>
          <w:rFonts w:ascii="Arial" w:hAnsi="Arial" w:cs="Arial"/>
        </w:rPr>
        <w:t xml:space="preserve"> It is expected there will be at least one mail out per year to around 300 tenants</w:t>
      </w:r>
    </w:p>
    <w:p w:rsidR="006D07D3" w:rsidRPr="00A80AA2" w:rsidRDefault="006D07D3" w:rsidP="006D07D3">
      <w:pPr>
        <w:pStyle w:val="ListParagraph"/>
        <w:spacing w:after="120"/>
        <w:ind w:left="1440"/>
        <w:rPr>
          <w:rFonts w:ascii="Arial" w:hAnsi="Arial" w:cs="Arial"/>
        </w:rPr>
      </w:pPr>
    </w:p>
    <w:p w:rsidR="006D07D3" w:rsidRDefault="005A2FF3" w:rsidP="001E312D">
      <w:pPr>
        <w:pStyle w:val="ListParagraph"/>
        <w:numPr>
          <w:ilvl w:val="0"/>
          <w:numId w:val="3"/>
        </w:numPr>
        <w:spacing w:after="120"/>
        <w:rPr>
          <w:rFonts w:ascii="Arial" w:hAnsi="Arial" w:cs="Arial"/>
        </w:rPr>
      </w:pPr>
      <w:r w:rsidRPr="00815546">
        <w:rPr>
          <w:rFonts w:ascii="Arial" w:hAnsi="Arial" w:cs="Arial"/>
          <w:b/>
        </w:rPr>
        <w:t>Help sheets/leaflets/videos</w:t>
      </w:r>
      <w:r w:rsidRPr="00A80AA2">
        <w:rPr>
          <w:rFonts w:ascii="Arial" w:hAnsi="Arial" w:cs="Arial"/>
        </w:rPr>
        <w:t xml:space="preserve"> which offer advice (e.g. video showing how to use </w:t>
      </w:r>
      <w:r w:rsidR="009F72D8">
        <w:rPr>
          <w:rFonts w:ascii="Arial" w:hAnsi="Arial" w:cs="Arial"/>
        </w:rPr>
        <w:t>heating system</w:t>
      </w:r>
      <w:r w:rsidRPr="00A80AA2">
        <w:rPr>
          <w:rFonts w:ascii="Arial" w:hAnsi="Arial" w:cs="Arial"/>
        </w:rPr>
        <w:t>)</w:t>
      </w:r>
      <w:r w:rsidR="00B655D4">
        <w:rPr>
          <w:rFonts w:ascii="Arial" w:hAnsi="Arial" w:cs="Arial"/>
        </w:rPr>
        <w:t>.  This</w:t>
      </w:r>
      <w:r w:rsidR="00820650">
        <w:rPr>
          <w:rFonts w:ascii="Arial" w:hAnsi="Arial" w:cs="Arial"/>
        </w:rPr>
        <w:t xml:space="preserve"> also include</w:t>
      </w:r>
      <w:r w:rsidR="00B655D4">
        <w:rPr>
          <w:rFonts w:ascii="Arial" w:hAnsi="Arial" w:cs="Arial"/>
        </w:rPr>
        <w:t>s a requirement to produce</w:t>
      </w:r>
      <w:r w:rsidR="00820650">
        <w:rPr>
          <w:rFonts w:ascii="Arial" w:hAnsi="Arial" w:cs="Arial"/>
        </w:rPr>
        <w:t xml:space="preserve"> a</w:t>
      </w:r>
      <w:r w:rsidR="009F72D8">
        <w:rPr>
          <w:rFonts w:ascii="Arial" w:hAnsi="Arial" w:cs="Arial"/>
        </w:rPr>
        <w:t xml:space="preserve"> general</w:t>
      </w:r>
      <w:r w:rsidR="00820650">
        <w:rPr>
          <w:rFonts w:ascii="Arial" w:hAnsi="Arial" w:cs="Arial"/>
        </w:rPr>
        <w:t xml:space="preserve"> leaflet to explain what the service offers and how to make contact or make a referral</w:t>
      </w:r>
      <w:r w:rsidR="0067570C">
        <w:rPr>
          <w:rFonts w:ascii="Arial" w:hAnsi="Arial" w:cs="Arial"/>
        </w:rPr>
        <w:t>. It is expected that at least one new help sheet, leaflet and video will be required a year by the provider</w:t>
      </w:r>
    </w:p>
    <w:p w:rsidR="001E312D" w:rsidRPr="001E312D" w:rsidRDefault="001E312D" w:rsidP="001E312D">
      <w:pPr>
        <w:spacing w:after="0" w:line="240" w:lineRule="auto"/>
        <w:rPr>
          <w:rFonts w:ascii="Arial" w:hAnsi="Arial" w:cs="Arial"/>
        </w:rPr>
      </w:pPr>
    </w:p>
    <w:p w:rsidR="00201132" w:rsidRDefault="005A2FF3" w:rsidP="00201132">
      <w:pPr>
        <w:pStyle w:val="ListParagraph"/>
        <w:numPr>
          <w:ilvl w:val="0"/>
          <w:numId w:val="3"/>
        </w:numPr>
        <w:spacing w:after="120"/>
        <w:rPr>
          <w:rFonts w:ascii="Arial" w:hAnsi="Arial" w:cs="Arial"/>
        </w:rPr>
      </w:pPr>
      <w:r w:rsidRPr="00820650">
        <w:rPr>
          <w:rFonts w:ascii="Arial" w:hAnsi="Arial" w:cs="Arial"/>
          <w:b/>
        </w:rPr>
        <w:t>Information articles</w:t>
      </w:r>
      <w:r w:rsidRPr="00A80AA2">
        <w:rPr>
          <w:rFonts w:ascii="Arial" w:hAnsi="Arial" w:cs="Arial"/>
        </w:rPr>
        <w:t xml:space="preserve"> in BCC’s quarterly Housing News publication</w:t>
      </w:r>
      <w:r w:rsidR="001B3CBD">
        <w:rPr>
          <w:rFonts w:ascii="Arial" w:hAnsi="Arial" w:cs="Arial"/>
        </w:rPr>
        <w:t xml:space="preserve"> or other BCC publications as necessary</w:t>
      </w:r>
      <w:r w:rsidR="00815546">
        <w:rPr>
          <w:rFonts w:ascii="Arial" w:hAnsi="Arial" w:cs="Arial"/>
        </w:rPr>
        <w:t>.  This includes production of such articles and liaison with th</w:t>
      </w:r>
      <w:r w:rsidR="007550CF">
        <w:rPr>
          <w:rFonts w:ascii="Arial" w:hAnsi="Arial" w:cs="Arial"/>
        </w:rPr>
        <w:t>e Communications Officer for</w:t>
      </w:r>
      <w:r w:rsidR="00815546">
        <w:rPr>
          <w:rFonts w:ascii="Arial" w:hAnsi="Arial" w:cs="Arial"/>
        </w:rPr>
        <w:t xml:space="preserve"> </w:t>
      </w:r>
      <w:r w:rsidR="003B76BD">
        <w:rPr>
          <w:rFonts w:ascii="Arial" w:hAnsi="Arial" w:cs="Arial"/>
        </w:rPr>
        <w:t>Landlord Services</w:t>
      </w:r>
      <w:r w:rsidR="007550CF">
        <w:rPr>
          <w:rFonts w:ascii="Arial" w:hAnsi="Arial" w:cs="Arial"/>
        </w:rPr>
        <w:t xml:space="preserve"> </w:t>
      </w:r>
      <w:r w:rsidR="00815546">
        <w:rPr>
          <w:rFonts w:ascii="Arial" w:hAnsi="Arial" w:cs="Arial"/>
        </w:rPr>
        <w:t>regarding content, word count and deadlines</w:t>
      </w:r>
      <w:r w:rsidR="0067570C">
        <w:rPr>
          <w:rFonts w:ascii="Arial" w:hAnsi="Arial" w:cs="Arial"/>
        </w:rPr>
        <w:t>, It is expected that two articles per year will be required by the provider</w:t>
      </w:r>
    </w:p>
    <w:p w:rsidR="005A2FF3" w:rsidRPr="00201132" w:rsidRDefault="005A2FF3" w:rsidP="00201132">
      <w:pPr>
        <w:pStyle w:val="ListParagraph"/>
        <w:spacing w:after="120"/>
        <w:ind w:left="1440"/>
        <w:rPr>
          <w:rFonts w:ascii="Arial" w:hAnsi="Arial" w:cs="Arial"/>
        </w:rPr>
      </w:pPr>
      <w:r w:rsidRPr="00201132">
        <w:rPr>
          <w:rFonts w:ascii="Arial" w:hAnsi="Arial" w:cs="Arial"/>
        </w:rPr>
        <w:tab/>
      </w:r>
    </w:p>
    <w:p w:rsidR="005A2FF3" w:rsidRDefault="005A2FF3" w:rsidP="005A2FF3">
      <w:pPr>
        <w:spacing w:after="120"/>
        <w:ind w:left="720" w:hanging="720"/>
        <w:jc w:val="both"/>
        <w:rPr>
          <w:rFonts w:ascii="Arial" w:hAnsi="Arial" w:cs="Arial"/>
          <w:sz w:val="24"/>
          <w:szCs w:val="24"/>
        </w:rPr>
      </w:pPr>
      <w:r w:rsidRPr="00CC16BD">
        <w:rPr>
          <w:rFonts w:ascii="Arial" w:hAnsi="Arial" w:cs="Arial"/>
          <w:sz w:val="24"/>
          <w:szCs w:val="24"/>
        </w:rPr>
        <w:t>4.</w:t>
      </w:r>
      <w:r>
        <w:rPr>
          <w:rFonts w:ascii="Arial" w:hAnsi="Arial" w:cs="Arial"/>
          <w:sz w:val="24"/>
          <w:szCs w:val="24"/>
        </w:rPr>
        <w:t>5</w:t>
      </w:r>
      <w:r>
        <w:rPr>
          <w:rFonts w:ascii="Arial" w:hAnsi="Arial" w:cs="Arial"/>
          <w:sz w:val="24"/>
          <w:szCs w:val="24"/>
        </w:rPr>
        <w:tab/>
      </w:r>
      <w:r w:rsidR="00201132">
        <w:rPr>
          <w:rFonts w:ascii="Arial" w:hAnsi="Arial" w:cs="Arial"/>
          <w:sz w:val="24"/>
          <w:szCs w:val="24"/>
        </w:rPr>
        <w:t>The service provider mu</w:t>
      </w:r>
      <w:r>
        <w:rPr>
          <w:rFonts w:ascii="Arial" w:hAnsi="Arial" w:cs="Arial"/>
          <w:sz w:val="24"/>
          <w:szCs w:val="24"/>
        </w:rPr>
        <w:t xml:space="preserve">st </w:t>
      </w:r>
      <w:r w:rsidR="00ED3074">
        <w:rPr>
          <w:rFonts w:ascii="Arial" w:hAnsi="Arial" w:cs="Arial"/>
          <w:sz w:val="24"/>
          <w:szCs w:val="24"/>
        </w:rPr>
        <w:t xml:space="preserve">be impartial and must </w:t>
      </w:r>
      <w:r>
        <w:rPr>
          <w:rFonts w:ascii="Arial" w:hAnsi="Arial" w:cs="Arial"/>
          <w:sz w:val="24"/>
          <w:szCs w:val="24"/>
        </w:rPr>
        <w:t>not make any financial benefit from advice</w:t>
      </w:r>
      <w:r w:rsidR="00201132">
        <w:rPr>
          <w:rFonts w:ascii="Arial" w:hAnsi="Arial" w:cs="Arial"/>
          <w:sz w:val="24"/>
          <w:szCs w:val="24"/>
        </w:rPr>
        <w:t xml:space="preserve"> provided</w:t>
      </w:r>
      <w:r>
        <w:rPr>
          <w:rFonts w:ascii="Arial" w:hAnsi="Arial" w:cs="Arial"/>
          <w:sz w:val="24"/>
          <w:szCs w:val="24"/>
        </w:rPr>
        <w:t xml:space="preserve"> around switching energy supplier</w:t>
      </w:r>
      <w:r w:rsidR="00ED3074">
        <w:rPr>
          <w:rFonts w:ascii="Arial" w:hAnsi="Arial" w:cs="Arial"/>
          <w:sz w:val="24"/>
          <w:szCs w:val="24"/>
        </w:rPr>
        <w:t>.  A</w:t>
      </w:r>
      <w:r>
        <w:rPr>
          <w:rFonts w:ascii="Arial" w:hAnsi="Arial" w:cs="Arial"/>
          <w:sz w:val="24"/>
          <w:szCs w:val="24"/>
        </w:rPr>
        <w:t>ll advice offered must be in the best interests of the tenant</w:t>
      </w:r>
    </w:p>
    <w:p w:rsidR="006C5219" w:rsidRPr="00CC16BD" w:rsidRDefault="006C5219" w:rsidP="005A2FF3">
      <w:pPr>
        <w:spacing w:after="120"/>
        <w:ind w:left="720" w:hanging="720"/>
        <w:jc w:val="both"/>
        <w:rPr>
          <w:rFonts w:ascii="Arial" w:hAnsi="Arial" w:cs="Arial"/>
        </w:rPr>
      </w:pPr>
      <w:r>
        <w:rPr>
          <w:rFonts w:ascii="Arial" w:hAnsi="Arial" w:cs="Arial"/>
          <w:sz w:val="24"/>
          <w:szCs w:val="24"/>
        </w:rPr>
        <w:t>4.6</w:t>
      </w:r>
      <w:r>
        <w:rPr>
          <w:rFonts w:ascii="Arial" w:hAnsi="Arial" w:cs="Arial"/>
          <w:sz w:val="24"/>
          <w:szCs w:val="24"/>
        </w:rPr>
        <w:tab/>
        <w:t>The service provider will be expected to minimise waiting times for tenants wishing to engage in the service and will therefore be required to ensure no tenant is waiting longer than 7 days for their case to be opened</w:t>
      </w:r>
    </w:p>
    <w:p w:rsidR="005A2FF3" w:rsidRPr="005766B7" w:rsidRDefault="005A2FF3" w:rsidP="005A2FF3">
      <w:pPr>
        <w:pStyle w:val="ListParagraph"/>
        <w:spacing w:after="120"/>
        <w:rPr>
          <w:rFonts w:ascii="Arial" w:hAnsi="Arial" w:cs="Arial"/>
          <w:highlight w:val="yellow"/>
        </w:rPr>
      </w:pPr>
    </w:p>
    <w:p w:rsidR="005A2FF3" w:rsidRPr="00AF569F" w:rsidRDefault="005A2FF3" w:rsidP="005A2FF3">
      <w:pPr>
        <w:rPr>
          <w:rFonts w:ascii="Arial" w:hAnsi="Arial" w:cs="Arial"/>
          <w:b/>
          <w:sz w:val="28"/>
          <w:szCs w:val="28"/>
        </w:rPr>
      </w:pPr>
      <w:r w:rsidRPr="00AF569F">
        <w:rPr>
          <w:rFonts w:ascii="Arial" w:hAnsi="Arial" w:cs="Arial"/>
          <w:b/>
          <w:sz w:val="28"/>
          <w:szCs w:val="28"/>
        </w:rPr>
        <w:t>5</w:t>
      </w:r>
      <w:r>
        <w:rPr>
          <w:rFonts w:ascii="Arial" w:hAnsi="Arial" w:cs="Arial"/>
          <w:b/>
          <w:sz w:val="28"/>
          <w:szCs w:val="28"/>
        </w:rPr>
        <w:t>.</w:t>
      </w:r>
      <w:r w:rsidRPr="00AF569F">
        <w:rPr>
          <w:rFonts w:ascii="Arial" w:hAnsi="Arial" w:cs="Arial"/>
          <w:b/>
          <w:sz w:val="28"/>
          <w:szCs w:val="28"/>
        </w:rPr>
        <w:t xml:space="preserve">  </w:t>
      </w:r>
      <w:r w:rsidR="000D44A2">
        <w:rPr>
          <w:rFonts w:ascii="Arial" w:hAnsi="Arial" w:cs="Arial"/>
          <w:b/>
          <w:sz w:val="28"/>
          <w:szCs w:val="28"/>
        </w:rPr>
        <w:tab/>
      </w:r>
      <w:r w:rsidRPr="00AF569F">
        <w:rPr>
          <w:rFonts w:ascii="Arial" w:hAnsi="Arial" w:cs="Arial"/>
          <w:b/>
          <w:sz w:val="28"/>
          <w:szCs w:val="28"/>
        </w:rPr>
        <w:t>Service Conditions and Environmental Factors</w:t>
      </w:r>
    </w:p>
    <w:p w:rsidR="005A2FF3" w:rsidRPr="00201132" w:rsidRDefault="00201132" w:rsidP="00524985">
      <w:pPr>
        <w:spacing w:after="0" w:line="240" w:lineRule="auto"/>
        <w:ind w:left="720" w:hanging="720"/>
        <w:jc w:val="both"/>
        <w:rPr>
          <w:rFonts w:ascii="Arial" w:hAnsi="Arial" w:cs="Arial"/>
          <w:sz w:val="24"/>
          <w:szCs w:val="24"/>
        </w:rPr>
      </w:pPr>
      <w:r w:rsidRPr="00201132">
        <w:rPr>
          <w:rFonts w:ascii="Arial" w:hAnsi="Arial" w:cs="Arial"/>
          <w:sz w:val="24"/>
          <w:szCs w:val="24"/>
        </w:rPr>
        <w:t>5.1</w:t>
      </w:r>
      <w:r w:rsidRPr="00201132">
        <w:rPr>
          <w:rFonts w:ascii="Arial" w:hAnsi="Arial" w:cs="Arial"/>
          <w:sz w:val="24"/>
          <w:szCs w:val="24"/>
        </w:rPr>
        <w:tab/>
      </w:r>
      <w:r w:rsidR="003D0746">
        <w:rPr>
          <w:rFonts w:ascii="Arial" w:hAnsi="Arial" w:cs="Arial"/>
          <w:sz w:val="24"/>
          <w:szCs w:val="24"/>
        </w:rPr>
        <w:t>Where</w:t>
      </w:r>
      <w:r w:rsidR="005A2FF3" w:rsidRPr="00201132">
        <w:rPr>
          <w:rFonts w:ascii="Arial" w:hAnsi="Arial" w:cs="Arial"/>
          <w:sz w:val="24"/>
          <w:szCs w:val="24"/>
        </w:rPr>
        <w:t xml:space="preserve"> home visits are required, </w:t>
      </w:r>
      <w:r w:rsidR="003D0746">
        <w:rPr>
          <w:rFonts w:ascii="Arial" w:hAnsi="Arial" w:cs="Arial"/>
          <w:sz w:val="24"/>
          <w:szCs w:val="24"/>
        </w:rPr>
        <w:t xml:space="preserve">there </w:t>
      </w:r>
      <w:r w:rsidR="005A2FF3" w:rsidRPr="00201132">
        <w:rPr>
          <w:rFonts w:ascii="Arial" w:hAnsi="Arial" w:cs="Arial"/>
          <w:sz w:val="24"/>
          <w:szCs w:val="24"/>
        </w:rPr>
        <w:t xml:space="preserve">may occasionally </w:t>
      </w:r>
      <w:r w:rsidR="003D0746">
        <w:rPr>
          <w:rFonts w:ascii="Arial" w:hAnsi="Arial" w:cs="Arial"/>
          <w:sz w:val="24"/>
          <w:szCs w:val="24"/>
        </w:rPr>
        <w:t>be</w:t>
      </w:r>
      <w:r w:rsidR="005A2FF3" w:rsidRPr="00201132">
        <w:rPr>
          <w:rFonts w:ascii="Arial" w:hAnsi="Arial" w:cs="Arial"/>
          <w:sz w:val="24"/>
          <w:szCs w:val="24"/>
        </w:rPr>
        <w:t xml:space="preserve"> a need to attend</w:t>
      </w:r>
      <w:r w:rsidR="003D0746">
        <w:rPr>
          <w:rFonts w:ascii="Arial" w:hAnsi="Arial" w:cs="Arial"/>
          <w:sz w:val="24"/>
          <w:szCs w:val="24"/>
        </w:rPr>
        <w:t xml:space="preserve"> a property</w:t>
      </w:r>
      <w:r w:rsidR="005A2FF3" w:rsidRPr="00201132">
        <w:rPr>
          <w:rFonts w:ascii="Arial" w:hAnsi="Arial" w:cs="Arial"/>
          <w:sz w:val="24"/>
          <w:szCs w:val="24"/>
        </w:rPr>
        <w:t xml:space="preserve"> in pairs, or to attend with a BCC Officer.  </w:t>
      </w:r>
      <w:r w:rsidR="003B76BD">
        <w:rPr>
          <w:rFonts w:ascii="Arial" w:hAnsi="Arial" w:cs="Arial"/>
          <w:sz w:val="24"/>
          <w:szCs w:val="24"/>
        </w:rPr>
        <w:t xml:space="preserve">Landlord Services </w:t>
      </w:r>
      <w:r w:rsidR="005A2FF3" w:rsidRPr="00201132">
        <w:rPr>
          <w:rFonts w:ascii="Arial" w:hAnsi="Arial" w:cs="Arial"/>
          <w:sz w:val="24"/>
          <w:szCs w:val="24"/>
        </w:rPr>
        <w:t>will ensure that addresses requiring a home visit will be checked for any known hazard.  There will be a procedure in place for the successful service provider to request this information before each visit.</w:t>
      </w:r>
    </w:p>
    <w:p w:rsidR="005A2FF3" w:rsidRDefault="005A2FF3" w:rsidP="005A2FF3">
      <w:pPr>
        <w:pStyle w:val="ListParagraph"/>
        <w:jc w:val="both"/>
        <w:rPr>
          <w:rFonts w:ascii="Arial" w:hAnsi="Arial" w:cs="Arial"/>
        </w:rPr>
      </w:pPr>
    </w:p>
    <w:p w:rsidR="005A2FF3" w:rsidRDefault="009F72D8" w:rsidP="00C068B2">
      <w:pPr>
        <w:ind w:left="720" w:hanging="720"/>
        <w:rPr>
          <w:rFonts w:ascii="Arial" w:hAnsi="Arial" w:cs="Arial"/>
          <w:sz w:val="24"/>
          <w:szCs w:val="24"/>
        </w:rPr>
      </w:pPr>
      <w:r>
        <w:rPr>
          <w:rFonts w:ascii="Arial" w:hAnsi="Arial" w:cs="Arial"/>
          <w:sz w:val="24"/>
          <w:szCs w:val="24"/>
        </w:rPr>
        <w:t>5.2</w:t>
      </w:r>
      <w:r w:rsidR="0025351E" w:rsidRPr="0025351E">
        <w:rPr>
          <w:rFonts w:ascii="Arial" w:hAnsi="Arial" w:cs="Arial"/>
          <w:sz w:val="24"/>
          <w:szCs w:val="24"/>
        </w:rPr>
        <w:tab/>
      </w:r>
      <w:r w:rsidR="005A2FF3" w:rsidRPr="0025351E">
        <w:rPr>
          <w:rFonts w:ascii="Arial" w:hAnsi="Arial" w:cs="Arial"/>
          <w:sz w:val="24"/>
          <w:szCs w:val="24"/>
        </w:rPr>
        <w:t xml:space="preserve">BCC houses a number of tenants with vulnerabilities around physical health, mental health or addiction issues.  The service provider will be expected to treat </w:t>
      </w:r>
      <w:r w:rsidR="00C068B2">
        <w:rPr>
          <w:rFonts w:ascii="Arial" w:hAnsi="Arial" w:cs="Arial"/>
          <w:sz w:val="24"/>
          <w:szCs w:val="24"/>
        </w:rPr>
        <w:t>a</w:t>
      </w:r>
      <w:r w:rsidR="00C068B2" w:rsidRPr="00C068B2">
        <w:rPr>
          <w:rFonts w:ascii="Arial" w:hAnsi="Arial" w:cs="Arial"/>
          <w:sz w:val="24"/>
          <w:szCs w:val="24"/>
        </w:rPr>
        <w:t>ll tenants p</w:t>
      </w:r>
      <w:r w:rsidR="00C068B2">
        <w:rPr>
          <w:rFonts w:ascii="Arial" w:hAnsi="Arial" w:cs="Arial"/>
          <w:sz w:val="24"/>
          <w:szCs w:val="24"/>
        </w:rPr>
        <w:t>rofessionally, with respect and sensitivity, and without judgement.</w:t>
      </w:r>
    </w:p>
    <w:p w:rsidR="00C2421E" w:rsidRDefault="001A0E2C" w:rsidP="00C068B2">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 xml:space="preserve">The service should </w:t>
      </w:r>
      <w:r w:rsidR="00C2421E">
        <w:rPr>
          <w:rFonts w:ascii="Arial" w:hAnsi="Arial" w:cs="Arial"/>
          <w:sz w:val="24"/>
          <w:szCs w:val="24"/>
        </w:rPr>
        <w:t>offer support to</w:t>
      </w:r>
      <w:r>
        <w:rPr>
          <w:rFonts w:ascii="Arial" w:hAnsi="Arial" w:cs="Arial"/>
          <w:sz w:val="24"/>
          <w:szCs w:val="24"/>
        </w:rPr>
        <w:t xml:space="preserve"> tenants but should not be disparaging of BCC’s policies/procedures</w:t>
      </w:r>
      <w:r w:rsidR="00523DDB">
        <w:rPr>
          <w:rFonts w:ascii="Arial" w:hAnsi="Arial" w:cs="Arial"/>
          <w:sz w:val="24"/>
          <w:szCs w:val="24"/>
        </w:rPr>
        <w:t xml:space="preserve"> in front of</w:t>
      </w:r>
      <w:r w:rsidR="0044264D">
        <w:rPr>
          <w:rFonts w:ascii="Arial" w:hAnsi="Arial" w:cs="Arial"/>
          <w:sz w:val="24"/>
          <w:szCs w:val="24"/>
        </w:rPr>
        <w:t xml:space="preserve"> tenants</w:t>
      </w:r>
      <w:r>
        <w:rPr>
          <w:rFonts w:ascii="Arial" w:hAnsi="Arial" w:cs="Arial"/>
          <w:sz w:val="24"/>
          <w:szCs w:val="24"/>
        </w:rPr>
        <w:t xml:space="preserve">.  </w:t>
      </w:r>
      <w:r w:rsidR="001B3C29">
        <w:rPr>
          <w:rFonts w:ascii="Arial" w:hAnsi="Arial" w:cs="Arial"/>
          <w:sz w:val="24"/>
          <w:szCs w:val="24"/>
        </w:rPr>
        <w:t>Any tenant who</w:t>
      </w:r>
      <w:r>
        <w:rPr>
          <w:rFonts w:ascii="Arial" w:hAnsi="Arial" w:cs="Arial"/>
          <w:sz w:val="24"/>
          <w:szCs w:val="24"/>
        </w:rPr>
        <w:t xml:space="preserve"> wish</w:t>
      </w:r>
      <w:r w:rsidR="001B3C29">
        <w:rPr>
          <w:rFonts w:ascii="Arial" w:hAnsi="Arial" w:cs="Arial"/>
          <w:sz w:val="24"/>
          <w:szCs w:val="24"/>
        </w:rPr>
        <w:t>es</w:t>
      </w:r>
      <w:r>
        <w:rPr>
          <w:rFonts w:ascii="Arial" w:hAnsi="Arial" w:cs="Arial"/>
          <w:sz w:val="24"/>
          <w:szCs w:val="24"/>
        </w:rPr>
        <w:t xml:space="preserve"> to </w:t>
      </w:r>
      <w:r w:rsidR="0044264D">
        <w:rPr>
          <w:rFonts w:ascii="Arial" w:hAnsi="Arial" w:cs="Arial"/>
          <w:sz w:val="24"/>
          <w:szCs w:val="24"/>
        </w:rPr>
        <w:t>request a repair</w:t>
      </w:r>
      <w:r w:rsidR="001B3C29">
        <w:rPr>
          <w:rFonts w:ascii="Arial" w:hAnsi="Arial" w:cs="Arial"/>
          <w:sz w:val="24"/>
          <w:szCs w:val="24"/>
        </w:rPr>
        <w:t xml:space="preserve"> or has</w:t>
      </w:r>
      <w:r>
        <w:rPr>
          <w:rFonts w:ascii="Arial" w:hAnsi="Arial" w:cs="Arial"/>
          <w:sz w:val="24"/>
          <w:szCs w:val="24"/>
        </w:rPr>
        <w:t xml:space="preserve"> a complaint about a BCC service should be referred to the rel</w:t>
      </w:r>
      <w:r w:rsidR="00524985">
        <w:rPr>
          <w:rFonts w:ascii="Arial" w:hAnsi="Arial" w:cs="Arial"/>
          <w:sz w:val="24"/>
          <w:szCs w:val="24"/>
        </w:rPr>
        <w:t>evant BCC team for a response.</w:t>
      </w:r>
    </w:p>
    <w:p w:rsidR="001A0E2C" w:rsidRPr="00C068B2" w:rsidRDefault="00C2421E" w:rsidP="00C068B2">
      <w:pPr>
        <w:ind w:left="720" w:hanging="720"/>
        <w:rPr>
          <w:rFonts w:ascii="Palatino Linotype" w:hAnsi="Palatino Linotype"/>
        </w:rPr>
      </w:pPr>
      <w:r>
        <w:rPr>
          <w:rFonts w:ascii="Arial" w:hAnsi="Arial" w:cs="Arial"/>
          <w:sz w:val="24"/>
          <w:szCs w:val="24"/>
        </w:rPr>
        <w:t>5.4</w:t>
      </w:r>
      <w:r>
        <w:rPr>
          <w:rFonts w:ascii="Arial" w:hAnsi="Arial" w:cs="Arial"/>
          <w:sz w:val="24"/>
          <w:szCs w:val="24"/>
        </w:rPr>
        <w:tab/>
      </w:r>
      <w:r w:rsidR="0044264D">
        <w:rPr>
          <w:rFonts w:ascii="Arial" w:hAnsi="Arial" w:cs="Arial"/>
          <w:sz w:val="24"/>
          <w:szCs w:val="24"/>
        </w:rPr>
        <w:t xml:space="preserve">Feedback to </w:t>
      </w:r>
      <w:r w:rsidR="003B76BD">
        <w:rPr>
          <w:rFonts w:ascii="Arial" w:hAnsi="Arial" w:cs="Arial"/>
          <w:sz w:val="24"/>
          <w:szCs w:val="24"/>
        </w:rPr>
        <w:t xml:space="preserve">Landlord Services </w:t>
      </w:r>
      <w:r w:rsidR="0044264D">
        <w:rPr>
          <w:rFonts w:ascii="Arial" w:hAnsi="Arial" w:cs="Arial"/>
          <w:sz w:val="24"/>
          <w:szCs w:val="24"/>
        </w:rPr>
        <w:t>on repairs</w:t>
      </w:r>
      <w:r w:rsidR="00523DDB">
        <w:rPr>
          <w:rFonts w:ascii="Arial" w:hAnsi="Arial" w:cs="Arial"/>
          <w:sz w:val="24"/>
          <w:szCs w:val="24"/>
        </w:rPr>
        <w:t xml:space="preserve"> services</w:t>
      </w:r>
      <w:r w:rsidR="0044264D">
        <w:rPr>
          <w:rFonts w:ascii="Arial" w:hAnsi="Arial" w:cs="Arial"/>
          <w:sz w:val="24"/>
          <w:szCs w:val="24"/>
        </w:rPr>
        <w:t xml:space="preserve"> or planned maintenance programmes is welcomed</w:t>
      </w:r>
      <w:r w:rsidR="004626EB">
        <w:rPr>
          <w:rFonts w:ascii="Arial" w:hAnsi="Arial" w:cs="Arial"/>
          <w:sz w:val="24"/>
          <w:szCs w:val="24"/>
        </w:rPr>
        <w:t xml:space="preserve"> and should be passed to the </w:t>
      </w:r>
      <w:r w:rsidR="003B76BD">
        <w:rPr>
          <w:rFonts w:ascii="Arial" w:hAnsi="Arial" w:cs="Arial"/>
          <w:sz w:val="24"/>
          <w:szCs w:val="24"/>
        </w:rPr>
        <w:t xml:space="preserve">Landlord Services </w:t>
      </w:r>
      <w:r w:rsidR="00DD2AB9">
        <w:rPr>
          <w:rFonts w:ascii="Arial" w:hAnsi="Arial" w:cs="Arial"/>
          <w:sz w:val="24"/>
          <w:szCs w:val="24"/>
        </w:rPr>
        <w:t>contract manager</w:t>
      </w:r>
      <w:r w:rsidR="004626EB">
        <w:rPr>
          <w:rFonts w:ascii="Arial" w:hAnsi="Arial" w:cs="Arial"/>
          <w:sz w:val="24"/>
          <w:szCs w:val="24"/>
        </w:rPr>
        <w:t>.</w:t>
      </w:r>
    </w:p>
    <w:p w:rsidR="005A2FF3" w:rsidRPr="00AF569F" w:rsidRDefault="005A2FF3" w:rsidP="00524985">
      <w:pPr>
        <w:pStyle w:val="ListParagraph"/>
        <w:jc w:val="both"/>
        <w:rPr>
          <w:rFonts w:ascii="Arial" w:hAnsi="Arial" w:cs="Arial"/>
        </w:rPr>
      </w:pPr>
    </w:p>
    <w:p w:rsidR="006A07AE" w:rsidRPr="009F72D8" w:rsidRDefault="00524985" w:rsidP="009F72D8">
      <w:pPr>
        <w:ind w:left="720" w:hanging="720"/>
        <w:jc w:val="both"/>
        <w:rPr>
          <w:rFonts w:ascii="Arial" w:hAnsi="Arial" w:cs="Arial"/>
          <w:sz w:val="24"/>
          <w:szCs w:val="24"/>
        </w:rPr>
      </w:pPr>
      <w:r>
        <w:rPr>
          <w:rFonts w:ascii="Arial" w:hAnsi="Arial" w:cs="Arial"/>
          <w:sz w:val="24"/>
          <w:szCs w:val="24"/>
        </w:rPr>
        <w:t>5.</w:t>
      </w:r>
      <w:r w:rsidR="00C2421E">
        <w:rPr>
          <w:rFonts w:ascii="Arial" w:hAnsi="Arial" w:cs="Arial"/>
          <w:sz w:val="24"/>
          <w:szCs w:val="24"/>
        </w:rPr>
        <w:t>5</w:t>
      </w:r>
      <w:r w:rsidR="0025351E" w:rsidRPr="00614A2D">
        <w:rPr>
          <w:rFonts w:ascii="Arial" w:hAnsi="Arial" w:cs="Arial"/>
          <w:sz w:val="24"/>
          <w:szCs w:val="24"/>
        </w:rPr>
        <w:tab/>
      </w:r>
      <w:r w:rsidR="00ED3074">
        <w:rPr>
          <w:rFonts w:ascii="Arial" w:hAnsi="Arial" w:cs="Arial"/>
          <w:sz w:val="24"/>
          <w:szCs w:val="24"/>
        </w:rPr>
        <w:t>The service provider</w:t>
      </w:r>
      <w:r w:rsidR="005A2FF3" w:rsidRPr="00FF5177">
        <w:rPr>
          <w:rFonts w:ascii="Arial" w:hAnsi="Arial" w:cs="Arial"/>
          <w:sz w:val="24"/>
          <w:szCs w:val="24"/>
        </w:rPr>
        <w:t xml:space="preserve"> will be expected to comply with the following sustainability requirements:</w:t>
      </w:r>
    </w:p>
    <w:p w:rsidR="00614A2D" w:rsidRDefault="00614A2D" w:rsidP="001A0E2C">
      <w:pPr>
        <w:pStyle w:val="ListParagraph"/>
        <w:numPr>
          <w:ilvl w:val="0"/>
          <w:numId w:val="23"/>
        </w:numPr>
        <w:rPr>
          <w:rFonts w:ascii="Arial" w:hAnsi="Arial" w:cs="Arial"/>
        </w:rPr>
      </w:pPr>
      <w:r w:rsidRPr="00FF5177">
        <w:rPr>
          <w:rFonts w:ascii="Arial" w:hAnsi="Arial" w:cs="Arial"/>
        </w:rPr>
        <w:t>U</w:t>
      </w:r>
      <w:r w:rsidRPr="009F72D8">
        <w:rPr>
          <w:rFonts w:ascii="Arial" w:hAnsi="Arial" w:cs="Arial"/>
        </w:rPr>
        <w:t>s</w:t>
      </w:r>
      <w:r w:rsidRPr="00FF5177">
        <w:rPr>
          <w:rFonts w:ascii="Arial" w:hAnsi="Arial" w:cs="Arial"/>
        </w:rPr>
        <w:t>e</w:t>
      </w:r>
      <w:r w:rsidRPr="009F72D8">
        <w:rPr>
          <w:rFonts w:ascii="Arial" w:hAnsi="Arial" w:cs="Arial"/>
        </w:rPr>
        <w:t xml:space="preserve"> products and practices which reduce environmental impacts</w:t>
      </w:r>
    </w:p>
    <w:p w:rsidR="00A326E8" w:rsidRPr="00FF5177" w:rsidRDefault="00A326E8" w:rsidP="001A0E2C">
      <w:pPr>
        <w:pStyle w:val="ListParagraph"/>
        <w:ind w:left="1440"/>
        <w:rPr>
          <w:rFonts w:ascii="Arial" w:hAnsi="Arial" w:cs="Arial"/>
        </w:rPr>
      </w:pPr>
    </w:p>
    <w:p w:rsidR="00A326E8" w:rsidRDefault="00614A2D" w:rsidP="001A0E2C">
      <w:pPr>
        <w:pStyle w:val="ListParagraph"/>
        <w:numPr>
          <w:ilvl w:val="0"/>
          <w:numId w:val="23"/>
        </w:numPr>
        <w:rPr>
          <w:rFonts w:ascii="Arial" w:hAnsi="Arial" w:cs="Arial"/>
        </w:rPr>
      </w:pPr>
      <w:r w:rsidRPr="009F72D8">
        <w:rPr>
          <w:rFonts w:ascii="Arial" w:hAnsi="Arial" w:cs="Arial"/>
        </w:rPr>
        <w:t xml:space="preserve">Ensure that </w:t>
      </w:r>
      <w:r w:rsidR="000F1DC5" w:rsidRPr="00FF5177">
        <w:rPr>
          <w:rFonts w:ascii="Arial" w:hAnsi="Arial" w:cs="Arial"/>
        </w:rPr>
        <w:t xml:space="preserve">any </w:t>
      </w:r>
      <w:r w:rsidRPr="009F72D8">
        <w:rPr>
          <w:rFonts w:ascii="Arial" w:hAnsi="Arial" w:cs="Arial"/>
        </w:rPr>
        <w:t xml:space="preserve">staff and </w:t>
      </w:r>
      <w:r w:rsidR="000F1DC5" w:rsidRPr="00FF5177">
        <w:rPr>
          <w:rFonts w:ascii="Arial" w:hAnsi="Arial" w:cs="Arial"/>
        </w:rPr>
        <w:t>subcontractors involved in the deliver</w:t>
      </w:r>
      <w:r w:rsidR="006E22C1" w:rsidRPr="00FF5177">
        <w:rPr>
          <w:rFonts w:ascii="Arial" w:hAnsi="Arial" w:cs="Arial"/>
        </w:rPr>
        <w:t>y</w:t>
      </w:r>
      <w:r w:rsidR="000F1DC5" w:rsidRPr="00FF5177">
        <w:rPr>
          <w:rFonts w:ascii="Arial" w:hAnsi="Arial" w:cs="Arial"/>
        </w:rPr>
        <w:t xml:space="preserve"> of this contract </w:t>
      </w:r>
      <w:r w:rsidRPr="009F72D8">
        <w:rPr>
          <w:rFonts w:ascii="Arial" w:hAnsi="Arial" w:cs="Arial"/>
        </w:rPr>
        <w:t>receive</w:t>
      </w:r>
      <w:r w:rsidR="000F1DC5" w:rsidRPr="00FF5177">
        <w:rPr>
          <w:rFonts w:ascii="Arial" w:hAnsi="Arial" w:cs="Arial"/>
        </w:rPr>
        <w:t xml:space="preserve"> a</w:t>
      </w:r>
      <w:r w:rsidR="006E22C1" w:rsidRPr="00FF5177">
        <w:rPr>
          <w:rFonts w:ascii="Arial" w:hAnsi="Arial" w:cs="Arial"/>
        </w:rPr>
        <w:t>n appropriate</w:t>
      </w:r>
      <w:r w:rsidR="000F1DC5" w:rsidRPr="00FF5177">
        <w:rPr>
          <w:rFonts w:ascii="Arial" w:hAnsi="Arial" w:cs="Arial"/>
        </w:rPr>
        <w:t xml:space="preserve"> level of </w:t>
      </w:r>
      <w:r w:rsidR="0001407E" w:rsidRPr="009F72D8">
        <w:rPr>
          <w:rFonts w:ascii="Arial" w:hAnsi="Arial" w:cs="Arial"/>
        </w:rPr>
        <w:t>training</w:t>
      </w:r>
      <w:r w:rsidR="0001407E" w:rsidRPr="00FF5177">
        <w:rPr>
          <w:rFonts w:ascii="Arial" w:hAnsi="Arial" w:cs="Arial"/>
        </w:rPr>
        <w:t xml:space="preserve"> in </w:t>
      </w:r>
      <w:r w:rsidRPr="009F72D8">
        <w:rPr>
          <w:rFonts w:ascii="Arial" w:hAnsi="Arial" w:cs="Arial"/>
        </w:rPr>
        <w:t>sustainability</w:t>
      </w:r>
      <w:r w:rsidR="007B7E7F">
        <w:rPr>
          <w:rFonts w:ascii="Arial" w:hAnsi="Arial" w:cs="Arial"/>
        </w:rPr>
        <w:t xml:space="preserve"> and energy efficiency awareness</w:t>
      </w:r>
      <w:r w:rsidR="0033143E">
        <w:rPr>
          <w:rFonts w:ascii="Arial" w:hAnsi="Arial" w:cs="Arial"/>
        </w:rPr>
        <w:t xml:space="preserve"> </w:t>
      </w:r>
    </w:p>
    <w:p w:rsidR="006A07AE" w:rsidRDefault="006A07AE" w:rsidP="001A0E2C">
      <w:pPr>
        <w:pStyle w:val="ListParagraph"/>
        <w:numPr>
          <w:ilvl w:val="0"/>
          <w:numId w:val="23"/>
        </w:numPr>
        <w:rPr>
          <w:rFonts w:ascii="Arial" w:hAnsi="Arial" w:cs="Arial"/>
        </w:rPr>
      </w:pPr>
      <w:r w:rsidRPr="009F72D8">
        <w:rPr>
          <w:rFonts w:ascii="Arial" w:hAnsi="Arial" w:cs="Arial"/>
        </w:rPr>
        <w:t>Ensure that Service providers</w:t>
      </w:r>
      <w:r w:rsidR="008750B3">
        <w:rPr>
          <w:rFonts w:ascii="Arial" w:hAnsi="Arial" w:cs="Arial"/>
        </w:rPr>
        <w:t>’</w:t>
      </w:r>
      <w:r w:rsidRPr="009F72D8">
        <w:rPr>
          <w:rFonts w:ascii="Arial" w:hAnsi="Arial" w:cs="Arial"/>
        </w:rPr>
        <w:t xml:space="preserve"> staff will be paid fairly and will incorporate changes in regul</w:t>
      </w:r>
      <w:r w:rsidR="004626EB">
        <w:rPr>
          <w:rFonts w:ascii="Arial" w:hAnsi="Arial" w:cs="Arial"/>
        </w:rPr>
        <w:t>ations, such as the living wage</w:t>
      </w:r>
    </w:p>
    <w:p w:rsidR="001A0E2C" w:rsidRPr="001A0E2C" w:rsidRDefault="001A0E2C" w:rsidP="001A0E2C">
      <w:pPr>
        <w:spacing w:after="0" w:line="240" w:lineRule="auto"/>
        <w:rPr>
          <w:rFonts w:ascii="Arial" w:hAnsi="Arial" w:cs="Arial"/>
        </w:rPr>
      </w:pPr>
    </w:p>
    <w:p w:rsidR="00F7538D" w:rsidRPr="009F72D8" w:rsidRDefault="006A07AE" w:rsidP="001A0E2C">
      <w:pPr>
        <w:pStyle w:val="ListParagraph"/>
        <w:numPr>
          <w:ilvl w:val="0"/>
          <w:numId w:val="23"/>
        </w:numPr>
        <w:rPr>
          <w:rFonts w:ascii="Arial" w:hAnsi="Arial" w:cs="Arial"/>
        </w:rPr>
      </w:pPr>
      <w:r w:rsidRPr="009F72D8">
        <w:rPr>
          <w:rFonts w:ascii="Arial" w:hAnsi="Arial" w:cs="Arial"/>
        </w:rPr>
        <w:t>Ensure that contract delivery will be flexible enough to meet changing social and economic needs</w:t>
      </w:r>
    </w:p>
    <w:p w:rsidR="00456398" w:rsidRPr="000F288A" w:rsidRDefault="00456398" w:rsidP="00614A2D">
      <w:pPr>
        <w:rPr>
          <w:rFonts w:ascii="Arial" w:hAnsi="Arial" w:cs="Arial"/>
          <w:color w:val="FF0000"/>
          <w:sz w:val="24"/>
          <w:szCs w:val="24"/>
        </w:rPr>
      </w:pPr>
    </w:p>
    <w:p w:rsidR="005A2FF3" w:rsidRPr="00AF569F" w:rsidRDefault="005A2FF3" w:rsidP="005A2FF3">
      <w:pPr>
        <w:rPr>
          <w:rFonts w:ascii="Arial" w:hAnsi="Arial" w:cs="Arial"/>
          <w:b/>
          <w:sz w:val="28"/>
          <w:szCs w:val="28"/>
        </w:rPr>
      </w:pPr>
      <w:r w:rsidRPr="00AF569F">
        <w:rPr>
          <w:rFonts w:ascii="Arial" w:hAnsi="Arial" w:cs="Arial"/>
          <w:b/>
          <w:sz w:val="28"/>
          <w:szCs w:val="28"/>
        </w:rPr>
        <w:t>6</w:t>
      </w:r>
      <w:r>
        <w:rPr>
          <w:rFonts w:ascii="Arial" w:hAnsi="Arial" w:cs="Arial"/>
          <w:b/>
          <w:sz w:val="28"/>
          <w:szCs w:val="28"/>
        </w:rPr>
        <w:t>.</w:t>
      </w:r>
      <w:r w:rsidR="00A326E8">
        <w:rPr>
          <w:rFonts w:ascii="Arial" w:hAnsi="Arial" w:cs="Arial"/>
          <w:b/>
          <w:sz w:val="28"/>
          <w:szCs w:val="28"/>
        </w:rPr>
        <w:tab/>
        <w:t>Technology and S</w:t>
      </w:r>
      <w:r w:rsidRPr="00AF569F">
        <w:rPr>
          <w:rFonts w:ascii="Arial" w:hAnsi="Arial" w:cs="Arial"/>
          <w:b/>
          <w:sz w:val="28"/>
          <w:szCs w:val="28"/>
        </w:rPr>
        <w:t>ystems</w:t>
      </w:r>
    </w:p>
    <w:p w:rsidR="005A2FF3" w:rsidRDefault="005A2FF3" w:rsidP="005A2FF3">
      <w:pPr>
        <w:ind w:left="709" w:hanging="709"/>
        <w:rPr>
          <w:rFonts w:ascii="Arial" w:hAnsi="Arial" w:cs="Arial"/>
          <w:sz w:val="24"/>
          <w:szCs w:val="24"/>
        </w:rPr>
      </w:pPr>
      <w:r w:rsidRPr="0067673E">
        <w:rPr>
          <w:rFonts w:ascii="Arial" w:hAnsi="Arial" w:cs="Arial"/>
          <w:sz w:val="24"/>
          <w:szCs w:val="24"/>
        </w:rPr>
        <w:t>6.1</w:t>
      </w:r>
      <w:r w:rsidRPr="0067673E">
        <w:rPr>
          <w:rFonts w:ascii="Arial" w:hAnsi="Arial" w:cs="Arial"/>
          <w:sz w:val="24"/>
          <w:szCs w:val="24"/>
        </w:rPr>
        <w:tab/>
        <w:t xml:space="preserve">The </w:t>
      </w:r>
      <w:r>
        <w:rPr>
          <w:rFonts w:ascii="Arial" w:hAnsi="Arial" w:cs="Arial"/>
          <w:sz w:val="24"/>
          <w:szCs w:val="24"/>
        </w:rPr>
        <w:t>service provider</w:t>
      </w:r>
      <w:r w:rsidRPr="0067673E">
        <w:rPr>
          <w:rFonts w:ascii="Arial" w:hAnsi="Arial" w:cs="Arial"/>
          <w:sz w:val="24"/>
          <w:szCs w:val="24"/>
        </w:rPr>
        <w:t xml:space="preserve"> will be expected to set up</w:t>
      </w:r>
      <w:r>
        <w:rPr>
          <w:rFonts w:ascii="Arial" w:hAnsi="Arial" w:cs="Arial"/>
          <w:sz w:val="24"/>
          <w:szCs w:val="24"/>
        </w:rPr>
        <w:t xml:space="preserve"> or have</w:t>
      </w:r>
      <w:r w:rsidRPr="0067673E">
        <w:rPr>
          <w:rFonts w:ascii="Arial" w:hAnsi="Arial" w:cs="Arial"/>
          <w:sz w:val="24"/>
          <w:szCs w:val="24"/>
        </w:rPr>
        <w:t xml:space="preserve"> a</w:t>
      </w:r>
      <w:r>
        <w:rPr>
          <w:rFonts w:ascii="Arial" w:hAnsi="Arial" w:cs="Arial"/>
          <w:sz w:val="24"/>
          <w:szCs w:val="24"/>
        </w:rPr>
        <w:t>n existing</w:t>
      </w:r>
      <w:r w:rsidRPr="0067673E">
        <w:rPr>
          <w:rFonts w:ascii="Arial" w:hAnsi="Arial" w:cs="Arial"/>
          <w:sz w:val="24"/>
          <w:szCs w:val="24"/>
        </w:rPr>
        <w:t xml:space="preserve"> database </w:t>
      </w:r>
      <w:r>
        <w:rPr>
          <w:rFonts w:ascii="Arial" w:hAnsi="Arial" w:cs="Arial"/>
          <w:sz w:val="24"/>
          <w:szCs w:val="24"/>
        </w:rPr>
        <w:t>which will</w:t>
      </w:r>
      <w:r w:rsidRPr="0067673E">
        <w:rPr>
          <w:rFonts w:ascii="Arial" w:hAnsi="Arial" w:cs="Arial"/>
          <w:sz w:val="24"/>
          <w:szCs w:val="24"/>
        </w:rPr>
        <w:t xml:space="preserve"> record and maintain accurate </w:t>
      </w:r>
      <w:r>
        <w:rPr>
          <w:rFonts w:ascii="Arial" w:hAnsi="Arial" w:cs="Arial"/>
          <w:sz w:val="24"/>
          <w:szCs w:val="24"/>
        </w:rPr>
        <w:t>information</w:t>
      </w:r>
      <w:r w:rsidRPr="0067673E">
        <w:rPr>
          <w:rFonts w:ascii="Arial" w:hAnsi="Arial" w:cs="Arial"/>
          <w:sz w:val="24"/>
          <w:szCs w:val="24"/>
        </w:rPr>
        <w:t xml:space="preserve"> regarding</w:t>
      </w:r>
      <w:r>
        <w:rPr>
          <w:rFonts w:ascii="Arial" w:hAnsi="Arial" w:cs="Arial"/>
          <w:sz w:val="24"/>
          <w:szCs w:val="24"/>
        </w:rPr>
        <w:t xml:space="preserve"> contract </w:t>
      </w:r>
      <w:r w:rsidRPr="0067673E">
        <w:rPr>
          <w:rFonts w:ascii="Arial" w:hAnsi="Arial" w:cs="Arial"/>
          <w:sz w:val="24"/>
          <w:szCs w:val="24"/>
        </w:rPr>
        <w:t xml:space="preserve">performance and </w:t>
      </w:r>
      <w:r>
        <w:rPr>
          <w:rFonts w:ascii="Arial" w:hAnsi="Arial" w:cs="Arial"/>
          <w:sz w:val="24"/>
          <w:szCs w:val="24"/>
        </w:rPr>
        <w:t xml:space="preserve">spend </w:t>
      </w:r>
      <w:r w:rsidR="000F288A">
        <w:rPr>
          <w:rFonts w:ascii="Arial" w:hAnsi="Arial" w:cs="Arial"/>
          <w:sz w:val="24"/>
          <w:szCs w:val="24"/>
        </w:rPr>
        <w:t xml:space="preserve">analysis.  </w:t>
      </w:r>
      <w:r w:rsidRPr="0067673E">
        <w:rPr>
          <w:rFonts w:ascii="Arial" w:hAnsi="Arial" w:cs="Arial"/>
          <w:sz w:val="24"/>
          <w:szCs w:val="24"/>
        </w:rPr>
        <w:t xml:space="preserve">This database </w:t>
      </w:r>
      <w:r>
        <w:rPr>
          <w:rFonts w:ascii="Arial" w:hAnsi="Arial" w:cs="Arial"/>
          <w:sz w:val="24"/>
          <w:szCs w:val="24"/>
        </w:rPr>
        <w:t>must be capable of</w:t>
      </w:r>
      <w:r w:rsidRPr="0067673E">
        <w:rPr>
          <w:rFonts w:ascii="Arial" w:hAnsi="Arial" w:cs="Arial"/>
          <w:sz w:val="24"/>
          <w:szCs w:val="24"/>
        </w:rPr>
        <w:t xml:space="preserve"> stor</w:t>
      </w:r>
      <w:r>
        <w:rPr>
          <w:rFonts w:ascii="Arial" w:hAnsi="Arial" w:cs="Arial"/>
          <w:sz w:val="24"/>
          <w:szCs w:val="24"/>
        </w:rPr>
        <w:t>ing</w:t>
      </w:r>
      <w:r w:rsidRPr="0067673E">
        <w:rPr>
          <w:rFonts w:ascii="Arial" w:hAnsi="Arial" w:cs="Arial"/>
          <w:sz w:val="24"/>
          <w:szCs w:val="24"/>
        </w:rPr>
        <w:t xml:space="preserve"> tenant</w:t>
      </w:r>
      <w:r>
        <w:rPr>
          <w:rFonts w:ascii="Arial" w:hAnsi="Arial" w:cs="Arial"/>
          <w:sz w:val="24"/>
          <w:szCs w:val="24"/>
        </w:rPr>
        <w:t>s</w:t>
      </w:r>
      <w:r w:rsidR="000F288A">
        <w:rPr>
          <w:rFonts w:ascii="Arial" w:hAnsi="Arial" w:cs="Arial"/>
          <w:sz w:val="24"/>
          <w:szCs w:val="24"/>
        </w:rPr>
        <w:t>’</w:t>
      </w:r>
      <w:r w:rsidRPr="0067673E">
        <w:rPr>
          <w:rFonts w:ascii="Arial" w:hAnsi="Arial" w:cs="Arial"/>
          <w:sz w:val="24"/>
          <w:szCs w:val="24"/>
        </w:rPr>
        <w:t xml:space="preserve"> data in accordance with </w:t>
      </w:r>
      <w:r>
        <w:rPr>
          <w:rFonts w:ascii="Arial" w:hAnsi="Arial" w:cs="Arial"/>
          <w:sz w:val="24"/>
          <w:szCs w:val="24"/>
        </w:rPr>
        <w:t>the D</w:t>
      </w:r>
      <w:r w:rsidRPr="0067673E">
        <w:rPr>
          <w:rFonts w:ascii="Arial" w:hAnsi="Arial" w:cs="Arial"/>
          <w:sz w:val="24"/>
          <w:szCs w:val="24"/>
        </w:rPr>
        <w:t xml:space="preserve">ata </w:t>
      </w:r>
      <w:r>
        <w:rPr>
          <w:rFonts w:ascii="Arial" w:hAnsi="Arial" w:cs="Arial"/>
          <w:sz w:val="24"/>
          <w:szCs w:val="24"/>
        </w:rPr>
        <w:t>P</w:t>
      </w:r>
      <w:r w:rsidRPr="0067673E">
        <w:rPr>
          <w:rFonts w:ascii="Arial" w:hAnsi="Arial" w:cs="Arial"/>
          <w:sz w:val="24"/>
          <w:szCs w:val="24"/>
        </w:rPr>
        <w:t xml:space="preserve">rotection </w:t>
      </w:r>
      <w:r>
        <w:rPr>
          <w:rFonts w:ascii="Arial" w:hAnsi="Arial" w:cs="Arial"/>
          <w:sz w:val="24"/>
          <w:szCs w:val="24"/>
        </w:rPr>
        <w:t xml:space="preserve">Act </w:t>
      </w:r>
      <w:r w:rsidR="009D12E9">
        <w:rPr>
          <w:rFonts w:ascii="Arial" w:hAnsi="Arial" w:cs="Arial"/>
          <w:sz w:val="24"/>
          <w:szCs w:val="24"/>
        </w:rPr>
        <w:t>2018 and General Data Protection Regulation (GDPR)</w:t>
      </w:r>
      <w:r w:rsidR="003F267D">
        <w:rPr>
          <w:rFonts w:ascii="Arial" w:hAnsi="Arial" w:cs="Arial"/>
          <w:sz w:val="24"/>
          <w:szCs w:val="24"/>
        </w:rPr>
        <w:t>.</w:t>
      </w:r>
      <w:r w:rsidR="009D62D3">
        <w:rPr>
          <w:rFonts w:ascii="Arial" w:hAnsi="Arial" w:cs="Arial"/>
          <w:sz w:val="24"/>
          <w:szCs w:val="24"/>
        </w:rPr>
        <w:t xml:space="preserve"> The service provider will also be expected to subscribe to a data sharing agreement with BCC.</w:t>
      </w:r>
    </w:p>
    <w:p w:rsidR="005A2FF3" w:rsidRPr="0067512F" w:rsidRDefault="005A2FF3" w:rsidP="005A2FF3">
      <w:pPr>
        <w:ind w:left="720" w:hanging="720"/>
        <w:rPr>
          <w:rFonts w:ascii="Arial" w:hAnsi="Arial" w:cs="Arial"/>
          <w:sz w:val="24"/>
          <w:szCs w:val="24"/>
        </w:rPr>
      </w:pPr>
      <w:r w:rsidRPr="0067512F">
        <w:rPr>
          <w:rFonts w:ascii="Arial" w:hAnsi="Arial" w:cs="Arial"/>
          <w:sz w:val="24"/>
          <w:szCs w:val="24"/>
        </w:rPr>
        <w:t>6.2</w:t>
      </w:r>
      <w:r w:rsidRPr="0067512F">
        <w:rPr>
          <w:rFonts w:ascii="Arial" w:hAnsi="Arial" w:cs="Arial"/>
          <w:sz w:val="24"/>
          <w:szCs w:val="24"/>
        </w:rPr>
        <w:tab/>
        <w:t xml:space="preserve">All materials, documents, media and reports </w:t>
      </w:r>
      <w:r w:rsidRPr="0067512F">
        <w:rPr>
          <w:rFonts w:ascii="Arial" w:hAnsi="Arial" w:cs="Arial"/>
          <w:b/>
          <w:sz w:val="24"/>
          <w:szCs w:val="24"/>
        </w:rPr>
        <w:t>must</w:t>
      </w:r>
      <w:r w:rsidRPr="0067512F">
        <w:rPr>
          <w:rFonts w:ascii="Arial" w:hAnsi="Arial" w:cs="Arial"/>
          <w:sz w:val="24"/>
          <w:szCs w:val="24"/>
        </w:rPr>
        <w:t xml:space="preserve"> be provided in a stan</w:t>
      </w:r>
      <w:r w:rsidR="0067512F">
        <w:rPr>
          <w:rFonts w:ascii="Arial" w:hAnsi="Arial" w:cs="Arial"/>
          <w:sz w:val="24"/>
          <w:szCs w:val="24"/>
        </w:rPr>
        <w:t xml:space="preserve">dard format, such as Microsoft Office Word, Excel, </w:t>
      </w:r>
      <w:proofErr w:type="gramStart"/>
      <w:r w:rsidR="0067512F">
        <w:rPr>
          <w:rFonts w:ascii="Arial" w:hAnsi="Arial" w:cs="Arial"/>
          <w:sz w:val="24"/>
          <w:szCs w:val="24"/>
        </w:rPr>
        <w:t>PowerPoint</w:t>
      </w:r>
      <w:proofErr w:type="gramEnd"/>
      <w:r w:rsidR="0067512F">
        <w:rPr>
          <w:rFonts w:ascii="Arial" w:hAnsi="Arial" w:cs="Arial"/>
          <w:sz w:val="24"/>
          <w:szCs w:val="24"/>
        </w:rPr>
        <w:t>, P</w:t>
      </w:r>
      <w:r w:rsidRPr="0067512F">
        <w:rPr>
          <w:rFonts w:ascii="Arial" w:hAnsi="Arial" w:cs="Arial"/>
          <w:sz w:val="24"/>
          <w:szCs w:val="24"/>
        </w:rPr>
        <w:t>roject etc, which eliminates the need for any special licences or software to be installed.</w:t>
      </w:r>
    </w:p>
    <w:p w:rsidR="005A2FF3" w:rsidRPr="0067512F" w:rsidRDefault="005A2FF3" w:rsidP="005A2FF3">
      <w:pPr>
        <w:ind w:left="720" w:hanging="720"/>
        <w:rPr>
          <w:rFonts w:ascii="Arial" w:hAnsi="Arial" w:cs="Arial"/>
          <w:sz w:val="24"/>
          <w:szCs w:val="24"/>
        </w:rPr>
      </w:pPr>
      <w:r w:rsidRPr="0067512F">
        <w:rPr>
          <w:rFonts w:ascii="Arial" w:hAnsi="Arial" w:cs="Arial"/>
          <w:sz w:val="24"/>
          <w:szCs w:val="24"/>
        </w:rPr>
        <w:t>6.3</w:t>
      </w:r>
      <w:r w:rsidRPr="0067512F">
        <w:rPr>
          <w:rFonts w:ascii="Arial" w:hAnsi="Arial" w:cs="Arial"/>
          <w:sz w:val="24"/>
          <w:szCs w:val="24"/>
        </w:rPr>
        <w:tab/>
        <w:t xml:space="preserve">BCC is in the process of implementing a new Housing Management System called Civica Cx. An element of this new system is the web based </w:t>
      </w:r>
      <w:r w:rsidRPr="00E8150A">
        <w:rPr>
          <w:rFonts w:ascii="Arial" w:hAnsi="Arial" w:cs="Arial"/>
          <w:sz w:val="24"/>
          <w:szCs w:val="24"/>
        </w:rPr>
        <w:t>Contractor Portal</w:t>
      </w:r>
      <w:r w:rsidRPr="0067512F">
        <w:rPr>
          <w:rFonts w:ascii="Arial" w:hAnsi="Arial" w:cs="Arial"/>
          <w:sz w:val="24"/>
          <w:szCs w:val="24"/>
        </w:rPr>
        <w:t xml:space="preserve">, through this the successful </w:t>
      </w:r>
      <w:r w:rsidR="00A326E8">
        <w:rPr>
          <w:rFonts w:ascii="Arial" w:hAnsi="Arial" w:cs="Arial"/>
          <w:sz w:val="24"/>
          <w:szCs w:val="24"/>
        </w:rPr>
        <w:t>service provider</w:t>
      </w:r>
      <w:r w:rsidRPr="0067512F">
        <w:rPr>
          <w:rFonts w:ascii="Arial" w:hAnsi="Arial" w:cs="Arial"/>
          <w:sz w:val="24"/>
          <w:szCs w:val="24"/>
        </w:rPr>
        <w:t xml:space="preserve"> will;</w:t>
      </w:r>
      <w:r w:rsidRPr="0067512F">
        <w:rPr>
          <w:rFonts w:ascii="Arial" w:hAnsi="Arial" w:cs="Arial"/>
          <w:sz w:val="24"/>
          <w:szCs w:val="24"/>
        </w:rPr>
        <w:tab/>
      </w:r>
    </w:p>
    <w:p w:rsidR="005A2FF3" w:rsidRDefault="005A2FF3" w:rsidP="00A43597">
      <w:pPr>
        <w:pStyle w:val="ListParagraph"/>
        <w:numPr>
          <w:ilvl w:val="0"/>
          <w:numId w:val="18"/>
        </w:numPr>
        <w:rPr>
          <w:rFonts w:ascii="Arial" w:hAnsi="Arial" w:cs="Arial"/>
        </w:rPr>
      </w:pPr>
      <w:r w:rsidRPr="0067512F">
        <w:rPr>
          <w:rFonts w:ascii="Arial" w:hAnsi="Arial" w:cs="Arial"/>
        </w:rPr>
        <w:t>Receive referrals for advice</w:t>
      </w:r>
    </w:p>
    <w:p w:rsidR="00A326E8" w:rsidRPr="0067512F" w:rsidRDefault="00A326E8" w:rsidP="00A43597">
      <w:pPr>
        <w:pStyle w:val="ListParagraph"/>
        <w:rPr>
          <w:rFonts w:ascii="Arial" w:hAnsi="Arial" w:cs="Arial"/>
        </w:rPr>
      </w:pPr>
    </w:p>
    <w:p w:rsidR="00A326E8" w:rsidRDefault="005A2FF3" w:rsidP="00A43597">
      <w:pPr>
        <w:pStyle w:val="ListParagraph"/>
        <w:numPr>
          <w:ilvl w:val="0"/>
          <w:numId w:val="18"/>
        </w:numPr>
        <w:rPr>
          <w:rFonts w:ascii="Arial" w:hAnsi="Arial" w:cs="Arial"/>
        </w:rPr>
      </w:pPr>
      <w:r w:rsidRPr="0067512F">
        <w:rPr>
          <w:rFonts w:ascii="Arial" w:hAnsi="Arial" w:cs="Arial"/>
        </w:rPr>
        <w:t>Record appointments, (if applicable, appointments may not be required for certain advice areas)</w:t>
      </w:r>
    </w:p>
    <w:p w:rsidR="00A326E8" w:rsidRPr="00A326E8" w:rsidRDefault="00A326E8" w:rsidP="00A43597">
      <w:pPr>
        <w:spacing w:after="0" w:line="240" w:lineRule="auto"/>
        <w:contextualSpacing/>
        <w:rPr>
          <w:rFonts w:ascii="Arial" w:hAnsi="Arial" w:cs="Arial"/>
        </w:rPr>
      </w:pPr>
    </w:p>
    <w:p w:rsidR="00A43597" w:rsidRDefault="005A2FF3" w:rsidP="00A43597">
      <w:pPr>
        <w:pStyle w:val="ListParagraph"/>
        <w:numPr>
          <w:ilvl w:val="0"/>
          <w:numId w:val="18"/>
        </w:numPr>
        <w:rPr>
          <w:rFonts w:ascii="Arial" w:hAnsi="Arial" w:cs="Arial"/>
        </w:rPr>
      </w:pPr>
      <w:r w:rsidRPr="0067512F">
        <w:rPr>
          <w:rFonts w:ascii="Arial" w:hAnsi="Arial" w:cs="Arial"/>
        </w:rPr>
        <w:t>Pass invoices for payment</w:t>
      </w:r>
    </w:p>
    <w:p w:rsidR="00A43597" w:rsidRPr="00A43597" w:rsidRDefault="00A43597" w:rsidP="00A43597">
      <w:pPr>
        <w:spacing w:after="0" w:line="240" w:lineRule="auto"/>
        <w:contextualSpacing/>
        <w:rPr>
          <w:rFonts w:ascii="Arial" w:hAnsi="Arial" w:cs="Arial"/>
        </w:rPr>
      </w:pPr>
    </w:p>
    <w:p w:rsidR="005A2FF3" w:rsidRDefault="005A2FF3" w:rsidP="00A43597">
      <w:pPr>
        <w:pStyle w:val="ListParagraph"/>
        <w:numPr>
          <w:ilvl w:val="0"/>
          <w:numId w:val="18"/>
        </w:numPr>
        <w:rPr>
          <w:rFonts w:ascii="Arial" w:hAnsi="Arial" w:cs="Arial"/>
        </w:rPr>
      </w:pPr>
      <w:r w:rsidRPr="0067512F">
        <w:rPr>
          <w:rFonts w:ascii="Arial" w:hAnsi="Arial" w:cs="Arial"/>
        </w:rPr>
        <w:t>Obtain asset information (property type, any planned energy improvement works)</w:t>
      </w:r>
    </w:p>
    <w:p w:rsidR="00A43597" w:rsidRPr="0067512F" w:rsidRDefault="00A43597" w:rsidP="00A43597">
      <w:pPr>
        <w:pStyle w:val="ListParagraph"/>
        <w:rPr>
          <w:rFonts w:ascii="Arial" w:hAnsi="Arial" w:cs="Arial"/>
        </w:rPr>
      </w:pPr>
    </w:p>
    <w:p w:rsidR="005A2FF3" w:rsidRDefault="005A2FF3" w:rsidP="00A43597">
      <w:pPr>
        <w:pStyle w:val="ListParagraph"/>
        <w:numPr>
          <w:ilvl w:val="0"/>
          <w:numId w:val="18"/>
        </w:numPr>
        <w:rPr>
          <w:rFonts w:ascii="Arial" w:hAnsi="Arial" w:cs="Arial"/>
        </w:rPr>
      </w:pPr>
      <w:r w:rsidRPr="0067512F">
        <w:rPr>
          <w:rFonts w:ascii="Arial" w:hAnsi="Arial" w:cs="Arial"/>
        </w:rPr>
        <w:t>Provide information about advice provided and indicate the closure of a case</w:t>
      </w:r>
    </w:p>
    <w:p w:rsidR="00A43597" w:rsidRPr="00A43597" w:rsidRDefault="00A43597" w:rsidP="00A43597">
      <w:pPr>
        <w:rPr>
          <w:rFonts w:ascii="Arial" w:hAnsi="Arial" w:cs="Arial"/>
        </w:rPr>
      </w:pPr>
    </w:p>
    <w:p w:rsidR="005A2FF3" w:rsidRPr="0067512F" w:rsidRDefault="00A326E8" w:rsidP="00A326E8">
      <w:pPr>
        <w:ind w:left="720" w:hanging="720"/>
        <w:rPr>
          <w:rFonts w:ascii="Arial" w:hAnsi="Arial" w:cs="Arial"/>
          <w:color w:val="000000"/>
          <w:sz w:val="24"/>
          <w:szCs w:val="24"/>
        </w:rPr>
      </w:pPr>
      <w:r>
        <w:rPr>
          <w:rFonts w:ascii="Arial" w:hAnsi="Arial" w:cs="Arial"/>
          <w:sz w:val="24"/>
          <w:szCs w:val="24"/>
        </w:rPr>
        <w:t>6.4</w:t>
      </w:r>
      <w:r>
        <w:rPr>
          <w:rFonts w:ascii="Arial" w:hAnsi="Arial" w:cs="Arial"/>
          <w:sz w:val="24"/>
          <w:szCs w:val="24"/>
        </w:rPr>
        <w:tab/>
      </w:r>
      <w:r w:rsidR="005A2FF3" w:rsidRPr="0067512F">
        <w:rPr>
          <w:rFonts w:ascii="Arial" w:hAnsi="Arial" w:cs="Arial"/>
          <w:sz w:val="24"/>
          <w:szCs w:val="24"/>
        </w:rPr>
        <w:t xml:space="preserve">This Contractor Portal is still in development and will receive regular updates after it has gone live. The above list of activities is not comprehensive and additional functionality may be added at a later date that the </w:t>
      </w:r>
      <w:r w:rsidR="005A2FF3" w:rsidRPr="0067512F">
        <w:rPr>
          <w:rFonts w:ascii="Arial" w:hAnsi="Arial" w:cs="Arial"/>
          <w:color w:val="000000"/>
          <w:sz w:val="24"/>
          <w:szCs w:val="24"/>
        </w:rPr>
        <w:t>Tenderer will be expected to use, (e.g. uploading test certificates)</w:t>
      </w:r>
    </w:p>
    <w:p w:rsidR="005A2FF3" w:rsidRPr="0067512F" w:rsidRDefault="005A2FF3" w:rsidP="00D00E22">
      <w:pPr>
        <w:ind w:left="720"/>
        <w:rPr>
          <w:rFonts w:ascii="Arial" w:hAnsi="Arial" w:cs="Arial"/>
          <w:color w:val="000000"/>
          <w:sz w:val="24"/>
          <w:szCs w:val="24"/>
        </w:rPr>
      </w:pPr>
      <w:r w:rsidRPr="0067512F">
        <w:rPr>
          <w:rFonts w:ascii="Arial" w:hAnsi="Arial" w:cs="Arial"/>
          <w:color w:val="000000"/>
          <w:sz w:val="24"/>
          <w:szCs w:val="24"/>
        </w:rPr>
        <w:t>The minimum software / hardware requirements to run the Contractor Portal are:</w:t>
      </w:r>
    </w:p>
    <w:p w:rsidR="005A2FF3" w:rsidRPr="0067512F" w:rsidRDefault="005A2FF3" w:rsidP="00A326E8">
      <w:pPr>
        <w:ind w:firstLine="720"/>
        <w:rPr>
          <w:rFonts w:ascii="Arial" w:hAnsi="Arial" w:cs="Arial"/>
          <w:b/>
          <w:bCs/>
          <w:color w:val="000000"/>
          <w:sz w:val="24"/>
          <w:szCs w:val="24"/>
          <w:u w:val="single"/>
        </w:rPr>
      </w:pPr>
      <w:r w:rsidRPr="0067512F">
        <w:rPr>
          <w:rFonts w:ascii="Arial" w:hAnsi="Arial" w:cs="Arial"/>
          <w:b/>
          <w:bCs/>
          <w:color w:val="000000"/>
          <w:sz w:val="24"/>
          <w:szCs w:val="24"/>
          <w:u w:val="single"/>
        </w:rPr>
        <w:t xml:space="preserve">Software </w:t>
      </w:r>
    </w:p>
    <w:p w:rsidR="005A2FF3" w:rsidRPr="0067512F" w:rsidRDefault="005A2FF3" w:rsidP="005A2FF3">
      <w:pPr>
        <w:pStyle w:val="ListParagraph"/>
        <w:numPr>
          <w:ilvl w:val="0"/>
          <w:numId w:val="16"/>
        </w:numPr>
        <w:spacing w:after="200" w:line="276" w:lineRule="auto"/>
        <w:rPr>
          <w:rFonts w:ascii="Arial" w:hAnsi="Arial" w:cs="Arial"/>
          <w:color w:val="000000"/>
        </w:rPr>
      </w:pPr>
      <w:r w:rsidRPr="0067512F">
        <w:rPr>
          <w:rFonts w:ascii="Arial" w:hAnsi="Arial" w:cs="Arial"/>
          <w:color w:val="000000"/>
        </w:rPr>
        <w:t>Web Browser; IE 8 or above, Chrome (any version), Safari  (v6 or above), Firefox (v5 or above)</w:t>
      </w:r>
    </w:p>
    <w:p w:rsidR="005A2FF3" w:rsidRPr="0067512F" w:rsidRDefault="005A2FF3" w:rsidP="005A2FF3">
      <w:pPr>
        <w:pStyle w:val="ListParagraph"/>
        <w:numPr>
          <w:ilvl w:val="0"/>
          <w:numId w:val="16"/>
        </w:numPr>
        <w:spacing w:after="200" w:line="276" w:lineRule="auto"/>
        <w:rPr>
          <w:rFonts w:ascii="Arial" w:hAnsi="Arial" w:cs="Arial"/>
          <w:color w:val="000000"/>
        </w:rPr>
      </w:pPr>
      <w:r w:rsidRPr="0067512F">
        <w:rPr>
          <w:rFonts w:ascii="Arial" w:hAnsi="Arial" w:cs="Arial"/>
          <w:color w:val="000000"/>
        </w:rPr>
        <w:t>MS Word / Excel 2007 (or 2003 with docx add-in)</w:t>
      </w:r>
    </w:p>
    <w:p w:rsidR="005A2FF3" w:rsidRPr="0067512F" w:rsidRDefault="005A2FF3" w:rsidP="005A2FF3">
      <w:pPr>
        <w:pStyle w:val="ListParagraph"/>
        <w:numPr>
          <w:ilvl w:val="0"/>
          <w:numId w:val="16"/>
        </w:numPr>
        <w:spacing w:after="200" w:line="276" w:lineRule="auto"/>
        <w:rPr>
          <w:rFonts w:ascii="Arial" w:hAnsi="Arial" w:cs="Arial"/>
          <w:color w:val="000000"/>
        </w:rPr>
      </w:pPr>
      <w:r w:rsidRPr="0067512F">
        <w:rPr>
          <w:rFonts w:ascii="Arial" w:hAnsi="Arial" w:cs="Arial"/>
          <w:color w:val="000000"/>
        </w:rPr>
        <w:t>PDF reader (e.g. Acrobat)</w:t>
      </w:r>
    </w:p>
    <w:p w:rsidR="005A2FF3" w:rsidRPr="0067512F" w:rsidRDefault="005A2FF3" w:rsidP="00A326E8">
      <w:pPr>
        <w:ind w:firstLine="720"/>
        <w:rPr>
          <w:rFonts w:ascii="Arial" w:hAnsi="Arial" w:cs="Arial"/>
          <w:b/>
          <w:bCs/>
          <w:color w:val="000000"/>
          <w:sz w:val="24"/>
          <w:szCs w:val="24"/>
          <w:u w:val="single"/>
        </w:rPr>
      </w:pPr>
      <w:r w:rsidRPr="0067512F">
        <w:rPr>
          <w:rFonts w:ascii="Arial" w:hAnsi="Arial" w:cs="Arial"/>
          <w:b/>
          <w:bCs/>
          <w:color w:val="000000"/>
          <w:sz w:val="24"/>
          <w:szCs w:val="24"/>
          <w:u w:val="single"/>
        </w:rPr>
        <w:t>Hardware</w:t>
      </w:r>
    </w:p>
    <w:p w:rsidR="005A2FF3" w:rsidRPr="0067512F" w:rsidRDefault="005A2FF3" w:rsidP="005A2FF3">
      <w:pPr>
        <w:pStyle w:val="ListParagraph"/>
        <w:numPr>
          <w:ilvl w:val="0"/>
          <w:numId w:val="17"/>
        </w:numPr>
        <w:spacing w:after="200" w:line="276" w:lineRule="auto"/>
        <w:rPr>
          <w:rFonts w:ascii="Arial" w:hAnsi="Arial" w:cs="Arial"/>
          <w:color w:val="000000"/>
        </w:rPr>
      </w:pPr>
      <w:r w:rsidRPr="0067512F">
        <w:rPr>
          <w:rFonts w:ascii="Arial" w:hAnsi="Arial" w:cs="Arial"/>
          <w:color w:val="000000"/>
        </w:rPr>
        <w:t>Any device that can access the internet with a screen size of six inches or more, (i.e. not a phone)</w:t>
      </w:r>
    </w:p>
    <w:p w:rsidR="005A2FF3" w:rsidRPr="0067512F" w:rsidRDefault="005A2FF3" w:rsidP="005A2FF3">
      <w:pPr>
        <w:pStyle w:val="ListParagraph"/>
        <w:numPr>
          <w:ilvl w:val="0"/>
          <w:numId w:val="17"/>
        </w:numPr>
        <w:spacing w:after="200" w:line="276" w:lineRule="auto"/>
        <w:rPr>
          <w:rFonts w:ascii="Arial" w:hAnsi="Arial" w:cs="Arial"/>
          <w:color w:val="000000"/>
        </w:rPr>
      </w:pPr>
      <w:r w:rsidRPr="0067512F">
        <w:rPr>
          <w:rFonts w:ascii="Arial" w:hAnsi="Arial" w:cs="Arial"/>
          <w:color w:val="000000"/>
        </w:rPr>
        <w:t>An internet connection</w:t>
      </w:r>
    </w:p>
    <w:p w:rsidR="005A2FF3" w:rsidRPr="00FE4798" w:rsidRDefault="005A2FF3" w:rsidP="005A2FF3">
      <w:pPr>
        <w:pStyle w:val="ListParagraph"/>
        <w:ind w:left="709"/>
        <w:jc w:val="both"/>
        <w:rPr>
          <w:rFonts w:ascii="Arial" w:hAnsi="Arial" w:cs="Arial"/>
          <w:sz w:val="28"/>
        </w:rPr>
      </w:pPr>
      <w:r>
        <w:rPr>
          <w:rFonts w:ascii="Arial" w:hAnsi="Arial" w:cs="Arial"/>
          <w:sz w:val="28"/>
        </w:rPr>
        <w:t xml:space="preserve"> </w:t>
      </w:r>
    </w:p>
    <w:p w:rsidR="005A2FF3" w:rsidRPr="00A00ADB" w:rsidRDefault="005A2FF3" w:rsidP="005A2FF3">
      <w:pPr>
        <w:pStyle w:val="ListParagraph"/>
        <w:ind w:left="709"/>
        <w:jc w:val="both"/>
        <w:rPr>
          <w:rFonts w:ascii="Arial" w:hAnsi="Arial" w:cs="Arial"/>
          <w:sz w:val="28"/>
        </w:rPr>
      </w:pPr>
    </w:p>
    <w:p w:rsidR="005A2FF3" w:rsidRPr="00AF569F" w:rsidRDefault="005A2FF3" w:rsidP="005A2FF3">
      <w:pPr>
        <w:rPr>
          <w:rFonts w:ascii="Arial" w:hAnsi="Arial" w:cs="Arial"/>
          <w:b/>
          <w:sz w:val="28"/>
          <w:szCs w:val="28"/>
        </w:rPr>
      </w:pPr>
      <w:r>
        <w:rPr>
          <w:rFonts w:ascii="Arial" w:hAnsi="Arial" w:cs="Arial"/>
          <w:b/>
          <w:sz w:val="28"/>
          <w:szCs w:val="28"/>
        </w:rPr>
        <w:t>7.</w:t>
      </w:r>
      <w:r>
        <w:rPr>
          <w:rFonts w:ascii="Arial" w:hAnsi="Arial" w:cs="Arial"/>
          <w:b/>
          <w:sz w:val="28"/>
          <w:szCs w:val="28"/>
        </w:rPr>
        <w:tab/>
      </w:r>
      <w:r w:rsidRPr="00AF569F">
        <w:rPr>
          <w:rFonts w:ascii="Arial" w:hAnsi="Arial" w:cs="Arial"/>
          <w:b/>
          <w:sz w:val="28"/>
          <w:szCs w:val="28"/>
        </w:rPr>
        <w:t xml:space="preserve">Complaints and </w:t>
      </w:r>
      <w:r w:rsidR="003378A3">
        <w:rPr>
          <w:rFonts w:ascii="Arial" w:hAnsi="Arial" w:cs="Arial"/>
          <w:b/>
          <w:sz w:val="28"/>
          <w:szCs w:val="28"/>
        </w:rPr>
        <w:t>C</w:t>
      </w:r>
      <w:r w:rsidRPr="00AF569F">
        <w:rPr>
          <w:rFonts w:ascii="Arial" w:hAnsi="Arial" w:cs="Arial"/>
          <w:b/>
          <w:sz w:val="28"/>
          <w:szCs w:val="28"/>
        </w:rPr>
        <w:t>ompliments</w:t>
      </w:r>
    </w:p>
    <w:p w:rsidR="005A2FF3" w:rsidRDefault="00D00E22" w:rsidP="009F72D8">
      <w:pPr>
        <w:spacing w:after="0" w:line="24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5A2FF3" w:rsidRPr="00D00E22">
        <w:rPr>
          <w:rFonts w:ascii="Arial" w:hAnsi="Arial" w:cs="Arial"/>
          <w:sz w:val="24"/>
          <w:szCs w:val="24"/>
        </w:rPr>
        <w:t xml:space="preserve">The provider should have a complaints procedure in place. Service users should be informed of the complaints procedure upon receiving the service from the provider. A process should be in place that ensures that all concerns and complaints are thoroughly investigated and an appropriate response is given to complainants within a specified time frame. </w:t>
      </w:r>
    </w:p>
    <w:p w:rsidR="009F72D8" w:rsidRPr="00D00E22" w:rsidRDefault="009F72D8" w:rsidP="009F72D8">
      <w:pPr>
        <w:spacing w:after="0" w:line="240" w:lineRule="auto"/>
        <w:ind w:left="720" w:hanging="720"/>
        <w:jc w:val="both"/>
        <w:rPr>
          <w:rFonts w:ascii="Arial" w:hAnsi="Arial" w:cs="Arial"/>
          <w:sz w:val="24"/>
          <w:szCs w:val="24"/>
        </w:rPr>
      </w:pPr>
    </w:p>
    <w:p w:rsidR="005A2FF3" w:rsidRPr="00D00E22" w:rsidRDefault="00D00E22" w:rsidP="00D00E22">
      <w:pPr>
        <w:spacing w:after="0" w:line="24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9F72D8">
        <w:rPr>
          <w:rFonts w:ascii="Arial" w:hAnsi="Arial" w:cs="Arial"/>
          <w:sz w:val="24"/>
          <w:szCs w:val="24"/>
        </w:rPr>
        <w:t>The provider will take appropriate action</w:t>
      </w:r>
      <w:r w:rsidR="005A2FF3" w:rsidRPr="00D00E22">
        <w:rPr>
          <w:rFonts w:ascii="Arial" w:hAnsi="Arial" w:cs="Arial"/>
          <w:sz w:val="24"/>
          <w:szCs w:val="24"/>
        </w:rPr>
        <w:t xml:space="preserve"> when concerns/complaints are upheld and partially upheld. The provider </w:t>
      </w:r>
      <w:r w:rsidR="009F72D8">
        <w:rPr>
          <w:rFonts w:ascii="Arial" w:hAnsi="Arial" w:cs="Arial"/>
          <w:sz w:val="24"/>
          <w:szCs w:val="24"/>
        </w:rPr>
        <w:t>will need to regularly analyse</w:t>
      </w:r>
      <w:r w:rsidR="005A2FF3" w:rsidRPr="00D00E22">
        <w:rPr>
          <w:rFonts w:ascii="Arial" w:hAnsi="Arial" w:cs="Arial"/>
          <w:sz w:val="24"/>
          <w:szCs w:val="24"/>
        </w:rPr>
        <w:t xml:space="preserve"> the number and nature of complaints and compliments to establish trends and takes action to implement service improvements as a result of the learning from complaints. </w:t>
      </w:r>
    </w:p>
    <w:p w:rsidR="005A2FF3" w:rsidRDefault="005A2FF3" w:rsidP="005A2FF3">
      <w:pPr>
        <w:pStyle w:val="ListParagraph"/>
        <w:rPr>
          <w:rFonts w:ascii="Arial" w:hAnsi="Arial" w:cs="Arial"/>
        </w:rPr>
      </w:pPr>
    </w:p>
    <w:p w:rsidR="000E1622" w:rsidRDefault="000E1622" w:rsidP="005A2FF3">
      <w:pPr>
        <w:jc w:val="both"/>
        <w:rPr>
          <w:rFonts w:ascii="Arial" w:hAnsi="Arial" w:cs="Arial"/>
          <w:b/>
          <w:sz w:val="28"/>
          <w:szCs w:val="28"/>
        </w:rPr>
      </w:pPr>
      <w:r>
        <w:rPr>
          <w:rFonts w:ascii="Arial" w:hAnsi="Arial" w:cs="Arial"/>
          <w:b/>
          <w:sz w:val="28"/>
          <w:szCs w:val="28"/>
        </w:rPr>
        <w:t>8.</w:t>
      </w:r>
      <w:r>
        <w:rPr>
          <w:rFonts w:ascii="Arial" w:hAnsi="Arial" w:cs="Arial"/>
          <w:b/>
          <w:sz w:val="28"/>
          <w:szCs w:val="28"/>
        </w:rPr>
        <w:tab/>
        <w:t>Safeguarding</w:t>
      </w:r>
    </w:p>
    <w:p w:rsidR="00B308B0" w:rsidRDefault="00CC4F7C" w:rsidP="000D44A2">
      <w:pPr>
        <w:pStyle w:val="Default"/>
        <w:adjustRightInd/>
        <w:ind w:left="720" w:hanging="720"/>
        <w:jc w:val="both"/>
      </w:pPr>
      <w:r>
        <w:t>8.1</w:t>
      </w:r>
      <w:r>
        <w:tab/>
      </w:r>
      <w:r w:rsidRPr="00CC4F7C">
        <w:t xml:space="preserve">The </w:t>
      </w:r>
      <w:r w:rsidR="003378A3">
        <w:t>service provider must ensure that it</w:t>
      </w:r>
      <w:r w:rsidRPr="00CC4F7C">
        <w:t xml:space="preserve"> has established its own safeguarding policy in accordance with legislation and lo</w:t>
      </w:r>
      <w:r w:rsidR="003378A3">
        <w:t>cal multi-agency policies. The service p</w:t>
      </w:r>
      <w:r w:rsidRPr="00CC4F7C">
        <w:t xml:space="preserve">rovider shall also ensure mechanisms to ensure safeguarding concerns are reported as outlined in the Council policy on </w:t>
      </w:r>
      <w:r w:rsidR="00B308B0">
        <w:t>reporting safeguarding concerns.</w:t>
      </w:r>
    </w:p>
    <w:p w:rsidR="00B308B0" w:rsidRDefault="00B308B0" w:rsidP="00B308B0">
      <w:pPr>
        <w:spacing w:before="280" w:after="120" w:line="300" w:lineRule="atLeast"/>
        <w:ind w:left="720" w:hanging="720"/>
        <w:jc w:val="both"/>
        <w:rPr>
          <w:rFonts w:ascii="Arial" w:hAnsi="Arial" w:cs="Arial"/>
          <w:sz w:val="24"/>
          <w:szCs w:val="24"/>
        </w:rPr>
      </w:pPr>
      <w:r w:rsidRPr="00B308B0">
        <w:rPr>
          <w:rFonts w:ascii="Arial" w:hAnsi="Arial" w:cs="Arial"/>
          <w:color w:val="000000"/>
          <w:sz w:val="24"/>
          <w:szCs w:val="24"/>
        </w:rPr>
        <w:t>8.2</w:t>
      </w:r>
      <w:r w:rsidRPr="00B308B0">
        <w:rPr>
          <w:rFonts w:ascii="Arial" w:hAnsi="Arial" w:cs="Arial"/>
          <w:color w:val="000000"/>
          <w:sz w:val="24"/>
          <w:szCs w:val="24"/>
        </w:rPr>
        <w:tab/>
        <w:t xml:space="preserve">The Provider shall designate a manager with responsibility for safeguarding </w:t>
      </w:r>
      <w:r w:rsidR="002E08AC">
        <w:rPr>
          <w:rFonts w:ascii="Arial" w:hAnsi="Arial" w:cs="Arial"/>
          <w:color w:val="000000"/>
          <w:sz w:val="24"/>
          <w:szCs w:val="24"/>
        </w:rPr>
        <w:t>in respect of the TEA service</w:t>
      </w:r>
      <w:r w:rsidRPr="00B308B0">
        <w:rPr>
          <w:rFonts w:ascii="Arial" w:hAnsi="Arial" w:cs="Arial"/>
          <w:color w:val="000000"/>
          <w:sz w:val="24"/>
          <w:szCs w:val="24"/>
        </w:rPr>
        <w:t xml:space="preserve">, whose responsibilities shall include (but not necessarily be limited to) </w:t>
      </w:r>
      <w:r w:rsidRPr="00B308B0">
        <w:rPr>
          <w:rFonts w:ascii="Arial" w:hAnsi="Arial" w:cs="Arial"/>
          <w:sz w:val="24"/>
          <w:szCs w:val="24"/>
        </w:rPr>
        <w:t>ensuring safeguarding policies and procedures are in place and underst</w:t>
      </w:r>
      <w:r w:rsidR="002E08AC">
        <w:rPr>
          <w:rFonts w:ascii="Arial" w:hAnsi="Arial" w:cs="Arial"/>
          <w:sz w:val="24"/>
          <w:szCs w:val="24"/>
        </w:rPr>
        <w:t>ood by all the provider’s p</w:t>
      </w:r>
      <w:r w:rsidRPr="00B308B0">
        <w:rPr>
          <w:rFonts w:ascii="Arial" w:hAnsi="Arial" w:cs="Arial"/>
          <w:sz w:val="24"/>
          <w:szCs w:val="24"/>
        </w:rPr>
        <w:t>ersonnel</w:t>
      </w:r>
      <w:r>
        <w:rPr>
          <w:rFonts w:ascii="Arial" w:hAnsi="Arial" w:cs="Arial"/>
          <w:sz w:val="24"/>
          <w:szCs w:val="24"/>
        </w:rPr>
        <w:t>.</w:t>
      </w:r>
    </w:p>
    <w:p w:rsidR="000E1622" w:rsidRDefault="005E6EE6" w:rsidP="00A15744">
      <w:pPr>
        <w:spacing w:before="280" w:after="120" w:line="300" w:lineRule="atLeast"/>
        <w:ind w:left="720" w:hanging="720"/>
        <w:jc w:val="both"/>
        <w:rPr>
          <w:rFonts w:ascii="Arial" w:hAnsi="Arial" w:cs="Arial"/>
          <w:color w:val="000000"/>
          <w:sz w:val="24"/>
          <w:szCs w:val="24"/>
        </w:rPr>
      </w:pPr>
      <w:r>
        <w:rPr>
          <w:rFonts w:ascii="Arial" w:hAnsi="Arial" w:cs="Arial"/>
          <w:sz w:val="24"/>
          <w:szCs w:val="24"/>
        </w:rPr>
        <w:t>8.3</w:t>
      </w:r>
      <w:r>
        <w:rPr>
          <w:rFonts w:ascii="Arial" w:hAnsi="Arial" w:cs="Arial"/>
          <w:sz w:val="24"/>
          <w:szCs w:val="24"/>
        </w:rPr>
        <w:tab/>
        <w:t xml:space="preserve">The provider </w:t>
      </w:r>
      <w:r w:rsidRPr="005E6EE6">
        <w:rPr>
          <w:rFonts w:ascii="Arial" w:hAnsi="Arial" w:cs="Arial"/>
          <w:sz w:val="24"/>
          <w:szCs w:val="24"/>
        </w:rPr>
        <w:t>will</w:t>
      </w:r>
      <w:r>
        <w:rPr>
          <w:rFonts w:ascii="Arial" w:hAnsi="Arial" w:cs="Arial"/>
          <w:sz w:val="24"/>
          <w:szCs w:val="24"/>
        </w:rPr>
        <w:t xml:space="preserve"> </w:t>
      </w:r>
      <w:r w:rsidRPr="005E6EE6">
        <w:rPr>
          <w:rFonts w:ascii="Arial" w:hAnsi="Arial" w:cs="Arial"/>
          <w:sz w:val="24"/>
          <w:szCs w:val="24"/>
        </w:rPr>
        <w:t>e</w:t>
      </w:r>
      <w:r>
        <w:rPr>
          <w:rFonts w:ascii="Arial" w:hAnsi="Arial" w:cs="Arial"/>
          <w:sz w:val="24"/>
          <w:szCs w:val="24"/>
        </w:rPr>
        <w:t>nsure</w:t>
      </w:r>
      <w:r w:rsidRPr="005E6EE6">
        <w:rPr>
          <w:rFonts w:ascii="Arial" w:hAnsi="Arial" w:cs="Arial"/>
          <w:sz w:val="24"/>
          <w:szCs w:val="24"/>
        </w:rPr>
        <w:t xml:space="preserve"> effective measures are in place for safe recruitment</w:t>
      </w:r>
      <w:r>
        <w:rPr>
          <w:rFonts w:ascii="Arial" w:hAnsi="Arial" w:cs="Arial"/>
          <w:sz w:val="24"/>
          <w:szCs w:val="24"/>
        </w:rPr>
        <w:t xml:space="preserve"> including</w:t>
      </w:r>
      <w:r w:rsidR="00AF0D55">
        <w:rPr>
          <w:rFonts w:ascii="Arial" w:hAnsi="Arial" w:cs="Arial"/>
          <w:sz w:val="24"/>
          <w:szCs w:val="24"/>
        </w:rPr>
        <w:t xml:space="preserve"> enhance</w:t>
      </w:r>
      <w:r w:rsidR="00950E6A">
        <w:rPr>
          <w:rFonts w:ascii="Arial" w:hAnsi="Arial" w:cs="Arial"/>
          <w:sz w:val="24"/>
          <w:szCs w:val="24"/>
        </w:rPr>
        <w:t>d</w:t>
      </w:r>
      <w:r w:rsidR="00AF0D55">
        <w:rPr>
          <w:rFonts w:ascii="Arial" w:hAnsi="Arial" w:cs="Arial"/>
          <w:sz w:val="24"/>
          <w:szCs w:val="24"/>
        </w:rPr>
        <w:t xml:space="preserve"> level </w:t>
      </w:r>
      <w:r>
        <w:rPr>
          <w:rFonts w:ascii="Arial" w:hAnsi="Arial" w:cs="Arial"/>
          <w:sz w:val="24"/>
          <w:szCs w:val="24"/>
        </w:rPr>
        <w:t>checks for staff members through the Disclosure and Barring Service (DBS) who will be working directly with</w:t>
      </w:r>
      <w:r w:rsidR="00845C46">
        <w:rPr>
          <w:rFonts w:ascii="Arial" w:hAnsi="Arial" w:cs="Arial"/>
          <w:sz w:val="24"/>
          <w:szCs w:val="24"/>
        </w:rPr>
        <w:t xml:space="preserve"> </w:t>
      </w:r>
      <w:r w:rsidR="00E95214">
        <w:rPr>
          <w:rFonts w:ascii="Arial" w:hAnsi="Arial" w:cs="Arial"/>
          <w:sz w:val="24"/>
          <w:szCs w:val="24"/>
        </w:rPr>
        <w:t>vulnerable</w:t>
      </w:r>
      <w:r>
        <w:rPr>
          <w:rFonts w:ascii="Arial" w:hAnsi="Arial" w:cs="Arial"/>
          <w:sz w:val="24"/>
          <w:szCs w:val="24"/>
        </w:rPr>
        <w:t xml:space="preserve"> tenants.</w:t>
      </w:r>
      <w:r w:rsidR="008B0097">
        <w:rPr>
          <w:rFonts w:ascii="Arial" w:hAnsi="Arial" w:cs="Arial"/>
          <w:sz w:val="24"/>
          <w:szCs w:val="24"/>
        </w:rPr>
        <w:t xml:space="preserve">  </w:t>
      </w:r>
      <w:r w:rsidR="008B0097" w:rsidRPr="008B0097">
        <w:rPr>
          <w:rFonts w:ascii="Arial" w:hAnsi="Arial" w:cs="Arial"/>
          <w:color w:val="000000"/>
          <w:sz w:val="24"/>
          <w:szCs w:val="24"/>
        </w:rPr>
        <w:t>The Provider shall not employ or use the services of any person whose previous conduct or records indicate that they would not be suitable to carry out energy advice service activities or who may otherwise present a risk to service users.</w:t>
      </w:r>
    </w:p>
    <w:p w:rsidR="00A15744" w:rsidRPr="00A15744" w:rsidRDefault="00A15744" w:rsidP="00A15744">
      <w:pPr>
        <w:spacing w:before="280" w:after="120" w:line="300" w:lineRule="atLeast"/>
        <w:ind w:left="720" w:hanging="720"/>
        <w:jc w:val="both"/>
        <w:rPr>
          <w:rFonts w:ascii="Arial" w:hAnsi="Arial" w:cs="Arial"/>
          <w:color w:val="000000"/>
          <w:sz w:val="24"/>
          <w:szCs w:val="24"/>
        </w:rPr>
      </w:pPr>
    </w:p>
    <w:p w:rsidR="005A2FF3" w:rsidRPr="00FE4798" w:rsidRDefault="000E1622" w:rsidP="005A2FF3">
      <w:pPr>
        <w:jc w:val="both"/>
        <w:rPr>
          <w:rFonts w:ascii="Arial" w:hAnsi="Arial" w:cs="Arial"/>
          <w:b/>
          <w:sz w:val="28"/>
          <w:szCs w:val="28"/>
        </w:rPr>
      </w:pPr>
      <w:r>
        <w:rPr>
          <w:rFonts w:ascii="Arial" w:hAnsi="Arial" w:cs="Arial"/>
          <w:b/>
          <w:sz w:val="28"/>
          <w:szCs w:val="28"/>
        </w:rPr>
        <w:t>9</w:t>
      </w:r>
      <w:r w:rsidR="005A2FF3" w:rsidRPr="00FE4798">
        <w:rPr>
          <w:rFonts w:ascii="Arial" w:hAnsi="Arial" w:cs="Arial"/>
          <w:b/>
          <w:sz w:val="28"/>
          <w:szCs w:val="28"/>
        </w:rPr>
        <w:t>.</w:t>
      </w:r>
      <w:r w:rsidR="005A2FF3" w:rsidRPr="00FE4798">
        <w:rPr>
          <w:rFonts w:ascii="Arial" w:hAnsi="Arial" w:cs="Arial"/>
          <w:b/>
          <w:sz w:val="28"/>
          <w:szCs w:val="28"/>
        </w:rPr>
        <w:tab/>
        <w:t>Equalities</w:t>
      </w:r>
    </w:p>
    <w:p w:rsidR="005A2FF3" w:rsidRDefault="000E1622" w:rsidP="00E601F2">
      <w:pPr>
        <w:spacing w:after="0" w:line="240" w:lineRule="auto"/>
        <w:ind w:left="720" w:hanging="720"/>
        <w:jc w:val="both"/>
        <w:rPr>
          <w:rFonts w:ascii="Arial" w:hAnsi="Arial" w:cs="Arial"/>
          <w:sz w:val="24"/>
          <w:szCs w:val="24"/>
        </w:rPr>
      </w:pPr>
      <w:r>
        <w:rPr>
          <w:rFonts w:ascii="Arial" w:hAnsi="Arial" w:cs="Arial"/>
          <w:sz w:val="24"/>
          <w:szCs w:val="24"/>
        </w:rPr>
        <w:t>9</w:t>
      </w:r>
      <w:r w:rsidR="00E601F2" w:rsidRPr="00E601F2">
        <w:rPr>
          <w:rFonts w:ascii="Arial" w:hAnsi="Arial" w:cs="Arial"/>
          <w:sz w:val="24"/>
          <w:szCs w:val="24"/>
        </w:rPr>
        <w:t>.1</w:t>
      </w:r>
      <w:r w:rsidR="00E601F2" w:rsidRPr="00E601F2">
        <w:rPr>
          <w:rFonts w:ascii="Arial" w:hAnsi="Arial" w:cs="Arial"/>
          <w:sz w:val="24"/>
          <w:szCs w:val="24"/>
        </w:rPr>
        <w:tab/>
      </w:r>
      <w:r w:rsidR="005A2FF3" w:rsidRPr="00E601F2">
        <w:rPr>
          <w:rFonts w:ascii="Arial" w:hAnsi="Arial" w:cs="Arial"/>
          <w:sz w:val="24"/>
          <w:szCs w:val="24"/>
        </w:rPr>
        <w:t>Bristol City Council expects the provider to work to the principles of the Equality Act 2010, in particular the s.149 public sector equality duty. The provider must have due regard to the need to:</w:t>
      </w:r>
    </w:p>
    <w:p w:rsidR="003378A3" w:rsidRPr="00E601F2" w:rsidRDefault="003378A3" w:rsidP="00E601F2">
      <w:pPr>
        <w:spacing w:after="0" w:line="240" w:lineRule="auto"/>
        <w:ind w:left="720" w:hanging="720"/>
        <w:jc w:val="both"/>
        <w:rPr>
          <w:rFonts w:ascii="Arial" w:hAnsi="Arial" w:cs="Arial"/>
          <w:sz w:val="24"/>
          <w:szCs w:val="24"/>
        </w:rPr>
      </w:pPr>
    </w:p>
    <w:p w:rsidR="005A2FF3" w:rsidRPr="00B05F0F" w:rsidRDefault="005A2FF3" w:rsidP="00B05F0F">
      <w:pPr>
        <w:pStyle w:val="ListParagraph"/>
        <w:numPr>
          <w:ilvl w:val="0"/>
          <w:numId w:val="33"/>
        </w:numPr>
        <w:jc w:val="both"/>
        <w:rPr>
          <w:rFonts w:ascii="Arial" w:hAnsi="Arial" w:cs="Arial"/>
        </w:rPr>
      </w:pPr>
      <w:r w:rsidRPr="00B05F0F">
        <w:rPr>
          <w:rFonts w:ascii="Arial" w:hAnsi="Arial" w:cs="Arial"/>
        </w:rPr>
        <w:t>Eliminate discrimination, harassment, victimisation and any other condu</w:t>
      </w:r>
      <w:r w:rsidR="004626EB" w:rsidRPr="00B05F0F">
        <w:rPr>
          <w:rFonts w:ascii="Arial" w:hAnsi="Arial" w:cs="Arial"/>
        </w:rPr>
        <w:t>ct prohibited under the Act</w:t>
      </w:r>
    </w:p>
    <w:p w:rsidR="00A46F9C" w:rsidRPr="00E601F2" w:rsidRDefault="00A46F9C" w:rsidP="00A46F9C">
      <w:pPr>
        <w:spacing w:after="0" w:line="240" w:lineRule="auto"/>
        <w:ind w:left="1418"/>
        <w:jc w:val="both"/>
        <w:rPr>
          <w:rFonts w:ascii="Arial" w:hAnsi="Arial" w:cs="Arial"/>
          <w:sz w:val="24"/>
          <w:szCs w:val="24"/>
        </w:rPr>
      </w:pPr>
    </w:p>
    <w:p w:rsidR="005A2FF3" w:rsidRPr="00B05F0F" w:rsidRDefault="005A2FF3" w:rsidP="00B05F0F">
      <w:pPr>
        <w:pStyle w:val="ListParagraph"/>
        <w:numPr>
          <w:ilvl w:val="0"/>
          <w:numId w:val="33"/>
        </w:numPr>
        <w:jc w:val="both"/>
        <w:rPr>
          <w:rFonts w:ascii="Arial" w:hAnsi="Arial" w:cs="Arial"/>
        </w:rPr>
      </w:pPr>
      <w:r w:rsidRPr="00B05F0F">
        <w:rPr>
          <w:rFonts w:ascii="Arial" w:hAnsi="Arial" w:cs="Arial"/>
        </w:rPr>
        <w:t xml:space="preserve">Advance equality of opportunity between persons who share a relevant characteristic </w:t>
      </w:r>
      <w:r w:rsidR="004626EB" w:rsidRPr="00B05F0F">
        <w:rPr>
          <w:rFonts w:ascii="Arial" w:hAnsi="Arial" w:cs="Arial"/>
        </w:rPr>
        <w:t>and persons who do not share it</w:t>
      </w:r>
    </w:p>
    <w:p w:rsidR="003378A3" w:rsidRPr="00E601F2" w:rsidRDefault="003378A3" w:rsidP="003378A3">
      <w:pPr>
        <w:spacing w:after="0" w:line="240" w:lineRule="auto"/>
        <w:ind w:left="1418"/>
        <w:jc w:val="both"/>
        <w:rPr>
          <w:rFonts w:ascii="Arial" w:hAnsi="Arial" w:cs="Arial"/>
          <w:sz w:val="24"/>
          <w:szCs w:val="24"/>
        </w:rPr>
      </w:pPr>
    </w:p>
    <w:p w:rsidR="005A2FF3" w:rsidRPr="00B05F0F" w:rsidRDefault="005A2FF3" w:rsidP="00B05F0F">
      <w:pPr>
        <w:pStyle w:val="ListParagraph"/>
        <w:numPr>
          <w:ilvl w:val="0"/>
          <w:numId w:val="33"/>
        </w:numPr>
        <w:jc w:val="both"/>
        <w:rPr>
          <w:rFonts w:ascii="Arial" w:hAnsi="Arial" w:cs="Arial"/>
        </w:rPr>
      </w:pPr>
      <w:r w:rsidRPr="00B05F0F">
        <w:rPr>
          <w:rFonts w:ascii="Arial" w:hAnsi="Arial" w:cs="Arial"/>
        </w:rPr>
        <w:t>Foster good relations between persons who share a relevant protected characteristic and persons who do not sh</w:t>
      </w:r>
      <w:r w:rsidR="004626EB" w:rsidRPr="00B05F0F">
        <w:rPr>
          <w:rFonts w:ascii="Arial" w:hAnsi="Arial" w:cs="Arial"/>
        </w:rPr>
        <w:t>are it</w:t>
      </w:r>
    </w:p>
    <w:p w:rsidR="005A2FF3" w:rsidRPr="00E601F2" w:rsidRDefault="005A2FF3" w:rsidP="005A2FF3">
      <w:pPr>
        <w:spacing w:after="0" w:line="240" w:lineRule="auto"/>
        <w:ind w:left="1418"/>
        <w:jc w:val="both"/>
        <w:rPr>
          <w:rFonts w:ascii="Arial" w:hAnsi="Arial" w:cs="Arial"/>
          <w:sz w:val="24"/>
          <w:szCs w:val="24"/>
        </w:rPr>
      </w:pPr>
    </w:p>
    <w:p w:rsidR="005A2FF3" w:rsidRDefault="000E1622" w:rsidP="000E1622">
      <w:pPr>
        <w:pStyle w:val="Default"/>
        <w:ind w:left="720" w:hanging="720"/>
        <w:jc w:val="both"/>
      </w:pPr>
      <w:r>
        <w:t>9</w:t>
      </w:r>
      <w:r w:rsidR="00E601F2" w:rsidRPr="00E601F2">
        <w:t>.2</w:t>
      </w:r>
      <w:r w:rsidR="00E601F2" w:rsidRPr="00E601F2">
        <w:tab/>
      </w:r>
      <w:r w:rsidR="00FF14F3">
        <w:t>The p</w:t>
      </w:r>
      <w:r w:rsidR="005A2FF3" w:rsidRPr="00E601F2">
        <w:t>rovider must have adequate equalities policy and procedure</w:t>
      </w:r>
      <w:r w:rsidR="00CF6458">
        <w:t xml:space="preserve"> which is followed</w:t>
      </w:r>
      <w:r w:rsidR="005A2FF3" w:rsidRPr="00E601F2">
        <w:t xml:space="preserve"> at all times and must ensure that staff are adequately inducted and trained. </w:t>
      </w:r>
    </w:p>
    <w:p w:rsidR="000E1622" w:rsidRDefault="000E1622" w:rsidP="00E601F2">
      <w:pPr>
        <w:pStyle w:val="Default"/>
        <w:ind w:left="720" w:hanging="720"/>
      </w:pPr>
    </w:p>
    <w:p w:rsidR="00373A04" w:rsidRPr="000E1622" w:rsidRDefault="000E1622" w:rsidP="000E1622">
      <w:pPr>
        <w:tabs>
          <w:tab w:val="left" w:pos="709"/>
        </w:tabs>
        <w:ind w:left="705" w:hanging="705"/>
        <w:jc w:val="both"/>
        <w:rPr>
          <w:rFonts w:ascii="Arial" w:hAnsi="Arial" w:cs="Arial"/>
          <w:bCs/>
          <w:sz w:val="24"/>
          <w:szCs w:val="24"/>
        </w:rPr>
      </w:pPr>
      <w:r w:rsidRPr="000E1622">
        <w:rPr>
          <w:rFonts w:ascii="Arial" w:hAnsi="Arial" w:cs="Arial"/>
          <w:sz w:val="24"/>
          <w:szCs w:val="24"/>
        </w:rPr>
        <w:t>9.3</w:t>
      </w:r>
      <w:r w:rsidRPr="000E1622">
        <w:rPr>
          <w:rFonts w:ascii="Arial" w:hAnsi="Arial" w:cs="Arial"/>
          <w:sz w:val="24"/>
          <w:szCs w:val="24"/>
        </w:rPr>
        <w:tab/>
      </w:r>
      <w:r w:rsidR="0044653E">
        <w:rPr>
          <w:rStyle w:val="Strong"/>
          <w:rFonts w:ascii="Arial" w:hAnsi="Arial" w:cs="Arial"/>
          <w:b w:val="0"/>
          <w:sz w:val="24"/>
          <w:szCs w:val="24"/>
        </w:rPr>
        <w:t>The</w:t>
      </w:r>
      <w:r w:rsidRPr="000E1622">
        <w:rPr>
          <w:rStyle w:val="Strong"/>
          <w:rFonts w:ascii="Arial" w:hAnsi="Arial" w:cs="Arial"/>
          <w:b w:val="0"/>
          <w:sz w:val="24"/>
          <w:szCs w:val="24"/>
        </w:rPr>
        <w:t xml:space="preserve"> service provider </w:t>
      </w:r>
      <w:r w:rsidR="0044653E">
        <w:rPr>
          <w:rStyle w:val="Strong"/>
          <w:rFonts w:ascii="Arial" w:hAnsi="Arial" w:cs="Arial"/>
          <w:b w:val="0"/>
          <w:sz w:val="24"/>
          <w:szCs w:val="24"/>
        </w:rPr>
        <w:t>must</w:t>
      </w:r>
      <w:r w:rsidRPr="000E1622">
        <w:rPr>
          <w:rStyle w:val="Strong"/>
          <w:rFonts w:ascii="Arial" w:hAnsi="Arial" w:cs="Arial"/>
          <w:b w:val="0"/>
          <w:sz w:val="24"/>
          <w:szCs w:val="24"/>
        </w:rPr>
        <w:t xml:space="preserve"> publicise the service and its activities</w:t>
      </w:r>
      <w:r w:rsidR="0044653E">
        <w:rPr>
          <w:rStyle w:val="Strong"/>
          <w:rFonts w:ascii="Arial" w:hAnsi="Arial" w:cs="Arial"/>
          <w:b w:val="0"/>
          <w:sz w:val="24"/>
          <w:szCs w:val="24"/>
        </w:rPr>
        <w:t xml:space="preserve"> in a range of ways</w:t>
      </w:r>
      <w:r w:rsidRPr="000E1622">
        <w:rPr>
          <w:rStyle w:val="Strong"/>
          <w:rFonts w:ascii="Arial" w:hAnsi="Arial" w:cs="Arial"/>
          <w:b w:val="0"/>
          <w:sz w:val="24"/>
          <w:szCs w:val="24"/>
        </w:rPr>
        <w:t xml:space="preserve"> in order to reach a broad spectrum of tenants, with a particular emphasis on targeting hard to reach groups.</w:t>
      </w:r>
    </w:p>
    <w:p w:rsidR="00373A04" w:rsidRDefault="000E1622" w:rsidP="000E1622">
      <w:pPr>
        <w:pStyle w:val="Default"/>
        <w:ind w:left="720" w:hanging="720"/>
        <w:jc w:val="both"/>
      </w:pPr>
      <w:r>
        <w:t>9.4</w:t>
      </w:r>
      <w:r w:rsidR="00373A04">
        <w:tab/>
        <w:t xml:space="preserve">The provider will be asked to collect </w:t>
      </w:r>
      <w:r w:rsidR="00C01D5C">
        <w:t xml:space="preserve">anonymised </w:t>
      </w:r>
      <w:r w:rsidR="00373A04">
        <w:t xml:space="preserve">equalities data regarding </w:t>
      </w:r>
      <w:r w:rsidR="00B67412">
        <w:t>tenants assisted by the service</w:t>
      </w:r>
      <w:r w:rsidR="00373EE0">
        <w:t xml:space="preserve"> where tenants are happy to provide this information</w:t>
      </w:r>
      <w:r w:rsidR="00B67412">
        <w:t xml:space="preserve">.  BCC will provide a template for collection of the data and will use the data to </w:t>
      </w:r>
      <w:r w:rsidR="00373EE0">
        <w:t>measure how</w:t>
      </w:r>
      <w:r w:rsidR="00B67412">
        <w:t xml:space="preserve"> </w:t>
      </w:r>
      <w:r w:rsidR="004626EB">
        <w:t xml:space="preserve">the </w:t>
      </w:r>
      <w:r w:rsidR="00B67412">
        <w:t>service is being accessed by tenants with protected characteristics.  The data will be stored by the provider in a secure format (see section 1</w:t>
      </w:r>
      <w:r w:rsidR="0044653E">
        <w:t>1</w:t>
      </w:r>
      <w:r w:rsidR="00B67412">
        <w:t xml:space="preserve"> – Information Security).</w:t>
      </w:r>
    </w:p>
    <w:p w:rsidR="00CF6458" w:rsidRDefault="00CF6458" w:rsidP="000E1622">
      <w:pPr>
        <w:pStyle w:val="Default"/>
        <w:ind w:left="720" w:hanging="720"/>
        <w:jc w:val="both"/>
      </w:pPr>
    </w:p>
    <w:p w:rsidR="00CF6458" w:rsidRDefault="00CF6458" w:rsidP="000E1622">
      <w:pPr>
        <w:pStyle w:val="Default"/>
        <w:ind w:left="720" w:hanging="720"/>
        <w:jc w:val="both"/>
      </w:pPr>
      <w:r>
        <w:t>9.5</w:t>
      </w:r>
      <w:r>
        <w:tab/>
        <w:t>The provider must ensure that any workshops or o</w:t>
      </w:r>
      <w:r w:rsidR="0044653E">
        <w:t xml:space="preserve">ther events held in non-council </w:t>
      </w:r>
      <w:r>
        <w:t>owned venues ar</w:t>
      </w:r>
      <w:r w:rsidR="00EB5264">
        <w:t>e fully accessible to disabled tenants.</w:t>
      </w:r>
    </w:p>
    <w:p w:rsidR="00EB5264" w:rsidRDefault="00EB5264" w:rsidP="000E1622">
      <w:pPr>
        <w:pStyle w:val="Default"/>
        <w:ind w:left="720" w:hanging="720"/>
        <w:jc w:val="both"/>
      </w:pPr>
    </w:p>
    <w:p w:rsidR="00EB5264" w:rsidRPr="00E601F2" w:rsidRDefault="005A2289" w:rsidP="000E1622">
      <w:pPr>
        <w:pStyle w:val="Default"/>
        <w:ind w:left="720" w:hanging="720"/>
        <w:jc w:val="both"/>
      </w:pPr>
      <w:r>
        <w:t>9.6</w:t>
      </w:r>
      <w:r w:rsidR="00EB5264">
        <w:tab/>
      </w:r>
      <w:r w:rsidR="00373EE0">
        <w:t xml:space="preserve">The service provider will </w:t>
      </w:r>
      <w:r w:rsidR="001B0F6A">
        <w:t>provide information in alternative formats (e.g. braille, large print) or alternative languages</w:t>
      </w:r>
      <w:r w:rsidR="002802AC">
        <w:t xml:space="preserve"> where this is requested.</w:t>
      </w:r>
    </w:p>
    <w:p w:rsidR="005A2FF3" w:rsidRDefault="005A2FF3" w:rsidP="005A2FF3">
      <w:pPr>
        <w:pStyle w:val="Default"/>
        <w:rPr>
          <w:sz w:val="23"/>
          <w:szCs w:val="23"/>
        </w:rPr>
      </w:pPr>
    </w:p>
    <w:p w:rsidR="005A2FF3" w:rsidRPr="0044653E" w:rsidRDefault="000E1622" w:rsidP="0044653E">
      <w:pPr>
        <w:jc w:val="both"/>
        <w:rPr>
          <w:b/>
          <w:sz w:val="28"/>
          <w:szCs w:val="28"/>
        </w:rPr>
      </w:pPr>
      <w:r>
        <w:rPr>
          <w:rFonts w:ascii="Arial" w:hAnsi="Arial" w:cs="Arial"/>
          <w:b/>
          <w:sz w:val="28"/>
          <w:szCs w:val="28"/>
        </w:rPr>
        <w:t>10</w:t>
      </w:r>
      <w:r w:rsidR="005A2FF3" w:rsidRPr="00FE4798">
        <w:rPr>
          <w:rFonts w:ascii="Arial" w:hAnsi="Arial" w:cs="Arial"/>
          <w:b/>
          <w:sz w:val="28"/>
          <w:szCs w:val="28"/>
        </w:rPr>
        <w:t>.</w:t>
      </w:r>
      <w:r w:rsidR="005A2FF3" w:rsidRPr="00FE4798">
        <w:rPr>
          <w:rFonts w:ascii="Arial" w:hAnsi="Arial" w:cs="Arial"/>
          <w:b/>
          <w:sz w:val="28"/>
          <w:szCs w:val="28"/>
        </w:rPr>
        <w:tab/>
        <w:t>Social Value</w:t>
      </w:r>
    </w:p>
    <w:p w:rsidR="005A2FF3" w:rsidRPr="005A2289" w:rsidRDefault="005726E5" w:rsidP="005A2289">
      <w:pPr>
        <w:spacing w:after="0"/>
        <w:ind w:left="720" w:hanging="720"/>
        <w:rPr>
          <w:rFonts w:ascii="Arial" w:hAnsi="Arial" w:cs="Arial"/>
          <w:sz w:val="24"/>
          <w:szCs w:val="24"/>
        </w:rPr>
      </w:pPr>
      <w:r w:rsidRPr="005A2289">
        <w:rPr>
          <w:rFonts w:ascii="Arial" w:hAnsi="Arial" w:cs="Arial"/>
          <w:color w:val="000000" w:themeColor="text1"/>
          <w:sz w:val="24"/>
          <w:szCs w:val="24"/>
        </w:rPr>
        <w:t>10.1</w:t>
      </w:r>
      <w:r w:rsidRPr="005A2289">
        <w:rPr>
          <w:rFonts w:ascii="Arial" w:hAnsi="Arial" w:cs="Arial"/>
          <w:color w:val="000000" w:themeColor="text1"/>
          <w:sz w:val="24"/>
          <w:szCs w:val="24"/>
        </w:rPr>
        <w:tab/>
      </w:r>
      <w:r w:rsidR="005A2289" w:rsidRPr="005A2289">
        <w:rPr>
          <w:rFonts w:ascii="Arial" w:hAnsi="Arial" w:cs="Arial"/>
          <w:sz w:val="24"/>
          <w:szCs w:val="24"/>
        </w:rPr>
        <w:t>Social Value is about integrating economic, environmental and social sustainability into the Council’s commissioning and procurement processes. It is based on the Public Services (Social Value) Act 2012 which came into force on 31</w:t>
      </w:r>
      <w:r w:rsidR="005A2289" w:rsidRPr="005A2289">
        <w:rPr>
          <w:rFonts w:ascii="Arial" w:hAnsi="Arial" w:cs="Arial"/>
          <w:sz w:val="24"/>
          <w:szCs w:val="24"/>
          <w:vertAlign w:val="superscript"/>
        </w:rPr>
        <w:t>st</w:t>
      </w:r>
      <w:r w:rsidR="005A2289" w:rsidRPr="005A2289">
        <w:rPr>
          <w:rFonts w:ascii="Arial" w:hAnsi="Arial" w:cs="Arial"/>
          <w:sz w:val="24"/>
          <w:szCs w:val="24"/>
        </w:rPr>
        <w:t xml:space="preserve"> January 2013. The Act requires public bodies to consider Social Value in service contracts (and contracts for goods where there is a service element) above a prescribed financial threshold. </w:t>
      </w:r>
    </w:p>
    <w:p w:rsidR="005726E5" w:rsidRPr="005A2289" w:rsidRDefault="005726E5" w:rsidP="005726E5">
      <w:pPr>
        <w:pStyle w:val="Default"/>
        <w:ind w:left="720" w:hanging="720"/>
        <w:rPr>
          <w:color w:val="000000" w:themeColor="text1"/>
        </w:rPr>
      </w:pPr>
    </w:p>
    <w:p w:rsidR="005726E5" w:rsidRPr="005A2289" w:rsidRDefault="005726E5" w:rsidP="005726E5">
      <w:pPr>
        <w:pStyle w:val="Default"/>
        <w:ind w:left="720" w:hanging="720"/>
        <w:rPr>
          <w:color w:val="000000" w:themeColor="text1"/>
        </w:rPr>
      </w:pPr>
      <w:r w:rsidRPr="005A2289">
        <w:rPr>
          <w:color w:val="000000" w:themeColor="text1"/>
        </w:rPr>
        <w:t>10.2</w:t>
      </w:r>
      <w:r w:rsidRPr="005A2289">
        <w:rPr>
          <w:color w:val="000000" w:themeColor="text1"/>
        </w:rPr>
        <w:tab/>
        <w:t>As part of the tender submission process, the provider will be asked to demonstrate how they would be able to add social value as part of the TEA contract</w:t>
      </w:r>
      <w:r w:rsidR="009529C2">
        <w:rPr>
          <w:color w:val="000000" w:themeColor="text1"/>
        </w:rPr>
        <w:t xml:space="preserve"> and will be required to submit this through the ‘Social Value Portal’.</w:t>
      </w:r>
    </w:p>
    <w:p w:rsidR="00B45853" w:rsidRDefault="00B45853" w:rsidP="005726E5">
      <w:pPr>
        <w:pStyle w:val="Default"/>
        <w:ind w:left="720" w:hanging="720"/>
        <w:rPr>
          <w:color w:val="000000" w:themeColor="text1"/>
          <w:sz w:val="23"/>
          <w:szCs w:val="23"/>
        </w:rPr>
      </w:pPr>
    </w:p>
    <w:p w:rsidR="005A2FF3" w:rsidRDefault="00B45853" w:rsidP="0044653E">
      <w:pPr>
        <w:pStyle w:val="Default"/>
        <w:ind w:left="720" w:hanging="720"/>
      </w:pPr>
      <w:r>
        <w:rPr>
          <w:color w:val="000000" w:themeColor="text1"/>
          <w:sz w:val="23"/>
          <w:szCs w:val="23"/>
        </w:rPr>
        <w:t>10.3</w:t>
      </w:r>
      <w:r>
        <w:rPr>
          <w:color w:val="000000" w:themeColor="text1"/>
          <w:sz w:val="23"/>
          <w:szCs w:val="23"/>
        </w:rPr>
        <w:tab/>
        <w:t xml:space="preserve">Examples of adding social value through contracts could include employment, skills and training opportunities for young people to enable them to acquire skills needed to enter the workforce, or </w:t>
      </w:r>
      <w:r w:rsidR="007A77AF">
        <w:t>a focus on ‘green’ issues such as environmental protection and enabling measures to reduce carbon emissions, energy efficiency, waste minimisation and recycling.</w:t>
      </w:r>
    </w:p>
    <w:p w:rsidR="0044653E" w:rsidRPr="0044653E" w:rsidRDefault="0044653E" w:rsidP="0044653E">
      <w:pPr>
        <w:pStyle w:val="Default"/>
        <w:ind w:left="720" w:hanging="720"/>
        <w:rPr>
          <w:color w:val="000000" w:themeColor="text1"/>
          <w:sz w:val="23"/>
          <w:szCs w:val="23"/>
        </w:rPr>
      </w:pPr>
    </w:p>
    <w:p w:rsidR="005A2FF3" w:rsidRPr="00AF569F" w:rsidRDefault="000E1622" w:rsidP="005A2FF3">
      <w:pPr>
        <w:jc w:val="both"/>
        <w:rPr>
          <w:rFonts w:ascii="Arial" w:hAnsi="Arial" w:cs="Arial"/>
          <w:b/>
          <w:sz w:val="28"/>
          <w:szCs w:val="28"/>
        </w:rPr>
      </w:pPr>
      <w:r>
        <w:rPr>
          <w:rFonts w:ascii="Arial" w:hAnsi="Arial" w:cs="Arial"/>
          <w:b/>
          <w:sz w:val="28"/>
          <w:szCs w:val="28"/>
        </w:rPr>
        <w:t>11</w:t>
      </w:r>
      <w:r w:rsidR="005A2FF3">
        <w:rPr>
          <w:rFonts w:ascii="Arial" w:hAnsi="Arial" w:cs="Arial"/>
          <w:b/>
          <w:sz w:val="28"/>
          <w:szCs w:val="28"/>
        </w:rPr>
        <w:t>.</w:t>
      </w:r>
      <w:r w:rsidR="005A2FF3" w:rsidRPr="00AF569F">
        <w:rPr>
          <w:rFonts w:ascii="Arial" w:hAnsi="Arial" w:cs="Arial"/>
          <w:b/>
          <w:sz w:val="28"/>
          <w:szCs w:val="28"/>
        </w:rPr>
        <w:tab/>
      </w:r>
      <w:r w:rsidR="005A2FF3">
        <w:rPr>
          <w:rFonts w:ascii="Arial" w:hAnsi="Arial" w:cs="Arial"/>
          <w:b/>
          <w:sz w:val="28"/>
          <w:szCs w:val="28"/>
        </w:rPr>
        <w:t xml:space="preserve">Information </w:t>
      </w:r>
      <w:r w:rsidR="005A2FF3" w:rsidRPr="00AF569F">
        <w:rPr>
          <w:rFonts w:ascii="Arial" w:hAnsi="Arial" w:cs="Arial"/>
          <w:b/>
          <w:sz w:val="28"/>
          <w:szCs w:val="28"/>
        </w:rPr>
        <w:t>Security</w:t>
      </w:r>
    </w:p>
    <w:p w:rsidR="005A2FF3" w:rsidRPr="00CC16BD" w:rsidRDefault="005A2FF3" w:rsidP="005A2FF3">
      <w:pPr>
        <w:ind w:left="720" w:hanging="720"/>
        <w:jc w:val="both"/>
        <w:rPr>
          <w:rFonts w:ascii="Arial" w:hAnsi="Arial" w:cs="Arial"/>
          <w:sz w:val="24"/>
          <w:szCs w:val="24"/>
        </w:rPr>
      </w:pPr>
      <w:r>
        <w:rPr>
          <w:rFonts w:ascii="Arial" w:hAnsi="Arial" w:cs="Arial"/>
          <w:sz w:val="24"/>
          <w:szCs w:val="24"/>
        </w:rPr>
        <w:t>1</w:t>
      </w:r>
      <w:r w:rsidR="000E1622">
        <w:rPr>
          <w:rFonts w:ascii="Arial" w:hAnsi="Arial" w:cs="Arial"/>
          <w:sz w:val="24"/>
          <w:szCs w:val="24"/>
        </w:rPr>
        <w:t>1</w:t>
      </w:r>
      <w:r w:rsidRPr="00CC16BD">
        <w:rPr>
          <w:rFonts w:ascii="Arial" w:hAnsi="Arial" w:cs="Arial"/>
          <w:sz w:val="24"/>
          <w:szCs w:val="24"/>
        </w:rPr>
        <w:t>.1</w:t>
      </w:r>
      <w:r w:rsidRPr="00CC16BD">
        <w:rPr>
          <w:rFonts w:ascii="Arial" w:hAnsi="Arial" w:cs="Arial"/>
          <w:sz w:val="24"/>
          <w:szCs w:val="24"/>
        </w:rPr>
        <w:tab/>
      </w:r>
      <w:r w:rsidR="00AC3960">
        <w:rPr>
          <w:rFonts w:ascii="Arial" w:hAnsi="Arial" w:cs="Arial"/>
          <w:sz w:val="24"/>
          <w:szCs w:val="24"/>
        </w:rPr>
        <w:t>The service provider must have a robust policy around</w:t>
      </w:r>
      <w:r w:rsidRPr="00CC16BD">
        <w:rPr>
          <w:rFonts w:ascii="Arial" w:hAnsi="Arial" w:cs="Arial"/>
          <w:sz w:val="24"/>
          <w:szCs w:val="24"/>
        </w:rPr>
        <w:t xml:space="preserve"> </w:t>
      </w:r>
      <w:r>
        <w:rPr>
          <w:rFonts w:ascii="Arial" w:hAnsi="Arial" w:cs="Arial"/>
          <w:sz w:val="24"/>
          <w:szCs w:val="24"/>
        </w:rPr>
        <w:t xml:space="preserve">safe storage of data and </w:t>
      </w:r>
      <w:r w:rsidRPr="00CC16BD">
        <w:rPr>
          <w:rFonts w:ascii="Arial" w:hAnsi="Arial" w:cs="Arial"/>
          <w:sz w:val="24"/>
          <w:szCs w:val="24"/>
        </w:rPr>
        <w:t xml:space="preserve">data sharing, </w:t>
      </w:r>
      <w:r>
        <w:rPr>
          <w:rFonts w:ascii="Arial" w:hAnsi="Arial" w:cs="Arial"/>
          <w:sz w:val="24"/>
          <w:szCs w:val="24"/>
        </w:rPr>
        <w:t xml:space="preserve">information security, </w:t>
      </w:r>
      <w:r w:rsidR="00AC3960">
        <w:rPr>
          <w:rFonts w:ascii="Arial" w:hAnsi="Arial" w:cs="Arial"/>
          <w:sz w:val="24"/>
          <w:szCs w:val="24"/>
        </w:rPr>
        <w:t xml:space="preserve">and </w:t>
      </w:r>
      <w:r w:rsidRPr="00CC16BD">
        <w:rPr>
          <w:rFonts w:ascii="Arial" w:hAnsi="Arial" w:cs="Arial"/>
          <w:sz w:val="24"/>
          <w:szCs w:val="24"/>
        </w:rPr>
        <w:t>confidenti</w:t>
      </w:r>
      <w:r w:rsidR="00AC3960">
        <w:rPr>
          <w:rFonts w:ascii="Arial" w:hAnsi="Arial" w:cs="Arial"/>
          <w:sz w:val="24"/>
          <w:szCs w:val="24"/>
        </w:rPr>
        <w:t>ality of sensitive information in accordance with the Data Protection Act 1998,</w:t>
      </w:r>
      <w:r w:rsidR="00BF6FC5">
        <w:rPr>
          <w:rFonts w:ascii="Arial" w:hAnsi="Arial" w:cs="Arial"/>
          <w:sz w:val="24"/>
          <w:szCs w:val="24"/>
        </w:rPr>
        <w:t xml:space="preserve"> General Data Protection Regulation (GDPR)</w:t>
      </w:r>
      <w:r w:rsidR="00AC3960">
        <w:rPr>
          <w:rFonts w:ascii="Arial" w:hAnsi="Arial" w:cs="Arial"/>
          <w:sz w:val="24"/>
          <w:szCs w:val="24"/>
        </w:rPr>
        <w:t xml:space="preserve"> and all staff working for the service provider in the delivery of the TEA service must be trained to meet such policies/legislation.</w:t>
      </w:r>
      <w:r w:rsidR="00280F45">
        <w:rPr>
          <w:rFonts w:ascii="Arial" w:hAnsi="Arial" w:cs="Arial"/>
          <w:sz w:val="24"/>
          <w:szCs w:val="24"/>
        </w:rPr>
        <w:t xml:space="preserve"> The service provider will also be expected to subscribe to a data sharing agreement with BCC.</w:t>
      </w:r>
    </w:p>
    <w:p w:rsidR="005A2FF3" w:rsidRPr="00CC16BD" w:rsidRDefault="000E1622" w:rsidP="005A2FF3">
      <w:pPr>
        <w:ind w:left="720" w:hanging="720"/>
        <w:jc w:val="both"/>
        <w:rPr>
          <w:rFonts w:ascii="Arial" w:hAnsi="Arial" w:cs="Arial"/>
          <w:sz w:val="24"/>
          <w:szCs w:val="24"/>
        </w:rPr>
      </w:pPr>
      <w:r>
        <w:rPr>
          <w:rFonts w:ascii="Arial" w:hAnsi="Arial" w:cs="Arial"/>
          <w:sz w:val="24"/>
          <w:szCs w:val="24"/>
        </w:rPr>
        <w:t>11</w:t>
      </w:r>
      <w:r w:rsidR="005A2FF3" w:rsidRPr="00CC16BD">
        <w:rPr>
          <w:rFonts w:ascii="Arial" w:hAnsi="Arial" w:cs="Arial"/>
          <w:sz w:val="24"/>
          <w:szCs w:val="24"/>
        </w:rPr>
        <w:t>.</w:t>
      </w:r>
      <w:r w:rsidR="005A2FF3">
        <w:rPr>
          <w:rFonts w:ascii="Arial" w:hAnsi="Arial" w:cs="Arial"/>
          <w:sz w:val="24"/>
          <w:szCs w:val="24"/>
        </w:rPr>
        <w:t>2</w:t>
      </w:r>
      <w:r w:rsidR="005A2FF3" w:rsidRPr="00CC16BD">
        <w:rPr>
          <w:rFonts w:ascii="Arial" w:hAnsi="Arial" w:cs="Arial"/>
          <w:sz w:val="24"/>
          <w:szCs w:val="24"/>
        </w:rPr>
        <w:tab/>
      </w:r>
      <w:r w:rsidR="007641D4">
        <w:rPr>
          <w:rFonts w:ascii="Arial" w:hAnsi="Arial" w:cs="Arial"/>
          <w:sz w:val="24"/>
          <w:szCs w:val="24"/>
        </w:rPr>
        <w:t>Where BCC is asking for proactive advice to be delivered to a group of specific tenants, addresses</w:t>
      </w:r>
      <w:r w:rsidR="005A2FF3" w:rsidRPr="00CC16BD">
        <w:rPr>
          <w:rFonts w:ascii="Arial" w:hAnsi="Arial" w:cs="Arial"/>
          <w:sz w:val="24"/>
          <w:szCs w:val="24"/>
        </w:rPr>
        <w:t xml:space="preserve"> will be provided to the </w:t>
      </w:r>
      <w:r w:rsidR="005A2FF3">
        <w:rPr>
          <w:rFonts w:ascii="Arial" w:hAnsi="Arial" w:cs="Arial"/>
          <w:sz w:val="24"/>
          <w:szCs w:val="24"/>
        </w:rPr>
        <w:t>service provider</w:t>
      </w:r>
      <w:r w:rsidR="005A2FF3" w:rsidRPr="00CC16BD">
        <w:rPr>
          <w:rFonts w:ascii="Arial" w:hAnsi="Arial" w:cs="Arial"/>
          <w:sz w:val="24"/>
          <w:szCs w:val="24"/>
        </w:rPr>
        <w:t xml:space="preserve"> using a passw</w:t>
      </w:r>
      <w:r w:rsidR="007641D4">
        <w:rPr>
          <w:rFonts w:ascii="Arial" w:hAnsi="Arial" w:cs="Arial"/>
          <w:sz w:val="24"/>
          <w:szCs w:val="24"/>
        </w:rPr>
        <w:t>ord-</w:t>
      </w:r>
      <w:r w:rsidR="005A2FF3" w:rsidRPr="00CC16BD">
        <w:rPr>
          <w:rFonts w:ascii="Arial" w:hAnsi="Arial" w:cs="Arial"/>
          <w:sz w:val="24"/>
          <w:szCs w:val="24"/>
        </w:rPr>
        <w:t xml:space="preserve">encrypted Excel spreadsheet.  This will include tenant name </w:t>
      </w:r>
      <w:r w:rsidR="005A2FF3">
        <w:rPr>
          <w:rFonts w:ascii="Arial" w:hAnsi="Arial" w:cs="Arial"/>
          <w:sz w:val="24"/>
          <w:szCs w:val="24"/>
        </w:rPr>
        <w:t>and address,</w:t>
      </w:r>
      <w:r w:rsidR="005A2FF3" w:rsidRPr="00CC16BD">
        <w:rPr>
          <w:rFonts w:ascii="Arial" w:hAnsi="Arial" w:cs="Arial"/>
          <w:sz w:val="24"/>
          <w:szCs w:val="24"/>
        </w:rPr>
        <w:t xml:space="preserve"> </w:t>
      </w:r>
      <w:r w:rsidR="007641D4">
        <w:rPr>
          <w:rFonts w:ascii="Arial" w:hAnsi="Arial" w:cs="Arial"/>
          <w:sz w:val="24"/>
          <w:szCs w:val="24"/>
        </w:rPr>
        <w:t>telephone number,</w:t>
      </w:r>
      <w:r w:rsidR="005A2FF3" w:rsidRPr="00CC16BD">
        <w:rPr>
          <w:rFonts w:ascii="Arial" w:hAnsi="Arial" w:cs="Arial"/>
          <w:sz w:val="24"/>
          <w:szCs w:val="24"/>
        </w:rPr>
        <w:t xml:space="preserve"> </w:t>
      </w:r>
      <w:r w:rsidR="007641D4">
        <w:rPr>
          <w:rFonts w:ascii="Arial" w:hAnsi="Arial" w:cs="Arial"/>
          <w:sz w:val="24"/>
          <w:szCs w:val="24"/>
        </w:rPr>
        <w:t xml:space="preserve">and </w:t>
      </w:r>
      <w:r w:rsidR="005A2FF3" w:rsidRPr="00CC16BD">
        <w:rPr>
          <w:rFonts w:ascii="Arial" w:hAnsi="Arial" w:cs="Arial"/>
          <w:sz w:val="24"/>
          <w:szCs w:val="24"/>
        </w:rPr>
        <w:t>supporting information about the reason for contact being made (e.g. type of heating system in the property).</w:t>
      </w:r>
    </w:p>
    <w:p w:rsidR="005A2FF3" w:rsidRPr="00CC16BD" w:rsidRDefault="000E1622" w:rsidP="005A2FF3">
      <w:pPr>
        <w:ind w:left="720" w:hanging="720"/>
        <w:jc w:val="both"/>
        <w:rPr>
          <w:rFonts w:ascii="Arial" w:hAnsi="Arial" w:cs="Arial"/>
          <w:sz w:val="24"/>
          <w:szCs w:val="24"/>
        </w:rPr>
      </w:pPr>
      <w:r>
        <w:rPr>
          <w:rFonts w:ascii="Arial" w:hAnsi="Arial" w:cs="Arial"/>
          <w:sz w:val="24"/>
          <w:szCs w:val="24"/>
        </w:rPr>
        <w:t>11</w:t>
      </w:r>
      <w:r w:rsidR="005A2FF3" w:rsidRPr="00CC16BD">
        <w:rPr>
          <w:rFonts w:ascii="Arial" w:hAnsi="Arial" w:cs="Arial"/>
          <w:sz w:val="24"/>
          <w:szCs w:val="24"/>
        </w:rPr>
        <w:t>.</w:t>
      </w:r>
      <w:r w:rsidR="005A2FF3">
        <w:rPr>
          <w:rFonts w:ascii="Arial" w:hAnsi="Arial" w:cs="Arial"/>
          <w:sz w:val="24"/>
          <w:szCs w:val="24"/>
        </w:rPr>
        <w:t>3</w:t>
      </w:r>
      <w:r w:rsidR="005A2FF3" w:rsidRPr="00CC16BD">
        <w:rPr>
          <w:rFonts w:ascii="Arial" w:hAnsi="Arial" w:cs="Arial"/>
          <w:sz w:val="24"/>
          <w:szCs w:val="24"/>
        </w:rPr>
        <w:tab/>
        <w:t xml:space="preserve">Information about known risks relating to council tenants will be </w:t>
      </w:r>
      <w:r w:rsidR="005A2FF3">
        <w:rPr>
          <w:rFonts w:ascii="Arial" w:hAnsi="Arial" w:cs="Arial"/>
          <w:sz w:val="24"/>
          <w:szCs w:val="24"/>
        </w:rPr>
        <w:t xml:space="preserve">highlighted and </w:t>
      </w:r>
      <w:r w:rsidR="005A2FF3" w:rsidRPr="00CC16BD">
        <w:rPr>
          <w:rFonts w:ascii="Arial" w:hAnsi="Arial" w:cs="Arial"/>
          <w:sz w:val="24"/>
          <w:szCs w:val="24"/>
        </w:rPr>
        <w:t>provided in a secure format</w:t>
      </w:r>
      <w:r w:rsidR="00AC43F5">
        <w:rPr>
          <w:rFonts w:ascii="Arial" w:hAnsi="Arial" w:cs="Arial"/>
          <w:sz w:val="24"/>
          <w:szCs w:val="24"/>
        </w:rPr>
        <w:t xml:space="preserve"> and frequency</w:t>
      </w:r>
      <w:r w:rsidR="005A2FF3" w:rsidRPr="00CC16BD">
        <w:rPr>
          <w:rFonts w:ascii="Arial" w:hAnsi="Arial" w:cs="Arial"/>
          <w:sz w:val="24"/>
          <w:szCs w:val="24"/>
        </w:rPr>
        <w:t xml:space="preserve"> which will be determined at the start of the contract.</w:t>
      </w:r>
    </w:p>
    <w:p w:rsidR="005A2FF3" w:rsidRPr="00CC16BD" w:rsidRDefault="005A2FF3" w:rsidP="005A2FF3">
      <w:pPr>
        <w:ind w:left="709" w:hanging="709"/>
        <w:jc w:val="both"/>
        <w:rPr>
          <w:rFonts w:ascii="Arial" w:hAnsi="Arial" w:cs="Arial"/>
          <w:sz w:val="24"/>
          <w:szCs w:val="24"/>
        </w:rPr>
      </w:pPr>
      <w:r>
        <w:rPr>
          <w:rFonts w:ascii="Arial" w:hAnsi="Arial" w:cs="Arial"/>
          <w:sz w:val="24"/>
          <w:szCs w:val="24"/>
        </w:rPr>
        <w:t>1</w:t>
      </w:r>
      <w:r w:rsidR="000E1622">
        <w:rPr>
          <w:rFonts w:ascii="Arial" w:hAnsi="Arial" w:cs="Arial"/>
          <w:sz w:val="24"/>
          <w:szCs w:val="24"/>
        </w:rPr>
        <w:t>1</w:t>
      </w:r>
      <w:r>
        <w:rPr>
          <w:rFonts w:ascii="Arial" w:hAnsi="Arial" w:cs="Arial"/>
          <w:sz w:val="24"/>
          <w:szCs w:val="24"/>
        </w:rPr>
        <w:t>.4</w:t>
      </w:r>
      <w:r w:rsidRPr="00CC16BD">
        <w:rPr>
          <w:rFonts w:ascii="Arial" w:hAnsi="Arial" w:cs="Arial"/>
          <w:sz w:val="24"/>
          <w:szCs w:val="24"/>
        </w:rPr>
        <w:tab/>
        <w:t xml:space="preserve">All email correspondence between BCC and the </w:t>
      </w:r>
      <w:r>
        <w:rPr>
          <w:rFonts w:ascii="Arial" w:hAnsi="Arial" w:cs="Arial"/>
          <w:sz w:val="24"/>
          <w:szCs w:val="24"/>
        </w:rPr>
        <w:t>service provider</w:t>
      </w:r>
      <w:r w:rsidRPr="00CC16BD">
        <w:rPr>
          <w:rFonts w:ascii="Arial" w:hAnsi="Arial" w:cs="Arial"/>
          <w:sz w:val="24"/>
          <w:szCs w:val="24"/>
        </w:rPr>
        <w:t xml:space="preserve"> which in</w:t>
      </w:r>
      <w:r>
        <w:rPr>
          <w:rFonts w:ascii="Arial" w:hAnsi="Arial" w:cs="Arial"/>
          <w:sz w:val="24"/>
          <w:szCs w:val="24"/>
        </w:rPr>
        <w:t xml:space="preserve">corporates </w:t>
      </w:r>
      <w:r w:rsidRPr="00CC16BD">
        <w:rPr>
          <w:rFonts w:ascii="Arial" w:hAnsi="Arial" w:cs="Arial"/>
          <w:sz w:val="24"/>
          <w:szCs w:val="24"/>
        </w:rPr>
        <w:t>any</w:t>
      </w:r>
      <w:r>
        <w:rPr>
          <w:rFonts w:ascii="Arial" w:hAnsi="Arial" w:cs="Arial"/>
          <w:sz w:val="24"/>
          <w:szCs w:val="24"/>
        </w:rPr>
        <w:t xml:space="preserve"> </w:t>
      </w:r>
      <w:r w:rsidRPr="00CC16BD">
        <w:rPr>
          <w:rFonts w:ascii="Arial" w:hAnsi="Arial" w:cs="Arial"/>
          <w:sz w:val="24"/>
          <w:szCs w:val="24"/>
        </w:rPr>
        <w:t>personal information about BCC tenants</w:t>
      </w:r>
      <w:r>
        <w:rPr>
          <w:rFonts w:ascii="Arial" w:hAnsi="Arial" w:cs="Arial"/>
          <w:sz w:val="24"/>
          <w:szCs w:val="24"/>
        </w:rPr>
        <w:t>,</w:t>
      </w:r>
      <w:r w:rsidRPr="00CC16BD">
        <w:rPr>
          <w:rFonts w:ascii="Arial" w:hAnsi="Arial" w:cs="Arial"/>
          <w:sz w:val="24"/>
          <w:szCs w:val="24"/>
        </w:rPr>
        <w:t xml:space="preserve"> will be sent using a ‘secure send’ function.</w:t>
      </w:r>
    </w:p>
    <w:p w:rsidR="005A2FF3" w:rsidRDefault="000E1622" w:rsidP="005A2FF3">
      <w:pPr>
        <w:ind w:left="720" w:hanging="720"/>
        <w:jc w:val="both"/>
        <w:rPr>
          <w:rFonts w:ascii="Arial" w:hAnsi="Arial" w:cs="Arial"/>
          <w:color w:val="000000" w:themeColor="text1"/>
          <w:sz w:val="24"/>
          <w:szCs w:val="24"/>
        </w:rPr>
      </w:pPr>
      <w:r>
        <w:rPr>
          <w:rFonts w:ascii="Arial" w:hAnsi="Arial" w:cs="Arial"/>
          <w:sz w:val="24"/>
          <w:szCs w:val="24"/>
        </w:rPr>
        <w:t>11</w:t>
      </w:r>
      <w:r w:rsidR="005A2FF3" w:rsidRPr="00FE4798">
        <w:rPr>
          <w:rFonts w:ascii="Arial" w:hAnsi="Arial" w:cs="Arial"/>
          <w:sz w:val="24"/>
          <w:szCs w:val="24"/>
        </w:rPr>
        <w:t>.</w:t>
      </w:r>
      <w:r w:rsidR="00AC3960">
        <w:rPr>
          <w:rFonts w:ascii="Arial" w:hAnsi="Arial" w:cs="Arial"/>
          <w:sz w:val="24"/>
          <w:szCs w:val="24"/>
        </w:rPr>
        <w:t>5</w:t>
      </w:r>
      <w:r w:rsidR="00AC43F5">
        <w:rPr>
          <w:rFonts w:ascii="Arial" w:hAnsi="Arial" w:cs="Arial"/>
          <w:color w:val="000000" w:themeColor="text1"/>
          <w:sz w:val="24"/>
          <w:szCs w:val="24"/>
        </w:rPr>
        <w:tab/>
      </w:r>
      <w:r w:rsidR="005A2FF3">
        <w:rPr>
          <w:rFonts w:ascii="Arial" w:hAnsi="Arial" w:cs="Arial"/>
          <w:color w:val="000000" w:themeColor="text1"/>
          <w:sz w:val="24"/>
          <w:szCs w:val="24"/>
        </w:rPr>
        <w:t xml:space="preserve">The service provider must not share tenant information with any external agency, unless providing an update on outcomes achieved to the original referral source, or providing the contract manager within </w:t>
      </w:r>
      <w:r w:rsidR="003B76BD">
        <w:rPr>
          <w:rFonts w:ascii="Arial" w:hAnsi="Arial" w:cs="Arial"/>
          <w:sz w:val="24"/>
          <w:szCs w:val="24"/>
        </w:rPr>
        <w:t xml:space="preserve">Landlord Services </w:t>
      </w:r>
      <w:r w:rsidR="005A2FF3">
        <w:rPr>
          <w:rFonts w:ascii="Arial" w:hAnsi="Arial" w:cs="Arial"/>
          <w:color w:val="000000" w:themeColor="text1"/>
          <w:sz w:val="24"/>
          <w:szCs w:val="24"/>
        </w:rPr>
        <w:t>the required performance management data.</w:t>
      </w:r>
    </w:p>
    <w:p w:rsidR="005A2FF3" w:rsidRPr="008833A6" w:rsidRDefault="005A2FF3" w:rsidP="005A2FF3">
      <w:pPr>
        <w:ind w:left="720" w:hanging="720"/>
        <w:jc w:val="both"/>
        <w:rPr>
          <w:rFonts w:ascii="Arial" w:hAnsi="Arial" w:cs="Arial"/>
          <w:sz w:val="24"/>
          <w:szCs w:val="24"/>
        </w:rPr>
      </w:pPr>
      <w:r>
        <w:rPr>
          <w:rFonts w:ascii="Arial" w:hAnsi="Arial" w:cs="Arial"/>
          <w:color w:val="000000" w:themeColor="text1"/>
          <w:sz w:val="24"/>
          <w:szCs w:val="24"/>
        </w:rPr>
        <w:t>1</w:t>
      </w:r>
      <w:r w:rsidR="000E1622">
        <w:rPr>
          <w:rFonts w:ascii="Arial" w:hAnsi="Arial" w:cs="Arial"/>
          <w:color w:val="000000" w:themeColor="text1"/>
          <w:sz w:val="24"/>
          <w:szCs w:val="24"/>
        </w:rPr>
        <w:t>1</w:t>
      </w:r>
      <w:r>
        <w:rPr>
          <w:rFonts w:ascii="Arial" w:hAnsi="Arial" w:cs="Arial"/>
          <w:color w:val="000000" w:themeColor="text1"/>
          <w:sz w:val="24"/>
          <w:szCs w:val="24"/>
        </w:rPr>
        <w:t>.</w:t>
      </w:r>
      <w:r w:rsidR="00AC3960">
        <w:rPr>
          <w:rFonts w:ascii="Arial" w:hAnsi="Arial" w:cs="Arial"/>
          <w:color w:val="000000" w:themeColor="text1"/>
          <w:sz w:val="24"/>
          <w:szCs w:val="24"/>
        </w:rPr>
        <w:t>6</w:t>
      </w:r>
      <w:r>
        <w:rPr>
          <w:rFonts w:ascii="Arial" w:hAnsi="Arial" w:cs="Arial"/>
          <w:color w:val="000000" w:themeColor="text1"/>
          <w:sz w:val="24"/>
          <w:szCs w:val="24"/>
        </w:rPr>
        <w:tab/>
        <w:t xml:space="preserve">Tenant information may be shared within the successful </w:t>
      </w:r>
      <w:r w:rsidR="00AC43F5">
        <w:rPr>
          <w:rFonts w:ascii="Arial" w:hAnsi="Arial" w:cs="Arial"/>
          <w:color w:val="000000" w:themeColor="text1"/>
          <w:sz w:val="24"/>
          <w:szCs w:val="24"/>
        </w:rPr>
        <w:t>service provider</w:t>
      </w:r>
      <w:r>
        <w:rPr>
          <w:rFonts w:ascii="Arial" w:hAnsi="Arial" w:cs="Arial"/>
          <w:color w:val="000000" w:themeColor="text1"/>
          <w:sz w:val="24"/>
          <w:szCs w:val="24"/>
        </w:rPr>
        <w:t xml:space="preserve">’s organisation only if this is to enable the tenant to benefit from advice or assistance </w:t>
      </w:r>
      <w:r w:rsidR="00AC43F5">
        <w:rPr>
          <w:rFonts w:ascii="Arial" w:hAnsi="Arial" w:cs="Arial"/>
          <w:color w:val="000000" w:themeColor="text1"/>
          <w:sz w:val="24"/>
          <w:szCs w:val="24"/>
        </w:rPr>
        <w:t>from another</w:t>
      </w:r>
      <w:r>
        <w:rPr>
          <w:rFonts w:ascii="Arial" w:hAnsi="Arial" w:cs="Arial"/>
          <w:color w:val="000000" w:themeColor="text1"/>
          <w:sz w:val="24"/>
          <w:szCs w:val="24"/>
        </w:rPr>
        <w:t xml:space="preserve"> free initiative</w:t>
      </w:r>
      <w:r w:rsidR="00AC43F5">
        <w:rPr>
          <w:rFonts w:ascii="Arial" w:hAnsi="Arial" w:cs="Arial"/>
          <w:color w:val="000000" w:themeColor="text1"/>
          <w:sz w:val="24"/>
          <w:szCs w:val="24"/>
        </w:rPr>
        <w:t xml:space="preserve"> or advice service.</w:t>
      </w:r>
      <w:r w:rsidRPr="00AF569F" w:rsidDel="00F534F2">
        <w:rPr>
          <w:rFonts w:ascii="Arial" w:hAnsi="Arial" w:cs="Arial"/>
          <w:b/>
          <w:sz w:val="28"/>
          <w:szCs w:val="28"/>
        </w:rPr>
        <w:t xml:space="preserve"> </w:t>
      </w:r>
    </w:p>
    <w:p w:rsidR="005A2FF3" w:rsidRPr="00AF569F" w:rsidRDefault="000E1622" w:rsidP="005A2FF3">
      <w:pPr>
        <w:ind w:left="720" w:hanging="720"/>
        <w:jc w:val="both"/>
        <w:rPr>
          <w:rFonts w:ascii="Arial" w:hAnsi="Arial" w:cs="Arial"/>
          <w:b/>
          <w:sz w:val="28"/>
          <w:szCs w:val="28"/>
        </w:rPr>
      </w:pPr>
      <w:r>
        <w:rPr>
          <w:rFonts w:ascii="Arial" w:hAnsi="Arial" w:cs="Arial"/>
          <w:b/>
          <w:sz w:val="28"/>
          <w:szCs w:val="28"/>
        </w:rPr>
        <w:t>12</w:t>
      </w:r>
      <w:r w:rsidR="005A2FF3">
        <w:rPr>
          <w:rFonts w:ascii="Arial" w:hAnsi="Arial" w:cs="Arial"/>
          <w:b/>
          <w:sz w:val="28"/>
          <w:szCs w:val="28"/>
        </w:rPr>
        <w:t>.</w:t>
      </w:r>
      <w:r w:rsidR="00AC3960">
        <w:rPr>
          <w:rFonts w:ascii="Arial" w:hAnsi="Arial" w:cs="Arial"/>
          <w:b/>
          <w:sz w:val="28"/>
          <w:szCs w:val="28"/>
        </w:rPr>
        <w:tab/>
        <w:t>Required I</w:t>
      </w:r>
      <w:r w:rsidR="005A2FF3" w:rsidRPr="00AF569F">
        <w:rPr>
          <w:rFonts w:ascii="Arial" w:hAnsi="Arial" w:cs="Arial"/>
          <w:b/>
          <w:sz w:val="28"/>
          <w:szCs w:val="28"/>
        </w:rPr>
        <w:t>nterface with other Agencies or Services</w:t>
      </w:r>
    </w:p>
    <w:p w:rsidR="005A2FF3" w:rsidRDefault="000E1622" w:rsidP="005A2FF3">
      <w:pPr>
        <w:ind w:left="720" w:hanging="720"/>
        <w:jc w:val="both"/>
        <w:rPr>
          <w:rFonts w:ascii="Arial" w:hAnsi="Arial" w:cs="Arial"/>
          <w:sz w:val="24"/>
          <w:szCs w:val="24"/>
        </w:rPr>
      </w:pPr>
      <w:r>
        <w:rPr>
          <w:rFonts w:ascii="Arial" w:hAnsi="Arial" w:cs="Arial"/>
          <w:sz w:val="24"/>
          <w:szCs w:val="24"/>
        </w:rPr>
        <w:t>12</w:t>
      </w:r>
      <w:r w:rsidR="005A2FF3" w:rsidRPr="00CC16BD">
        <w:rPr>
          <w:rFonts w:ascii="Arial" w:hAnsi="Arial" w:cs="Arial"/>
          <w:sz w:val="24"/>
          <w:szCs w:val="24"/>
        </w:rPr>
        <w:t>.1</w:t>
      </w:r>
      <w:r w:rsidR="005A2FF3" w:rsidRPr="00CC16BD">
        <w:rPr>
          <w:rFonts w:ascii="Arial" w:hAnsi="Arial" w:cs="Arial"/>
          <w:sz w:val="24"/>
          <w:szCs w:val="24"/>
        </w:rPr>
        <w:tab/>
        <w:t xml:space="preserve">The </w:t>
      </w:r>
      <w:r w:rsidR="005A2FF3">
        <w:rPr>
          <w:rFonts w:ascii="Arial" w:hAnsi="Arial" w:cs="Arial"/>
          <w:sz w:val="24"/>
          <w:szCs w:val="24"/>
        </w:rPr>
        <w:t>service provider</w:t>
      </w:r>
      <w:r w:rsidR="005A2FF3" w:rsidRPr="00CC16BD">
        <w:rPr>
          <w:rFonts w:ascii="Arial" w:hAnsi="Arial" w:cs="Arial"/>
          <w:sz w:val="24"/>
          <w:szCs w:val="24"/>
        </w:rPr>
        <w:t xml:space="preserve"> will </w:t>
      </w:r>
      <w:r w:rsidR="005A2FF3">
        <w:rPr>
          <w:rFonts w:ascii="Arial" w:hAnsi="Arial" w:cs="Arial"/>
          <w:sz w:val="24"/>
          <w:szCs w:val="24"/>
        </w:rPr>
        <w:t>be required</w:t>
      </w:r>
      <w:r w:rsidR="005A2FF3" w:rsidRPr="00CC16BD">
        <w:rPr>
          <w:rFonts w:ascii="Arial" w:hAnsi="Arial" w:cs="Arial"/>
          <w:sz w:val="24"/>
          <w:szCs w:val="24"/>
        </w:rPr>
        <w:t xml:space="preserve"> to work closely with council services and external agencies</w:t>
      </w:r>
      <w:r w:rsidR="005A2FF3">
        <w:rPr>
          <w:rFonts w:ascii="Arial" w:hAnsi="Arial" w:cs="Arial"/>
          <w:sz w:val="24"/>
          <w:szCs w:val="24"/>
        </w:rPr>
        <w:t>,</w:t>
      </w:r>
      <w:r w:rsidR="005A2FF3" w:rsidRPr="00CC16BD">
        <w:rPr>
          <w:rFonts w:ascii="Arial" w:hAnsi="Arial" w:cs="Arial"/>
          <w:sz w:val="24"/>
          <w:szCs w:val="24"/>
        </w:rPr>
        <w:t xml:space="preserve"> to accept referrals, share information</w:t>
      </w:r>
      <w:r w:rsidR="00AC43F5">
        <w:rPr>
          <w:rFonts w:ascii="Arial" w:hAnsi="Arial" w:cs="Arial"/>
          <w:sz w:val="24"/>
          <w:szCs w:val="24"/>
        </w:rPr>
        <w:t>,</w:t>
      </w:r>
      <w:r w:rsidR="005A2FF3" w:rsidRPr="00CC16BD">
        <w:rPr>
          <w:rFonts w:ascii="Arial" w:hAnsi="Arial" w:cs="Arial"/>
          <w:sz w:val="24"/>
          <w:szCs w:val="24"/>
        </w:rPr>
        <w:t xml:space="preserve"> and </w:t>
      </w:r>
      <w:r w:rsidR="005A2FF3">
        <w:rPr>
          <w:rFonts w:ascii="Arial" w:hAnsi="Arial" w:cs="Arial"/>
          <w:sz w:val="24"/>
          <w:szCs w:val="24"/>
        </w:rPr>
        <w:t xml:space="preserve">provide </w:t>
      </w:r>
      <w:r w:rsidR="005A2FF3" w:rsidRPr="00CC16BD">
        <w:rPr>
          <w:rFonts w:ascii="Arial" w:hAnsi="Arial" w:cs="Arial"/>
          <w:sz w:val="24"/>
          <w:szCs w:val="24"/>
        </w:rPr>
        <w:t>update</w:t>
      </w:r>
      <w:r w:rsidR="005A2FF3">
        <w:rPr>
          <w:rFonts w:ascii="Arial" w:hAnsi="Arial" w:cs="Arial"/>
          <w:sz w:val="24"/>
          <w:szCs w:val="24"/>
        </w:rPr>
        <w:t>s</w:t>
      </w:r>
      <w:r w:rsidR="005A2FF3" w:rsidRPr="00CC16BD">
        <w:rPr>
          <w:rFonts w:ascii="Arial" w:hAnsi="Arial" w:cs="Arial"/>
          <w:sz w:val="24"/>
          <w:szCs w:val="24"/>
        </w:rPr>
        <w:t xml:space="preserve"> on advice </w:t>
      </w:r>
      <w:r w:rsidR="005A2FF3">
        <w:rPr>
          <w:rFonts w:ascii="Arial" w:hAnsi="Arial" w:cs="Arial"/>
          <w:sz w:val="24"/>
          <w:szCs w:val="24"/>
        </w:rPr>
        <w:t>given and outcomes achieved</w:t>
      </w:r>
      <w:r w:rsidR="005A2FF3" w:rsidRPr="00CC16BD">
        <w:rPr>
          <w:rFonts w:ascii="Arial" w:hAnsi="Arial" w:cs="Arial"/>
          <w:sz w:val="24"/>
          <w:szCs w:val="24"/>
        </w:rPr>
        <w:t xml:space="preserve">.  These interfaces will be individual to the external agencies and council services and will be set up and agreed at the start </w:t>
      </w:r>
      <w:r w:rsidR="005A2FF3">
        <w:rPr>
          <w:rFonts w:ascii="Arial" w:hAnsi="Arial" w:cs="Arial"/>
          <w:sz w:val="24"/>
          <w:szCs w:val="24"/>
        </w:rPr>
        <w:t>of the contract and reviewed periodically throughout</w:t>
      </w:r>
      <w:r w:rsidR="005A2FF3" w:rsidRPr="00CC16BD">
        <w:rPr>
          <w:rFonts w:ascii="Arial" w:hAnsi="Arial" w:cs="Arial"/>
          <w:sz w:val="24"/>
          <w:szCs w:val="24"/>
        </w:rPr>
        <w:t xml:space="preserve"> the contract</w:t>
      </w:r>
      <w:r w:rsidR="005A2FF3">
        <w:rPr>
          <w:rFonts w:ascii="Arial" w:hAnsi="Arial" w:cs="Arial"/>
          <w:sz w:val="24"/>
          <w:szCs w:val="24"/>
        </w:rPr>
        <w:t>.</w:t>
      </w:r>
    </w:p>
    <w:p w:rsidR="005A2FF3" w:rsidRDefault="000E1622" w:rsidP="005A2FF3">
      <w:pPr>
        <w:spacing w:after="120"/>
        <w:ind w:left="720" w:hanging="720"/>
        <w:jc w:val="both"/>
        <w:rPr>
          <w:rFonts w:ascii="Arial" w:hAnsi="Arial" w:cs="Arial"/>
          <w:sz w:val="24"/>
          <w:szCs w:val="24"/>
        </w:rPr>
      </w:pPr>
      <w:r>
        <w:rPr>
          <w:rFonts w:ascii="Arial" w:hAnsi="Arial" w:cs="Arial"/>
          <w:sz w:val="24"/>
          <w:szCs w:val="24"/>
        </w:rPr>
        <w:t>12</w:t>
      </w:r>
      <w:r w:rsidR="005A2FF3">
        <w:rPr>
          <w:rFonts w:ascii="Arial" w:hAnsi="Arial" w:cs="Arial"/>
          <w:sz w:val="24"/>
          <w:szCs w:val="24"/>
        </w:rPr>
        <w:t>.2</w:t>
      </w:r>
      <w:r w:rsidR="005A2FF3">
        <w:rPr>
          <w:rFonts w:ascii="Arial" w:hAnsi="Arial" w:cs="Arial"/>
          <w:sz w:val="24"/>
          <w:szCs w:val="24"/>
        </w:rPr>
        <w:tab/>
        <w:t>Examples of referral sources include:</w:t>
      </w:r>
    </w:p>
    <w:p w:rsidR="005A2FF3" w:rsidRDefault="005A2FF3" w:rsidP="005A2FF3">
      <w:pPr>
        <w:pStyle w:val="ListParagraph"/>
        <w:numPr>
          <w:ilvl w:val="0"/>
          <w:numId w:val="14"/>
        </w:numPr>
        <w:spacing w:after="120"/>
        <w:jc w:val="both"/>
        <w:rPr>
          <w:rFonts w:ascii="Arial" w:hAnsi="Arial" w:cs="Arial"/>
        </w:rPr>
      </w:pPr>
      <w:r>
        <w:rPr>
          <w:rFonts w:ascii="Arial" w:hAnsi="Arial" w:cs="Arial"/>
        </w:rPr>
        <w:t>Direct referrals from tenants</w:t>
      </w:r>
    </w:p>
    <w:p w:rsidR="00A02056" w:rsidRDefault="00A02056" w:rsidP="00A02056">
      <w:pPr>
        <w:pStyle w:val="ListParagraph"/>
        <w:spacing w:after="120"/>
        <w:jc w:val="both"/>
        <w:rPr>
          <w:rFonts w:ascii="Arial" w:hAnsi="Arial" w:cs="Arial"/>
        </w:rPr>
      </w:pPr>
    </w:p>
    <w:p w:rsidR="005A2FF3" w:rsidRDefault="005A2FF3" w:rsidP="005A2FF3">
      <w:pPr>
        <w:pStyle w:val="ListParagraph"/>
        <w:numPr>
          <w:ilvl w:val="0"/>
          <w:numId w:val="14"/>
        </w:numPr>
        <w:spacing w:after="120"/>
        <w:jc w:val="both"/>
        <w:rPr>
          <w:rFonts w:ascii="Arial" w:hAnsi="Arial" w:cs="Arial"/>
        </w:rPr>
      </w:pPr>
      <w:r>
        <w:rPr>
          <w:rFonts w:ascii="Arial" w:hAnsi="Arial" w:cs="Arial"/>
        </w:rPr>
        <w:t>Referrals on behalf of tenants from BCC services</w:t>
      </w:r>
    </w:p>
    <w:p w:rsidR="005A2FF3" w:rsidRDefault="005A2FF3" w:rsidP="005A2FF3">
      <w:pPr>
        <w:pStyle w:val="ListParagraph"/>
        <w:numPr>
          <w:ilvl w:val="1"/>
          <w:numId w:val="14"/>
        </w:numPr>
        <w:spacing w:after="120"/>
        <w:jc w:val="both"/>
        <w:rPr>
          <w:rFonts w:ascii="Arial" w:hAnsi="Arial" w:cs="Arial"/>
        </w:rPr>
      </w:pPr>
      <w:r>
        <w:rPr>
          <w:rFonts w:ascii="Arial" w:hAnsi="Arial" w:cs="Arial"/>
        </w:rPr>
        <w:t>Estate Management service (Housing Officers)</w:t>
      </w:r>
    </w:p>
    <w:p w:rsidR="005A2FF3" w:rsidRDefault="005A2FF3" w:rsidP="005A2FF3">
      <w:pPr>
        <w:pStyle w:val="ListParagraph"/>
        <w:numPr>
          <w:ilvl w:val="1"/>
          <w:numId w:val="14"/>
        </w:numPr>
        <w:spacing w:after="120"/>
        <w:jc w:val="both"/>
        <w:rPr>
          <w:rFonts w:ascii="Arial" w:hAnsi="Arial" w:cs="Arial"/>
        </w:rPr>
      </w:pPr>
      <w:r>
        <w:rPr>
          <w:rFonts w:ascii="Arial" w:hAnsi="Arial" w:cs="Arial"/>
        </w:rPr>
        <w:t>Responsive Repairs service</w:t>
      </w:r>
    </w:p>
    <w:p w:rsidR="005A2FF3" w:rsidRDefault="005A2FF3" w:rsidP="005A2FF3">
      <w:pPr>
        <w:pStyle w:val="ListParagraph"/>
        <w:numPr>
          <w:ilvl w:val="1"/>
          <w:numId w:val="14"/>
        </w:numPr>
        <w:spacing w:after="120"/>
        <w:jc w:val="both"/>
        <w:rPr>
          <w:rFonts w:ascii="Arial" w:hAnsi="Arial" w:cs="Arial"/>
        </w:rPr>
      </w:pPr>
      <w:r>
        <w:rPr>
          <w:rFonts w:ascii="Arial" w:hAnsi="Arial" w:cs="Arial"/>
        </w:rPr>
        <w:t>Rent Management service</w:t>
      </w:r>
    </w:p>
    <w:p w:rsidR="005A2FF3" w:rsidRDefault="00813897" w:rsidP="005A2FF3">
      <w:pPr>
        <w:pStyle w:val="ListParagraph"/>
        <w:numPr>
          <w:ilvl w:val="1"/>
          <w:numId w:val="14"/>
        </w:numPr>
        <w:spacing w:after="120"/>
        <w:jc w:val="both"/>
        <w:rPr>
          <w:rFonts w:ascii="Arial" w:hAnsi="Arial" w:cs="Arial"/>
        </w:rPr>
      </w:pPr>
      <w:r>
        <w:rPr>
          <w:rFonts w:ascii="Arial" w:hAnsi="Arial" w:cs="Arial"/>
        </w:rPr>
        <w:t>Planned Programmes</w:t>
      </w:r>
      <w:r w:rsidR="005A2FF3">
        <w:rPr>
          <w:rFonts w:ascii="Arial" w:hAnsi="Arial" w:cs="Arial"/>
        </w:rPr>
        <w:t xml:space="preserve"> (who will be managing the contract)</w:t>
      </w:r>
    </w:p>
    <w:p w:rsidR="0038630C" w:rsidRDefault="0038630C" w:rsidP="005A2FF3">
      <w:pPr>
        <w:pStyle w:val="ListParagraph"/>
        <w:numPr>
          <w:ilvl w:val="1"/>
          <w:numId w:val="14"/>
        </w:numPr>
        <w:spacing w:after="120"/>
        <w:jc w:val="both"/>
        <w:rPr>
          <w:rFonts w:ascii="Arial" w:hAnsi="Arial" w:cs="Arial"/>
        </w:rPr>
      </w:pPr>
      <w:r>
        <w:rPr>
          <w:rFonts w:ascii="Arial" w:hAnsi="Arial" w:cs="Arial"/>
        </w:rPr>
        <w:t>Sensory Support service</w:t>
      </w:r>
    </w:p>
    <w:p w:rsidR="005A2FF3" w:rsidRDefault="005A2FF3" w:rsidP="005A2FF3">
      <w:pPr>
        <w:pStyle w:val="ListParagraph"/>
        <w:numPr>
          <w:ilvl w:val="1"/>
          <w:numId w:val="14"/>
        </w:numPr>
        <w:spacing w:after="120"/>
        <w:jc w:val="both"/>
        <w:rPr>
          <w:rFonts w:ascii="Arial" w:hAnsi="Arial" w:cs="Arial"/>
        </w:rPr>
      </w:pPr>
      <w:r>
        <w:rPr>
          <w:rFonts w:ascii="Arial" w:hAnsi="Arial" w:cs="Arial"/>
        </w:rPr>
        <w:t>Any other as yet unnamed BCC services</w:t>
      </w:r>
    </w:p>
    <w:p w:rsidR="00B05F0F" w:rsidRDefault="00B05F0F" w:rsidP="00B05F0F">
      <w:pPr>
        <w:pStyle w:val="ListParagraph"/>
        <w:spacing w:after="120"/>
        <w:ind w:left="1440"/>
        <w:jc w:val="both"/>
        <w:rPr>
          <w:rFonts w:ascii="Arial" w:hAnsi="Arial" w:cs="Arial"/>
        </w:rPr>
      </w:pPr>
    </w:p>
    <w:p w:rsidR="005A2FF3" w:rsidRDefault="005A2FF3" w:rsidP="005A2FF3">
      <w:pPr>
        <w:pStyle w:val="ListParagraph"/>
        <w:numPr>
          <w:ilvl w:val="0"/>
          <w:numId w:val="15"/>
        </w:numPr>
        <w:spacing w:after="120"/>
        <w:jc w:val="both"/>
        <w:rPr>
          <w:rFonts w:ascii="Arial" w:hAnsi="Arial" w:cs="Arial"/>
        </w:rPr>
      </w:pPr>
      <w:r>
        <w:rPr>
          <w:rFonts w:ascii="Arial" w:hAnsi="Arial" w:cs="Arial"/>
        </w:rPr>
        <w:t>Referrals on behalf of tenants from external services</w:t>
      </w:r>
    </w:p>
    <w:p w:rsidR="005A2FF3" w:rsidRDefault="00AC43F5" w:rsidP="005A2FF3">
      <w:pPr>
        <w:pStyle w:val="ListParagraph"/>
        <w:numPr>
          <w:ilvl w:val="1"/>
          <w:numId w:val="15"/>
        </w:numPr>
        <w:spacing w:after="120"/>
        <w:jc w:val="both"/>
        <w:rPr>
          <w:rFonts w:ascii="Arial" w:hAnsi="Arial" w:cs="Arial"/>
        </w:rPr>
      </w:pPr>
      <w:r>
        <w:rPr>
          <w:rFonts w:ascii="Arial" w:hAnsi="Arial" w:cs="Arial"/>
        </w:rPr>
        <w:t>GP surgeries</w:t>
      </w:r>
    </w:p>
    <w:p w:rsidR="005A2FF3" w:rsidRDefault="005A2FF3" w:rsidP="005A2FF3">
      <w:pPr>
        <w:pStyle w:val="ListParagraph"/>
        <w:numPr>
          <w:ilvl w:val="1"/>
          <w:numId w:val="15"/>
        </w:numPr>
        <w:spacing w:after="120"/>
        <w:jc w:val="both"/>
        <w:rPr>
          <w:rFonts w:ascii="Arial" w:hAnsi="Arial" w:cs="Arial"/>
        </w:rPr>
      </w:pPr>
      <w:r>
        <w:rPr>
          <w:rFonts w:ascii="Arial" w:hAnsi="Arial" w:cs="Arial"/>
        </w:rPr>
        <w:t>Energy suppliers (regarding tenants who are on the Priority Services Register with their supplier and need additional energy-related assistance)</w:t>
      </w:r>
    </w:p>
    <w:p w:rsidR="005A2FF3" w:rsidRPr="000E1622" w:rsidRDefault="005A2FF3" w:rsidP="000E1622">
      <w:pPr>
        <w:pStyle w:val="ListParagraph"/>
        <w:numPr>
          <w:ilvl w:val="1"/>
          <w:numId w:val="15"/>
        </w:numPr>
        <w:spacing w:after="120"/>
        <w:jc w:val="both"/>
        <w:rPr>
          <w:rStyle w:val="Strong"/>
          <w:rFonts w:ascii="Arial" w:hAnsi="Arial" w:cs="Arial"/>
          <w:b w:val="0"/>
          <w:bCs w:val="0"/>
        </w:rPr>
      </w:pPr>
      <w:r>
        <w:rPr>
          <w:rFonts w:ascii="Arial" w:hAnsi="Arial" w:cs="Arial"/>
        </w:rPr>
        <w:t>Any other external agencies who are working with BCC tenants, are aware of the service and want to refer someone for advice</w:t>
      </w:r>
    </w:p>
    <w:p w:rsidR="005A2FF3" w:rsidRPr="001703DC" w:rsidRDefault="005A2FF3" w:rsidP="005A2FF3">
      <w:pPr>
        <w:pStyle w:val="ListParagraph"/>
        <w:tabs>
          <w:tab w:val="left" w:pos="709"/>
        </w:tabs>
        <w:ind w:hanging="709"/>
        <w:jc w:val="both"/>
        <w:rPr>
          <w:rStyle w:val="Strong"/>
          <w:rFonts w:ascii="Arial" w:hAnsi="Arial" w:cs="Arial"/>
          <w:b w:val="0"/>
        </w:rPr>
      </w:pPr>
    </w:p>
    <w:p w:rsidR="005A2FF3" w:rsidRPr="00BD584F" w:rsidRDefault="005A2FF3" w:rsidP="005A2FF3">
      <w:pPr>
        <w:pStyle w:val="ListParagraph"/>
        <w:tabs>
          <w:tab w:val="left" w:pos="709"/>
        </w:tabs>
        <w:ind w:hanging="851"/>
        <w:jc w:val="both"/>
        <w:rPr>
          <w:rStyle w:val="Strong"/>
          <w:rFonts w:ascii="Arial" w:hAnsi="Arial" w:cs="Arial"/>
          <w:b w:val="0"/>
        </w:rPr>
      </w:pPr>
    </w:p>
    <w:p w:rsidR="005A2FF3" w:rsidRPr="00AF569F" w:rsidRDefault="00A02056" w:rsidP="00A02056">
      <w:pPr>
        <w:jc w:val="both"/>
        <w:rPr>
          <w:rFonts w:ascii="Arial" w:hAnsi="Arial" w:cs="Arial"/>
          <w:b/>
          <w:sz w:val="28"/>
          <w:szCs w:val="28"/>
        </w:rPr>
      </w:pPr>
      <w:r>
        <w:rPr>
          <w:rFonts w:ascii="Arial" w:hAnsi="Arial" w:cs="Arial"/>
          <w:b/>
          <w:sz w:val="28"/>
          <w:szCs w:val="28"/>
        </w:rPr>
        <w:t>13.</w:t>
      </w:r>
      <w:r>
        <w:rPr>
          <w:rFonts w:ascii="Arial" w:hAnsi="Arial" w:cs="Arial"/>
          <w:b/>
          <w:sz w:val="28"/>
          <w:szCs w:val="28"/>
        </w:rPr>
        <w:tab/>
      </w:r>
      <w:r w:rsidR="005A2FF3" w:rsidRPr="00AF569F">
        <w:rPr>
          <w:rFonts w:ascii="Arial" w:hAnsi="Arial" w:cs="Arial"/>
          <w:b/>
          <w:sz w:val="28"/>
          <w:szCs w:val="28"/>
        </w:rPr>
        <w:t xml:space="preserve">Service level </w:t>
      </w:r>
      <w:r w:rsidR="005A2FF3">
        <w:rPr>
          <w:rFonts w:ascii="Arial" w:hAnsi="Arial" w:cs="Arial"/>
          <w:b/>
          <w:sz w:val="28"/>
          <w:szCs w:val="28"/>
        </w:rPr>
        <w:t>outcomes</w:t>
      </w:r>
    </w:p>
    <w:p w:rsidR="005A2FF3" w:rsidRPr="00CC16BD" w:rsidRDefault="005A2FF3" w:rsidP="005A2FF3">
      <w:pPr>
        <w:spacing w:after="120"/>
        <w:ind w:left="720" w:hanging="720"/>
        <w:jc w:val="both"/>
        <w:rPr>
          <w:rFonts w:ascii="Arial" w:hAnsi="Arial" w:cs="Arial"/>
          <w:sz w:val="24"/>
          <w:szCs w:val="24"/>
        </w:rPr>
      </w:pPr>
      <w:r w:rsidRPr="00AF569F">
        <w:rPr>
          <w:rFonts w:ascii="Arial" w:hAnsi="Arial" w:cs="Arial"/>
          <w:sz w:val="24"/>
          <w:szCs w:val="24"/>
        </w:rPr>
        <w:t>13.1</w:t>
      </w:r>
      <w:r w:rsidRPr="00AF569F">
        <w:rPr>
          <w:rFonts w:ascii="Arial" w:hAnsi="Arial" w:cs="Arial"/>
          <w:sz w:val="24"/>
          <w:szCs w:val="24"/>
        </w:rPr>
        <w:tab/>
      </w:r>
      <w:r w:rsidRPr="00CC16BD">
        <w:rPr>
          <w:rFonts w:ascii="Arial" w:hAnsi="Arial" w:cs="Arial"/>
          <w:sz w:val="24"/>
          <w:szCs w:val="24"/>
        </w:rPr>
        <w:t xml:space="preserve">Measurement of the service will be based on outcomes rather than specific quantifiable products or services.  Tenderers will be asked to present a proposal which </w:t>
      </w:r>
      <w:r>
        <w:rPr>
          <w:rFonts w:ascii="Arial" w:hAnsi="Arial" w:cs="Arial"/>
          <w:sz w:val="24"/>
          <w:szCs w:val="24"/>
        </w:rPr>
        <w:t>outlines</w:t>
      </w:r>
      <w:r w:rsidRPr="00CC16BD">
        <w:rPr>
          <w:rFonts w:ascii="Arial" w:hAnsi="Arial" w:cs="Arial"/>
          <w:sz w:val="24"/>
          <w:szCs w:val="24"/>
        </w:rPr>
        <w:t xml:space="preserve"> how the</w:t>
      </w:r>
      <w:r>
        <w:rPr>
          <w:rFonts w:ascii="Arial" w:hAnsi="Arial" w:cs="Arial"/>
          <w:sz w:val="24"/>
          <w:szCs w:val="24"/>
        </w:rPr>
        <w:t>y</w:t>
      </w:r>
      <w:r w:rsidRPr="00CC16BD">
        <w:rPr>
          <w:rFonts w:ascii="Arial" w:hAnsi="Arial" w:cs="Arial"/>
          <w:sz w:val="24"/>
          <w:szCs w:val="24"/>
        </w:rPr>
        <w:t xml:space="preserve"> </w:t>
      </w:r>
      <w:r>
        <w:rPr>
          <w:rFonts w:ascii="Arial" w:hAnsi="Arial" w:cs="Arial"/>
          <w:sz w:val="24"/>
          <w:szCs w:val="24"/>
        </w:rPr>
        <w:t>propose to</w:t>
      </w:r>
      <w:r w:rsidRPr="00CC16BD">
        <w:rPr>
          <w:rFonts w:ascii="Arial" w:hAnsi="Arial" w:cs="Arial"/>
          <w:sz w:val="24"/>
          <w:szCs w:val="24"/>
        </w:rPr>
        <w:t xml:space="preserve"> </w:t>
      </w:r>
      <w:r w:rsidR="00ED050C">
        <w:rPr>
          <w:rFonts w:ascii="Arial" w:hAnsi="Arial" w:cs="Arial"/>
          <w:sz w:val="24"/>
          <w:szCs w:val="24"/>
        </w:rPr>
        <w:t>structure the service</w:t>
      </w:r>
      <w:r w:rsidRPr="00CC16BD">
        <w:rPr>
          <w:rFonts w:ascii="Arial" w:hAnsi="Arial" w:cs="Arial"/>
          <w:sz w:val="24"/>
          <w:szCs w:val="24"/>
        </w:rPr>
        <w:t xml:space="preserve"> for year one, </w:t>
      </w:r>
      <w:r>
        <w:rPr>
          <w:rFonts w:ascii="Arial" w:hAnsi="Arial" w:cs="Arial"/>
          <w:sz w:val="24"/>
          <w:szCs w:val="24"/>
        </w:rPr>
        <w:t xml:space="preserve">while </w:t>
      </w:r>
      <w:r w:rsidRPr="00CC16BD">
        <w:rPr>
          <w:rFonts w:ascii="Arial" w:hAnsi="Arial" w:cs="Arial"/>
          <w:sz w:val="24"/>
          <w:szCs w:val="24"/>
        </w:rPr>
        <w:t>considering the above topics, mechanisms and target groups, to best meet the following outcomes:</w:t>
      </w:r>
    </w:p>
    <w:p w:rsidR="005A2FF3" w:rsidRDefault="005A2FF3" w:rsidP="00A02056">
      <w:pPr>
        <w:pStyle w:val="ListParagraph"/>
        <w:numPr>
          <w:ilvl w:val="0"/>
          <w:numId w:val="2"/>
        </w:numPr>
        <w:ind w:left="993" w:hanging="426"/>
        <w:rPr>
          <w:rFonts w:ascii="Arial" w:hAnsi="Arial" w:cs="Arial"/>
        </w:rPr>
      </w:pPr>
      <w:r>
        <w:rPr>
          <w:rFonts w:ascii="Arial" w:hAnsi="Arial" w:cs="Arial"/>
        </w:rPr>
        <w:t>Minimise</w:t>
      </w:r>
      <w:r w:rsidRPr="00CC16BD">
        <w:rPr>
          <w:rFonts w:ascii="Arial" w:hAnsi="Arial" w:cs="Arial"/>
        </w:rPr>
        <w:t xml:space="preserve"> the number of tenants in fuel debt</w:t>
      </w:r>
    </w:p>
    <w:p w:rsidR="00A02056" w:rsidRPr="00CC16BD" w:rsidRDefault="00A02056" w:rsidP="00A02056">
      <w:pPr>
        <w:pStyle w:val="ListParagraph"/>
        <w:ind w:left="993"/>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Minimise</w:t>
      </w:r>
      <w:r w:rsidRPr="00CC16BD">
        <w:rPr>
          <w:rFonts w:ascii="Arial" w:hAnsi="Arial" w:cs="Arial"/>
        </w:rPr>
        <w:t xml:space="preserve"> the frequency </w:t>
      </w:r>
      <w:r w:rsidR="00495CB2">
        <w:rPr>
          <w:rFonts w:ascii="Arial" w:hAnsi="Arial" w:cs="Arial"/>
        </w:rPr>
        <w:t xml:space="preserve">and severity </w:t>
      </w:r>
      <w:r w:rsidRPr="00CC16BD">
        <w:rPr>
          <w:rFonts w:ascii="Arial" w:hAnsi="Arial" w:cs="Arial"/>
        </w:rPr>
        <w:t>of damp, mould and condensation in homes where this is controllable via behavioural change</w:t>
      </w:r>
    </w:p>
    <w:p w:rsidR="00A02056" w:rsidRPr="00A02056" w:rsidRDefault="00A02056" w:rsidP="00A02056">
      <w:pPr>
        <w:spacing w:after="0" w:line="240" w:lineRule="auto"/>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Minimise</w:t>
      </w:r>
      <w:r w:rsidRPr="00CC16BD">
        <w:rPr>
          <w:rFonts w:ascii="Arial" w:hAnsi="Arial" w:cs="Arial"/>
        </w:rPr>
        <w:t xml:space="preserve"> tenant fuel consumption whilst still maintaining a warm and comfortable home</w:t>
      </w:r>
    </w:p>
    <w:p w:rsidR="00A02056" w:rsidRPr="00A02056" w:rsidRDefault="00A02056" w:rsidP="00A02056">
      <w:pPr>
        <w:spacing w:after="0" w:line="240" w:lineRule="auto"/>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Minimise</w:t>
      </w:r>
      <w:r w:rsidRPr="00CC16BD">
        <w:rPr>
          <w:rFonts w:ascii="Arial" w:hAnsi="Arial" w:cs="Arial"/>
        </w:rPr>
        <w:t xml:space="preserve"> the number of tenants who have capped-off gas supplies</w:t>
      </w:r>
    </w:p>
    <w:p w:rsidR="00A02056" w:rsidRPr="00A02056" w:rsidRDefault="00A02056" w:rsidP="00A02056">
      <w:pPr>
        <w:spacing w:after="0" w:line="240" w:lineRule="auto"/>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Maximise</w:t>
      </w:r>
      <w:r w:rsidRPr="00CC16BD">
        <w:rPr>
          <w:rFonts w:ascii="Arial" w:hAnsi="Arial" w:cs="Arial"/>
        </w:rPr>
        <w:t xml:space="preserve"> the take up of new heating systems offered to tenants</w:t>
      </w:r>
    </w:p>
    <w:p w:rsidR="00A02056" w:rsidRPr="00A02056" w:rsidRDefault="00A02056" w:rsidP="00A02056">
      <w:pPr>
        <w:spacing w:after="0" w:line="240" w:lineRule="auto"/>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Maximise</w:t>
      </w:r>
      <w:r w:rsidRPr="00CC16BD">
        <w:rPr>
          <w:rFonts w:ascii="Arial" w:hAnsi="Arial" w:cs="Arial"/>
        </w:rPr>
        <w:t xml:space="preserve"> the number of tenants claiming energy-related discounts and grants they are entitled to receive</w:t>
      </w:r>
    </w:p>
    <w:p w:rsidR="00A02056" w:rsidRPr="00A02056" w:rsidRDefault="00A02056" w:rsidP="00A02056">
      <w:pPr>
        <w:spacing w:after="0" w:line="240" w:lineRule="auto"/>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Maximise</w:t>
      </w:r>
      <w:r w:rsidRPr="00CC16BD">
        <w:rPr>
          <w:rFonts w:ascii="Arial" w:hAnsi="Arial" w:cs="Arial"/>
        </w:rPr>
        <w:t xml:space="preserve"> the number of tenants who switch energy supplier to reduce energy bills</w:t>
      </w:r>
    </w:p>
    <w:p w:rsidR="00A02056" w:rsidRPr="00A02056" w:rsidRDefault="00A02056" w:rsidP="00A02056">
      <w:pPr>
        <w:spacing w:after="0" w:line="240" w:lineRule="auto"/>
        <w:rPr>
          <w:rFonts w:ascii="Arial" w:hAnsi="Arial" w:cs="Arial"/>
        </w:rPr>
      </w:pPr>
    </w:p>
    <w:p w:rsidR="005A2FF3" w:rsidRDefault="005A2FF3" w:rsidP="00A02056">
      <w:pPr>
        <w:pStyle w:val="ListParagraph"/>
        <w:numPr>
          <w:ilvl w:val="0"/>
          <w:numId w:val="2"/>
        </w:numPr>
        <w:ind w:left="993" w:hanging="426"/>
        <w:rPr>
          <w:rFonts w:ascii="Arial" w:hAnsi="Arial" w:cs="Arial"/>
        </w:rPr>
      </w:pPr>
      <w:r>
        <w:rPr>
          <w:rFonts w:ascii="Arial" w:hAnsi="Arial" w:cs="Arial"/>
        </w:rPr>
        <w:t>Maximise</w:t>
      </w:r>
      <w:r w:rsidRPr="00CC16BD">
        <w:rPr>
          <w:rFonts w:ascii="Arial" w:hAnsi="Arial" w:cs="Arial"/>
        </w:rPr>
        <w:t xml:space="preserve"> the number of tenants on the Priority Services Register</w:t>
      </w:r>
      <w:r w:rsidR="00803575">
        <w:rPr>
          <w:rFonts w:ascii="Arial" w:hAnsi="Arial" w:cs="Arial"/>
        </w:rPr>
        <w:t xml:space="preserve"> with their energy supplier</w:t>
      </w:r>
    </w:p>
    <w:p w:rsidR="00640FC8" w:rsidRPr="00231AE7" w:rsidRDefault="00640FC8" w:rsidP="00231AE7">
      <w:pPr>
        <w:pStyle w:val="ListParagraph"/>
        <w:rPr>
          <w:rFonts w:ascii="Arial" w:hAnsi="Arial" w:cs="Arial"/>
        </w:rPr>
      </w:pPr>
    </w:p>
    <w:p w:rsidR="00640FC8" w:rsidRDefault="00640FC8" w:rsidP="00A02056">
      <w:pPr>
        <w:pStyle w:val="ListParagraph"/>
        <w:numPr>
          <w:ilvl w:val="0"/>
          <w:numId w:val="2"/>
        </w:numPr>
        <w:ind w:left="993" w:hanging="426"/>
        <w:rPr>
          <w:rFonts w:ascii="Arial" w:hAnsi="Arial" w:cs="Arial"/>
        </w:rPr>
      </w:pPr>
      <w:r>
        <w:rPr>
          <w:rFonts w:ascii="Arial" w:hAnsi="Arial" w:cs="Arial"/>
        </w:rPr>
        <w:t>Build a</w:t>
      </w:r>
      <w:r w:rsidR="00940575">
        <w:rPr>
          <w:rFonts w:ascii="Arial" w:hAnsi="Arial" w:cs="Arial"/>
        </w:rPr>
        <w:t xml:space="preserve"> service</w:t>
      </w:r>
      <w:r>
        <w:rPr>
          <w:rFonts w:ascii="Arial" w:hAnsi="Arial" w:cs="Arial"/>
        </w:rPr>
        <w:t xml:space="preserve"> </w:t>
      </w:r>
      <w:r w:rsidR="00E00E34">
        <w:rPr>
          <w:rFonts w:ascii="Arial" w:hAnsi="Arial" w:cs="Arial"/>
        </w:rPr>
        <w:t>that</w:t>
      </w:r>
      <w:r w:rsidR="009D07E2">
        <w:rPr>
          <w:rFonts w:ascii="Arial" w:hAnsi="Arial" w:cs="Arial"/>
        </w:rPr>
        <w:t xml:space="preserve"> where possible, encourages and promotes self-sufficiency and resilience and that minimises continuing dependency on the service</w:t>
      </w:r>
    </w:p>
    <w:p w:rsidR="00A02056" w:rsidRPr="00A02056" w:rsidRDefault="00A02056" w:rsidP="00A02056">
      <w:pPr>
        <w:spacing w:after="0" w:line="240" w:lineRule="auto"/>
        <w:rPr>
          <w:rFonts w:ascii="Arial" w:hAnsi="Arial" w:cs="Arial"/>
        </w:rPr>
      </w:pPr>
    </w:p>
    <w:p w:rsidR="00735270" w:rsidRDefault="00735270" w:rsidP="00A02056">
      <w:pPr>
        <w:pStyle w:val="ListParagraph"/>
        <w:numPr>
          <w:ilvl w:val="0"/>
          <w:numId w:val="2"/>
        </w:numPr>
        <w:ind w:left="993" w:hanging="426"/>
        <w:rPr>
          <w:rFonts w:ascii="Arial" w:hAnsi="Arial" w:cs="Arial"/>
        </w:rPr>
      </w:pPr>
      <w:r>
        <w:rPr>
          <w:rFonts w:ascii="Arial" w:hAnsi="Arial" w:cs="Arial"/>
        </w:rPr>
        <w:t>Create social value through the delivery of the service</w:t>
      </w:r>
    </w:p>
    <w:p w:rsidR="00F961D0" w:rsidRPr="00F961D0" w:rsidRDefault="00F961D0" w:rsidP="00F961D0">
      <w:pPr>
        <w:pStyle w:val="ListParagraph"/>
        <w:rPr>
          <w:rFonts w:ascii="Arial" w:hAnsi="Arial" w:cs="Arial"/>
        </w:rPr>
      </w:pPr>
    </w:p>
    <w:p w:rsidR="00F961D0" w:rsidRDefault="00531C06" w:rsidP="00A02056">
      <w:pPr>
        <w:pStyle w:val="ListParagraph"/>
        <w:numPr>
          <w:ilvl w:val="0"/>
          <w:numId w:val="2"/>
        </w:numPr>
        <w:ind w:left="993" w:hanging="426"/>
        <w:rPr>
          <w:rFonts w:ascii="Arial" w:hAnsi="Arial" w:cs="Arial"/>
        </w:rPr>
      </w:pPr>
      <w:r>
        <w:rPr>
          <w:rFonts w:ascii="Arial" w:hAnsi="Arial" w:cs="Arial"/>
        </w:rPr>
        <w:t>Contribute to the improvement of</w:t>
      </w:r>
      <w:r w:rsidR="00F05365">
        <w:rPr>
          <w:rFonts w:ascii="Arial" w:hAnsi="Arial" w:cs="Arial"/>
          <w:color w:val="000000" w:themeColor="text1"/>
        </w:rPr>
        <w:t xml:space="preserve"> the responsive and planned improvement programmes we</w:t>
      </w:r>
      <w:r w:rsidR="00F961D0" w:rsidRPr="00F961D0">
        <w:rPr>
          <w:rFonts w:ascii="Arial" w:hAnsi="Arial" w:cs="Arial"/>
          <w:color w:val="000000" w:themeColor="text1"/>
        </w:rPr>
        <w:t xml:space="preserve"> </w:t>
      </w:r>
      <w:r w:rsidR="00F05365">
        <w:rPr>
          <w:rFonts w:ascii="Arial" w:hAnsi="Arial" w:cs="Arial"/>
          <w:color w:val="000000" w:themeColor="text1"/>
        </w:rPr>
        <w:t>deliver</w:t>
      </w:r>
      <w:r w:rsidR="008571C3">
        <w:rPr>
          <w:rFonts w:ascii="Arial" w:hAnsi="Arial" w:cs="Arial"/>
          <w:color w:val="000000" w:themeColor="text1"/>
        </w:rPr>
        <w:t xml:space="preserve"> via ad-hoc advice and guidance about local and national energy sector changes</w:t>
      </w:r>
    </w:p>
    <w:p w:rsidR="005A2FF3" w:rsidRPr="00CC16BD" w:rsidRDefault="005A2FF3" w:rsidP="005A2FF3">
      <w:pPr>
        <w:pStyle w:val="ListParagraph"/>
        <w:spacing w:after="120"/>
        <w:ind w:left="993"/>
        <w:rPr>
          <w:rFonts w:ascii="Arial" w:hAnsi="Arial" w:cs="Arial"/>
        </w:rPr>
      </w:pPr>
    </w:p>
    <w:p w:rsidR="005A2FF3" w:rsidRDefault="005A2FF3" w:rsidP="005A2FF3">
      <w:pPr>
        <w:ind w:left="720" w:hanging="72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326D38">
        <w:rPr>
          <w:rFonts w:ascii="Arial" w:hAnsi="Arial" w:cs="Arial"/>
          <w:sz w:val="24"/>
          <w:szCs w:val="24"/>
        </w:rPr>
        <w:t>The service provider will be</w:t>
      </w:r>
      <w:r>
        <w:rPr>
          <w:rFonts w:ascii="Arial" w:hAnsi="Arial" w:cs="Arial"/>
          <w:sz w:val="24"/>
          <w:szCs w:val="24"/>
        </w:rPr>
        <w:t xml:space="preserve"> required to provide monthly</w:t>
      </w:r>
      <w:r w:rsidR="000A5E3B">
        <w:rPr>
          <w:rFonts w:ascii="Arial" w:hAnsi="Arial" w:cs="Arial"/>
          <w:sz w:val="24"/>
          <w:szCs w:val="24"/>
        </w:rPr>
        <w:t>, quarterly and annual</w:t>
      </w:r>
      <w:r>
        <w:rPr>
          <w:rFonts w:ascii="Arial" w:hAnsi="Arial" w:cs="Arial"/>
          <w:sz w:val="24"/>
          <w:szCs w:val="24"/>
        </w:rPr>
        <w:t xml:space="preserve"> reports to the </w:t>
      </w:r>
      <w:r w:rsidR="003B76BD">
        <w:rPr>
          <w:rFonts w:ascii="Arial" w:hAnsi="Arial" w:cs="Arial"/>
          <w:sz w:val="24"/>
          <w:szCs w:val="24"/>
        </w:rPr>
        <w:t xml:space="preserve">Landlord Services </w:t>
      </w:r>
      <w:r>
        <w:rPr>
          <w:rFonts w:ascii="Arial" w:hAnsi="Arial" w:cs="Arial"/>
          <w:sz w:val="24"/>
          <w:szCs w:val="24"/>
        </w:rPr>
        <w:t>Project Ma</w:t>
      </w:r>
      <w:r w:rsidR="006C2B44">
        <w:rPr>
          <w:rFonts w:ascii="Arial" w:hAnsi="Arial" w:cs="Arial"/>
          <w:sz w:val="24"/>
          <w:szCs w:val="24"/>
        </w:rPr>
        <w:t>nager in a format agreed by BCC.  These reports will be used to track budget spend, monit</w:t>
      </w:r>
      <w:r w:rsidR="00AA1AE4">
        <w:rPr>
          <w:rFonts w:ascii="Arial" w:hAnsi="Arial" w:cs="Arial"/>
          <w:sz w:val="24"/>
          <w:szCs w:val="24"/>
        </w:rPr>
        <w:t>or trends in service take-up,</w:t>
      </w:r>
      <w:r w:rsidR="006C2B44">
        <w:rPr>
          <w:rFonts w:ascii="Arial" w:hAnsi="Arial" w:cs="Arial"/>
          <w:sz w:val="24"/>
          <w:szCs w:val="24"/>
        </w:rPr>
        <w:t xml:space="preserve"> ide</w:t>
      </w:r>
      <w:r w:rsidR="00AA1AE4">
        <w:rPr>
          <w:rFonts w:ascii="Arial" w:hAnsi="Arial" w:cs="Arial"/>
          <w:sz w:val="24"/>
          <w:szCs w:val="24"/>
        </w:rPr>
        <w:t>ntify gaps in service provision and review priorities.</w:t>
      </w:r>
    </w:p>
    <w:p w:rsidR="005A2FF3" w:rsidRDefault="005A2FF3" w:rsidP="005A2FF3">
      <w:pPr>
        <w:ind w:left="720" w:hanging="720"/>
        <w:jc w:val="both"/>
        <w:rPr>
          <w:rFonts w:ascii="Arial" w:hAnsi="Arial" w:cs="Arial"/>
          <w:sz w:val="24"/>
          <w:szCs w:val="24"/>
        </w:rPr>
      </w:pPr>
      <w:r>
        <w:rPr>
          <w:rFonts w:ascii="Arial" w:hAnsi="Arial" w:cs="Arial"/>
          <w:sz w:val="24"/>
          <w:szCs w:val="24"/>
        </w:rPr>
        <w:t>13.3</w:t>
      </w:r>
      <w:r>
        <w:rPr>
          <w:rFonts w:ascii="Arial" w:hAnsi="Arial" w:cs="Arial"/>
          <w:sz w:val="24"/>
          <w:szCs w:val="24"/>
        </w:rPr>
        <w:tab/>
        <w:t xml:space="preserve">The service provider will be expected </w:t>
      </w:r>
      <w:r w:rsidR="006C2B44">
        <w:rPr>
          <w:rFonts w:ascii="Arial" w:hAnsi="Arial" w:cs="Arial"/>
          <w:sz w:val="24"/>
          <w:szCs w:val="24"/>
        </w:rPr>
        <w:t>to look for opportunities for service improvement throughout the duration of the contract and make suggestions around new energy advice topics, methods of delivery</w:t>
      </w:r>
      <w:r w:rsidR="00326D38">
        <w:rPr>
          <w:rFonts w:ascii="Arial" w:hAnsi="Arial" w:cs="Arial"/>
          <w:sz w:val="24"/>
          <w:szCs w:val="24"/>
        </w:rPr>
        <w:t>,</w:t>
      </w:r>
      <w:r w:rsidR="006C2B44">
        <w:rPr>
          <w:rFonts w:ascii="Arial" w:hAnsi="Arial" w:cs="Arial"/>
          <w:sz w:val="24"/>
          <w:szCs w:val="24"/>
        </w:rPr>
        <w:t xml:space="preserve"> or ways to better reach our most vulnerable tenants in need of support.</w:t>
      </w:r>
    </w:p>
    <w:p w:rsidR="005A2FF3" w:rsidRDefault="005A2FF3" w:rsidP="005A2FF3">
      <w:pPr>
        <w:ind w:left="720" w:hanging="720"/>
        <w:jc w:val="both"/>
        <w:rPr>
          <w:rFonts w:ascii="Arial" w:hAnsi="Arial" w:cs="Arial"/>
          <w:sz w:val="24"/>
          <w:szCs w:val="24"/>
        </w:rPr>
      </w:pPr>
      <w:r>
        <w:rPr>
          <w:rFonts w:ascii="Arial" w:hAnsi="Arial" w:cs="Arial"/>
          <w:sz w:val="24"/>
          <w:szCs w:val="24"/>
        </w:rPr>
        <w:t>13.4</w:t>
      </w:r>
      <w:r>
        <w:rPr>
          <w:rFonts w:ascii="Arial" w:hAnsi="Arial" w:cs="Arial"/>
          <w:sz w:val="24"/>
          <w:szCs w:val="24"/>
        </w:rPr>
        <w:tab/>
        <w:t xml:space="preserve">The service provider will be required to </w:t>
      </w:r>
      <w:r w:rsidR="007F782D">
        <w:rPr>
          <w:rFonts w:ascii="Arial" w:hAnsi="Arial" w:cs="Arial"/>
          <w:sz w:val="24"/>
          <w:szCs w:val="24"/>
        </w:rPr>
        <w:t>give regular budget updates including itemised spend.</w:t>
      </w:r>
    </w:p>
    <w:p w:rsidR="005A2FF3" w:rsidRPr="00AF569F" w:rsidRDefault="005A2FF3" w:rsidP="005A2FF3">
      <w:pPr>
        <w:ind w:left="720" w:hanging="720"/>
        <w:jc w:val="both"/>
        <w:rPr>
          <w:rFonts w:ascii="Arial" w:hAnsi="Arial" w:cs="Arial"/>
          <w:sz w:val="24"/>
          <w:szCs w:val="24"/>
        </w:rPr>
      </w:pPr>
      <w:r>
        <w:rPr>
          <w:rFonts w:ascii="Arial" w:hAnsi="Arial" w:cs="Arial"/>
          <w:sz w:val="24"/>
          <w:szCs w:val="24"/>
        </w:rPr>
        <w:t>13.5</w:t>
      </w:r>
      <w:r>
        <w:rPr>
          <w:rFonts w:ascii="Arial" w:hAnsi="Arial" w:cs="Arial"/>
          <w:sz w:val="24"/>
          <w:szCs w:val="24"/>
        </w:rPr>
        <w:tab/>
        <w:t>The service provider will be expected to provide and keep current company policies around health and safety, data protection,</w:t>
      </w:r>
      <w:r w:rsidR="00370C81">
        <w:rPr>
          <w:rFonts w:ascii="Arial" w:hAnsi="Arial" w:cs="Arial"/>
          <w:sz w:val="24"/>
          <w:szCs w:val="24"/>
        </w:rPr>
        <w:t xml:space="preserve"> GDPR,</w:t>
      </w:r>
      <w:r>
        <w:rPr>
          <w:rFonts w:ascii="Arial" w:hAnsi="Arial" w:cs="Arial"/>
          <w:sz w:val="24"/>
          <w:szCs w:val="24"/>
        </w:rPr>
        <w:t xml:space="preserve"> information security and safeguarding.</w:t>
      </w:r>
    </w:p>
    <w:p w:rsidR="005A2FF3" w:rsidRPr="00326D38" w:rsidRDefault="005A2FF3" w:rsidP="00326D38">
      <w:pPr>
        <w:ind w:left="720" w:hanging="720"/>
        <w:jc w:val="both"/>
        <w:rPr>
          <w:rFonts w:ascii="Arial" w:hAnsi="Arial" w:cs="Arial"/>
          <w:sz w:val="24"/>
          <w:szCs w:val="24"/>
        </w:rPr>
      </w:pPr>
      <w:r w:rsidRPr="00AF569F">
        <w:rPr>
          <w:rFonts w:ascii="Arial" w:hAnsi="Arial" w:cs="Arial"/>
          <w:sz w:val="24"/>
          <w:szCs w:val="24"/>
        </w:rPr>
        <w:t>13.</w:t>
      </w:r>
      <w:r>
        <w:rPr>
          <w:rFonts w:ascii="Arial" w:hAnsi="Arial" w:cs="Arial"/>
          <w:sz w:val="24"/>
          <w:szCs w:val="24"/>
        </w:rPr>
        <w:t>6</w:t>
      </w:r>
      <w:r w:rsidRPr="00AF569F">
        <w:rPr>
          <w:rFonts w:ascii="Arial" w:hAnsi="Arial" w:cs="Arial"/>
          <w:sz w:val="24"/>
          <w:szCs w:val="24"/>
        </w:rPr>
        <w:tab/>
      </w:r>
      <w:r>
        <w:rPr>
          <w:rFonts w:ascii="Arial" w:hAnsi="Arial" w:cs="Arial"/>
          <w:sz w:val="24"/>
          <w:szCs w:val="24"/>
        </w:rPr>
        <w:t>The service providers</w:t>
      </w:r>
      <w:r w:rsidR="00326D38">
        <w:rPr>
          <w:rFonts w:ascii="Arial" w:hAnsi="Arial" w:cs="Arial"/>
          <w:sz w:val="24"/>
          <w:szCs w:val="24"/>
        </w:rPr>
        <w:t xml:space="preserve"> must ensure that staff members are suitably trained to deliver energy advice and are aware of all policies and procedures relating to the service.</w:t>
      </w:r>
      <w:r w:rsidR="007B7E7F">
        <w:rPr>
          <w:rFonts w:ascii="Arial" w:hAnsi="Arial" w:cs="Arial"/>
          <w:sz w:val="24"/>
          <w:szCs w:val="24"/>
        </w:rPr>
        <w:t xml:space="preserve"> All staff members</w:t>
      </w:r>
      <w:r w:rsidR="00306C3C">
        <w:rPr>
          <w:rFonts w:ascii="Arial" w:hAnsi="Arial" w:cs="Arial"/>
          <w:sz w:val="24"/>
          <w:szCs w:val="24"/>
        </w:rPr>
        <w:t xml:space="preserve"> will be qualified to</w:t>
      </w:r>
      <w:r w:rsidR="00F82DA4">
        <w:rPr>
          <w:rFonts w:ascii="Arial" w:hAnsi="Arial" w:cs="Arial"/>
          <w:sz w:val="24"/>
          <w:szCs w:val="24"/>
        </w:rPr>
        <w:t xml:space="preserve"> a minimum of</w:t>
      </w:r>
      <w:r w:rsidR="00F96D46">
        <w:rPr>
          <w:rFonts w:ascii="Arial" w:hAnsi="Arial" w:cs="Arial"/>
          <w:sz w:val="24"/>
          <w:szCs w:val="24"/>
        </w:rPr>
        <w:t xml:space="preserve"> </w:t>
      </w:r>
      <w:r w:rsidR="007B7E7F" w:rsidRPr="00231AE7">
        <w:rPr>
          <w:rFonts w:ascii="Arial" w:hAnsi="Arial" w:cs="Arial"/>
          <w:sz w:val="24"/>
          <w:szCs w:val="24"/>
        </w:rPr>
        <w:t xml:space="preserve">City and Guilds Level 3 in Energy awareness </w:t>
      </w:r>
      <w:r w:rsidR="00F96D46">
        <w:rPr>
          <w:rFonts w:ascii="Arial" w:hAnsi="Arial" w:cs="Arial"/>
          <w:sz w:val="24"/>
          <w:szCs w:val="24"/>
        </w:rPr>
        <w:t xml:space="preserve">or hold a similar level qualification in </w:t>
      </w:r>
      <w:r w:rsidR="00306C3C">
        <w:rPr>
          <w:rFonts w:ascii="Arial" w:hAnsi="Arial" w:cs="Arial"/>
          <w:sz w:val="24"/>
          <w:szCs w:val="24"/>
        </w:rPr>
        <w:t xml:space="preserve">an </w:t>
      </w:r>
      <w:r w:rsidR="00F96D46">
        <w:rPr>
          <w:rFonts w:ascii="Arial" w:hAnsi="Arial" w:cs="Arial"/>
          <w:sz w:val="24"/>
          <w:szCs w:val="24"/>
        </w:rPr>
        <w:t>Energy advice related</w:t>
      </w:r>
      <w:r w:rsidR="00306C3C">
        <w:rPr>
          <w:rFonts w:ascii="Arial" w:hAnsi="Arial" w:cs="Arial"/>
          <w:sz w:val="24"/>
          <w:szCs w:val="24"/>
        </w:rPr>
        <w:t xml:space="preserve"> field. All s</w:t>
      </w:r>
      <w:r w:rsidR="00F82DA4">
        <w:rPr>
          <w:rFonts w:ascii="Arial" w:hAnsi="Arial" w:cs="Arial"/>
          <w:sz w:val="24"/>
          <w:szCs w:val="24"/>
        </w:rPr>
        <w:t>taff members will also hold at</w:t>
      </w:r>
      <w:r w:rsidR="00306C3C">
        <w:rPr>
          <w:rFonts w:ascii="Arial" w:hAnsi="Arial" w:cs="Arial"/>
          <w:sz w:val="24"/>
          <w:szCs w:val="24"/>
        </w:rPr>
        <w:t xml:space="preserve"> minimum, a basic</w:t>
      </w:r>
      <w:r w:rsidR="00F96D46">
        <w:rPr>
          <w:rFonts w:ascii="Arial" w:hAnsi="Arial" w:cs="Arial"/>
          <w:sz w:val="24"/>
          <w:szCs w:val="24"/>
        </w:rPr>
        <w:t xml:space="preserve"> </w:t>
      </w:r>
      <w:r w:rsidR="007B7E7F" w:rsidRPr="00231AE7">
        <w:rPr>
          <w:rFonts w:ascii="Arial" w:hAnsi="Arial" w:cs="Arial"/>
          <w:sz w:val="24"/>
          <w:szCs w:val="24"/>
        </w:rPr>
        <w:t>understanding of welfare</w:t>
      </w:r>
      <w:r w:rsidR="00306C3C">
        <w:rPr>
          <w:rFonts w:ascii="Arial" w:hAnsi="Arial" w:cs="Arial"/>
          <w:sz w:val="24"/>
          <w:szCs w:val="24"/>
        </w:rPr>
        <w:t xml:space="preserve"> rights, </w:t>
      </w:r>
      <w:r w:rsidR="007B7E7F" w:rsidRPr="00231AE7">
        <w:rPr>
          <w:rFonts w:ascii="Arial" w:hAnsi="Arial" w:cs="Arial"/>
          <w:sz w:val="24"/>
          <w:szCs w:val="24"/>
        </w:rPr>
        <w:t>benefits and universal credit</w:t>
      </w:r>
      <w:r w:rsidR="00306C3C">
        <w:rPr>
          <w:rFonts w:ascii="Arial" w:hAnsi="Arial" w:cs="Arial"/>
          <w:sz w:val="24"/>
          <w:szCs w:val="24"/>
        </w:rPr>
        <w:t xml:space="preserve"> and be able to </w:t>
      </w:r>
      <w:r w:rsidR="00231AE7">
        <w:rPr>
          <w:rFonts w:ascii="Arial" w:hAnsi="Arial" w:cs="Arial"/>
          <w:sz w:val="24"/>
          <w:szCs w:val="24"/>
        </w:rPr>
        <w:t>assist;</w:t>
      </w:r>
      <w:r w:rsidR="00306C3C">
        <w:rPr>
          <w:rFonts w:ascii="Arial" w:hAnsi="Arial" w:cs="Arial"/>
          <w:sz w:val="24"/>
          <w:szCs w:val="24"/>
        </w:rPr>
        <w:t xml:space="preserve"> support and sign post tenants accordingly.</w:t>
      </w:r>
    </w:p>
    <w:p w:rsidR="005A2FF3" w:rsidRDefault="00326D38" w:rsidP="005A2FF3">
      <w:pPr>
        <w:pStyle w:val="Default"/>
        <w:rPr>
          <w:b/>
          <w:sz w:val="28"/>
          <w:szCs w:val="28"/>
        </w:rPr>
      </w:pPr>
      <w:r>
        <w:rPr>
          <w:b/>
          <w:sz w:val="28"/>
          <w:szCs w:val="28"/>
        </w:rPr>
        <w:t>14.</w:t>
      </w:r>
      <w:r w:rsidR="005A2FF3" w:rsidRPr="00F26F13">
        <w:rPr>
          <w:b/>
          <w:sz w:val="28"/>
          <w:szCs w:val="28"/>
        </w:rPr>
        <w:tab/>
      </w:r>
      <w:r w:rsidR="00AA1AE4">
        <w:rPr>
          <w:b/>
          <w:sz w:val="28"/>
          <w:szCs w:val="28"/>
        </w:rPr>
        <w:t>Performance M</w:t>
      </w:r>
      <w:r w:rsidR="005A2FF3">
        <w:rPr>
          <w:b/>
          <w:sz w:val="28"/>
          <w:szCs w:val="28"/>
        </w:rPr>
        <w:t>onitoring/Targets</w:t>
      </w:r>
    </w:p>
    <w:p w:rsidR="00326D38" w:rsidRDefault="00326D38" w:rsidP="005A2FF3">
      <w:pPr>
        <w:pStyle w:val="Default"/>
      </w:pPr>
    </w:p>
    <w:p w:rsidR="00735270" w:rsidRDefault="00326D38" w:rsidP="005A2FF3">
      <w:pPr>
        <w:ind w:left="720" w:hanging="720"/>
        <w:jc w:val="both"/>
        <w:rPr>
          <w:rFonts w:ascii="Arial" w:hAnsi="Arial" w:cs="Arial"/>
          <w:sz w:val="24"/>
          <w:szCs w:val="24"/>
        </w:rPr>
      </w:pPr>
      <w:r>
        <w:rPr>
          <w:rFonts w:ascii="Arial" w:hAnsi="Arial" w:cs="Arial"/>
          <w:sz w:val="24"/>
          <w:szCs w:val="24"/>
        </w:rPr>
        <w:t>14.1</w:t>
      </w:r>
      <w:r w:rsidR="005A2FF3" w:rsidRPr="00CC16BD">
        <w:rPr>
          <w:rFonts w:ascii="Arial" w:hAnsi="Arial" w:cs="Arial"/>
          <w:sz w:val="24"/>
          <w:szCs w:val="24"/>
        </w:rPr>
        <w:tab/>
        <w:t xml:space="preserve">The </w:t>
      </w:r>
      <w:r w:rsidR="005A2FF3">
        <w:rPr>
          <w:rFonts w:ascii="Arial" w:hAnsi="Arial" w:cs="Arial"/>
          <w:sz w:val="24"/>
          <w:szCs w:val="24"/>
        </w:rPr>
        <w:t>service provider</w:t>
      </w:r>
      <w:r w:rsidR="005A2FF3" w:rsidRPr="00CC16BD">
        <w:rPr>
          <w:rFonts w:ascii="Arial" w:hAnsi="Arial" w:cs="Arial"/>
          <w:sz w:val="24"/>
          <w:szCs w:val="24"/>
        </w:rPr>
        <w:t xml:space="preserve"> will be expected to report monthly and quarterly</w:t>
      </w:r>
      <w:r w:rsidR="001A475F">
        <w:rPr>
          <w:rFonts w:ascii="Arial" w:hAnsi="Arial" w:cs="Arial"/>
          <w:sz w:val="24"/>
          <w:szCs w:val="24"/>
        </w:rPr>
        <w:t xml:space="preserve"> to the project manager</w:t>
      </w:r>
      <w:r w:rsidR="005A2FF3" w:rsidRPr="00CC16BD">
        <w:rPr>
          <w:rFonts w:ascii="Arial" w:hAnsi="Arial" w:cs="Arial"/>
          <w:sz w:val="24"/>
          <w:szCs w:val="24"/>
        </w:rPr>
        <w:t xml:space="preserve"> on performance outcomes and budget spend.</w:t>
      </w:r>
      <w:r w:rsidR="00735270">
        <w:rPr>
          <w:rFonts w:ascii="Arial" w:hAnsi="Arial" w:cs="Arial"/>
          <w:sz w:val="24"/>
          <w:szCs w:val="24"/>
        </w:rPr>
        <w:t xml:space="preserve">  The reporting requirements are difficult to specify due to the flexible nature of the advice service and may be varied over the course of the contract.  The reporting requirements may also vary following implementation of </w:t>
      </w:r>
      <w:r w:rsidR="003B76BD">
        <w:rPr>
          <w:rFonts w:ascii="Arial" w:hAnsi="Arial" w:cs="Arial"/>
          <w:sz w:val="24"/>
          <w:szCs w:val="24"/>
        </w:rPr>
        <w:t>Landlord Services</w:t>
      </w:r>
      <w:r w:rsidR="00735270">
        <w:rPr>
          <w:rFonts w:ascii="Arial" w:hAnsi="Arial" w:cs="Arial"/>
          <w:sz w:val="24"/>
          <w:szCs w:val="24"/>
        </w:rPr>
        <w:t xml:space="preserve"> new Housing Management System.</w:t>
      </w:r>
    </w:p>
    <w:p w:rsidR="005A2FF3" w:rsidRPr="00CC16BD" w:rsidRDefault="00735270" w:rsidP="005A2FF3">
      <w:pPr>
        <w:ind w:left="72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t>As a guide, the reporting requirements</w:t>
      </w:r>
      <w:r w:rsidR="005A2FF3" w:rsidRPr="00CC16BD">
        <w:rPr>
          <w:rFonts w:ascii="Arial" w:hAnsi="Arial" w:cs="Arial"/>
          <w:sz w:val="24"/>
          <w:szCs w:val="24"/>
        </w:rPr>
        <w:t xml:space="preserve"> should include</w:t>
      </w:r>
      <w:r w:rsidR="00326D38">
        <w:rPr>
          <w:rFonts w:ascii="Arial" w:hAnsi="Arial" w:cs="Arial"/>
          <w:sz w:val="24"/>
          <w:szCs w:val="24"/>
        </w:rPr>
        <w:t xml:space="preserve"> (but not be limited t</w:t>
      </w:r>
      <w:r w:rsidR="005A2FF3">
        <w:rPr>
          <w:rFonts w:ascii="Arial" w:hAnsi="Arial" w:cs="Arial"/>
          <w:sz w:val="24"/>
          <w:szCs w:val="24"/>
        </w:rPr>
        <w:t>o)</w:t>
      </w:r>
      <w:r w:rsidR="005A2FF3" w:rsidRPr="00CC16BD">
        <w:rPr>
          <w:rFonts w:ascii="Arial" w:hAnsi="Arial" w:cs="Arial"/>
          <w:sz w:val="24"/>
          <w:szCs w:val="24"/>
        </w:rPr>
        <w:t>:</w:t>
      </w:r>
    </w:p>
    <w:p w:rsidR="005A2FF3" w:rsidRPr="00CC16BD" w:rsidRDefault="009E37AD" w:rsidP="005A2FF3">
      <w:pPr>
        <w:jc w:val="both"/>
        <w:rPr>
          <w:rFonts w:ascii="Arial" w:hAnsi="Arial" w:cs="Arial"/>
          <w:sz w:val="24"/>
          <w:szCs w:val="24"/>
          <w:u w:val="single"/>
        </w:rPr>
      </w:pPr>
      <w:r>
        <w:rPr>
          <w:rFonts w:ascii="Arial" w:hAnsi="Arial" w:cs="Arial"/>
          <w:sz w:val="24"/>
          <w:szCs w:val="24"/>
        </w:rPr>
        <w:t>14.2.1</w:t>
      </w:r>
      <w:r w:rsidR="005A2FF3" w:rsidRPr="00CC16BD">
        <w:rPr>
          <w:rFonts w:ascii="Arial" w:hAnsi="Arial" w:cs="Arial"/>
          <w:sz w:val="24"/>
          <w:szCs w:val="24"/>
        </w:rPr>
        <w:tab/>
      </w:r>
      <w:r w:rsidR="005A2FF3" w:rsidRPr="00CC16BD">
        <w:rPr>
          <w:rFonts w:ascii="Arial" w:hAnsi="Arial" w:cs="Arial"/>
          <w:sz w:val="24"/>
          <w:szCs w:val="24"/>
          <w:u w:val="single"/>
        </w:rPr>
        <w:t>Monthly</w:t>
      </w:r>
    </w:p>
    <w:p w:rsidR="005A2FF3" w:rsidRDefault="005A2FF3" w:rsidP="008F7070">
      <w:pPr>
        <w:pStyle w:val="ListParagraph"/>
        <w:numPr>
          <w:ilvl w:val="0"/>
          <w:numId w:val="4"/>
        </w:numPr>
        <w:jc w:val="both"/>
        <w:rPr>
          <w:rFonts w:ascii="Arial" w:hAnsi="Arial" w:cs="Arial"/>
        </w:rPr>
      </w:pPr>
      <w:r w:rsidRPr="00CC16BD">
        <w:rPr>
          <w:rFonts w:ascii="Arial" w:hAnsi="Arial" w:cs="Arial"/>
        </w:rPr>
        <w:t>How many referrals were received and from where, e.g. tenant self-referral, BCC Repairs service, GP etc</w:t>
      </w:r>
    </w:p>
    <w:p w:rsidR="008F7070" w:rsidRPr="00CC16BD" w:rsidRDefault="008F7070" w:rsidP="008F7070">
      <w:pPr>
        <w:pStyle w:val="ListParagraph"/>
        <w:jc w:val="both"/>
        <w:rPr>
          <w:rFonts w:ascii="Arial" w:hAnsi="Arial" w:cs="Arial"/>
        </w:rPr>
      </w:pPr>
    </w:p>
    <w:p w:rsidR="008F7070" w:rsidRDefault="00137262" w:rsidP="008F7070">
      <w:pPr>
        <w:pStyle w:val="ListParagraph"/>
        <w:numPr>
          <w:ilvl w:val="0"/>
          <w:numId w:val="4"/>
        </w:numPr>
        <w:jc w:val="both"/>
        <w:rPr>
          <w:rFonts w:ascii="Arial" w:hAnsi="Arial" w:cs="Arial"/>
        </w:rPr>
      </w:pPr>
      <w:r>
        <w:rPr>
          <w:rFonts w:ascii="Arial" w:hAnsi="Arial" w:cs="Arial"/>
        </w:rPr>
        <w:t>With the tenants consent, the n</w:t>
      </w:r>
      <w:r w:rsidR="00735270">
        <w:rPr>
          <w:rFonts w:ascii="Arial" w:hAnsi="Arial" w:cs="Arial"/>
        </w:rPr>
        <w:t>ames and addresses of individuals who</w:t>
      </w:r>
      <w:r w:rsidR="005A2FF3" w:rsidRPr="00CC16BD">
        <w:rPr>
          <w:rFonts w:ascii="Arial" w:hAnsi="Arial" w:cs="Arial"/>
        </w:rPr>
        <w:t xml:space="preserve"> have been assisted by the TEA service and on which topic</w:t>
      </w:r>
    </w:p>
    <w:p w:rsidR="008F7070" w:rsidRPr="008F7070" w:rsidRDefault="008F7070" w:rsidP="008F7070">
      <w:pPr>
        <w:spacing w:after="0" w:line="240" w:lineRule="auto"/>
        <w:jc w:val="both"/>
        <w:rPr>
          <w:rFonts w:ascii="Arial" w:hAnsi="Arial" w:cs="Arial"/>
        </w:rPr>
      </w:pPr>
    </w:p>
    <w:p w:rsidR="00735270" w:rsidRDefault="00735270" w:rsidP="008F7070">
      <w:pPr>
        <w:pStyle w:val="ListParagraph"/>
        <w:numPr>
          <w:ilvl w:val="0"/>
          <w:numId w:val="4"/>
        </w:numPr>
        <w:jc w:val="both"/>
        <w:rPr>
          <w:rFonts w:ascii="Arial" w:hAnsi="Arial" w:cs="Arial"/>
        </w:rPr>
      </w:pPr>
      <w:r>
        <w:rPr>
          <w:rFonts w:ascii="Arial" w:hAnsi="Arial" w:cs="Arial"/>
        </w:rPr>
        <w:t>Budget spend</w:t>
      </w:r>
    </w:p>
    <w:p w:rsidR="008F7070" w:rsidRPr="008F7070" w:rsidRDefault="008F7070" w:rsidP="008F7070">
      <w:pPr>
        <w:spacing w:after="0" w:line="240" w:lineRule="auto"/>
        <w:jc w:val="both"/>
        <w:rPr>
          <w:rFonts w:ascii="Arial" w:hAnsi="Arial" w:cs="Arial"/>
        </w:rPr>
      </w:pPr>
    </w:p>
    <w:p w:rsidR="005A2FF3" w:rsidRPr="005766B7" w:rsidRDefault="001A475F" w:rsidP="00735270">
      <w:pPr>
        <w:jc w:val="both"/>
        <w:rPr>
          <w:rFonts w:ascii="Arial" w:hAnsi="Arial" w:cs="Arial"/>
          <w:highlight w:val="yellow"/>
          <w:u w:val="single"/>
        </w:rPr>
      </w:pPr>
      <w:r>
        <w:rPr>
          <w:rFonts w:ascii="Arial" w:hAnsi="Arial" w:cs="Arial"/>
        </w:rPr>
        <w:t>Upcoming advice activities (to be provided by email to selected BCC officers)</w:t>
      </w:r>
    </w:p>
    <w:p w:rsidR="005A2FF3" w:rsidRPr="00326D38" w:rsidRDefault="009E37AD" w:rsidP="009E37AD">
      <w:pPr>
        <w:jc w:val="both"/>
        <w:rPr>
          <w:rFonts w:ascii="Arial" w:hAnsi="Arial" w:cs="Arial"/>
          <w:sz w:val="24"/>
          <w:szCs w:val="24"/>
          <w:u w:val="single"/>
        </w:rPr>
      </w:pPr>
      <w:r w:rsidRPr="009E37AD">
        <w:rPr>
          <w:rFonts w:ascii="Arial" w:hAnsi="Arial" w:cs="Arial"/>
          <w:sz w:val="24"/>
          <w:szCs w:val="24"/>
        </w:rPr>
        <w:t>14.2.2</w:t>
      </w:r>
      <w:r w:rsidRPr="009E37AD">
        <w:rPr>
          <w:rFonts w:ascii="Arial" w:hAnsi="Arial" w:cs="Arial"/>
          <w:sz w:val="24"/>
          <w:szCs w:val="24"/>
        </w:rPr>
        <w:tab/>
      </w:r>
      <w:r w:rsidR="005A2FF3" w:rsidRPr="00326D38">
        <w:rPr>
          <w:rFonts w:ascii="Arial" w:hAnsi="Arial" w:cs="Arial"/>
          <w:sz w:val="24"/>
          <w:szCs w:val="24"/>
          <w:u w:val="single"/>
        </w:rPr>
        <w:t>Quarterly</w:t>
      </w:r>
    </w:p>
    <w:p w:rsidR="00735270" w:rsidRDefault="008C6D38" w:rsidP="008F7070">
      <w:pPr>
        <w:pStyle w:val="ListParagraph"/>
        <w:numPr>
          <w:ilvl w:val="0"/>
          <w:numId w:val="4"/>
        </w:numPr>
        <w:jc w:val="both"/>
        <w:rPr>
          <w:rFonts w:ascii="Arial" w:hAnsi="Arial" w:cs="Arial"/>
        </w:rPr>
      </w:pPr>
      <w:r>
        <w:rPr>
          <w:rFonts w:ascii="Arial" w:hAnsi="Arial" w:cs="Arial"/>
        </w:rPr>
        <w:t>Collective outcomes</w:t>
      </w:r>
      <w:r w:rsidR="00735270">
        <w:rPr>
          <w:rFonts w:ascii="Arial" w:hAnsi="Arial" w:cs="Arial"/>
        </w:rPr>
        <w:t xml:space="preserve"> achieved for tenants</w:t>
      </w:r>
      <w:r>
        <w:rPr>
          <w:rFonts w:ascii="Arial" w:hAnsi="Arial" w:cs="Arial"/>
        </w:rPr>
        <w:t xml:space="preserve"> which reflect the outcomes set out in 13.1 (see above)</w:t>
      </w:r>
      <w:r w:rsidR="00735270">
        <w:rPr>
          <w:rFonts w:ascii="Arial" w:hAnsi="Arial" w:cs="Arial"/>
        </w:rPr>
        <w:t>, e.g. total amount of Warm Home Discount tenants have been assisted to claim</w:t>
      </w:r>
      <w:r>
        <w:rPr>
          <w:rFonts w:ascii="Arial" w:hAnsi="Arial" w:cs="Arial"/>
        </w:rPr>
        <w:t>, number of tenants taking up offer of new heating following TEA involvement, number of tenants no longer with capped-off gas etc</w:t>
      </w:r>
    </w:p>
    <w:p w:rsidR="008F7070" w:rsidRDefault="008F7070" w:rsidP="008F7070">
      <w:pPr>
        <w:pStyle w:val="ListParagraph"/>
        <w:jc w:val="both"/>
        <w:rPr>
          <w:rFonts w:ascii="Arial" w:hAnsi="Arial" w:cs="Arial"/>
        </w:rPr>
      </w:pPr>
    </w:p>
    <w:p w:rsidR="008C6D38" w:rsidRDefault="008C6D38" w:rsidP="008F7070">
      <w:pPr>
        <w:pStyle w:val="ListParagraph"/>
        <w:numPr>
          <w:ilvl w:val="0"/>
          <w:numId w:val="4"/>
        </w:numPr>
        <w:jc w:val="both"/>
        <w:rPr>
          <w:rFonts w:ascii="Arial" w:hAnsi="Arial" w:cs="Arial"/>
        </w:rPr>
      </w:pPr>
      <w:r>
        <w:rPr>
          <w:rFonts w:ascii="Arial" w:hAnsi="Arial" w:cs="Arial"/>
        </w:rPr>
        <w:t>Average wait for contact by the advice service</w:t>
      </w:r>
      <w:r w:rsidRPr="00CC16BD">
        <w:rPr>
          <w:rFonts w:ascii="Arial" w:hAnsi="Arial" w:cs="Arial"/>
        </w:rPr>
        <w:t xml:space="preserve"> following referral</w:t>
      </w:r>
    </w:p>
    <w:p w:rsidR="008F7070" w:rsidRPr="008F7070" w:rsidRDefault="008F7070" w:rsidP="008F7070">
      <w:pPr>
        <w:spacing w:after="0" w:line="240" w:lineRule="auto"/>
        <w:jc w:val="both"/>
        <w:rPr>
          <w:rFonts w:ascii="Arial" w:hAnsi="Arial" w:cs="Arial"/>
        </w:rPr>
      </w:pPr>
    </w:p>
    <w:p w:rsidR="005A2FF3" w:rsidRDefault="001A475F" w:rsidP="008F7070">
      <w:pPr>
        <w:pStyle w:val="ListParagraph"/>
        <w:numPr>
          <w:ilvl w:val="0"/>
          <w:numId w:val="4"/>
        </w:numPr>
        <w:jc w:val="both"/>
        <w:rPr>
          <w:rFonts w:ascii="Arial" w:hAnsi="Arial" w:cs="Arial"/>
        </w:rPr>
      </w:pPr>
      <w:r>
        <w:rPr>
          <w:rFonts w:ascii="Arial" w:hAnsi="Arial" w:cs="Arial"/>
        </w:rPr>
        <w:t>Overall budget update, plus</w:t>
      </w:r>
      <w:r w:rsidR="005A2FF3" w:rsidRPr="00CC16BD">
        <w:rPr>
          <w:rFonts w:ascii="Arial" w:hAnsi="Arial" w:cs="Arial"/>
        </w:rPr>
        <w:t xml:space="preserve"> </w:t>
      </w:r>
      <w:r>
        <w:rPr>
          <w:rFonts w:ascii="Arial" w:hAnsi="Arial" w:cs="Arial"/>
        </w:rPr>
        <w:t xml:space="preserve">actual </w:t>
      </w:r>
      <w:r w:rsidR="005A2FF3" w:rsidRPr="00CC16BD">
        <w:rPr>
          <w:rFonts w:ascii="Arial" w:hAnsi="Arial" w:cs="Arial"/>
        </w:rPr>
        <w:t>unit cost</w:t>
      </w:r>
      <w:r>
        <w:rPr>
          <w:rFonts w:ascii="Arial" w:hAnsi="Arial" w:cs="Arial"/>
        </w:rPr>
        <w:t>s for delivery of</w:t>
      </w:r>
      <w:r w:rsidR="005A2FF3" w:rsidRPr="00CC16BD">
        <w:rPr>
          <w:rFonts w:ascii="Arial" w:hAnsi="Arial" w:cs="Arial"/>
        </w:rPr>
        <w:t xml:space="preserve"> each generic mechanism or activity</w:t>
      </w:r>
      <w:r>
        <w:rPr>
          <w:rFonts w:ascii="Arial" w:hAnsi="Arial" w:cs="Arial"/>
        </w:rPr>
        <w:t xml:space="preserve"> e.g. home visit, workshop </w:t>
      </w:r>
      <w:proofErr w:type="spellStart"/>
      <w:r>
        <w:rPr>
          <w:rFonts w:ascii="Arial" w:hAnsi="Arial" w:cs="Arial"/>
        </w:rPr>
        <w:t>etc</w:t>
      </w:r>
      <w:proofErr w:type="spellEnd"/>
    </w:p>
    <w:p w:rsidR="00FA21A3" w:rsidRPr="00A0515D" w:rsidRDefault="00FA21A3" w:rsidP="00A0515D">
      <w:pPr>
        <w:pStyle w:val="ListParagraph"/>
        <w:rPr>
          <w:rFonts w:ascii="Arial" w:hAnsi="Arial" w:cs="Arial"/>
          <w:b/>
        </w:rPr>
      </w:pPr>
    </w:p>
    <w:p w:rsidR="00FA21A3" w:rsidRDefault="00FA21A3" w:rsidP="008F7070">
      <w:pPr>
        <w:pStyle w:val="ListParagraph"/>
        <w:numPr>
          <w:ilvl w:val="0"/>
          <w:numId w:val="4"/>
        </w:numPr>
        <w:jc w:val="both"/>
        <w:rPr>
          <w:rFonts w:ascii="Arial" w:hAnsi="Arial" w:cs="Arial"/>
        </w:rPr>
      </w:pPr>
      <w:r>
        <w:rPr>
          <w:rFonts w:ascii="Arial" w:hAnsi="Arial" w:cs="Arial"/>
        </w:rPr>
        <w:t xml:space="preserve">A log of addresses where any energy efficiency light bulbs have been </w:t>
      </w:r>
      <w:r w:rsidR="00AB2CBB">
        <w:rPr>
          <w:rFonts w:ascii="Arial" w:hAnsi="Arial" w:cs="Arial"/>
        </w:rPr>
        <w:t>provided and in which</w:t>
      </w:r>
      <w:r>
        <w:rPr>
          <w:rFonts w:ascii="Arial" w:hAnsi="Arial" w:cs="Arial"/>
        </w:rPr>
        <w:t xml:space="preserve"> room</w:t>
      </w:r>
      <w:r w:rsidR="00AB2CBB">
        <w:rPr>
          <w:rFonts w:ascii="Arial" w:hAnsi="Arial" w:cs="Arial"/>
        </w:rPr>
        <w:t xml:space="preserve"> they were installed</w:t>
      </w:r>
    </w:p>
    <w:p w:rsidR="008F7070" w:rsidRPr="008F7070" w:rsidRDefault="008F7070" w:rsidP="008F7070">
      <w:pPr>
        <w:spacing w:after="0" w:line="240" w:lineRule="auto"/>
        <w:jc w:val="both"/>
        <w:rPr>
          <w:rFonts w:ascii="Arial" w:hAnsi="Arial" w:cs="Arial"/>
        </w:rPr>
      </w:pPr>
    </w:p>
    <w:p w:rsidR="005A2FF3" w:rsidRDefault="005A2FF3" w:rsidP="008F7070">
      <w:pPr>
        <w:pStyle w:val="ListParagraph"/>
        <w:numPr>
          <w:ilvl w:val="0"/>
          <w:numId w:val="4"/>
        </w:numPr>
        <w:jc w:val="both"/>
        <w:rPr>
          <w:rFonts w:ascii="Arial" w:hAnsi="Arial" w:cs="Arial"/>
        </w:rPr>
      </w:pPr>
      <w:r w:rsidRPr="00CC16BD">
        <w:rPr>
          <w:rFonts w:ascii="Arial" w:hAnsi="Arial" w:cs="Arial"/>
        </w:rPr>
        <w:t>Customer satisfaction data, e.g. number of complaints, number of tenants who were happy with the outcome of their interaction with the service</w:t>
      </w:r>
      <w:r w:rsidR="001A475F">
        <w:rPr>
          <w:rFonts w:ascii="Arial" w:hAnsi="Arial" w:cs="Arial"/>
        </w:rPr>
        <w:t xml:space="preserve"> (measurement of tenant satisfaction to be agreed prior to the start of the contract)</w:t>
      </w:r>
    </w:p>
    <w:p w:rsidR="008F7070" w:rsidRPr="008F7070" w:rsidRDefault="008F7070" w:rsidP="008F7070">
      <w:pPr>
        <w:spacing w:after="0" w:line="240" w:lineRule="auto"/>
        <w:jc w:val="both"/>
        <w:rPr>
          <w:rFonts w:ascii="Arial" w:hAnsi="Arial" w:cs="Arial"/>
        </w:rPr>
      </w:pPr>
    </w:p>
    <w:p w:rsidR="005A2FF3" w:rsidRDefault="005A2FF3" w:rsidP="008F7070">
      <w:pPr>
        <w:pStyle w:val="ListParagraph"/>
        <w:numPr>
          <w:ilvl w:val="0"/>
          <w:numId w:val="4"/>
        </w:numPr>
        <w:jc w:val="both"/>
        <w:rPr>
          <w:rFonts w:ascii="Arial" w:hAnsi="Arial" w:cs="Arial"/>
        </w:rPr>
      </w:pPr>
      <w:r w:rsidRPr="00CC16BD">
        <w:rPr>
          <w:rFonts w:ascii="Arial" w:hAnsi="Arial" w:cs="Arial"/>
        </w:rPr>
        <w:t>An evaluation of cost effectiveness, pros and cons of different delivery mechanisms, and recommendations for future delivery</w:t>
      </w:r>
    </w:p>
    <w:p w:rsidR="008F7070" w:rsidRPr="008F7070" w:rsidRDefault="008F7070" w:rsidP="008F7070">
      <w:pPr>
        <w:spacing w:after="0" w:line="240" w:lineRule="auto"/>
        <w:jc w:val="both"/>
        <w:rPr>
          <w:rFonts w:ascii="Arial" w:hAnsi="Arial" w:cs="Arial"/>
        </w:rPr>
      </w:pPr>
    </w:p>
    <w:p w:rsidR="00735270" w:rsidRDefault="00735270" w:rsidP="008F7070">
      <w:pPr>
        <w:pStyle w:val="ListParagraph"/>
        <w:numPr>
          <w:ilvl w:val="0"/>
          <w:numId w:val="4"/>
        </w:numPr>
        <w:jc w:val="both"/>
        <w:rPr>
          <w:rFonts w:ascii="Arial" w:hAnsi="Arial" w:cs="Arial"/>
        </w:rPr>
      </w:pPr>
      <w:r>
        <w:rPr>
          <w:rFonts w:ascii="Arial" w:hAnsi="Arial" w:cs="Arial"/>
        </w:rPr>
        <w:t>An update on social value added through the delivery of the contract</w:t>
      </w:r>
    </w:p>
    <w:p w:rsidR="008F7070" w:rsidRPr="008F7070" w:rsidRDefault="008F7070" w:rsidP="008F7070">
      <w:pPr>
        <w:spacing w:after="0" w:line="240" w:lineRule="auto"/>
        <w:jc w:val="both"/>
        <w:rPr>
          <w:rFonts w:ascii="Arial" w:hAnsi="Arial" w:cs="Arial"/>
        </w:rPr>
      </w:pPr>
    </w:p>
    <w:p w:rsidR="008F7070" w:rsidRDefault="008F7070" w:rsidP="008F7070">
      <w:pPr>
        <w:pStyle w:val="ListParagraph"/>
        <w:numPr>
          <w:ilvl w:val="0"/>
          <w:numId w:val="4"/>
        </w:numPr>
        <w:jc w:val="both"/>
        <w:rPr>
          <w:rFonts w:ascii="Arial" w:hAnsi="Arial" w:cs="Arial"/>
        </w:rPr>
      </w:pPr>
      <w:r>
        <w:rPr>
          <w:rFonts w:ascii="Arial" w:hAnsi="Arial" w:cs="Arial"/>
        </w:rPr>
        <w:t xml:space="preserve">An update on advice/support provided to BCC around improvement programmes we are delivering </w:t>
      </w:r>
    </w:p>
    <w:p w:rsidR="005D6784" w:rsidRPr="005D6784" w:rsidRDefault="005D6784" w:rsidP="005D6784">
      <w:pPr>
        <w:pStyle w:val="ListParagraph"/>
        <w:rPr>
          <w:rFonts w:ascii="Arial" w:hAnsi="Arial" w:cs="Arial"/>
        </w:rPr>
      </w:pPr>
    </w:p>
    <w:p w:rsidR="005D6784" w:rsidRPr="00ED7413" w:rsidRDefault="005D6784" w:rsidP="005D6784">
      <w:pPr>
        <w:jc w:val="both"/>
        <w:rPr>
          <w:rFonts w:ascii="Arial" w:hAnsi="Arial" w:cs="Arial"/>
          <w:sz w:val="24"/>
          <w:szCs w:val="24"/>
          <w:u w:val="single"/>
        </w:rPr>
      </w:pPr>
      <w:r w:rsidRPr="00ED7413">
        <w:rPr>
          <w:rFonts w:ascii="Arial" w:hAnsi="Arial" w:cs="Arial"/>
          <w:sz w:val="24"/>
          <w:szCs w:val="24"/>
        </w:rPr>
        <w:t>14.2.3</w:t>
      </w:r>
      <w:r w:rsidRPr="00ED7413">
        <w:rPr>
          <w:rFonts w:ascii="Arial" w:hAnsi="Arial" w:cs="Arial"/>
          <w:sz w:val="24"/>
          <w:szCs w:val="24"/>
        </w:rPr>
        <w:tab/>
      </w:r>
      <w:r w:rsidRPr="00ED7413">
        <w:rPr>
          <w:rFonts w:ascii="Arial" w:hAnsi="Arial" w:cs="Arial"/>
          <w:sz w:val="24"/>
          <w:szCs w:val="24"/>
          <w:u w:val="single"/>
        </w:rPr>
        <w:t>Annually</w:t>
      </w:r>
    </w:p>
    <w:p w:rsidR="005D6784" w:rsidRPr="005D6784" w:rsidRDefault="005D6784" w:rsidP="005D6784">
      <w:pPr>
        <w:pStyle w:val="ListParagraph"/>
        <w:numPr>
          <w:ilvl w:val="0"/>
          <w:numId w:val="32"/>
        </w:numPr>
        <w:jc w:val="both"/>
        <w:rPr>
          <w:rFonts w:ascii="Arial" w:hAnsi="Arial" w:cs="Arial"/>
        </w:rPr>
      </w:pPr>
      <w:r>
        <w:rPr>
          <w:rFonts w:ascii="Arial" w:hAnsi="Arial" w:cs="Arial"/>
        </w:rPr>
        <w:t xml:space="preserve">A summary report of the activities for the contract year (collating the information collected and provided in the quarterly reporting requirements detailed above) </w:t>
      </w:r>
    </w:p>
    <w:p w:rsidR="00786995" w:rsidRDefault="007B3EAB"/>
    <w:p w:rsidR="000A1388" w:rsidRPr="000A1388" w:rsidRDefault="000A1388" w:rsidP="000A1388">
      <w:pPr>
        <w:pStyle w:val="Default"/>
        <w:rPr>
          <w:b/>
          <w:sz w:val="28"/>
          <w:szCs w:val="28"/>
        </w:rPr>
      </w:pPr>
      <w:r w:rsidRPr="000A1388">
        <w:rPr>
          <w:b/>
          <w:sz w:val="28"/>
          <w:szCs w:val="28"/>
        </w:rPr>
        <w:t>15.</w:t>
      </w:r>
      <w:r w:rsidRPr="000A1388">
        <w:rPr>
          <w:b/>
          <w:sz w:val="28"/>
          <w:szCs w:val="28"/>
        </w:rPr>
        <w:tab/>
      </w:r>
      <w:r w:rsidRPr="000A1388">
        <w:rPr>
          <w:b/>
          <w:bCs/>
          <w:sz w:val="28"/>
          <w:szCs w:val="28"/>
        </w:rPr>
        <w:t xml:space="preserve">Armed Forces Community Covenant for Bristol </w:t>
      </w:r>
    </w:p>
    <w:p w:rsidR="000A1388" w:rsidRPr="000A1388" w:rsidRDefault="000A1388" w:rsidP="000A1388">
      <w:pPr>
        <w:pStyle w:val="Default"/>
      </w:pPr>
    </w:p>
    <w:p w:rsidR="000A1388" w:rsidRPr="000A1388" w:rsidRDefault="000A1388" w:rsidP="000A1388">
      <w:pPr>
        <w:pStyle w:val="Default"/>
        <w:adjustRightInd/>
        <w:ind w:left="720" w:hanging="720"/>
      </w:pPr>
      <w:r w:rsidRPr="000A1388">
        <w:t>15.1</w:t>
      </w:r>
      <w:r w:rsidRPr="000A1388">
        <w:tab/>
        <w:t xml:space="preserve">On June 23rd 2014, Bristol City Council signed the Bristol Armed Forces Community Covenant. This is a voluntary statement of mutual support between the civilian community and the local Armed Forces community in Bristol. </w:t>
      </w:r>
    </w:p>
    <w:p w:rsidR="000A1388" w:rsidRPr="000A1388" w:rsidRDefault="000A1388" w:rsidP="000A1388">
      <w:pPr>
        <w:pStyle w:val="Default"/>
      </w:pPr>
    </w:p>
    <w:p w:rsidR="000A1388" w:rsidRPr="000A1388" w:rsidRDefault="000A1388" w:rsidP="000A1388">
      <w:pPr>
        <w:pStyle w:val="Default"/>
        <w:adjustRightInd/>
        <w:ind w:left="720" w:hanging="720"/>
      </w:pPr>
      <w:r w:rsidRPr="000A1388">
        <w:t>15.2</w:t>
      </w:r>
      <w:r w:rsidRPr="000A1388">
        <w:tab/>
        <w:t xml:space="preserve">This Bristol initiative reflects the government’s tri-service Armed Forces Covenant. This reflects government policy to improve the support available for the Armed Forces community. </w:t>
      </w:r>
    </w:p>
    <w:p w:rsidR="000A1388" w:rsidRPr="000A1388" w:rsidRDefault="000A1388" w:rsidP="000A1388">
      <w:pPr>
        <w:pStyle w:val="Default"/>
      </w:pPr>
    </w:p>
    <w:p w:rsidR="000A1388" w:rsidRPr="000A1388" w:rsidRDefault="000A1388" w:rsidP="000A1388">
      <w:pPr>
        <w:pStyle w:val="Default"/>
        <w:adjustRightInd/>
        <w:ind w:left="720" w:hanging="720"/>
      </w:pPr>
      <w:r w:rsidRPr="000A1388">
        <w:t>15.3</w:t>
      </w:r>
      <w:r w:rsidRPr="000A1388">
        <w:tab/>
        <w:t xml:space="preserve">The Bristol Covenant builds relationships and local support, between the council and other organisations, the bases and the charities that support in-service and ex-service personnel and their families. </w:t>
      </w:r>
    </w:p>
    <w:p w:rsidR="000A1388" w:rsidRPr="000A1388" w:rsidRDefault="000A1388" w:rsidP="000A1388">
      <w:pPr>
        <w:pStyle w:val="Default"/>
      </w:pPr>
    </w:p>
    <w:p w:rsidR="000A1388" w:rsidRPr="000A1388" w:rsidRDefault="000A1388" w:rsidP="000A1388">
      <w:pPr>
        <w:pStyle w:val="Default"/>
        <w:adjustRightInd/>
        <w:ind w:left="720" w:hanging="720"/>
      </w:pPr>
      <w:r w:rsidRPr="000A1388">
        <w:t>15.4</w:t>
      </w:r>
      <w:r w:rsidRPr="000A1388">
        <w:tab/>
        <w:t xml:space="preserve">It is not intended to give preferential treatment to the Armed Forces community, but to ensure that they do not suffer detriment because of their service to our country. Members of this community can experience a range of challenges. The council is keen to ensure parity of outcome for the armed forces community with our other residents. There are many independent charities that provide specific support for the armed forces community and the council is keen that these are signposted to qualifying residents. Details of services and more details about the covenant can be found here: </w:t>
      </w:r>
      <w:hyperlink r:id="rId10" w:history="1">
        <w:r w:rsidRPr="000A1388">
          <w:rPr>
            <w:rStyle w:val="Hyperlink"/>
          </w:rPr>
          <w:t>http://www.bristol.gov.uk/page/community-and-safety/armed-forces-community-covenant</w:t>
        </w:r>
      </w:hyperlink>
    </w:p>
    <w:p w:rsidR="000A1388" w:rsidRDefault="000A1388"/>
    <w:p w:rsidR="003321DF" w:rsidRDefault="003321DF"/>
    <w:p w:rsidR="003321DF" w:rsidRDefault="003321DF"/>
    <w:p w:rsidR="003321DF" w:rsidRDefault="003321DF"/>
    <w:p w:rsidR="003321DF" w:rsidRDefault="003321DF"/>
    <w:p w:rsidR="003321DF" w:rsidRDefault="003321DF"/>
    <w:p w:rsidR="003321DF" w:rsidRDefault="003321DF"/>
    <w:p w:rsidR="003321DF" w:rsidRDefault="003321DF"/>
    <w:p w:rsidR="003321DF" w:rsidRDefault="003321DF"/>
    <w:p w:rsidR="003321DF" w:rsidRDefault="003321DF"/>
    <w:p w:rsidR="003321DF" w:rsidRDefault="003321DF"/>
    <w:p w:rsidR="003321DF" w:rsidRDefault="003321DF"/>
    <w:p w:rsidR="003321DF" w:rsidRDefault="003321DF"/>
    <w:p w:rsidR="003321DF" w:rsidRPr="00F345DF" w:rsidRDefault="003321DF" w:rsidP="003321DF">
      <w:pPr>
        <w:rPr>
          <w:rFonts w:ascii="Arial" w:hAnsi="Arial" w:cs="Arial"/>
          <w:b/>
          <w:bCs/>
          <w:sz w:val="28"/>
          <w:szCs w:val="28"/>
        </w:rPr>
      </w:pPr>
      <w:r w:rsidRPr="00F345DF">
        <w:rPr>
          <w:rFonts w:ascii="Arial" w:hAnsi="Arial" w:cs="Arial"/>
          <w:b/>
          <w:bCs/>
          <w:sz w:val="28"/>
          <w:szCs w:val="28"/>
        </w:rPr>
        <w:t>Appendix one – Profile of BCC’s 27,015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12"/>
      </w:tblGrid>
      <w:tr w:rsidR="003321DF" w:rsidRPr="003321DF" w:rsidTr="003321DF">
        <w:trPr>
          <w:trHeight w:val="93"/>
        </w:trPr>
        <w:tc>
          <w:tcPr>
            <w:tcW w:w="1526" w:type="dxa"/>
          </w:tcPr>
          <w:p w:rsidR="003321DF" w:rsidRPr="003321DF" w:rsidRDefault="003321DF" w:rsidP="00046A84">
            <w:pPr>
              <w:pStyle w:val="Default"/>
            </w:pPr>
            <w:r w:rsidRPr="003321DF">
              <w:rPr>
                <w:b/>
                <w:bCs/>
              </w:rPr>
              <w:t xml:space="preserve">Dwelling Type </w:t>
            </w:r>
          </w:p>
        </w:tc>
        <w:tc>
          <w:tcPr>
            <w:tcW w:w="1212" w:type="dxa"/>
          </w:tcPr>
          <w:p w:rsidR="003321DF" w:rsidRPr="003321DF" w:rsidRDefault="003321DF" w:rsidP="00046A84">
            <w:pPr>
              <w:pStyle w:val="Default"/>
            </w:pPr>
            <w:r w:rsidRPr="003321DF">
              <w:rPr>
                <w:b/>
                <w:bCs/>
              </w:rPr>
              <w:t xml:space="preserve">Number </w:t>
            </w:r>
          </w:p>
        </w:tc>
      </w:tr>
      <w:tr w:rsidR="003321DF" w:rsidRPr="003321DF" w:rsidTr="003321DF">
        <w:trPr>
          <w:trHeight w:val="93"/>
        </w:trPr>
        <w:tc>
          <w:tcPr>
            <w:tcW w:w="1526" w:type="dxa"/>
            <w:shd w:val="clear" w:color="auto" w:fill="auto"/>
          </w:tcPr>
          <w:p w:rsidR="003321DF" w:rsidRPr="003321DF" w:rsidRDefault="003321DF" w:rsidP="00046A84">
            <w:pPr>
              <w:pStyle w:val="Default"/>
            </w:pPr>
            <w:r w:rsidRPr="003321DF">
              <w:t>Bungalow</w:t>
            </w:r>
          </w:p>
        </w:tc>
        <w:tc>
          <w:tcPr>
            <w:tcW w:w="1212" w:type="dxa"/>
            <w:shd w:val="clear" w:color="auto" w:fill="auto"/>
          </w:tcPr>
          <w:p w:rsidR="003321DF" w:rsidRPr="003321DF" w:rsidRDefault="003321DF" w:rsidP="00046A84">
            <w:pPr>
              <w:pStyle w:val="Default"/>
            </w:pPr>
            <w:r w:rsidRPr="003321DF">
              <w:t>1,082</w:t>
            </w:r>
          </w:p>
        </w:tc>
      </w:tr>
      <w:tr w:rsidR="003321DF" w:rsidRPr="003321DF" w:rsidTr="003321DF">
        <w:trPr>
          <w:trHeight w:val="93"/>
        </w:trPr>
        <w:tc>
          <w:tcPr>
            <w:tcW w:w="1526" w:type="dxa"/>
            <w:shd w:val="clear" w:color="auto" w:fill="auto"/>
          </w:tcPr>
          <w:p w:rsidR="003321DF" w:rsidRPr="003321DF" w:rsidRDefault="003321DF" w:rsidP="00046A84">
            <w:pPr>
              <w:pStyle w:val="Default"/>
            </w:pPr>
            <w:r w:rsidRPr="003321DF">
              <w:t>Flat</w:t>
            </w:r>
          </w:p>
        </w:tc>
        <w:tc>
          <w:tcPr>
            <w:tcW w:w="1212" w:type="dxa"/>
            <w:shd w:val="clear" w:color="auto" w:fill="auto"/>
          </w:tcPr>
          <w:p w:rsidR="003321DF" w:rsidRPr="003321DF" w:rsidRDefault="003321DF" w:rsidP="00046A84">
            <w:pPr>
              <w:pStyle w:val="Default"/>
            </w:pPr>
            <w:r w:rsidRPr="003321DF">
              <w:t>12,824</w:t>
            </w:r>
          </w:p>
        </w:tc>
      </w:tr>
      <w:tr w:rsidR="003321DF" w:rsidRPr="003321DF" w:rsidTr="003321DF">
        <w:trPr>
          <w:trHeight w:val="93"/>
        </w:trPr>
        <w:tc>
          <w:tcPr>
            <w:tcW w:w="1526" w:type="dxa"/>
            <w:shd w:val="clear" w:color="auto" w:fill="auto"/>
          </w:tcPr>
          <w:p w:rsidR="003321DF" w:rsidRPr="003321DF" w:rsidRDefault="003321DF" w:rsidP="00046A84">
            <w:pPr>
              <w:pStyle w:val="Default"/>
            </w:pPr>
            <w:r w:rsidRPr="003321DF">
              <w:t>House</w:t>
            </w:r>
          </w:p>
        </w:tc>
        <w:tc>
          <w:tcPr>
            <w:tcW w:w="1212" w:type="dxa"/>
            <w:shd w:val="clear" w:color="auto" w:fill="auto"/>
          </w:tcPr>
          <w:p w:rsidR="003321DF" w:rsidRPr="003321DF" w:rsidRDefault="003321DF" w:rsidP="00046A84">
            <w:pPr>
              <w:pStyle w:val="Default"/>
            </w:pPr>
            <w:r w:rsidRPr="003321DF">
              <w:t>11,362</w:t>
            </w:r>
          </w:p>
        </w:tc>
      </w:tr>
      <w:tr w:rsidR="003321DF" w:rsidRPr="003321DF" w:rsidTr="003321DF">
        <w:trPr>
          <w:trHeight w:val="93"/>
        </w:trPr>
        <w:tc>
          <w:tcPr>
            <w:tcW w:w="1526" w:type="dxa"/>
            <w:shd w:val="clear" w:color="auto" w:fill="auto"/>
          </w:tcPr>
          <w:p w:rsidR="003321DF" w:rsidRPr="003321DF" w:rsidRDefault="003321DF" w:rsidP="00046A84">
            <w:pPr>
              <w:pStyle w:val="Default"/>
            </w:pPr>
            <w:r w:rsidRPr="003321DF">
              <w:t>Maisonette</w:t>
            </w:r>
          </w:p>
        </w:tc>
        <w:tc>
          <w:tcPr>
            <w:tcW w:w="1212" w:type="dxa"/>
            <w:shd w:val="clear" w:color="auto" w:fill="auto"/>
          </w:tcPr>
          <w:p w:rsidR="003321DF" w:rsidRPr="003321DF" w:rsidRDefault="003321DF" w:rsidP="00046A84">
            <w:pPr>
              <w:pStyle w:val="Default"/>
            </w:pPr>
            <w:r w:rsidRPr="003321DF">
              <w:t>1,747</w:t>
            </w:r>
          </w:p>
        </w:tc>
      </w:tr>
    </w:tbl>
    <w:p w:rsidR="003321DF" w:rsidRPr="003321DF" w:rsidRDefault="003321DF" w:rsidP="003321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443"/>
        <w:gridCol w:w="1443"/>
      </w:tblGrid>
      <w:tr w:rsidR="003321DF" w:rsidRPr="003321DF" w:rsidTr="003321DF">
        <w:trPr>
          <w:trHeight w:val="93"/>
        </w:trPr>
        <w:tc>
          <w:tcPr>
            <w:tcW w:w="1443" w:type="dxa"/>
          </w:tcPr>
          <w:p w:rsidR="003321DF" w:rsidRPr="003321DF" w:rsidRDefault="003321DF" w:rsidP="00046A84">
            <w:pPr>
              <w:pStyle w:val="Default"/>
            </w:pPr>
            <w:r w:rsidRPr="003321DF">
              <w:rPr>
                <w:b/>
                <w:bCs/>
              </w:rPr>
              <w:t xml:space="preserve">Dwelling </w:t>
            </w:r>
          </w:p>
        </w:tc>
        <w:tc>
          <w:tcPr>
            <w:tcW w:w="1443" w:type="dxa"/>
          </w:tcPr>
          <w:p w:rsidR="003321DF" w:rsidRPr="003321DF" w:rsidRDefault="003321DF" w:rsidP="00046A84">
            <w:pPr>
              <w:pStyle w:val="Default"/>
            </w:pPr>
            <w:r w:rsidRPr="003321DF">
              <w:rPr>
                <w:b/>
                <w:bCs/>
              </w:rPr>
              <w:t xml:space="preserve">Block Type </w:t>
            </w:r>
          </w:p>
        </w:tc>
        <w:tc>
          <w:tcPr>
            <w:tcW w:w="1443" w:type="dxa"/>
          </w:tcPr>
          <w:p w:rsidR="003321DF" w:rsidRPr="003321DF" w:rsidRDefault="003321DF" w:rsidP="00046A84">
            <w:pPr>
              <w:pStyle w:val="Default"/>
            </w:pPr>
            <w:r w:rsidRPr="003321DF">
              <w:rPr>
                <w:b/>
                <w:bCs/>
              </w:rPr>
              <w:t xml:space="preserve">Number </w:t>
            </w:r>
          </w:p>
        </w:tc>
      </w:tr>
      <w:tr w:rsidR="003321DF" w:rsidRPr="003321DF" w:rsidTr="003321DF">
        <w:trPr>
          <w:trHeight w:val="99"/>
        </w:trPr>
        <w:tc>
          <w:tcPr>
            <w:tcW w:w="1443" w:type="dxa"/>
          </w:tcPr>
          <w:p w:rsidR="003321DF" w:rsidRPr="003321DF" w:rsidRDefault="003321DF" w:rsidP="00046A84">
            <w:pPr>
              <w:pStyle w:val="Default"/>
            </w:pPr>
            <w:r w:rsidRPr="003321DF">
              <w:t xml:space="preserve">Flat </w:t>
            </w:r>
          </w:p>
        </w:tc>
        <w:tc>
          <w:tcPr>
            <w:tcW w:w="1443" w:type="dxa"/>
          </w:tcPr>
          <w:p w:rsidR="003321DF" w:rsidRPr="003321DF" w:rsidRDefault="003321DF" w:rsidP="00046A84">
            <w:pPr>
              <w:pStyle w:val="Default"/>
            </w:pPr>
            <w:r w:rsidRPr="003321DF">
              <w:t xml:space="preserve">House-type </w:t>
            </w:r>
          </w:p>
        </w:tc>
        <w:tc>
          <w:tcPr>
            <w:tcW w:w="1443" w:type="dxa"/>
          </w:tcPr>
          <w:p w:rsidR="003321DF" w:rsidRPr="003321DF" w:rsidRDefault="003321DF" w:rsidP="00046A84">
            <w:pPr>
              <w:pStyle w:val="Default"/>
            </w:pPr>
            <w:r w:rsidRPr="003321DF">
              <w:t>4,468</w:t>
            </w:r>
          </w:p>
        </w:tc>
      </w:tr>
      <w:tr w:rsidR="003321DF" w:rsidRPr="003321DF" w:rsidTr="003321DF">
        <w:trPr>
          <w:trHeight w:val="99"/>
        </w:trPr>
        <w:tc>
          <w:tcPr>
            <w:tcW w:w="1443" w:type="dxa"/>
          </w:tcPr>
          <w:p w:rsidR="003321DF" w:rsidRPr="003321DF" w:rsidRDefault="003321DF" w:rsidP="00046A84">
            <w:pPr>
              <w:pStyle w:val="Default"/>
            </w:pPr>
            <w:r w:rsidRPr="003321DF">
              <w:t xml:space="preserve">Flat </w:t>
            </w:r>
          </w:p>
        </w:tc>
        <w:tc>
          <w:tcPr>
            <w:tcW w:w="1443" w:type="dxa"/>
          </w:tcPr>
          <w:p w:rsidR="003321DF" w:rsidRPr="003321DF" w:rsidRDefault="003321DF" w:rsidP="00046A84">
            <w:pPr>
              <w:pStyle w:val="Default"/>
            </w:pPr>
            <w:r w:rsidRPr="003321DF">
              <w:t xml:space="preserve">Walk up </w:t>
            </w:r>
          </w:p>
        </w:tc>
        <w:tc>
          <w:tcPr>
            <w:tcW w:w="1443" w:type="dxa"/>
          </w:tcPr>
          <w:p w:rsidR="003321DF" w:rsidRPr="003321DF" w:rsidRDefault="003321DF" w:rsidP="00046A84">
            <w:pPr>
              <w:pStyle w:val="Default"/>
            </w:pPr>
            <w:r w:rsidRPr="003321DF">
              <w:t xml:space="preserve">4,747 </w:t>
            </w:r>
          </w:p>
        </w:tc>
      </w:tr>
      <w:tr w:rsidR="003321DF" w:rsidRPr="003321DF" w:rsidTr="003321DF">
        <w:trPr>
          <w:trHeight w:val="99"/>
        </w:trPr>
        <w:tc>
          <w:tcPr>
            <w:tcW w:w="1443" w:type="dxa"/>
          </w:tcPr>
          <w:p w:rsidR="003321DF" w:rsidRPr="003321DF" w:rsidRDefault="003321DF" w:rsidP="00046A84">
            <w:pPr>
              <w:pStyle w:val="Default"/>
            </w:pPr>
            <w:r w:rsidRPr="003321DF">
              <w:t xml:space="preserve">Flat </w:t>
            </w:r>
          </w:p>
        </w:tc>
        <w:tc>
          <w:tcPr>
            <w:tcW w:w="1443" w:type="dxa"/>
          </w:tcPr>
          <w:p w:rsidR="003321DF" w:rsidRPr="003321DF" w:rsidRDefault="003321DF" w:rsidP="00046A84">
            <w:pPr>
              <w:pStyle w:val="Default"/>
            </w:pPr>
            <w:r w:rsidRPr="003321DF">
              <w:t xml:space="preserve">Multi-storey </w:t>
            </w:r>
          </w:p>
        </w:tc>
        <w:tc>
          <w:tcPr>
            <w:tcW w:w="1443" w:type="dxa"/>
          </w:tcPr>
          <w:p w:rsidR="003321DF" w:rsidRPr="003321DF" w:rsidRDefault="003321DF" w:rsidP="00046A84">
            <w:pPr>
              <w:pStyle w:val="Default"/>
            </w:pPr>
            <w:r w:rsidRPr="003321DF">
              <w:t>3,609</w:t>
            </w:r>
          </w:p>
        </w:tc>
      </w:tr>
      <w:tr w:rsidR="003321DF" w:rsidRPr="003321DF" w:rsidTr="003321DF">
        <w:trPr>
          <w:trHeight w:val="99"/>
        </w:trPr>
        <w:tc>
          <w:tcPr>
            <w:tcW w:w="1443" w:type="dxa"/>
          </w:tcPr>
          <w:p w:rsidR="003321DF" w:rsidRPr="003321DF" w:rsidRDefault="003321DF" w:rsidP="00046A84">
            <w:pPr>
              <w:pStyle w:val="Default"/>
            </w:pPr>
            <w:r w:rsidRPr="003321DF">
              <w:t xml:space="preserve">Maisonette </w:t>
            </w:r>
          </w:p>
        </w:tc>
        <w:tc>
          <w:tcPr>
            <w:tcW w:w="1443" w:type="dxa"/>
          </w:tcPr>
          <w:p w:rsidR="003321DF" w:rsidRPr="003321DF" w:rsidRDefault="003321DF" w:rsidP="00046A84">
            <w:pPr>
              <w:pStyle w:val="Default"/>
            </w:pPr>
            <w:r w:rsidRPr="003321DF">
              <w:t xml:space="preserve">House-type </w:t>
            </w:r>
          </w:p>
        </w:tc>
        <w:tc>
          <w:tcPr>
            <w:tcW w:w="1443" w:type="dxa"/>
          </w:tcPr>
          <w:p w:rsidR="003321DF" w:rsidRPr="003321DF" w:rsidRDefault="003321DF" w:rsidP="00046A84">
            <w:pPr>
              <w:pStyle w:val="Default"/>
            </w:pPr>
            <w:r w:rsidRPr="003321DF">
              <w:t>49</w:t>
            </w:r>
          </w:p>
        </w:tc>
      </w:tr>
      <w:tr w:rsidR="003321DF" w:rsidRPr="003321DF" w:rsidTr="003321DF">
        <w:trPr>
          <w:trHeight w:val="100"/>
        </w:trPr>
        <w:tc>
          <w:tcPr>
            <w:tcW w:w="1443" w:type="dxa"/>
          </w:tcPr>
          <w:p w:rsidR="003321DF" w:rsidRPr="003321DF" w:rsidRDefault="003321DF" w:rsidP="00046A84">
            <w:pPr>
              <w:pStyle w:val="Default"/>
            </w:pPr>
            <w:r w:rsidRPr="003321DF">
              <w:t xml:space="preserve">Maisonette </w:t>
            </w:r>
          </w:p>
        </w:tc>
        <w:tc>
          <w:tcPr>
            <w:tcW w:w="1443" w:type="dxa"/>
          </w:tcPr>
          <w:p w:rsidR="003321DF" w:rsidRPr="003321DF" w:rsidRDefault="003321DF" w:rsidP="00046A84">
            <w:pPr>
              <w:pStyle w:val="Default"/>
            </w:pPr>
            <w:r w:rsidRPr="003321DF">
              <w:t xml:space="preserve">Walk up </w:t>
            </w:r>
          </w:p>
        </w:tc>
        <w:tc>
          <w:tcPr>
            <w:tcW w:w="1443" w:type="dxa"/>
          </w:tcPr>
          <w:p w:rsidR="003321DF" w:rsidRPr="003321DF" w:rsidRDefault="003321DF" w:rsidP="00046A84">
            <w:pPr>
              <w:pStyle w:val="Default"/>
            </w:pPr>
            <w:r w:rsidRPr="003321DF">
              <w:t>1,124</w:t>
            </w:r>
          </w:p>
        </w:tc>
      </w:tr>
      <w:tr w:rsidR="003321DF" w:rsidRPr="003321DF" w:rsidTr="003321DF">
        <w:trPr>
          <w:trHeight w:val="99"/>
        </w:trPr>
        <w:tc>
          <w:tcPr>
            <w:tcW w:w="1443" w:type="dxa"/>
          </w:tcPr>
          <w:p w:rsidR="003321DF" w:rsidRPr="003321DF" w:rsidRDefault="003321DF" w:rsidP="00046A84">
            <w:pPr>
              <w:pStyle w:val="Default"/>
            </w:pPr>
            <w:r w:rsidRPr="003321DF">
              <w:t xml:space="preserve">Maisonette </w:t>
            </w:r>
          </w:p>
        </w:tc>
        <w:tc>
          <w:tcPr>
            <w:tcW w:w="1443" w:type="dxa"/>
          </w:tcPr>
          <w:p w:rsidR="003321DF" w:rsidRPr="003321DF" w:rsidRDefault="003321DF" w:rsidP="00046A84">
            <w:pPr>
              <w:pStyle w:val="Default"/>
            </w:pPr>
            <w:r w:rsidRPr="003321DF">
              <w:t xml:space="preserve">Multi-storey </w:t>
            </w:r>
          </w:p>
        </w:tc>
        <w:tc>
          <w:tcPr>
            <w:tcW w:w="1443" w:type="dxa"/>
          </w:tcPr>
          <w:p w:rsidR="003321DF" w:rsidRPr="003321DF" w:rsidRDefault="003321DF" w:rsidP="00046A84">
            <w:pPr>
              <w:pStyle w:val="Default"/>
            </w:pPr>
            <w:r w:rsidRPr="003321DF">
              <w:t xml:space="preserve">574 </w:t>
            </w:r>
          </w:p>
        </w:tc>
      </w:tr>
    </w:tbl>
    <w:p w:rsidR="003321DF" w:rsidRPr="003321DF" w:rsidRDefault="003321DF" w:rsidP="003321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26"/>
      </w:tblGrid>
      <w:tr w:rsidR="003321DF" w:rsidRPr="003321DF" w:rsidTr="003321DF">
        <w:trPr>
          <w:trHeight w:val="93"/>
        </w:trPr>
        <w:tc>
          <w:tcPr>
            <w:tcW w:w="1526" w:type="dxa"/>
          </w:tcPr>
          <w:p w:rsidR="003321DF" w:rsidRPr="003321DF" w:rsidRDefault="003321DF" w:rsidP="00046A84">
            <w:pPr>
              <w:pStyle w:val="Default"/>
            </w:pPr>
            <w:r w:rsidRPr="003321DF">
              <w:rPr>
                <w:b/>
                <w:bCs/>
              </w:rPr>
              <w:t xml:space="preserve">Build </w:t>
            </w:r>
          </w:p>
        </w:tc>
        <w:tc>
          <w:tcPr>
            <w:tcW w:w="1126" w:type="dxa"/>
          </w:tcPr>
          <w:p w:rsidR="003321DF" w:rsidRPr="003321DF" w:rsidRDefault="003321DF" w:rsidP="00046A84">
            <w:pPr>
              <w:pStyle w:val="Default"/>
            </w:pPr>
            <w:r w:rsidRPr="003321DF">
              <w:rPr>
                <w:b/>
                <w:bCs/>
              </w:rPr>
              <w:t xml:space="preserve">Number </w:t>
            </w:r>
          </w:p>
        </w:tc>
      </w:tr>
      <w:tr w:rsidR="003321DF" w:rsidRPr="003321DF" w:rsidTr="003321DF">
        <w:trPr>
          <w:trHeight w:val="93"/>
        </w:trPr>
        <w:tc>
          <w:tcPr>
            <w:tcW w:w="1526" w:type="dxa"/>
          </w:tcPr>
          <w:p w:rsidR="003321DF" w:rsidRPr="003321DF" w:rsidRDefault="003321DF" w:rsidP="00046A84">
            <w:pPr>
              <w:pStyle w:val="Default"/>
            </w:pPr>
            <w:r w:rsidRPr="003321DF">
              <w:t xml:space="preserve">Traditional </w:t>
            </w:r>
          </w:p>
        </w:tc>
        <w:tc>
          <w:tcPr>
            <w:tcW w:w="1126" w:type="dxa"/>
          </w:tcPr>
          <w:p w:rsidR="003321DF" w:rsidRPr="003321DF" w:rsidRDefault="003321DF" w:rsidP="00046A84">
            <w:pPr>
              <w:pStyle w:val="Default"/>
            </w:pPr>
            <w:r w:rsidRPr="003321DF">
              <w:t>19,188</w:t>
            </w:r>
          </w:p>
        </w:tc>
      </w:tr>
      <w:tr w:rsidR="003321DF" w:rsidRPr="003321DF" w:rsidTr="003321DF">
        <w:trPr>
          <w:trHeight w:val="93"/>
        </w:trPr>
        <w:tc>
          <w:tcPr>
            <w:tcW w:w="1526" w:type="dxa"/>
          </w:tcPr>
          <w:p w:rsidR="003321DF" w:rsidRPr="003321DF" w:rsidRDefault="003321DF" w:rsidP="00046A84">
            <w:pPr>
              <w:pStyle w:val="Default"/>
            </w:pPr>
            <w:r w:rsidRPr="003321DF">
              <w:t xml:space="preserve">Non-traditional </w:t>
            </w:r>
          </w:p>
        </w:tc>
        <w:tc>
          <w:tcPr>
            <w:tcW w:w="1126" w:type="dxa"/>
          </w:tcPr>
          <w:p w:rsidR="003321DF" w:rsidRPr="003321DF" w:rsidRDefault="003321DF" w:rsidP="00046A84">
            <w:pPr>
              <w:pStyle w:val="Default"/>
            </w:pPr>
            <w:r w:rsidRPr="003321DF">
              <w:t>7,827</w:t>
            </w:r>
          </w:p>
        </w:tc>
      </w:tr>
    </w:tbl>
    <w:p w:rsidR="003321DF" w:rsidRPr="003321DF" w:rsidRDefault="003321DF" w:rsidP="003321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55"/>
      </w:tblGrid>
      <w:tr w:rsidR="003321DF" w:rsidRPr="003321DF" w:rsidTr="003321DF">
        <w:trPr>
          <w:trHeight w:val="93"/>
        </w:trPr>
        <w:tc>
          <w:tcPr>
            <w:tcW w:w="1355" w:type="dxa"/>
          </w:tcPr>
          <w:p w:rsidR="003321DF" w:rsidRPr="003321DF" w:rsidRDefault="003321DF" w:rsidP="00046A84">
            <w:pPr>
              <w:pStyle w:val="Default"/>
            </w:pPr>
            <w:r w:rsidRPr="003321DF">
              <w:rPr>
                <w:b/>
                <w:bCs/>
              </w:rPr>
              <w:t xml:space="preserve">Age Band </w:t>
            </w:r>
          </w:p>
        </w:tc>
        <w:tc>
          <w:tcPr>
            <w:tcW w:w="1355" w:type="dxa"/>
          </w:tcPr>
          <w:p w:rsidR="003321DF" w:rsidRPr="003321DF" w:rsidRDefault="003321DF" w:rsidP="00046A84">
            <w:pPr>
              <w:pStyle w:val="Default"/>
            </w:pPr>
            <w:r w:rsidRPr="003321DF">
              <w:rPr>
                <w:b/>
                <w:bCs/>
              </w:rPr>
              <w:t xml:space="preserve">Number </w:t>
            </w:r>
          </w:p>
        </w:tc>
      </w:tr>
      <w:tr w:rsidR="003321DF" w:rsidRPr="003321DF" w:rsidTr="003321DF">
        <w:trPr>
          <w:trHeight w:val="93"/>
        </w:trPr>
        <w:tc>
          <w:tcPr>
            <w:tcW w:w="1355" w:type="dxa"/>
          </w:tcPr>
          <w:p w:rsidR="003321DF" w:rsidRPr="003321DF" w:rsidRDefault="003321DF" w:rsidP="00046A84">
            <w:pPr>
              <w:pStyle w:val="Default"/>
            </w:pPr>
            <w:r w:rsidRPr="003321DF">
              <w:t xml:space="preserve">Pre-1945 </w:t>
            </w:r>
          </w:p>
        </w:tc>
        <w:tc>
          <w:tcPr>
            <w:tcW w:w="1355" w:type="dxa"/>
          </w:tcPr>
          <w:p w:rsidR="003321DF" w:rsidRPr="003321DF" w:rsidRDefault="003321DF" w:rsidP="00046A84">
            <w:pPr>
              <w:pStyle w:val="Default"/>
            </w:pPr>
            <w:r w:rsidRPr="003321DF">
              <w:t>6,898</w:t>
            </w:r>
          </w:p>
        </w:tc>
      </w:tr>
      <w:tr w:rsidR="003321DF" w:rsidRPr="003321DF" w:rsidTr="003321DF">
        <w:trPr>
          <w:trHeight w:val="93"/>
        </w:trPr>
        <w:tc>
          <w:tcPr>
            <w:tcW w:w="1355" w:type="dxa"/>
          </w:tcPr>
          <w:p w:rsidR="003321DF" w:rsidRPr="003321DF" w:rsidRDefault="003321DF" w:rsidP="00046A84">
            <w:pPr>
              <w:pStyle w:val="Default"/>
            </w:pPr>
            <w:r w:rsidRPr="003321DF">
              <w:t xml:space="preserve">1945-1964 </w:t>
            </w:r>
          </w:p>
        </w:tc>
        <w:tc>
          <w:tcPr>
            <w:tcW w:w="1355" w:type="dxa"/>
          </w:tcPr>
          <w:p w:rsidR="003321DF" w:rsidRPr="003321DF" w:rsidRDefault="003321DF" w:rsidP="00046A84">
            <w:pPr>
              <w:pStyle w:val="Default"/>
            </w:pPr>
            <w:r w:rsidRPr="003321DF">
              <w:t>11,644</w:t>
            </w:r>
          </w:p>
        </w:tc>
      </w:tr>
      <w:tr w:rsidR="003321DF" w:rsidRPr="003321DF" w:rsidTr="003321DF">
        <w:trPr>
          <w:trHeight w:val="93"/>
        </w:trPr>
        <w:tc>
          <w:tcPr>
            <w:tcW w:w="1355" w:type="dxa"/>
          </w:tcPr>
          <w:p w:rsidR="003321DF" w:rsidRPr="003321DF" w:rsidRDefault="003321DF" w:rsidP="00046A84">
            <w:pPr>
              <w:pStyle w:val="Default"/>
            </w:pPr>
            <w:r w:rsidRPr="003321DF">
              <w:t xml:space="preserve">1965-1974 </w:t>
            </w:r>
          </w:p>
        </w:tc>
        <w:tc>
          <w:tcPr>
            <w:tcW w:w="1355" w:type="dxa"/>
          </w:tcPr>
          <w:p w:rsidR="003321DF" w:rsidRPr="003321DF" w:rsidRDefault="003321DF" w:rsidP="00046A84">
            <w:pPr>
              <w:pStyle w:val="Default"/>
            </w:pPr>
            <w:r w:rsidRPr="003321DF">
              <w:t xml:space="preserve">4,279 </w:t>
            </w:r>
          </w:p>
        </w:tc>
      </w:tr>
      <w:tr w:rsidR="003321DF" w:rsidRPr="003321DF" w:rsidTr="003321DF">
        <w:trPr>
          <w:trHeight w:val="93"/>
        </w:trPr>
        <w:tc>
          <w:tcPr>
            <w:tcW w:w="1355" w:type="dxa"/>
          </w:tcPr>
          <w:p w:rsidR="003321DF" w:rsidRPr="003321DF" w:rsidRDefault="003321DF" w:rsidP="00046A84">
            <w:pPr>
              <w:pStyle w:val="Default"/>
            </w:pPr>
            <w:r w:rsidRPr="003321DF">
              <w:t xml:space="preserve">1975-1999 </w:t>
            </w:r>
          </w:p>
        </w:tc>
        <w:tc>
          <w:tcPr>
            <w:tcW w:w="1355" w:type="dxa"/>
          </w:tcPr>
          <w:p w:rsidR="003321DF" w:rsidRPr="003321DF" w:rsidRDefault="003321DF" w:rsidP="00046A84">
            <w:pPr>
              <w:pStyle w:val="Default"/>
            </w:pPr>
            <w:r w:rsidRPr="003321DF">
              <w:t xml:space="preserve">3,498 </w:t>
            </w:r>
          </w:p>
        </w:tc>
      </w:tr>
      <w:tr w:rsidR="003321DF" w:rsidRPr="003321DF" w:rsidTr="003321DF">
        <w:trPr>
          <w:trHeight w:val="93"/>
        </w:trPr>
        <w:tc>
          <w:tcPr>
            <w:tcW w:w="1355" w:type="dxa"/>
          </w:tcPr>
          <w:p w:rsidR="003321DF" w:rsidRPr="003321DF" w:rsidRDefault="003321DF" w:rsidP="00046A84">
            <w:pPr>
              <w:pStyle w:val="Default"/>
            </w:pPr>
            <w:r w:rsidRPr="003321DF">
              <w:t xml:space="preserve">Post-1999 </w:t>
            </w:r>
          </w:p>
        </w:tc>
        <w:tc>
          <w:tcPr>
            <w:tcW w:w="1355" w:type="dxa"/>
          </w:tcPr>
          <w:p w:rsidR="003321DF" w:rsidRPr="003321DF" w:rsidRDefault="003321DF" w:rsidP="00046A84">
            <w:pPr>
              <w:pStyle w:val="Default"/>
            </w:pPr>
            <w:r w:rsidRPr="003321DF">
              <w:t>696</w:t>
            </w:r>
          </w:p>
        </w:tc>
      </w:tr>
    </w:tbl>
    <w:p w:rsidR="003321DF" w:rsidRPr="003321DF" w:rsidRDefault="003321DF" w:rsidP="003321DF">
      <w:pPr>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367"/>
      </w:tblGrid>
      <w:tr w:rsidR="003321DF" w:rsidRPr="003321DF" w:rsidTr="003321DF">
        <w:trPr>
          <w:trHeight w:val="93"/>
        </w:trPr>
        <w:tc>
          <w:tcPr>
            <w:tcW w:w="2367" w:type="dxa"/>
          </w:tcPr>
          <w:p w:rsidR="003321DF" w:rsidRPr="003321DF" w:rsidRDefault="003321DF" w:rsidP="00046A84">
            <w:pPr>
              <w:pStyle w:val="Default"/>
            </w:pPr>
            <w:r w:rsidRPr="003321DF">
              <w:rPr>
                <w:b/>
                <w:bCs/>
              </w:rPr>
              <w:t xml:space="preserve">Wall Insulation </w:t>
            </w:r>
          </w:p>
        </w:tc>
        <w:tc>
          <w:tcPr>
            <w:tcW w:w="2367" w:type="dxa"/>
          </w:tcPr>
          <w:p w:rsidR="003321DF" w:rsidRPr="003321DF" w:rsidRDefault="003321DF" w:rsidP="00046A84">
            <w:pPr>
              <w:pStyle w:val="Default"/>
            </w:pPr>
            <w:r w:rsidRPr="003321DF">
              <w:rPr>
                <w:b/>
                <w:bCs/>
              </w:rPr>
              <w:t xml:space="preserve">Number </w:t>
            </w:r>
          </w:p>
        </w:tc>
      </w:tr>
      <w:tr w:rsidR="003321DF" w:rsidRPr="003321DF" w:rsidTr="003321DF">
        <w:trPr>
          <w:trHeight w:val="93"/>
        </w:trPr>
        <w:tc>
          <w:tcPr>
            <w:tcW w:w="2367" w:type="dxa"/>
          </w:tcPr>
          <w:p w:rsidR="003321DF" w:rsidRPr="003321DF" w:rsidRDefault="003321DF" w:rsidP="00046A84">
            <w:pPr>
              <w:pStyle w:val="Default"/>
            </w:pPr>
            <w:r w:rsidRPr="003321DF">
              <w:t xml:space="preserve">Cavity wall insulation </w:t>
            </w:r>
          </w:p>
        </w:tc>
        <w:tc>
          <w:tcPr>
            <w:tcW w:w="2367" w:type="dxa"/>
          </w:tcPr>
          <w:p w:rsidR="003321DF" w:rsidRPr="003321DF" w:rsidRDefault="003321DF" w:rsidP="00046A84">
            <w:pPr>
              <w:pStyle w:val="Default"/>
            </w:pPr>
            <w:r w:rsidRPr="003321DF">
              <w:t xml:space="preserve">14,476 </w:t>
            </w:r>
          </w:p>
        </w:tc>
      </w:tr>
      <w:tr w:rsidR="003321DF" w:rsidRPr="003321DF" w:rsidTr="003321DF">
        <w:trPr>
          <w:trHeight w:val="93"/>
        </w:trPr>
        <w:tc>
          <w:tcPr>
            <w:tcW w:w="2367" w:type="dxa"/>
          </w:tcPr>
          <w:p w:rsidR="003321DF" w:rsidRPr="003321DF" w:rsidRDefault="003321DF" w:rsidP="00046A84">
            <w:pPr>
              <w:pStyle w:val="Default"/>
            </w:pPr>
            <w:r w:rsidRPr="003321DF">
              <w:t xml:space="preserve">External wall insulation </w:t>
            </w:r>
          </w:p>
        </w:tc>
        <w:tc>
          <w:tcPr>
            <w:tcW w:w="2367" w:type="dxa"/>
          </w:tcPr>
          <w:p w:rsidR="003321DF" w:rsidRPr="003321DF" w:rsidRDefault="003321DF" w:rsidP="00046A84">
            <w:pPr>
              <w:pStyle w:val="Default"/>
            </w:pPr>
            <w:r w:rsidRPr="003321DF">
              <w:t xml:space="preserve">8,513 </w:t>
            </w:r>
          </w:p>
        </w:tc>
      </w:tr>
      <w:tr w:rsidR="003321DF" w:rsidRPr="003321DF" w:rsidTr="003321DF">
        <w:trPr>
          <w:trHeight w:val="93"/>
        </w:trPr>
        <w:tc>
          <w:tcPr>
            <w:tcW w:w="2367" w:type="dxa"/>
          </w:tcPr>
          <w:p w:rsidR="003321DF" w:rsidRPr="003321DF" w:rsidRDefault="003321DF" w:rsidP="00046A84">
            <w:pPr>
              <w:pStyle w:val="Default"/>
            </w:pPr>
            <w:r w:rsidRPr="003321DF">
              <w:t xml:space="preserve">Internal wall insulation </w:t>
            </w:r>
          </w:p>
        </w:tc>
        <w:tc>
          <w:tcPr>
            <w:tcW w:w="2367" w:type="dxa"/>
          </w:tcPr>
          <w:p w:rsidR="003321DF" w:rsidRPr="003321DF" w:rsidRDefault="003321DF" w:rsidP="00046A84">
            <w:pPr>
              <w:pStyle w:val="Default"/>
            </w:pPr>
            <w:r w:rsidRPr="003321DF">
              <w:t>54</w:t>
            </w:r>
          </w:p>
        </w:tc>
      </w:tr>
      <w:tr w:rsidR="003321DF" w:rsidRPr="003321DF" w:rsidTr="003321DF">
        <w:trPr>
          <w:trHeight w:val="93"/>
        </w:trPr>
        <w:tc>
          <w:tcPr>
            <w:tcW w:w="2367" w:type="dxa"/>
          </w:tcPr>
          <w:p w:rsidR="003321DF" w:rsidRPr="003321DF" w:rsidRDefault="003321DF" w:rsidP="00046A84">
            <w:pPr>
              <w:pStyle w:val="Default"/>
            </w:pPr>
            <w:r w:rsidRPr="003321DF">
              <w:t xml:space="preserve">No wall insulation </w:t>
            </w:r>
          </w:p>
        </w:tc>
        <w:tc>
          <w:tcPr>
            <w:tcW w:w="2367" w:type="dxa"/>
          </w:tcPr>
          <w:p w:rsidR="003321DF" w:rsidRPr="003321DF" w:rsidRDefault="003321DF" w:rsidP="00046A84">
            <w:pPr>
              <w:pStyle w:val="Default"/>
            </w:pPr>
            <w:r w:rsidRPr="003321DF">
              <w:t xml:space="preserve">3,907 </w:t>
            </w:r>
          </w:p>
        </w:tc>
      </w:tr>
      <w:tr w:rsidR="003321DF" w:rsidRPr="003321DF" w:rsidTr="003321DF">
        <w:trPr>
          <w:trHeight w:val="93"/>
        </w:trPr>
        <w:tc>
          <w:tcPr>
            <w:tcW w:w="2367" w:type="dxa"/>
          </w:tcPr>
          <w:p w:rsidR="003321DF" w:rsidRPr="003321DF" w:rsidRDefault="003321DF" w:rsidP="00046A84">
            <w:pPr>
              <w:pStyle w:val="Default"/>
            </w:pPr>
            <w:r w:rsidRPr="003321DF">
              <w:t xml:space="preserve">Unknown </w:t>
            </w:r>
          </w:p>
        </w:tc>
        <w:tc>
          <w:tcPr>
            <w:tcW w:w="2367" w:type="dxa"/>
          </w:tcPr>
          <w:p w:rsidR="003321DF" w:rsidRPr="003321DF" w:rsidRDefault="003321DF" w:rsidP="00046A84">
            <w:pPr>
              <w:pStyle w:val="Default"/>
            </w:pPr>
            <w:r w:rsidRPr="003321DF">
              <w:t>65</w:t>
            </w:r>
          </w:p>
        </w:tc>
      </w:tr>
    </w:tbl>
    <w:p w:rsidR="003321DF" w:rsidRPr="003321DF" w:rsidRDefault="003321DF" w:rsidP="003321DF">
      <w:pPr>
        <w:rPr>
          <w:rFonts w:ascii="Arial" w:hAnsi="Arial" w:cs="Arial"/>
          <w:sz w:val="24"/>
          <w:szCs w:val="24"/>
        </w:rPr>
      </w:pPr>
      <w:r w:rsidRPr="003321DF">
        <w:rPr>
          <w:rFonts w:ascii="Arial" w:hAnsi="Arial" w:cs="Arial"/>
          <w:sz w:val="24"/>
          <w:szCs w:val="24"/>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723"/>
      </w:tblGrid>
      <w:tr w:rsidR="00F345DF" w:rsidRPr="003321DF" w:rsidTr="00046A84">
        <w:trPr>
          <w:trHeight w:val="93"/>
        </w:trPr>
        <w:tc>
          <w:tcPr>
            <w:tcW w:w="1723" w:type="dxa"/>
          </w:tcPr>
          <w:p w:rsidR="00F345DF" w:rsidRPr="003321DF" w:rsidRDefault="00F345DF" w:rsidP="00046A84">
            <w:pPr>
              <w:pStyle w:val="Default"/>
            </w:pPr>
            <w:r w:rsidRPr="003321DF">
              <w:rPr>
                <w:b/>
                <w:bCs/>
              </w:rPr>
              <w:t xml:space="preserve">Heating Type </w:t>
            </w:r>
          </w:p>
        </w:tc>
        <w:tc>
          <w:tcPr>
            <w:tcW w:w="1723" w:type="dxa"/>
          </w:tcPr>
          <w:p w:rsidR="00F345DF" w:rsidRPr="003321DF" w:rsidRDefault="00F345DF" w:rsidP="00046A84">
            <w:pPr>
              <w:pStyle w:val="Default"/>
            </w:pPr>
            <w:r w:rsidRPr="003321DF">
              <w:rPr>
                <w:b/>
                <w:bCs/>
              </w:rPr>
              <w:t xml:space="preserve">Number </w:t>
            </w:r>
          </w:p>
        </w:tc>
      </w:tr>
      <w:tr w:rsidR="00F345DF" w:rsidRPr="003321DF" w:rsidTr="00046A84">
        <w:trPr>
          <w:trHeight w:val="93"/>
        </w:trPr>
        <w:tc>
          <w:tcPr>
            <w:tcW w:w="1723" w:type="dxa"/>
          </w:tcPr>
          <w:p w:rsidR="00F345DF" w:rsidRPr="003321DF" w:rsidRDefault="00F345DF" w:rsidP="00046A84">
            <w:pPr>
              <w:pStyle w:val="Default"/>
            </w:pPr>
            <w:r w:rsidRPr="003321DF">
              <w:t xml:space="preserve">Gas C/H </w:t>
            </w:r>
          </w:p>
        </w:tc>
        <w:tc>
          <w:tcPr>
            <w:tcW w:w="1723" w:type="dxa"/>
          </w:tcPr>
          <w:p w:rsidR="00F345DF" w:rsidRPr="003321DF" w:rsidRDefault="00F345DF" w:rsidP="00046A84">
            <w:pPr>
              <w:pStyle w:val="Default"/>
            </w:pPr>
            <w:r w:rsidRPr="003321DF">
              <w:t>21,031</w:t>
            </w:r>
          </w:p>
        </w:tc>
      </w:tr>
      <w:tr w:rsidR="00F345DF" w:rsidRPr="003321DF" w:rsidTr="00046A84">
        <w:trPr>
          <w:trHeight w:val="93"/>
        </w:trPr>
        <w:tc>
          <w:tcPr>
            <w:tcW w:w="1723" w:type="dxa"/>
          </w:tcPr>
          <w:p w:rsidR="00F345DF" w:rsidRPr="003321DF" w:rsidRDefault="00F345DF" w:rsidP="00046A84">
            <w:pPr>
              <w:pStyle w:val="Default"/>
            </w:pPr>
            <w:r w:rsidRPr="003321DF">
              <w:t xml:space="preserve">Communal </w:t>
            </w:r>
          </w:p>
        </w:tc>
        <w:tc>
          <w:tcPr>
            <w:tcW w:w="1723" w:type="dxa"/>
          </w:tcPr>
          <w:p w:rsidR="00F345DF" w:rsidRPr="003321DF" w:rsidRDefault="00F345DF" w:rsidP="00046A84">
            <w:pPr>
              <w:pStyle w:val="Default"/>
            </w:pPr>
            <w:r w:rsidRPr="003321DF">
              <w:t>2,863</w:t>
            </w:r>
          </w:p>
        </w:tc>
      </w:tr>
      <w:tr w:rsidR="00F345DF" w:rsidRPr="003321DF" w:rsidTr="00046A84">
        <w:trPr>
          <w:trHeight w:val="93"/>
        </w:trPr>
        <w:tc>
          <w:tcPr>
            <w:tcW w:w="1723" w:type="dxa"/>
          </w:tcPr>
          <w:p w:rsidR="00F345DF" w:rsidRPr="003321DF" w:rsidRDefault="00F345DF" w:rsidP="00046A84">
            <w:pPr>
              <w:pStyle w:val="Default"/>
            </w:pPr>
            <w:r w:rsidRPr="003321DF">
              <w:t xml:space="preserve">Electric </w:t>
            </w:r>
            <w:proofErr w:type="spellStart"/>
            <w:r w:rsidRPr="003321DF">
              <w:t>Heatpump</w:t>
            </w:r>
            <w:proofErr w:type="spellEnd"/>
            <w:r w:rsidRPr="003321DF">
              <w:t xml:space="preserve"> </w:t>
            </w:r>
          </w:p>
        </w:tc>
        <w:tc>
          <w:tcPr>
            <w:tcW w:w="1723" w:type="dxa"/>
          </w:tcPr>
          <w:p w:rsidR="00F345DF" w:rsidRPr="003321DF" w:rsidRDefault="00F345DF" w:rsidP="00046A84">
            <w:pPr>
              <w:pStyle w:val="Default"/>
            </w:pPr>
            <w:r w:rsidRPr="003321DF">
              <w:t>463</w:t>
            </w:r>
          </w:p>
        </w:tc>
      </w:tr>
      <w:tr w:rsidR="00F345DF" w:rsidRPr="003321DF" w:rsidTr="00046A84">
        <w:trPr>
          <w:trHeight w:val="93"/>
        </w:trPr>
        <w:tc>
          <w:tcPr>
            <w:tcW w:w="1723" w:type="dxa"/>
          </w:tcPr>
          <w:p w:rsidR="00F345DF" w:rsidRPr="003321DF" w:rsidRDefault="00F345DF" w:rsidP="00046A84">
            <w:pPr>
              <w:pStyle w:val="Default"/>
            </w:pPr>
            <w:r w:rsidRPr="003321DF">
              <w:t xml:space="preserve">Electric NSH </w:t>
            </w:r>
          </w:p>
        </w:tc>
        <w:tc>
          <w:tcPr>
            <w:tcW w:w="1723" w:type="dxa"/>
          </w:tcPr>
          <w:p w:rsidR="00F345DF" w:rsidRPr="003321DF" w:rsidRDefault="00F345DF" w:rsidP="00046A84">
            <w:pPr>
              <w:pStyle w:val="Default"/>
            </w:pPr>
            <w:r w:rsidRPr="003321DF">
              <w:t xml:space="preserve">2,485 </w:t>
            </w:r>
          </w:p>
        </w:tc>
      </w:tr>
      <w:tr w:rsidR="00F345DF" w:rsidRPr="003321DF" w:rsidTr="00046A84">
        <w:trPr>
          <w:trHeight w:val="93"/>
        </w:trPr>
        <w:tc>
          <w:tcPr>
            <w:tcW w:w="1723" w:type="dxa"/>
          </w:tcPr>
          <w:p w:rsidR="00F345DF" w:rsidRPr="003321DF" w:rsidRDefault="00F345DF" w:rsidP="00046A84">
            <w:pPr>
              <w:pStyle w:val="Default"/>
            </w:pPr>
            <w:r w:rsidRPr="003321DF">
              <w:t xml:space="preserve">Electric - other </w:t>
            </w:r>
          </w:p>
        </w:tc>
        <w:tc>
          <w:tcPr>
            <w:tcW w:w="1723" w:type="dxa"/>
          </w:tcPr>
          <w:p w:rsidR="00F345DF" w:rsidRPr="003321DF" w:rsidRDefault="00F345DF" w:rsidP="00046A84">
            <w:pPr>
              <w:pStyle w:val="Default"/>
            </w:pPr>
            <w:r w:rsidRPr="003321DF">
              <w:t>69</w:t>
            </w:r>
          </w:p>
        </w:tc>
      </w:tr>
      <w:tr w:rsidR="00F345DF" w:rsidRPr="003321DF" w:rsidTr="00046A84">
        <w:trPr>
          <w:trHeight w:val="93"/>
        </w:trPr>
        <w:tc>
          <w:tcPr>
            <w:tcW w:w="1723" w:type="dxa"/>
          </w:tcPr>
          <w:p w:rsidR="00F345DF" w:rsidRPr="003321DF" w:rsidRDefault="00F345DF" w:rsidP="00046A84">
            <w:pPr>
              <w:pStyle w:val="Default"/>
            </w:pPr>
            <w:r w:rsidRPr="003321DF">
              <w:t xml:space="preserve">Solid Fuel </w:t>
            </w:r>
          </w:p>
        </w:tc>
        <w:tc>
          <w:tcPr>
            <w:tcW w:w="1723" w:type="dxa"/>
          </w:tcPr>
          <w:p w:rsidR="00F345DF" w:rsidRPr="003321DF" w:rsidRDefault="00F345DF" w:rsidP="00046A84">
            <w:pPr>
              <w:pStyle w:val="Default"/>
            </w:pPr>
            <w:r w:rsidRPr="003321DF">
              <w:t>14</w:t>
            </w:r>
          </w:p>
        </w:tc>
      </w:tr>
      <w:tr w:rsidR="00F345DF" w:rsidRPr="003321DF" w:rsidTr="00046A84">
        <w:trPr>
          <w:trHeight w:val="93"/>
        </w:trPr>
        <w:tc>
          <w:tcPr>
            <w:tcW w:w="1723" w:type="dxa"/>
          </w:tcPr>
          <w:p w:rsidR="00F345DF" w:rsidRPr="003321DF" w:rsidRDefault="00F345DF" w:rsidP="00046A84">
            <w:pPr>
              <w:pStyle w:val="Default"/>
            </w:pPr>
            <w:r w:rsidRPr="003321DF">
              <w:t xml:space="preserve">Gas Fire only </w:t>
            </w:r>
          </w:p>
        </w:tc>
        <w:tc>
          <w:tcPr>
            <w:tcW w:w="1723" w:type="dxa"/>
          </w:tcPr>
          <w:p w:rsidR="00F345DF" w:rsidRPr="003321DF" w:rsidRDefault="00F345DF" w:rsidP="00046A84">
            <w:pPr>
              <w:pStyle w:val="Default"/>
            </w:pPr>
            <w:r w:rsidRPr="003321DF">
              <w:t xml:space="preserve">51 </w:t>
            </w:r>
          </w:p>
        </w:tc>
      </w:tr>
      <w:tr w:rsidR="00F345DF" w:rsidRPr="003321DF" w:rsidTr="00046A84">
        <w:trPr>
          <w:trHeight w:val="93"/>
        </w:trPr>
        <w:tc>
          <w:tcPr>
            <w:tcW w:w="1723" w:type="dxa"/>
          </w:tcPr>
          <w:p w:rsidR="00F345DF" w:rsidRPr="003321DF" w:rsidRDefault="00F345DF" w:rsidP="00046A84">
            <w:pPr>
              <w:pStyle w:val="Default"/>
            </w:pPr>
            <w:r w:rsidRPr="003321DF">
              <w:t>Unknown</w:t>
            </w:r>
          </w:p>
        </w:tc>
        <w:tc>
          <w:tcPr>
            <w:tcW w:w="1723" w:type="dxa"/>
          </w:tcPr>
          <w:p w:rsidR="00F345DF" w:rsidRPr="003321DF" w:rsidRDefault="00F345DF" w:rsidP="00046A84">
            <w:pPr>
              <w:pStyle w:val="Default"/>
            </w:pPr>
            <w:r w:rsidRPr="003321DF">
              <w:t>39</w:t>
            </w:r>
          </w:p>
        </w:tc>
      </w:tr>
    </w:tbl>
    <w:p w:rsidR="003321DF" w:rsidRPr="003321DF" w:rsidRDefault="003321DF" w:rsidP="003321DF">
      <w:pPr>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75"/>
        <w:gridCol w:w="1975"/>
      </w:tblGrid>
      <w:tr w:rsidR="003321DF" w:rsidRPr="003321DF" w:rsidTr="003321DF">
        <w:trPr>
          <w:trHeight w:val="93"/>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b/>
                <w:bCs/>
                <w:color w:val="000000"/>
                <w:sz w:val="24"/>
                <w:szCs w:val="24"/>
              </w:rPr>
              <w:t xml:space="preserve">Dwelling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b/>
                <w:bCs/>
                <w:color w:val="000000"/>
                <w:sz w:val="24"/>
                <w:szCs w:val="24"/>
              </w:rPr>
              <w:t xml:space="preserve">Loft insulation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b/>
                <w:bCs/>
                <w:color w:val="000000"/>
                <w:sz w:val="24"/>
                <w:szCs w:val="24"/>
              </w:rPr>
              <w:t xml:space="preserve">Number </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House / Bungalow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None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82</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House / Bungalow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Less 200mm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1,376</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House / Bungalow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200mm or more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10,936 </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House / Bungalow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Unknown or unexposed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50</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Flat / Maisonette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None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108</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Flat / Maisonette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Less 200mm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1,070 </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Flat / Maisonette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200mm or more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3,410</w:t>
            </w:r>
          </w:p>
        </w:tc>
      </w:tr>
      <w:tr w:rsidR="003321DF" w:rsidRPr="003321DF" w:rsidTr="003321DF">
        <w:trPr>
          <w:trHeight w:val="99"/>
        </w:trPr>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Flat / Maisonette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 xml:space="preserve">Unknown or unexposed </w:t>
            </w:r>
          </w:p>
        </w:tc>
        <w:tc>
          <w:tcPr>
            <w:tcW w:w="1975" w:type="dxa"/>
          </w:tcPr>
          <w:p w:rsidR="003321DF" w:rsidRPr="003321DF" w:rsidRDefault="003321DF" w:rsidP="00046A84">
            <w:pPr>
              <w:autoSpaceDE w:val="0"/>
              <w:autoSpaceDN w:val="0"/>
              <w:adjustRightInd w:val="0"/>
              <w:spacing w:after="0" w:line="240" w:lineRule="auto"/>
              <w:rPr>
                <w:rFonts w:ascii="Arial" w:hAnsi="Arial" w:cs="Arial"/>
                <w:color w:val="000000"/>
                <w:sz w:val="24"/>
                <w:szCs w:val="24"/>
              </w:rPr>
            </w:pPr>
            <w:r w:rsidRPr="003321DF">
              <w:rPr>
                <w:rFonts w:ascii="Arial" w:hAnsi="Arial" w:cs="Arial"/>
                <w:color w:val="000000"/>
                <w:sz w:val="24"/>
                <w:szCs w:val="24"/>
              </w:rPr>
              <w:t>9,983</w:t>
            </w:r>
          </w:p>
        </w:tc>
      </w:tr>
    </w:tbl>
    <w:p w:rsidR="003321DF" w:rsidRPr="003321DF" w:rsidRDefault="003321DF" w:rsidP="003321DF">
      <w:pPr>
        <w:rPr>
          <w:rFonts w:ascii="Arial" w:hAnsi="Arial" w:cs="Arial"/>
          <w:sz w:val="24"/>
          <w:szCs w:val="24"/>
        </w:rPr>
      </w:pPr>
      <w:r w:rsidRPr="003321DF">
        <w:rPr>
          <w:rFonts w:ascii="Arial" w:hAnsi="Arial" w:cs="Arial"/>
          <w:sz w:val="24"/>
          <w:szCs w:val="24"/>
        </w:rPr>
        <w:br w:type="textWrapping" w:clear="all"/>
      </w:r>
    </w:p>
    <w:p w:rsidR="003321DF" w:rsidRPr="003321DF" w:rsidRDefault="003321DF" w:rsidP="003321DF">
      <w:pPr>
        <w:rPr>
          <w:rFonts w:ascii="Arial" w:hAnsi="Arial" w:cs="Arial"/>
          <w:sz w:val="24"/>
          <w:szCs w:val="24"/>
        </w:rPr>
      </w:pPr>
    </w:p>
    <w:p w:rsidR="003321DF" w:rsidRDefault="003321DF">
      <w:pPr>
        <w:rPr>
          <w:rFonts w:ascii="Arial" w:hAnsi="Arial" w:cs="Arial"/>
          <w:sz w:val="24"/>
          <w:szCs w:val="24"/>
        </w:rPr>
      </w:pPr>
    </w:p>
    <w:p w:rsidR="00F345DF" w:rsidRDefault="00F345DF">
      <w:pPr>
        <w:rPr>
          <w:rFonts w:ascii="Arial" w:hAnsi="Arial" w:cs="Arial"/>
          <w:sz w:val="24"/>
          <w:szCs w:val="24"/>
        </w:rPr>
      </w:pPr>
    </w:p>
    <w:p w:rsidR="00F345DF" w:rsidRDefault="00F345DF">
      <w:pPr>
        <w:rPr>
          <w:rFonts w:ascii="Arial" w:hAnsi="Arial" w:cs="Arial"/>
          <w:sz w:val="24"/>
          <w:szCs w:val="24"/>
        </w:rPr>
      </w:pPr>
    </w:p>
    <w:p w:rsidR="00F345DF" w:rsidRDefault="00F345DF">
      <w:pPr>
        <w:rPr>
          <w:rFonts w:ascii="Arial" w:hAnsi="Arial" w:cs="Arial"/>
          <w:sz w:val="24"/>
          <w:szCs w:val="24"/>
        </w:rPr>
      </w:pPr>
    </w:p>
    <w:p w:rsidR="00F345DF" w:rsidRDefault="00F345DF">
      <w:pPr>
        <w:rPr>
          <w:rFonts w:ascii="Arial" w:hAnsi="Arial" w:cs="Arial"/>
          <w:sz w:val="24"/>
          <w:szCs w:val="24"/>
        </w:rPr>
      </w:pPr>
    </w:p>
    <w:p w:rsidR="00F345DF" w:rsidRDefault="00F345DF">
      <w:pPr>
        <w:rPr>
          <w:rFonts w:ascii="Arial" w:hAnsi="Arial" w:cs="Arial"/>
          <w:sz w:val="24"/>
          <w:szCs w:val="24"/>
        </w:rPr>
      </w:pPr>
    </w:p>
    <w:p w:rsidR="00A14DD1" w:rsidRDefault="00A14DD1" w:rsidP="00F345DF">
      <w:pPr>
        <w:rPr>
          <w:rFonts w:ascii="Arial" w:hAnsi="Arial" w:cs="Arial"/>
          <w:b/>
          <w:bCs/>
          <w:sz w:val="28"/>
          <w:szCs w:val="28"/>
        </w:rPr>
      </w:pPr>
    </w:p>
    <w:p w:rsidR="00F345DF" w:rsidRPr="00F345DF" w:rsidRDefault="00F345DF" w:rsidP="00F345DF">
      <w:pPr>
        <w:rPr>
          <w:rFonts w:ascii="Arial" w:hAnsi="Arial" w:cs="Arial"/>
          <w:b/>
          <w:bCs/>
          <w:sz w:val="28"/>
          <w:szCs w:val="28"/>
        </w:rPr>
      </w:pPr>
      <w:r w:rsidRPr="00F345DF">
        <w:rPr>
          <w:rFonts w:ascii="Arial" w:hAnsi="Arial" w:cs="Arial"/>
          <w:b/>
          <w:bCs/>
          <w:sz w:val="28"/>
          <w:szCs w:val="28"/>
        </w:rPr>
        <w:t>Appendix two – Profile of BCC’s 30,915 tenants</w:t>
      </w:r>
    </w:p>
    <w:tbl>
      <w:tblPr>
        <w:tblW w:w="285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433"/>
        <w:gridCol w:w="1417"/>
      </w:tblGrid>
      <w:tr w:rsidR="00F345DF" w:rsidRPr="00F345DF" w:rsidTr="00F345DF">
        <w:trPr>
          <w:trHeight w:val="300"/>
        </w:trPr>
        <w:tc>
          <w:tcPr>
            <w:tcW w:w="1433" w:type="dxa"/>
            <w:shd w:val="clear" w:color="auto" w:fill="FFFFFF" w:themeFill="background1"/>
            <w:hideMark/>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Gender</w:t>
            </w:r>
          </w:p>
        </w:tc>
        <w:tc>
          <w:tcPr>
            <w:tcW w:w="1417" w:type="dxa"/>
            <w:shd w:val="clear" w:color="auto" w:fill="FFFFFF" w:themeFill="background1"/>
            <w:hideMark/>
          </w:tcPr>
          <w:p w:rsidR="00F345DF" w:rsidRPr="00F345DF" w:rsidRDefault="00F345DF" w:rsidP="00046A84">
            <w:pPr>
              <w:spacing w:after="0" w:line="240" w:lineRule="auto"/>
              <w:jc w:val="center"/>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w:t>
            </w:r>
          </w:p>
        </w:tc>
      </w:tr>
      <w:tr w:rsidR="00F345DF" w:rsidRPr="00F345DF" w:rsidTr="00F345DF">
        <w:trPr>
          <w:trHeight w:val="300"/>
        </w:trPr>
        <w:tc>
          <w:tcPr>
            <w:tcW w:w="1433"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Man</w:t>
            </w:r>
          </w:p>
        </w:tc>
        <w:tc>
          <w:tcPr>
            <w:tcW w:w="1417"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37.50%</w:t>
            </w:r>
          </w:p>
        </w:tc>
      </w:tr>
      <w:tr w:rsidR="00F345DF" w:rsidRPr="00F345DF" w:rsidTr="00F345DF">
        <w:trPr>
          <w:trHeight w:val="300"/>
        </w:trPr>
        <w:tc>
          <w:tcPr>
            <w:tcW w:w="1433"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Woman</w:t>
            </w:r>
          </w:p>
        </w:tc>
        <w:tc>
          <w:tcPr>
            <w:tcW w:w="1417"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62.50%</w:t>
            </w:r>
          </w:p>
        </w:tc>
      </w:tr>
      <w:tr w:rsidR="00F345DF" w:rsidRPr="00F345DF" w:rsidTr="00F345DF">
        <w:trPr>
          <w:trHeight w:val="300"/>
        </w:trPr>
        <w:tc>
          <w:tcPr>
            <w:tcW w:w="1433"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p>
        </w:tc>
        <w:tc>
          <w:tcPr>
            <w:tcW w:w="1417"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p>
        </w:tc>
      </w:tr>
      <w:tr w:rsidR="00F345DF" w:rsidRPr="00F345DF" w:rsidTr="00F345DF">
        <w:trPr>
          <w:trHeight w:val="315"/>
        </w:trPr>
        <w:tc>
          <w:tcPr>
            <w:tcW w:w="1433" w:type="dxa"/>
            <w:shd w:val="clear" w:color="auto" w:fill="FFFFFF" w:themeFill="background1"/>
            <w:vAlign w:val="center"/>
            <w:hideMark/>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Total</w:t>
            </w:r>
          </w:p>
        </w:tc>
        <w:tc>
          <w:tcPr>
            <w:tcW w:w="1417" w:type="dxa"/>
            <w:shd w:val="clear" w:color="auto" w:fill="FFFFFF" w:themeFill="background1"/>
            <w:vAlign w:val="center"/>
            <w:hideMark/>
          </w:tcPr>
          <w:p w:rsidR="00F345DF" w:rsidRPr="00F345DF" w:rsidRDefault="00F345DF" w:rsidP="00046A84">
            <w:pPr>
              <w:spacing w:after="0" w:line="240" w:lineRule="auto"/>
              <w:jc w:val="right"/>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100.00%</w:t>
            </w:r>
          </w:p>
        </w:tc>
      </w:tr>
    </w:tbl>
    <w:p w:rsidR="00F345DF" w:rsidRDefault="00F345DF" w:rsidP="00F345DF">
      <w:pPr>
        <w:rPr>
          <w:sz w:val="2"/>
          <w:szCs w:val="2"/>
        </w:rPr>
      </w:pPr>
    </w:p>
    <w:p w:rsidR="00F345DF" w:rsidRPr="007D7B84" w:rsidRDefault="00F345DF" w:rsidP="00F345DF">
      <w:pPr>
        <w:rPr>
          <w:sz w:val="2"/>
          <w:szCs w:val="2"/>
        </w:rPr>
      </w:pPr>
    </w:p>
    <w:tbl>
      <w:tblPr>
        <w:tblW w:w="285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809"/>
        <w:gridCol w:w="1041"/>
      </w:tblGrid>
      <w:tr w:rsidR="00F345DF" w:rsidRPr="00F345DF" w:rsidTr="00F345DF">
        <w:trPr>
          <w:trHeight w:val="300"/>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Age Band</w:t>
            </w:r>
          </w:p>
        </w:tc>
        <w:tc>
          <w:tcPr>
            <w:tcW w:w="1041" w:type="dxa"/>
            <w:shd w:val="clear" w:color="auto" w:fill="FFFFFF" w:themeFill="background1"/>
            <w:hideMark/>
          </w:tcPr>
          <w:p w:rsidR="00F345DF" w:rsidRPr="00F345DF" w:rsidRDefault="00F345DF" w:rsidP="00046A84">
            <w:pPr>
              <w:spacing w:after="0" w:line="240" w:lineRule="auto"/>
              <w:jc w:val="center"/>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w:t>
            </w:r>
          </w:p>
        </w:tc>
      </w:tr>
      <w:tr w:rsidR="00F345DF" w:rsidRPr="00F345DF" w:rsidTr="00F345DF">
        <w:trPr>
          <w:trHeight w:val="300"/>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16-24</w:t>
            </w:r>
          </w:p>
        </w:tc>
        <w:tc>
          <w:tcPr>
            <w:tcW w:w="1041"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2.08%</w:t>
            </w:r>
          </w:p>
        </w:tc>
      </w:tr>
      <w:tr w:rsidR="00F345DF" w:rsidRPr="00F345DF" w:rsidTr="00F345DF">
        <w:trPr>
          <w:trHeight w:val="300"/>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25-34</w:t>
            </w:r>
          </w:p>
        </w:tc>
        <w:tc>
          <w:tcPr>
            <w:tcW w:w="1041"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31.69%</w:t>
            </w:r>
          </w:p>
        </w:tc>
      </w:tr>
      <w:tr w:rsidR="00F345DF" w:rsidRPr="00F345DF" w:rsidTr="00F345DF">
        <w:trPr>
          <w:trHeight w:val="300"/>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45-64</w:t>
            </w:r>
          </w:p>
        </w:tc>
        <w:tc>
          <w:tcPr>
            <w:tcW w:w="1041"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40.37%</w:t>
            </w:r>
          </w:p>
        </w:tc>
      </w:tr>
      <w:tr w:rsidR="00F345DF" w:rsidRPr="00F345DF" w:rsidTr="00F345DF">
        <w:trPr>
          <w:trHeight w:val="300"/>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65-74</w:t>
            </w:r>
          </w:p>
        </w:tc>
        <w:tc>
          <w:tcPr>
            <w:tcW w:w="1041"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13.32%</w:t>
            </w:r>
          </w:p>
        </w:tc>
      </w:tr>
      <w:tr w:rsidR="00F345DF" w:rsidRPr="00F345DF" w:rsidTr="00F345DF">
        <w:trPr>
          <w:trHeight w:val="342"/>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75+</w:t>
            </w:r>
          </w:p>
        </w:tc>
        <w:tc>
          <w:tcPr>
            <w:tcW w:w="1041"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11.09%</w:t>
            </w:r>
          </w:p>
        </w:tc>
      </w:tr>
      <w:tr w:rsidR="00F345DF" w:rsidRPr="00F345DF" w:rsidTr="00F345DF">
        <w:trPr>
          <w:trHeight w:val="338"/>
        </w:trPr>
        <w:tc>
          <w:tcPr>
            <w:tcW w:w="1809"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Not known</w:t>
            </w:r>
          </w:p>
        </w:tc>
        <w:tc>
          <w:tcPr>
            <w:tcW w:w="1041"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1.45%</w:t>
            </w:r>
          </w:p>
        </w:tc>
      </w:tr>
      <w:tr w:rsidR="00F345DF" w:rsidRPr="00F345DF" w:rsidTr="00F345DF">
        <w:trPr>
          <w:trHeight w:val="338"/>
        </w:trPr>
        <w:tc>
          <w:tcPr>
            <w:tcW w:w="1809"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p>
        </w:tc>
        <w:tc>
          <w:tcPr>
            <w:tcW w:w="1041"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p>
        </w:tc>
      </w:tr>
      <w:tr w:rsidR="00F345DF" w:rsidRPr="00F345DF" w:rsidTr="00F345DF">
        <w:trPr>
          <w:trHeight w:val="338"/>
        </w:trPr>
        <w:tc>
          <w:tcPr>
            <w:tcW w:w="1809" w:type="dxa"/>
            <w:shd w:val="clear" w:color="auto" w:fill="FFFFFF" w:themeFill="background1"/>
            <w:vAlign w:val="center"/>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Total</w:t>
            </w:r>
          </w:p>
        </w:tc>
        <w:tc>
          <w:tcPr>
            <w:tcW w:w="1041" w:type="dxa"/>
            <w:shd w:val="clear" w:color="auto" w:fill="FFFFFF" w:themeFill="background1"/>
            <w:vAlign w:val="center"/>
          </w:tcPr>
          <w:p w:rsidR="00F345DF" w:rsidRPr="00F345DF" w:rsidRDefault="00F345DF" w:rsidP="00046A84">
            <w:pPr>
              <w:spacing w:after="0" w:line="240" w:lineRule="auto"/>
              <w:jc w:val="right"/>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100.00%</w:t>
            </w:r>
          </w:p>
        </w:tc>
      </w:tr>
    </w:tbl>
    <w:p w:rsidR="00F345DF" w:rsidRDefault="00F345DF" w:rsidP="00F345DF">
      <w:pPr>
        <w:rPr>
          <w:sz w:val="2"/>
          <w:szCs w:val="2"/>
        </w:rPr>
      </w:pPr>
    </w:p>
    <w:p w:rsidR="00F345DF" w:rsidRPr="007D7B84" w:rsidRDefault="00F345DF" w:rsidP="00F345DF">
      <w:pPr>
        <w:rPr>
          <w:sz w:val="2"/>
          <w:szCs w:val="2"/>
        </w:rPr>
      </w:pPr>
    </w:p>
    <w:tbl>
      <w:tblPr>
        <w:tblpPr w:leftFromText="180" w:rightFromText="180" w:vertAnchor="text" w:tblpY="1"/>
        <w:tblOverlap w:val="never"/>
        <w:tblW w:w="3559"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2425"/>
        <w:gridCol w:w="1134"/>
      </w:tblGrid>
      <w:tr w:rsidR="00F345DF" w:rsidRPr="00F345DF" w:rsidTr="00F345DF">
        <w:trPr>
          <w:trHeight w:val="300"/>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Disability</w:t>
            </w:r>
          </w:p>
        </w:tc>
        <w:tc>
          <w:tcPr>
            <w:tcW w:w="1134" w:type="dxa"/>
            <w:shd w:val="clear" w:color="auto" w:fill="FFFFFF" w:themeFill="background1"/>
            <w:hideMark/>
          </w:tcPr>
          <w:p w:rsidR="00F345DF" w:rsidRPr="00F345DF" w:rsidRDefault="00F345DF" w:rsidP="00046A84">
            <w:pPr>
              <w:spacing w:after="0" w:line="240" w:lineRule="auto"/>
              <w:jc w:val="center"/>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w:t>
            </w:r>
          </w:p>
        </w:tc>
      </w:tr>
      <w:tr w:rsidR="00F345DF" w:rsidRPr="00F345DF" w:rsidTr="00F345DF">
        <w:trPr>
          <w:trHeight w:val="300"/>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Hearing Impairment</w:t>
            </w:r>
          </w:p>
        </w:tc>
        <w:tc>
          <w:tcPr>
            <w:tcW w:w="1134"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2.21%</w:t>
            </w:r>
          </w:p>
        </w:tc>
      </w:tr>
      <w:tr w:rsidR="00F345DF" w:rsidRPr="00F345DF" w:rsidTr="00F345DF">
        <w:trPr>
          <w:trHeight w:val="300"/>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Learning Impairment</w:t>
            </w:r>
          </w:p>
        </w:tc>
        <w:tc>
          <w:tcPr>
            <w:tcW w:w="1134"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2.39%</w:t>
            </w:r>
          </w:p>
        </w:tc>
      </w:tr>
      <w:tr w:rsidR="00F345DF" w:rsidRPr="00F345DF" w:rsidTr="00F345DF">
        <w:trPr>
          <w:trHeight w:val="300"/>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Long Term Illness</w:t>
            </w:r>
          </w:p>
        </w:tc>
        <w:tc>
          <w:tcPr>
            <w:tcW w:w="1134"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12.32%</w:t>
            </w:r>
          </w:p>
        </w:tc>
      </w:tr>
      <w:tr w:rsidR="00F345DF" w:rsidRPr="00F345DF" w:rsidTr="00F345DF">
        <w:trPr>
          <w:trHeight w:val="300"/>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Mental Distress</w:t>
            </w:r>
          </w:p>
        </w:tc>
        <w:tc>
          <w:tcPr>
            <w:tcW w:w="1134"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10.87%</w:t>
            </w:r>
          </w:p>
        </w:tc>
      </w:tr>
      <w:tr w:rsidR="00F345DF" w:rsidRPr="00F345DF" w:rsidTr="00F345DF">
        <w:trPr>
          <w:trHeight w:val="342"/>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Mobility Impairment</w:t>
            </w:r>
          </w:p>
        </w:tc>
        <w:tc>
          <w:tcPr>
            <w:tcW w:w="1134"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11.74%</w:t>
            </w:r>
          </w:p>
        </w:tc>
      </w:tr>
      <w:tr w:rsidR="00F345DF" w:rsidRPr="00F345DF" w:rsidTr="00F345DF">
        <w:trPr>
          <w:trHeight w:val="338"/>
        </w:trPr>
        <w:tc>
          <w:tcPr>
            <w:tcW w:w="2425" w:type="dxa"/>
            <w:shd w:val="clear" w:color="auto" w:fill="FFFFFF" w:themeFill="background1"/>
            <w:hideMark/>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Other</w:t>
            </w:r>
          </w:p>
        </w:tc>
        <w:tc>
          <w:tcPr>
            <w:tcW w:w="1134"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4.97%</w:t>
            </w:r>
          </w:p>
        </w:tc>
      </w:tr>
      <w:tr w:rsidR="00F345DF" w:rsidRPr="00F345DF" w:rsidTr="00F345DF">
        <w:trPr>
          <w:trHeight w:val="338"/>
        </w:trPr>
        <w:tc>
          <w:tcPr>
            <w:tcW w:w="2425"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Visual Impairment</w:t>
            </w:r>
          </w:p>
        </w:tc>
        <w:tc>
          <w:tcPr>
            <w:tcW w:w="1134"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1.61%</w:t>
            </w:r>
          </w:p>
        </w:tc>
      </w:tr>
      <w:tr w:rsidR="00F345DF" w:rsidRPr="00F345DF" w:rsidTr="00F345DF">
        <w:trPr>
          <w:trHeight w:val="338"/>
        </w:trPr>
        <w:tc>
          <w:tcPr>
            <w:tcW w:w="2425"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Wheelchair User</w:t>
            </w:r>
          </w:p>
        </w:tc>
        <w:tc>
          <w:tcPr>
            <w:tcW w:w="1134"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1.61%</w:t>
            </w:r>
          </w:p>
        </w:tc>
      </w:tr>
      <w:tr w:rsidR="00F345DF" w:rsidRPr="00F345DF" w:rsidTr="00F345DF">
        <w:trPr>
          <w:trHeight w:val="338"/>
        </w:trPr>
        <w:tc>
          <w:tcPr>
            <w:tcW w:w="2425"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Speech Impairment</w:t>
            </w:r>
          </w:p>
        </w:tc>
        <w:tc>
          <w:tcPr>
            <w:tcW w:w="1134"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1.04%</w:t>
            </w:r>
          </w:p>
        </w:tc>
      </w:tr>
      <w:tr w:rsidR="00F345DF" w:rsidRPr="00F345DF" w:rsidTr="00F345DF">
        <w:trPr>
          <w:trHeight w:val="338"/>
        </w:trPr>
        <w:tc>
          <w:tcPr>
            <w:tcW w:w="2425"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p>
        </w:tc>
        <w:tc>
          <w:tcPr>
            <w:tcW w:w="1134"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p>
        </w:tc>
      </w:tr>
      <w:tr w:rsidR="00F345DF" w:rsidRPr="00F345DF" w:rsidTr="00F345DF">
        <w:trPr>
          <w:trHeight w:val="338"/>
        </w:trPr>
        <w:tc>
          <w:tcPr>
            <w:tcW w:w="2425" w:type="dxa"/>
            <w:shd w:val="clear" w:color="auto" w:fill="FFFFFF" w:themeFill="background1"/>
            <w:vAlign w:val="center"/>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Total</w:t>
            </w:r>
          </w:p>
        </w:tc>
        <w:tc>
          <w:tcPr>
            <w:tcW w:w="1134" w:type="dxa"/>
            <w:shd w:val="clear" w:color="auto" w:fill="FFFFFF" w:themeFill="background1"/>
            <w:vAlign w:val="center"/>
          </w:tcPr>
          <w:p w:rsidR="00F345DF" w:rsidRPr="00F345DF" w:rsidRDefault="00F345DF" w:rsidP="00046A84">
            <w:pPr>
              <w:spacing w:after="0" w:line="240" w:lineRule="auto"/>
              <w:jc w:val="right"/>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48.76%</w:t>
            </w:r>
          </w:p>
        </w:tc>
      </w:tr>
    </w:tbl>
    <w:p w:rsidR="00F345DF" w:rsidRDefault="00F345DF" w:rsidP="00F345DF"/>
    <w:p w:rsidR="00F345DF" w:rsidRDefault="00F345DF" w:rsidP="00F345DF"/>
    <w:p w:rsidR="00F345DF" w:rsidRDefault="00F345DF" w:rsidP="00F345DF"/>
    <w:p w:rsidR="00F345DF" w:rsidRDefault="00F345DF" w:rsidP="00F345DF"/>
    <w:p w:rsidR="00F345DF" w:rsidRDefault="00F345DF" w:rsidP="00F345DF"/>
    <w:p w:rsidR="00F345DF" w:rsidRDefault="00F345DF" w:rsidP="00F345DF"/>
    <w:p w:rsidR="00F345DF" w:rsidRDefault="00F345DF" w:rsidP="00F345DF"/>
    <w:p w:rsidR="00F345DF" w:rsidRDefault="00F345DF" w:rsidP="00F345DF"/>
    <w:p w:rsidR="00F345DF" w:rsidRDefault="00F345DF" w:rsidP="00F345DF"/>
    <w:tbl>
      <w:tblPr>
        <w:tblW w:w="320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2036"/>
        <w:gridCol w:w="1164"/>
      </w:tblGrid>
      <w:tr w:rsidR="00F345DF" w:rsidRPr="00F345DF" w:rsidTr="00F345DF">
        <w:trPr>
          <w:trHeight w:val="300"/>
        </w:trPr>
        <w:tc>
          <w:tcPr>
            <w:tcW w:w="2280" w:type="dxa"/>
            <w:shd w:val="clear" w:color="auto" w:fill="FFFFFF" w:themeFill="background1"/>
            <w:hideMark/>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Sexual Orientation</w:t>
            </w:r>
          </w:p>
        </w:tc>
        <w:tc>
          <w:tcPr>
            <w:tcW w:w="920" w:type="dxa"/>
            <w:shd w:val="clear" w:color="auto" w:fill="FFFFFF" w:themeFill="background1"/>
            <w:hideMark/>
          </w:tcPr>
          <w:p w:rsidR="00F345DF" w:rsidRPr="00F345DF" w:rsidRDefault="00F345DF" w:rsidP="00046A84">
            <w:pPr>
              <w:spacing w:after="0" w:line="240" w:lineRule="auto"/>
              <w:jc w:val="center"/>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w:t>
            </w:r>
          </w:p>
        </w:tc>
      </w:tr>
      <w:tr w:rsidR="00F345DF" w:rsidRPr="00F345DF" w:rsidTr="00F345DF">
        <w:trPr>
          <w:trHeight w:val="300"/>
        </w:trPr>
        <w:tc>
          <w:tcPr>
            <w:tcW w:w="2280" w:type="dxa"/>
            <w:shd w:val="clear" w:color="auto" w:fill="FFFFFF" w:themeFill="background1"/>
            <w:hideMark/>
          </w:tcPr>
          <w:p w:rsidR="00F345DF" w:rsidRPr="00F345DF" w:rsidRDefault="00F345DF" w:rsidP="00046A84">
            <w:pPr>
              <w:pStyle w:val="Default"/>
              <w:rPr>
                <w:color w:val="000000" w:themeColor="text1"/>
              </w:rPr>
            </w:pPr>
            <w:r w:rsidRPr="00F345DF">
              <w:rPr>
                <w:color w:val="000000" w:themeColor="text1"/>
              </w:rPr>
              <w:t xml:space="preserve">Heterosexual </w:t>
            </w:r>
          </w:p>
        </w:tc>
        <w:tc>
          <w:tcPr>
            <w:tcW w:w="920" w:type="dxa"/>
            <w:shd w:val="clear" w:color="auto" w:fill="FFFFFF" w:themeFill="background1"/>
            <w:hideMark/>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69.98%</w:t>
            </w:r>
          </w:p>
        </w:tc>
      </w:tr>
      <w:tr w:rsidR="00F345DF" w:rsidRPr="00F345DF" w:rsidTr="00F345DF">
        <w:trPr>
          <w:trHeight w:val="300"/>
        </w:trPr>
        <w:tc>
          <w:tcPr>
            <w:tcW w:w="2280"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LGBT </w:t>
            </w:r>
          </w:p>
        </w:tc>
        <w:tc>
          <w:tcPr>
            <w:tcW w:w="920"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1.55%</w:t>
            </w:r>
          </w:p>
        </w:tc>
      </w:tr>
      <w:tr w:rsidR="00F345DF" w:rsidRPr="00F345DF" w:rsidTr="00F345DF">
        <w:trPr>
          <w:trHeight w:val="300"/>
        </w:trPr>
        <w:tc>
          <w:tcPr>
            <w:tcW w:w="2280"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Other </w:t>
            </w:r>
          </w:p>
        </w:tc>
        <w:tc>
          <w:tcPr>
            <w:tcW w:w="920"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0.88%</w:t>
            </w:r>
          </w:p>
        </w:tc>
      </w:tr>
      <w:tr w:rsidR="00F345DF" w:rsidRPr="00F345DF" w:rsidTr="00F345DF">
        <w:trPr>
          <w:trHeight w:val="300"/>
        </w:trPr>
        <w:tc>
          <w:tcPr>
            <w:tcW w:w="2280"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Prefer not to say </w:t>
            </w:r>
          </w:p>
        </w:tc>
        <w:tc>
          <w:tcPr>
            <w:tcW w:w="920"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7.95%</w:t>
            </w:r>
          </w:p>
        </w:tc>
      </w:tr>
      <w:tr w:rsidR="00F345DF" w:rsidRPr="00F345DF" w:rsidTr="00F345DF">
        <w:trPr>
          <w:trHeight w:val="300"/>
        </w:trPr>
        <w:tc>
          <w:tcPr>
            <w:tcW w:w="2280"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Not recorded </w:t>
            </w:r>
          </w:p>
        </w:tc>
        <w:tc>
          <w:tcPr>
            <w:tcW w:w="920"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19.64%</w:t>
            </w:r>
          </w:p>
        </w:tc>
      </w:tr>
      <w:tr w:rsidR="00F345DF" w:rsidRPr="00F345DF" w:rsidTr="00F345DF">
        <w:trPr>
          <w:trHeight w:val="300"/>
        </w:trPr>
        <w:tc>
          <w:tcPr>
            <w:tcW w:w="2280" w:type="dxa"/>
            <w:shd w:val="clear" w:color="auto" w:fill="FFFFFF" w:themeFill="background1"/>
          </w:tcPr>
          <w:p w:rsidR="00F345DF" w:rsidRPr="00F345DF" w:rsidRDefault="00F345DF" w:rsidP="00046A84">
            <w:pPr>
              <w:pStyle w:val="Default"/>
              <w:rPr>
                <w:color w:val="000000" w:themeColor="text1"/>
              </w:rPr>
            </w:pPr>
          </w:p>
        </w:tc>
        <w:tc>
          <w:tcPr>
            <w:tcW w:w="920"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p>
        </w:tc>
      </w:tr>
      <w:tr w:rsidR="00F345DF" w:rsidRPr="00F345DF" w:rsidTr="00F345DF">
        <w:trPr>
          <w:trHeight w:val="300"/>
        </w:trPr>
        <w:tc>
          <w:tcPr>
            <w:tcW w:w="2280" w:type="dxa"/>
            <w:shd w:val="clear" w:color="auto" w:fill="FFFFFF" w:themeFill="background1"/>
            <w:vAlign w:val="center"/>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Total</w:t>
            </w:r>
          </w:p>
        </w:tc>
        <w:tc>
          <w:tcPr>
            <w:tcW w:w="920" w:type="dxa"/>
            <w:shd w:val="clear" w:color="auto" w:fill="FFFFFF" w:themeFill="background1"/>
            <w:vAlign w:val="center"/>
          </w:tcPr>
          <w:p w:rsidR="00F345DF" w:rsidRPr="00F345DF" w:rsidRDefault="00F345DF" w:rsidP="00046A84">
            <w:pPr>
              <w:spacing w:after="0" w:line="240" w:lineRule="auto"/>
              <w:jc w:val="right"/>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100.00%</w:t>
            </w:r>
          </w:p>
        </w:tc>
      </w:tr>
    </w:tbl>
    <w:p w:rsidR="00F345DF" w:rsidRPr="00F345DF" w:rsidRDefault="00F345DF" w:rsidP="00F345DF">
      <w:pPr>
        <w:rPr>
          <w:rFonts w:ascii="Arial" w:hAnsi="Arial" w:cs="Arial"/>
          <w:sz w:val="24"/>
          <w:szCs w:val="24"/>
        </w:rPr>
      </w:pPr>
    </w:p>
    <w:p w:rsidR="00F345DF" w:rsidRPr="00F345DF" w:rsidRDefault="00F345DF" w:rsidP="00F345DF">
      <w:pPr>
        <w:rPr>
          <w:rFonts w:ascii="Arial" w:hAnsi="Arial" w:cs="Arial"/>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00" w:firstRow="0" w:lastRow="0" w:firstColumn="0" w:lastColumn="0" w:noHBand="0" w:noVBand="0"/>
      </w:tblPr>
      <w:tblGrid>
        <w:gridCol w:w="2694"/>
        <w:gridCol w:w="1134"/>
      </w:tblGrid>
      <w:tr w:rsidR="00F345DF" w:rsidRPr="00F345DF" w:rsidTr="00F345DF">
        <w:trPr>
          <w:trHeight w:val="93"/>
        </w:trPr>
        <w:tc>
          <w:tcPr>
            <w:tcW w:w="2694" w:type="dxa"/>
            <w:shd w:val="clear" w:color="auto" w:fill="FFFFFF" w:themeFill="background1"/>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 xml:space="preserve">Ethnicity </w:t>
            </w:r>
          </w:p>
        </w:tc>
        <w:tc>
          <w:tcPr>
            <w:tcW w:w="1134" w:type="dxa"/>
            <w:shd w:val="clear" w:color="auto" w:fill="FFFFFF" w:themeFill="background1"/>
          </w:tcPr>
          <w:p w:rsidR="00F345DF" w:rsidRPr="00F345DF" w:rsidRDefault="00F345DF" w:rsidP="00046A84">
            <w:pPr>
              <w:spacing w:after="0" w:line="240" w:lineRule="auto"/>
              <w:jc w:val="center"/>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w:t>
            </w:r>
          </w:p>
        </w:tc>
      </w:tr>
      <w:tr w:rsidR="00F345DF" w:rsidRPr="00F345DF" w:rsidTr="00F345DF">
        <w:trPr>
          <w:trHeight w:val="213"/>
        </w:trPr>
        <w:tc>
          <w:tcPr>
            <w:tcW w:w="2694"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White British/English/Scottish/Welsh) </w:t>
            </w:r>
          </w:p>
        </w:tc>
        <w:tc>
          <w:tcPr>
            <w:tcW w:w="1134" w:type="dxa"/>
            <w:shd w:val="clear" w:color="auto" w:fill="FFFFFF" w:themeFill="background1"/>
          </w:tcPr>
          <w:p w:rsidR="00F345DF" w:rsidRPr="00F345DF" w:rsidRDefault="00F345DF" w:rsidP="00046A84">
            <w:pPr>
              <w:pStyle w:val="Default"/>
              <w:jc w:val="right"/>
              <w:rPr>
                <w:color w:val="000000" w:themeColor="text1"/>
              </w:rPr>
            </w:pPr>
            <w:r w:rsidRPr="00F345DF">
              <w:rPr>
                <w:color w:val="000000" w:themeColor="text1"/>
              </w:rPr>
              <w:t>70.45%</w:t>
            </w:r>
          </w:p>
        </w:tc>
      </w:tr>
      <w:tr w:rsidR="00F345DF" w:rsidRPr="00F345DF" w:rsidTr="00F345DF">
        <w:trPr>
          <w:trHeight w:val="93"/>
        </w:trPr>
        <w:tc>
          <w:tcPr>
            <w:tcW w:w="2694"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White Other (EU, Irish) </w:t>
            </w:r>
          </w:p>
        </w:tc>
        <w:tc>
          <w:tcPr>
            <w:tcW w:w="1134" w:type="dxa"/>
            <w:shd w:val="clear" w:color="auto" w:fill="FFFFFF" w:themeFill="background1"/>
          </w:tcPr>
          <w:p w:rsidR="00F345DF" w:rsidRPr="00F345DF" w:rsidRDefault="00F345DF" w:rsidP="00046A84">
            <w:pPr>
              <w:pStyle w:val="Default"/>
              <w:jc w:val="right"/>
              <w:rPr>
                <w:color w:val="000000" w:themeColor="text1"/>
              </w:rPr>
            </w:pPr>
            <w:r w:rsidRPr="00F345DF">
              <w:rPr>
                <w:color w:val="000000" w:themeColor="text1"/>
              </w:rPr>
              <w:t>4.09%</w:t>
            </w:r>
          </w:p>
        </w:tc>
      </w:tr>
      <w:tr w:rsidR="00F345DF" w:rsidRPr="00F345DF" w:rsidTr="00F345DF">
        <w:trPr>
          <w:trHeight w:val="93"/>
        </w:trPr>
        <w:tc>
          <w:tcPr>
            <w:tcW w:w="2694"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BME </w:t>
            </w:r>
          </w:p>
        </w:tc>
        <w:tc>
          <w:tcPr>
            <w:tcW w:w="1134" w:type="dxa"/>
            <w:shd w:val="clear" w:color="auto" w:fill="FFFFFF" w:themeFill="background1"/>
          </w:tcPr>
          <w:p w:rsidR="00F345DF" w:rsidRPr="00F345DF" w:rsidRDefault="00F345DF" w:rsidP="00046A84">
            <w:pPr>
              <w:pStyle w:val="Default"/>
              <w:jc w:val="right"/>
              <w:rPr>
                <w:color w:val="000000" w:themeColor="text1"/>
              </w:rPr>
            </w:pPr>
            <w:r w:rsidRPr="00F345DF">
              <w:rPr>
                <w:color w:val="000000" w:themeColor="text1"/>
              </w:rPr>
              <w:t>19.59%</w:t>
            </w:r>
          </w:p>
        </w:tc>
      </w:tr>
      <w:tr w:rsidR="00F345DF" w:rsidRPr="00F345DF" w:rsidTr="00F345DF">
        <w:trPr>
          <w:trHeight w:val="93"/>
        </w:trPr>
        <w:tc>
          <w:tcPr>
            <w:tcW w:w="2694" w:type="dxa"/>
            <w:shd w:val="clear" w:color="auto" w:fill="FFFFFF" w:themeFill="background1"/>
          </w:tcPr>
          <w:p w:rsidR="00F345DF" w:rsidRPr="00F345DF" w:rsidRDefault="00F345DF" w:rsidP="00046A84">
            <w:pPr>
              <w:pStyle w:val="Default"/>
              <w:rPr>
                <w:color w:val="000000" w:themeColor="text1"/>
              </w:rPr>
            </w:pPr>
            <w:r w:rsidRPr="00F345DF">
              <w:rPr>
                <w:color w:val="000000" w:themeColor="text1"/>
              </w:rPr>
              <w:t xml:space="preserve">Not known/question refused </w:t>
            </w:r>
          </w:p>
        </w:tc>
        <w:tc>
          <w:tcPr>
            <w:tcW w:w="1134" w:type="dxa"/>
            <w:shd w:val="clear" w:color="auto" w:fill="FFFFFF" w:themeFill="background1"/>
          </w:tcPr>
          <w:p w:rsidR="00F345DF" w:rsidRPr="00F345DF" w:rsidRDefault="00F345DF" w:rsidP="00046A84">
            <w:pPr>
              <w:pStyle w:val="Default"/>
              <w:jc w:val="right"/>
              <w:rPr>
                <w:color w:val="000000" w:themeColor="text1"/>
              </w:rPr>
            </w:pPr>
            <w:r w:rsidRPr="00F345DF">
              <w:rPr>
                <w:color w:val="000000" w:themeColor="text1"/>
              </w:rPr>
              <w:t>5.87%</w:t>
            </w:r>
          </w:p>
        </w:tc>
      </w:tr>
      <w:tr w:rsidR="00F345DF" w:rsidRPr="00F345DF" w:rsidTr="00F345DF">
        <w:trPr>
          <w:trHeight w:val="93"/>
        </w:trPr>
        <w:tc>
          <w:tcPr>
            <w:tcW w:w="2694" w:type="dxa"/>
            <w:shd w:val="clear" w:color="auto" w:fill="FFFFFF" w:themeFill="background1"/>
            <w:vAlign w:val="center"/>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Total</w:t>
            </w:r>
          </w:p>
        </w:tc>
        <w:tc>
          <w:tcPr>
            <w:tcW w:w="1134" w:type="dxa"/>
            <w:shd w:val="clear" w:color="auto" w:fill="FFFFFF" w:themeFill="background1"/>
            <w:vAlign w:val="center"/>
          </w:tcPr>
          <w:p w:rsidR="00F345DF" w:rsidRPr="00F345DF" w:rsidRDefault="00F345DF" w:rsidP="00046A84">
            <w:pPr>
              <w:spacing w:after="0" w:line="240" w:lineRule="auto"/>
              <w:jc w:val="right"/>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100.00%</w:t>
            </w:r>
          </w:p>
        </w:tc>
      </w:tr>
    </w:tbl>
    <w:p w:rsidR="00F345DF" w:rsidRPr="00F345DF" w:rsidRDefault="00F345DF" w:rsidP="00F345DF">
      <w:pPr>
        <w:rPr>
          <w:rFonts w:ascii="Arial" w:hAnsi="Arial" w:cs="Arial"/>
          <w:sz w:val="24"/>
          <w:szCs w:val="24"/>
        </w:rPr>
      </w:pPr>
    </w:p>
    <w:p w:rsidR="00F345DF" w:rsidRPr="00F345DF" w:rsidRDefault="00F345DF" w:rsidP="00F345DF">
      <w:pPr>
        <w:rPr>
          <w:rFonts w:ascii="Arial" w:hAnsi="Arial" w:cs="Arial"/>
          <w:sz w:val="24"/>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00" w:firstRow="0" w:lastRow="0" w:firstColumn="0" w:lastColumn="0" w:noHBand="0" w:noVBand="0"/>
      </w:tblPr>
      <w:tblGrid>
        <w:gridCol w:w="2268"/>
        <w:gridCol w:w="1686"/>
      </w:tblGrid>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Religion</w:t>
            </w:r>
          </w:p>
        </w:tc>
        <w:tc>
          <w:tcPr>
            <w:tcW w:w="1686" w:type="dxa"/>
            <w:shd w:val="clear" w:color="auto" w:fill="FFFFFF" w:themeFill="background1"/>
          </w:tcPr>
          <w:p w:rsidR="00F345DF" w:rsidRPr="00F345DF" w:rsidRDefault="00F345DF" w:rsidP="00046A84">
            <w:pPr>
              <w:spacing w:after="0" w:line="240" w:lineRule="auto"/>
              <w:jc w:val="center"/>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w:t>
            </w:r>
          </w:p>
        </w:tc>
      </w:tr>
      <w:tr w:rsidR="00F345DF" w:rsidRPr="00F345DF" w:rsidTr="00F345DF">
        <w:trPr>
          <w:trHeight w:val="21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Buddhist</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0.33%</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Christian</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34.02%</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Hindu</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0.26%</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Jewish</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0.05%</w:t>
            </w:r>
          </w:p>
        </w:tc>
      </w:tr>
      <w:tr w:rsidR="00F345DF" w:rsidRPr="00F345DF" w:rsidTr="00F345DF">
        <w:trPr>
          <w:trHeight w:val="265"/>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Muslim</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8.10%</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None</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29.74%</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Not known or stated</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3.83%</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Other</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2.22%</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Prefer not to say</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1.76%</w:t>
            </w:r>
          </w:p>
        </w:tc>
      </w:tr>
      <w:tr w:rsidR="00F345DF" w:rsidRPr="00F345DF" w:rsidTr="00F345DF">
        <w:trPr>
          <w:trHeight w:val="93"/>
        </w:trPr>
        <w:tc>
          <w:tcPr>
            <w:tcW w:w="2268" w:type="dxa"/>
            <w:shd w:val="clear" w:color="auto" w:fill="FFFFFF" w:themeFill="background1"/>
          </w:tcPr>
          <w:p w:rsidR="00F345DF" w:rsidRPr="00F345DF" w:rsidRDefault="00F345DF" w:rsidP="00046A84">
            <w:pPr>
              <w:spacing w:after="0" w:line="240" w:lineRule="auto"/>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Sikh</w:t>
            </w:r>
          </w:p>
        </w:tc>
        <w:tc>
          <w:tcPr>
            <w:tcW w:w="1686" w:type="dxa"/>
            <w:shd w:val="clear" w:color="auto" w:fill="FFFFFF" w:themeFill="background1"/>
          </w:tcPr>
          <w:p w:rsidR="00F345DF" w:rsidRPr="00F345DF" w:rsidRDefault="00F345DF" w:rsidP="00046A84">
            <w:pPr>
              <w:spacing w:after="0" w:line="240" w:lineRule="auto"/>
              <w:jc w:val="right"/>
              <w:rPr>
                <w:rFonts w:ascii="Arial" w:eastAsia="Times New Roman" w:hAnsi="Arial" w:cs="Arial"/>
                <w:color w:val="000000" w:themeColor="text1"/>
                <w:sz w:val="24"/>
                <w:szCs w:val="24"/>
                <w:lang w:eastAsia="en-GB"/>
              </w:rPr>
            </w:pPr>
            <w:r w:rsidRPr="00F345DF">
              <w:rPr>
                <w:rFonts w:ascii="Arial" w:eastAsia="Times New Roman" w:hAnsi="Arial" w:cs="Arial"/>
                <w:color w:val="000000" w:themeColor="text1"/>
                <w:sz w:val="24"/>
                <w:szCs w:val="24"/>
                <w:lang w:eastAsia="en-GB"/>
              </w:rPr>
              <w:t>0.12%</w:t>
            </w:r>
          </w:p>
        </w:tc>
      </w:tr>
      <w:tr w:rsidR="00F345DF" w:rsidRPr="00F345DF" w:rsidTr="00F345DF">
        <w:trPr>
          <w:trHeight w:val="93"/>
        </w:trPr>
        <w:tc>
          <w:tcPr>
            <w:tcW w:w="2268" w:type="dxa"/>
            <w:shd w:val="clear" w:color="auto" w:fill="FFFFFF" w:themeFill="background1"/>
            <w:vAlign w:val="center"/>
          </w:tcPr>
          <w:p w:rsidR="00F345DF" w:rsidRPr="00F345DF" w:rsidRDefault="00F345DF" w:rsidP="00046A84">
            <w:pPr>
              <w:spacing w:after="0" w:line="240" w:lineRule="auto"/>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Total</w:t>
            </w:r>
          </w:p>
        </w:tc>
        <w:tc>
          <w:tcPr>
            <w:tcW w:w="1686" w:type="dxa"/>
            <w:shd w:val="clear" w:color="auto" w:fill="FFFFFF" w:themeFill="background1"/>
            <w:vAlign w:val="center"/>
          </w:tcPr>
          <w:p w:rsidR="00F345DF" w:rsidRPr="00F345DF" w:rsidRDefault="00F345DF" w:rsidP="00046A84">
            <w:pPr>
              <w:spacing w:after="0" w:line="240" w:lineRule="auto"/>
              <w:jc w:val="right"/>
              <w:rPr>
                <w:rFonts w:ascii="Arial" w:eastAsia="Times New Roman" w:hAnsi="Arial" w:cs="Arial"/>
                <w:b/>
                <w:bCs/>
                <w:color w:val="000000" w:themeColor="text1"/>
                <w:sz w:val="24"/>
                <w:szCs w:val="24"/>
                <w:lang w:eastAsia="en-GB"/>
              </w:rPr>
            </w:pPr>
            <w:r w:rsidRPr="00F345DF">
              <w:rPr>
                <w:rFonts w:ascii="Arial" w:eastAsia="Times New Roman" w:hAnsi="Arial" w:cs="Arial"/>
                <w:b/>
                <w:bCs/>
                <w:color w:val="000000" w:themeColor="text1"/>
                <w:sz w:val="24"/>
                <w:szCs w:val="24"/>
                <w:lang w:eastAsia="en-GB"/>
              </w:rPr>
              <w:t>100.00%</w:t>
            </w:r>
          </w:p>
        </w:tc>
      </w:tr>
    </w:tbl>
    <w:p w:rsidR="00F345DF" w:rsidRPr="00F345DF" w:rsidRDefault="00F345DF" w:rsidP="00F345DF">
      <w:pPr>
        <w:rPr>
          <w:rFonts w:ascii="Arial" w:hAnsi="Arial" w:cs="Arial"/>
          <w:sz w:val="24"/>
          <w:szCs w:val="24"/>
        </w:rPr>
      </w:pPr>
    </w:p>
    <w:p w:rsidR="00F345DF" w:rsidRPr="003321DF" w:rsidRDefault="00F345DF">
      <w:pPr>
        <w:rPr>
          <w:rFonts w:ascii="Arial" w:hAnsi="Arial" w:cs="Arial"/>
          <w:sz w:val="24"/>
          <w:szCs w:val="24"/>
        </w:rPr>
      </w:pPr>
    </w:p>
    <w:sectPr w:rsidR="00F345DF" w:rsidRPr="003321DF" w:rsidSect="00F345D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FF" w:rsidRDefault="00F637FF" w:rsidP="00F637FF">
      <w:pPr>
        <w:spacing w:after="0" w:line="240" w:lineRule="auto"/>
      </w:pPr>
      <w:r>
        <w:separator/>
      </w:r>
    </w:p>
  </w:endnote>
  <w:endnote w:type="continuationSeparator" w:id="0">
    <w:p w:rsidR="00F637FF" w:rsidRDefault="00F637FF" w:rsidP="00F6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681"/>
      <w:docPartObj>
        <w:docPartGallery w:val="Page Numbers (Bottom of Page)"/>
        <w:docPartUnique/>
      </w:docPartObj>
    </w:sdtPr>
    <w:sdtEndPr>
      <w:rPr>
        <w:noProof/>
      </w:rPr>
    </w:sdtEndPr>
    <w:sdtContent>
      <w:p w:rsidR="00F637FF" w:rsidRDefault="00F637FF">
        <w:pPr>
          <w:pStyle w:val="Footer"/>
          <w:jc w:val="right"/>
        </w:pPr>
        <w:r>
          <w:fldChar w:fldCharType="begin"/>
        </w:r>
        <w:r>
          <w:instrText xml:space="preserve"> PAGE   \* MERGEFORMAT </w:instrText>
        </w:r>
        <w:r>
          <w:fldChar w:fldCharType="separate"/>
        </w:r>
        <w:r w:rsidR="007B3EAB">
          <w:rPr>
            <w:noProof/>
          </w:rPr>
          <w:t>2</w:t>
        </w:r>
        <w:r>
          <w:rPr>
            <w:noProof/>
          </w:rPr>
          <w:fldChar w:fldCharType="end"/>
        </w:r>
      </w:p>
    </w:sdtContent>
  </w:sdt>
  <w:p w:rsidR="00F637FF" w:rsidRDefault="00F6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FF" w:rsidRDefault="00F637FF" w:rsidP="00F637FF">
      <w:pPr>
        <w:spacing w:after="0" w:line="240" w:lineRule="auto"/>
      </w:pPr>
      <w:r>
        <w:separator/>
      </w:r>
    </w:p>
  </w:footnote>
  <w:footnote w:type="continuationSeparator" w:id="0">
    <w:p w:rsidR="00F637FF" w:rsidRDefault="00F637FF" w:rsidP="00F63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66" w:hanging="360"/>
      </w:pPr>
      <w:rPr>
        <w:rFonts w:ascii="Symbol" w:hAnsi="Symbol" w:cs="Symbol"/>
      </w:rPr>
    </w:lvl>
  </w:abstractNum>
  <w:abstractNum w:abstractNumId="1">
    <w:nsid w:val="00027338"/>
    <w:multiLevelType w:val="hybridMultilevel"/>
    <w:tmpl w:val="3C644EC8"/>
    <w:lvl w:ilvl="0" w:tplc="E60CE3F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F0DF9"/>
    <w:multiLevelType w:val="hybridMultilevel"/>
    <w:tmpl w:val="48042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46A782D"/>
    <w:multiLevelType w:val="hybridMultilevel"/>
    <w:tmpl w:val="AF584436"/>
    <w:lvl w:ilvl="0" w:tplc="28D25740">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5A409F9"/>
    <w:multiLevelType w:val="hybridMultilevel"/>
    <w:tmpl w:val="8BB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C010F2"/>
    <w:multiLevelType w:val="hybridMultilevel"/>
    <w:tmpl w:val="0B589A96"/>
    <w:lvl w:ilvl="0" w:tplc="88025FC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61322"/>
    <w:multiLevelType w:val="hybridMultilevel"/>
    <w:tmpl w:val="84C4E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0F24D55"/>
    <w:multiLevelType w:val="hybridMultilevel"/>
    <w:tmpl w:val="DB9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0365C"/>
    <w:multiLevelType w:val="hybridMultilevel"/>
    <w:tmpl w:val="31448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076F70"/>
    <w:multiLevelType w:val="hybridMultilevel"/>
    <w:tmpl w:val="17EC1CE8"/>
    <w:lvl w:ilvl="0" w:tplc="08090017">
      <w:start w:val="1"/>
      <w:numFmt w:val="lowerLetter"/>
      <w:lvlText w:val="%1)"/>
      <w:lvlJc w:val="left"/>
      <w:pPr>
        <w:tabs>
          <w:tab w:val="num" w:pos="1080"/>
        </w:tabs>
        <w:ind w:left="1080" w:hanging="360"/>
      </w:pPr>
      <w:rPr>
        <w:rFonts w:hint="default"/>
      </w:rPr>
    </w:lvl>
    <w:lvl w:ilvl="1" w:tplc="6F7096D4">
      <w:start w:val="5"/>
      <w:numFmt w:val="bullet"/>
      <w:lvlText w:val="-"/>
      <w:lvlJc w:val="left"/>
      <w:pPr>
        <w:tabs>
          <w:tab w:val="num" w:pos="1800"/>
        </w:tabs>
        <w:ind w:left="1800" w:hanging="360"/>
      </w:pPr>
      <w:rPr>
        <w:rFonts w:ascii="Arial" w:eastAsia="Times New Roman" w:hAnsi="Arial" w:cs="Aria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C2749DD"/>
    <w:multiLevelType w:val="multilevel"/>
    <w:tmpl w:val="4B4C3396"/>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B158D7"/>
    <w:multiLevelType w:val="hybridMultilevel"/>
    <w:tmpl w:val="6908C3F4"/>
    <w:lvl w:ilvl="0" w:tplc="86B8D704">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760C61"/>
    <w:multiLevelType w:val="multilevel"/>
    <w:tmpl w:val="6FBE309E"/>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isLgl/>
      <w:lvlText w:val="%1.%2"/>
      <w:lvlJc w:val="left"/>
      <w:pPr>
        <w:tabs>
          <w:tab w:val="num" w:pos="720"/>
        </w:tabs>
        <w:ind w:left="720" w:hanging="720"/>
      </w:pPr>
      <w:rPr>
        <w:rFonts w:hint="default"/>
        <w:b w:val="0"/>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3C21042"/>
    <w:multiLevelType w:val="hybridMultilevel"/>
    <w:tmpl w:val="D0B41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44A5518"/>
    <w:multiLevelType w:val="hybridMultilevel"/>
    <w:tmpl w:val="A66E5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824AD5"/>
    <w:multiLevelType w:val="hybridMultilevel"/>
    <w:tmpl w:val="F752C23A"/>
    <w:lvl w:ilvl="0" w:tplc="231C499A">
      <w:start w:val="5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C3B79"/>
    <w:multiLevelType w:val="hybridMultilevel"/>
    <w:tmpl w:val="289AE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525F3"/>
    <w:multiLevelType w:val="hybridMultilevel"/>
    <w:tmpl w:val="076C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C7373"/>
    <w:multiLevelType w:val="hybridMultilevel"/>
    <w:tmpl w:val="A540FD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EBC430A"/>
    <w:multiLevelType w:val="hybridMultilevel"/>
    <w:tmpl w:val="39AA8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33FC0"/>
    <w:multiLevelType w:val="hybridMultilevel"/>
    <w:tmpl w:val="F14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281FAD"/>
    <w:multiLevelType w:val="hybridMultilevel"/>
    <w:tmpl w:val="B4EE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9F6C22"/>
    <w:multiLevelType w:val="hybridMultilevel"/>
    <w:tmpl w:val="3C9C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9A1EE1"/>
    <w:multiLevelType w:val="hybridMultilevel"/>
    <w:tmpl w:val="9890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B3465A4"/>
    <w:multiLevelType w:val="hybridMultilevel"/>
    <w:tmpl w:val="58A8B9C4"/>
    <w:lvl w:ilvl="0" w:tplc="6F906B0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B7839B9"/>
    <w:multiLevelType w:val="hybridMultilevel"/>
    <w:tmpl w:val="39167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0CF0163"/>
    <w:multiLevelType w:val="hybridMultilevel"/>
    <w:tmpl w:val="A0EA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70125DF"/>
    <w:multiLevelType w:val="hybridMultilevel"/>
    <w:tmpl w:val="3572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75E3267"/>
    <w:multiLevelType w:val="hybridMultilevel"/>
    <w:tmpl w:val="B49C7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7AA7472"/>
    <w:multiLevelType w:val="hybridMultilevel"/>
    <w:tmpl w:val="1304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F714DE"/>
    <w:multiLevelType w:val="hybridMultilevel"/>
    <w:tmpl w:val="9D1E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8"/>
  </w:num>
  <w:num w:numId="4">
    <w:abstractNumId w:val="7"/>
  </w:num>
  <w:num w:numId="5">
    <w:abstractNumId w:val="1"/>
  </w:num>
  <w:num w:numId="6">
    <w:abstractNumId w:val="14"/>
  </w:num>
  <w:num w:numId="7">
    <w:abstractNumId w:val="3"/>
  </w:num>
  <w:num w:numId="8">
    <w:abstractNumId w:val="11"/>
  </w:num>
  <w:num w:numId="9">
    <w:abstractNumId w:val="10"/>
  </w:num>
  <w:num w:numId="10">
    <w:abstractNumId w:val="12"/>
  </w:num>
  <w:num w:numId="11">
    <w:abstractNumId w:val="9"/>
  </w:num>
  <w:num w:numId="12">
    <w:abstractNumId w:val="29"/>
  </w:num>
  <w:num w:numId="13">
    <w:abstractNumId w:val="18"/>
  </w:num>
  <w:num w:numId="14">
    <w:abstractNumId w:val="16"/>
  </w:num>
  <w:num w:numId="15">
    <w:abstractNumId w:val="19"/>
  </w:num>
  <w:num w:numId="16">
    <w:abstractNumId w:val="27"/>
  </w:num>
  <w:num w:numId="17">
    <w:abstractNumId w:val="23"/>
  </w:num>
  <w:num w:numId="18">
    <w:abstractNumId w:val="8"/>
  </w:num>
  <w:num w:numId="19">
    <w:abstractNumId w:val="17"/>
  </w:num>
  <w:num w:numId="20">
    <w:abstractNumId w:val="22"/>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num>
  <w:num w:numId="25">
    <w:abstractNumId w:val="13"/>
  </w:num>
  <w:num w:numId="26">
    <w:abstractNumId w:val="4"/>
  </w:num>
  <w:num w:numId="27">
    <w:abstractNumId w:val="20"/>
  </w:num>
  <w:num w:numId="28">
    <w:abstractNumId w:val="5"/>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F3"/>
    <w:rsid w:val="000043EB"/>
    <w:rsid w:val="0001407E"/>
    <w:rsid w:val="0001516E"/>
    <w:rsid w:val="00041C10"/>
    <w:rsid w:val="000424D2"/>
    <w:rsid w:val="000632E3"/>
    <w:rsid w:val="00071823"/>
    <w:rsid w:val="000846CA"/>
    <w:rsid w:val="000865D9"/>
    <w:rsid w:val="00086E50"/>
    <w:rsid w:val="000966D0"/>
    <w:rsid w:val="000A0562"/>
    <w:rsid w:val="000A1388"/>
    <w:rsid w:val="000A5C4D"/>
    <w:rsid w:val="000A5E3B"/>
    <w:rsid w:val="000B2BFE"/>
    <w:rsid w:val="000B66B0"/>
    <w:rsid w:val="000D44A2"/>
    <w:rsid w:val="000D7013"/>
    <w:rsid w:val="000E1622"/>
    <w:rsid w:val="000E57AD"/>
    <w:rsid w:val="000F0EB8"/>
    <w:rsid w:val="000F1DC5"/>
    <w:rsid w:val="000F288A"/>
    <w:rsid w:val="000F4CEB"/>
    <w:rsid w:val="00100F2E"/>
    <w:rsid w:val="00113A80"/>
    <w:rsid w:val="001246DE"/>
    <w:rsid w:val="00130821"/>
    <w:rsid w:val="00131675"/>
    <w:rsid w:val="00137262"/>
    <w:rsid w:val="00137F17"/>
    <w:rsid w:val="00143BFC"/>
    <w:rsid w:val="001562D7"/>
    <w:rsid w:val="00157218"/>
    <w:rsid w:val="001641DE"/>
    <w:rsid w:val="001703DC"/>
    <w:rsid w:val="00186563"/>
    <w:rsid w:val="001A0E2C"/>
    <w:rsid w:val="001A475F"/>
    <w:rsid w:val="001B09D7"/>
    <w:rsid w:val="001B0F6A"/>
    <w:rsid w:val="001B3C29"/>
    <w:rsid w:val="001B3CBD"/>
    <w:rsid w:val="001B5379"/>
    <w:rsid w:val="001E312D"/>
    <w:rsid w:val="001E3B67"/>
    <w:rsid w:val="001F2BAD"/>
    <w:rsid w:val="00201132"/>
    <w:rsid w:val="00231AE7"/>
    <w:rsid w:val="0025351E"/>
    <w:rsid w:val="00270FB7"/>
    <w:rsid w:val="00274789"/>
    <w:rsid w:val="002802AC"/>
    <w:rsid w:val="00280F45"/>
    <w:rsid w:val="00283260"/>
    <w:rsid w:val="002903B0"/>
    <w:rsid w:val="002A6456"/>
    <w:rsid w:val="002B2741"/>
    <w:rsid w:val="002C41B2"/>
    <w:rsid w:val="002C4374"/>
    <w:rsid w:val="002C4612"/>
    <w:rsid w:val="002D300F"/>
    <w:rsid w:val="002E08AC"/>
    <w:rsid w:val="002E1C24"/>
    <w:rsid w:val="002E4735"/>
    <w:rsid w:val="002E5733"/>
    <w:rsid w:val="00306C3C"/>
    <w:rsid w:val="003138BD"/>
    <w:rsid w:val="00326206"/>
    <w:rsid w:val="00326D38"/>
    <w:rsid w:val="0033143E"/>
    <w:rsid w:val="003321DF"/>
    <w:rsid w:val="003378A3"/>
    <w:rsid w:val="00353FCF"/>
    <w:rsid w:val="00355F39"/>
    <w:rsid w:val="00357792"/>
    <w:rsid w:val="003620E9"/>
    <w:rsid w:val="00370C81"/>
    <w:rsid w:val="00373A04"/>
    <w:rsid w:val="00373EE0"/>
    <w:rsid w:val="0038630C"/>
    <w:rsid w:val="003B00F6"/>
    <w:rsid w:val="003B5224"/>
    <w:rsid w:val="003B76BD"/>
    <w:rsid w:val="003C442D"/>
    <w:rsid w:val="003D0746"/>
    <w:rsid w:val="003F267D"/>
    <w:rsid w:val="003F4A06"/>
    <w:rsid w:val="0040661B"/>
    <w:rsid w:val="00407A78"/>
    <w:rsid w:val="00436C72"/>
    <w:rsid w:val="004403B5"/>
    <w:rsid w:val="0044264D"/>
    <w:rsid w:val="0044653E"/>
    <w:rsid w:val="00456398"/>
    <w:rsid w:val="004626EB"/>
    <w:rsid w:val="00464E70"/>
    <w:rsid w:val="00485131"/>
    <w:rsid w:val="00495CB2"/>
    <w:rsid w:val="004C3C1D"/>
    <w:rsid w:val="004C6AE1"/>
    <w:rsid w:val="004E26E4"/>
    <w:rsid w:val="004E6246"/>
    <w:rsid w:val="004F0808"/>
    <w:rsid w:val="00501999"/>
    <w:rsid w:val="00514042"/>
    <w:rsid w:val="005239F3"/>
    <w:rsid w:val="00523DDB"/>
    <w:rsid w:val="00524985"/>
    <w:rsid w:val="00531C06"/>
    <w:rsid w:val="0053323F"/>
    <w:rsid w:val="00535B34"/>
    <w:rsid w:val="0055216D"/>
    <w:rsid w:val="005607E5"/>
    <w:rsid w:val="00570C35"/>
    <w:rsid w:val="005726E5"/>
    <w:rsid w:val="00573401"/>
    <w:rsid w:val="00593638"/>
    <w:rsid w:val="005A2289"/>
    <w:rsid w:val="005A2FF3"/>
    <w:rsid w:val="005A56A1"/>
    <w:rsid w:val="005D6784"/>
    <w:rsid w:val="005D7BF0"/>
    <w:rsid w:val="005E4556"/>
    <w:rsid w:val="005E652A"/>
    <w:rsid w:val="005E6EE6"/>
    <w:rsid w:val="0060354E"/>
    <w:rsid w:val="00611BD5"/>
    <w:rsid w:val="00611E04"/>
    <w:rsid w:val="00614A2D"/>
    <w:rsid w:val="00617918"/>
    <w:rsid w:val="00634413"/>
    <w:rsid w:val="00640952"/>
    <w:rsid w:val="00640FC8"/>
    <w:rsid w:val="00645006"/>
    <w:rsid w:val="00646E6F"/>
    <w:rsid w:val="00655513"/>
    <w:rsid w:val="0067512F"/>
    <w:rsid w:val="0067570C"/>
    <w:rsid w:val="006A07AE"/>
    <w:rsid w:val="006A4292"/>
    <w:rsid w:val="006A4E16"/>
    <w:rsid w:val="006C2B44"/>
    <w:rsid w:val="006C5219"/>
    <w:rsid w:val="006D07D3"/>
    <w:rsid w:val="006E22C1"/>
    <w:rsid w:val="00710A36"/>
    <w:rsid w:val="00735270"/>
    <w:rsid w:val="007550CF"/>
    <w:rsid w:val="00755CB5"/>
    <w:rsid w:val="007641D4"/>
    <w:rsid w:val="007A77AF"/>
    <w:rsid w:val="007B1904"/>
    <w:rsid w:val="007B3EAB"/>
    <w:rsid w:val="007B7E7F"/>
    <w:rsid w:val="007C0D44"/>
    <w:rsid w:val="007F3998"/>
    <w:rsid w:val="007F59D9"/>
    <w:rsid w:val="007F782D"/>
    <w:rsid w:val="008014AA"/>
    <w:rsid w:val="00803575"/>
    <w:rsid w:val="00812184"/>
    <w:rsid w:val="00813897"/>
    <w:rsid w:val="00815546"/>
    <w:rsid w:val="00820650"/>
    <w:rsid w:val="00842E93"/>
    <w:rsid w:val="00845C46"/>
    <w:rsid w:val="0085121C"/>
    <w:rsid w:val="008571C3"/>
    <w:rsid w:val="00862986"/>
    <w:rsid w:val="008750B3"/>
    <w:rsid w:val="0089421F"/>
    <w:rsid w:val="008B0097"/>
    <w:rsid w:val="008B4DF8"/>
    <w:rsid w:val="008C5E85"/>
    <w:rsid w:val="008C6D38"/>
    <w:rsid w:val="008F7070"/>
    <w:rsid w:val="009015E8"/>
    <w:rsid w:val="00913E8C"/>
    <w:rsid w:val="00932DD0"/>
    <w:rsid w:val="00933CFB"/>
    <w:rsid w:val="00936AC6"/>
    <w:rsid w:val="00940575"/>
    <w:rsid w:val="00950E6A"/>
    <w:rsid w:val="009529C2"/>
    <w:rsid w:val="009540EF"/>
    <w:rsid w:val="00957956"/>
    <w:rsid w:val="009A44D5"/>
    <w:rsid w:val="009B3EC4"/>
    <w:rsid w:val="009C6C2A"/>
    <w:rsid w:val="009D07E2"/>
    <w:rsid w:val="009D09A6"/>
    <w:rsid w:val="009D12E9"/>
    <w:rsid w:val="009D62D3"/>
    <w:rsid w:val="009D6CEE"/>
    <w:rsid w:val="009E16D2"/>
    <w:rsid w:val="009E37AD"/>
    <w:rsid w:val="009F2664"/>
    <w:rsid w:val="009F72D8"/>
    <w:rsid w:val="00A02056"/>
    <w:rsid w:val="00A0515D"/>
    <w:rsid w:val="00A07876"/>
    <w:rsid w:val="00A1399F"/>
    <w:rsid w:val="00A14DD1"/>
    <w:rsid w:val="00A15744"/>
    <w:rsid w:val="00A224BD"/>
    <w:rsid w:val="00A22FE0"/>
    <w:rsid w:val="00A326E8"/>
    <w:rsid w:val="00A3484D"/>
    <w:rsid w:val="00A43597"/>
    <w:rsid w:val="00A46F9C"/>
    <w:rsid w:val="00A60DD1"/>
    <w:rsid w:val="00A6565A"/>
    <w:rsid w:val="00AA1AE4"/>
    <w:rsid w:val="00AA1F22"/>
    <w:rsid w:val="00AB2CBB"/>
    <w:rsid w:val="00AC17E8"/>
    <w:rsid w:val="00AC24B4"/>
    <w:rsid w:val="00AC3960"/>
    <w:rsid w:val="00AC43F5"/>
    <w:rsid w:val="00AC7772"/>
    <w:rsid w:val="00AD0B64"/>
    <w:rsid w:val="00AD5A84"/>
    <w:rsid w:val="00AF0D55"/>
    <w:rsid w:val="00AF2D46"/>
    <w:rsid w:val="00B05F0F"/>
    <w:rsid w:val="00B210B6"/>
    <w:rsid w:val="00B216D4"/>
    <w:rsid w:val="00B244F7"/>
    <w:rsid w:val="00B308B0"/>
    <w:rsid w:val="00B318D9"/>
    <w:rsid w:val="00B33EBF"/>
    <w:rsid w:val="00B34A26"/>
    <w:rsid w:val="00B45853"/>
    <w:rsid w:val="00B655D4"/>
    <w:rsid w:val="00B662CD"/>
    <w:rsid w:val="00B67412"/>
    <w:rsid w:val="00BC4304"/>
    <w:rsid w:val="00BF386B"/>
    <w:rsid w:val="00BF6DA6"/>
    <w:rsid w:val="00BF6FC5"/>
    <w:rsid w:val="00C01D5C"/>
    <w:rsid w:val="00C068B2"/>
    <w:rsid w:val="00C20BA3"/>
    <w:rsid w:val="00C2421E"/>
    <w:rsid w:val="00C355B9"/>
    <w:rsid w:val="00C62975"/>
    <w:rsid w:val="00C6551F"/>
    <w:rsid w:val="00C749C4"/>
    <w:rsid w:val="00C7761B"/>
    <w:rsid w:val="00C82AC1"/>
    <w:rsid w:val="00C87DBD"/>
    <w:rsid w:val="00C91B74"/>
    <w:rsid w:val="00CA22D8"/>
    <w:rsid w:val="00CC2800"/>
    <w:rsid w:val="00CC4F7C"/>
    <w:rsid w:val="00CD67F7"/>
    <w:rsid w:val="00CF087A"/>
    <w:rsid w:val="00CF6458"/>
    <w:rsid w:val="00CF72CF"/>
    <w:rsid w:val="00D00E22"/>
    <w:rsid w:val="00D03BC4"/>
    <w:rsid w:val="00D20617"/>
    <w:rsid w:val="00D63DB1"/>
    <w:rsid w:val="00D660A0"/>
    <w:rsid w:val="00D7103D"/>
    <w:rsid w:val="00D84156"/>
    <w:rsid w:val="00D9434D"/>
    <w:rsid w:val="00DA78D7"/>
    <w:rsid w:val="00DD2AB9"/>
    <w:rsid w:val="00DD3A89"/>
    <w:rsid w:val="00DF786D"/>
    <w:rsid w:val="00E00E34"/>
    <w:rsid w:val="00E06E65"/>
    <w:rsid w:val="00E20D87"/>
    <w:rsid w:val="00E222BC"/>
    <w:rsid w:val="00E555B6"/>
    <w:rsid w:val="00E601F2"/>
    <w:rsid w:val="00E634B6"/>
    <w:rsid w:val="00E7499F"/>
    <w:rsid w:val="00E8150A"/>
    <w:rsid w:val="00E95214"/>
    <w:rsid w:val="00EA1420"/>
    <w:rsid w:val="00EB5264"/>
    <w:rsid w:val="00ED04D2"/>
    <w:rsid w:val="00ED050C"/>
    <w:rsid w:val="00ED3074"/>
    <w:rsid w:val="00ED7413"/>
    <w:rsid w:val="00EE60D3"/>
    <w:rsid w:val="00EF21F6"/>
    <w:rsid w:val="00F05365"/>
    <w:rsid w:val="00F124A7"/>
    <w:rsid w:val="00F13E8F"/>
    <w:rsid w:val="00F31A0A"/>
    <w:rsid w:val="00F345DF"/>
    <w:rsid w:val="00F37D24"/>
    <w:rsid w:val="00F44300"/>
    <w:rsid w:val="00F54BA8"/>
    <w:rsid w:val="00F637FF"/>
    <w:rsid w:val="00F657DD"/>
    <w:rsid w:val="00F658D6"/>
    <w:rsid w:val="00F7538D"/>
    <w:rsid w:val="00F773D9"/>
    <w:rsid w:val="00F82DA4"/>
    <w:rsid w:val="00F92670"/>
    <w:rsid w:val="00F93930"/>
    <w:rsid w:val="00F961D0"/>
    <w:rsid w:val="00F96D46"/>
    <w:rsid w:val="00FA21A3"/>
    <w:rsid w:val="00FB1D15"/>
    <w:rsid w:val="00FB711A"/>
    <w:rsid w:val="00FD1A0E"/>
    <w:rsid w:val="00FD4AA1"/>
    <w:rsid w:val="00FF14F3"/>
    <w:rsid w:val="00FF5177"/>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F3"/>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BodyText"/>
    <w:link w:val="SubtitleChar"/>
    <w:qFormat/>
    <w:rsid w:val="005A2FF3"/>
    <w:pPr>
      <w:keepNext/>
      <w:suppressAutoHyphens/>
      <w:spacing w:before="240" w:after="120" w:line="240" w:lineRule="auto"/>
      <w:jc w:val="center"/>
    </w:pPr>
    <w:rPr>
      <w:rFonts w:ascii="Arial" w:eastAsia="Andale Sans UI" w:hAnsi="Arial" w:cs="Tahoma"/>
      <w:i/>
      <w:iCs/>
      <w:color w:val="000000"/>
      <w:sz w:val="24"/>
      <w:szCs w:val="28"/>
      <w:lang w:eastAsia="ar-SA"/>
    </w:rPr>
  </w:style>
  <w:style w:type="character" w:customStyle="1" w:styleId="SubtitleChar">
    <w:name w:val="Subtitle Char"/>
    <w:basedOn w:val="DefaultParagraphFont"/>
    <w:link w:val="Subtitle"/>
    <w:rsid w:val="005A2FF3"/>
    <w:rPr>
      <w:rFonts w:ascii="Arial" w:eastAsia="Andale Sans UI" w:hAnsi="Arial" w:cs="Tahoma"/>
      <w:i/>
      <w:iCs/>
      <w:color w:val="000000"/>
      <w:sz w:val="24"/>
      <w:szCs w:val="28"/>
      <w:lang w:eastAsia="ar-SA"/>
    </w:rPr>
  </w:style>
  <w:style w:type="paragraph" w:styleId="Title">
    <w:name w:val="Title"/>
    <w:basedOn w:val="Normal"/>
    <w:next w:val="Subtitle"/>
    <w:link w:val="TitleChar"/>
    <w:qFormat/>
    <w:rsid w:val="005A2FF3"/>
    <w:pPr>
      <w:suppressAutoHyphens/>
      <w:spacing w:after="0" w:line="240" w:lineRule="auto"/>
      <w:jc w:val="center"/>
    </w:pPr>
    <w:rPr>
      <w:rFonts w:ascii="Times New Roman" w:eastAsia="Times New Roman" w:hAnsi="Times New Roman" w:cs="Arial"/>
      <w:b/>
      <w:color w:val="000000"/>
      <w:sz w:val="36"/>
      <w:szCs w:val="20"/>
      <w:lang w:eastAsia="ar-SA"/>
    </w:rPr>
  </w:style>
  <w:style w:type="character" w:customStyle="1" w:styleId="TitleChar">
    <w:name w:val="Title Char"/>
    <w:basedOn w:val="DefaultParagraphFont"/>
    <w:link w:val="Title"/>
    <w:rsid w:val="005A2FF3"/>
    <w:rPr>
      <w:rFonts w:ascii="Times New Roman" w:eastAsia="Times New Roman" w:hAnsi="Times New Roman" w:cs="Arial"/>
      <w:b/>
      <w:color w:val="000000"/>
      <w:sz w:val="36"/>
      <w:szCs w:val="20"/>
      <w:lang w:eastAsia="ar-SA"/>
    </w:rPr>
  </w:style>
  <w:style w:type="paragraph" w:styleId="BodyText">
    <w:name w:val="Body Text"/>
    <w:basedOn w:val="Normal"/>
    <w:link w:val="BodyTextChar"/>
    <w:unhideWhenUsed/>
    <w:rsid w:val="005A2FF3"/>
    <w:pPr>
      <w:suppressAutoHyphens/>
      <w:spacing w:after="0" w:line="240" w:lineRule="auto"/>
      <w:jc w:val="both"/>
    </w:pPr>
    <w:rPr>
      <w:rFonts w:ascii="Times New Roman" w:eastAsia="Times New Roman" w:hAnsi="Times New Roman" w:cs="Arial"/>
      <w:color w:val="000000"/>
      <w:sz w:val="32"/>
      <w:szCs w:val="20"/>
      <w:lang w:eastAsia="ar-SA"/>
    </w:rPr>
  </w:style>
  <w:style w:type="character" w:customStyle="1" w:styleId="BodyTextChar">
    <w:name w:val="Body Text Char"/>
    <w:basedOn w:val="DefaultParagraphFont"/>
    <w:link w:val="BodyText"/>
    <w:rsid w:val="005A2FF3"/>
    <w:rPr>
      <w:rFonts w:ascii="Times New Roman" w:eastAsia="Times New Roman" w:hAnsi="Times New Roman" w:cs="Arial"/>
      <w:color w:val="000000"/>
      <w:sz w:val="32"/>
      <w:szCs w:val="20"/>
      <w:lang w:eastAsia="ar-SA"/>
    </w:rPr>
  </w:style>
  <w:style w:type="character" w:styleId="CommentReference">
    <w:name w:val="annotation reference"/>
    <w:basedOn w:val="DefaultParagraphFont"/>
    <w:uiPriority w:val="99"/>
    <w:semiHidden/>
    <w:unhideWhenUsed/>
    <w:rsid w:val="005A2FF3"/>
    <w:rPr>
      <w:sz w:val="16"/>
      <w:szCs w:val="16"/>
    </w:rPr>
  </w:style>
  <w:style w:type="paragraph" w:styleId="CommentText">
    <w:name w:val="annotation text"/>
    <w:basedOn w:val="Normal"/>
    <w:link w:val="CommentTextChar"/>
    <w:uiPriority w:val="99"/>
    <w:semiHidden/>
    <w:unhideWhenUsed/>
    <w:rsid w:val="005A2FF3"/>
    <w:pPr>
      <w:spacing w:line="240" w:lineRule="auto"/>
    </w:pPr>
    <w:rPr>
      <w:sz w:val="20"/>
      <w:szCs w:val="20"/>
    </w:rPr>
  </w:style>
  <w:style w:type="character" w:customStyle="1" w:styleId="CommentTextChar">
    <w:name w:val="Comment Text Char"/>
    <w:basedOn w:val="DefaultParagraphFont"/>
    <w:link w:val="CommentText"/>
    <w:uiPriority w:val="99"/>
    <w:semiHidden/>
    <w:rsid w:val="005A2FF3"/>
    <w:rPr>
      <w:sz w:val="20"/>
      <w:szCs w:val="20"/>
    </w:rPr>
  </w:style>
  <w:style w:type="character" w:styleId="Strong">
    <w:name w:val="Strong"/>
    <w:basedOn w:val="DefaultParagraphFont"/>
    <w:uiPriority w:val="22"/>
    <w:qFormat/>
    <w:rsid w:val="005A2FF3"/>
    <w:rPr>
      <w:b/>
      <w:bCs/>
    </w:rPr>
  </w:style>
  <w:style w:type="paragraph" w:customStyle="1" w:styleId="Default">
    <w:name w:val="Default"/>
    <w:rsid w:val="005A2F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A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F3"/>
    <w:rPr>
      <w:rFonts w:ascii="Tahoma" w:hAnsi="Tahoma" w:cs="Tahoma"/>
      <w:sz w:val="16"/>
      <w:szCs w:val="16"/>
    </w:rPr>
  </w:style>
  <w:style w:type="character" w:styleId="Hyperlink">
    <w:name w:val="Hyperlink"/>
    <w:basedOn w:val="DefaultParagraphFont"/>
    <w:uiPriority w:val="99"/>
    <w:semiHidden/>
    <w:unhideWhenUsed/>
    <w:rsid w:val="00F7538D"/>
    <w:rPr>
      <w:color w:val="0000FF"/>
      <w:u w:val="single"/>
    </w:rPr>
  </w:style>
  <w:style w:type="paragraph" w:styleId="NoSpacing">
    <w:name w:val="No Spacing"/>
    <w:basedOn w:val="Normal"/>
    <w:uiPriority w:val="1"/>
    <w:qFormat/>
    <w:rsid w:val="00F7538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614A2D"/>
    <w:rPr>
      <w:color w:val="800080" w:themeColor="followedHyperlink"/>
      <w:u w:val="single"/>
    </w:rPr>
  </w:style>
  <w:style w:type="paragraph" w:styleId="Header">
    <w:name w:val="header"/>
    <w:basedOn w:val="Normal"/>
    <w:link w:val="HeaderChar"/>
    <w:uiPriority w:val="99"/>
    <w:unhideWhenUsed/>
    <w:rsid w:val="00F63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7FF"/>
  </w:style>
  <w:style w:type="paragraph" w:styleId="Footer">
    <w:name w:val="footer"/>
    <w:basedOn w:val="Normal"/>
    <w:link w:val="FooterChar"/>
    <w:uiPriority w:val="99"/>
    <w:unhideWhenUsed/>
    <w:rsid w:val="00F63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FF"/>
  </w:style>
  <w:style w:type="paragraph" w:styleId="Revision">
    <w:name w:val="Revision"/>
    <w:hidden/>
    <w:uiPriority w:val="99"/>
    <w:semiHidden/>
    <w:rsid w:val="00A22FE0"/>
    <w:pPr>
      <w:spacing w:after="0" w:line="240" w:lineRule="auto"/>
    </w:pPr>
  </w:style>
  <w:style w:type="paragraph" w:styleId="CommentSubject">
    <w:name w:val="annotation subject"/>
    <w:basedOn w:val="CommentText"/>
    <w:next w:val="CommentText"/>
    <w:link w:val="CommentSubjectChar"/>
    <w:uiPriority w:val="99"/>
    <w:semiHidden/>
    <w:unhideWhenUsed/>
    <w:rsid w:val="00E8150A"/>
    <w:rPr>
      <w:b/>
      <w:bCs/>
    </w:rPr>
  </w:style>
  <w:style w:type="character" w:customStyle="1" w:styleId="CommentSubjectChar">
    <w:name w:val="Comment Subject Char"/>
    <w:basedOn w:val="CommentTextChar"/>
    <w:link w:val="CommentSubject"/>
    <w:uiPriority w:val="99"/>
    <w:semiHidden/>
    <w:rsid w:val="00E8150A"/>
    <w:rPr>
      <w:b/>
      <w:bCs/>
      <w:sz w:val="20"/>
      <w:szCs w:val="20"/>
    </w:rPr>
  </w:style>
  <w:style w:type="paragraph" w:styleId="NormalWeb">
    <w:name w:val="Normal (Web)"/>
    <w:basedOn w:val="Normal"/>
    <w:uiPriority w:val="99"/>
    <w:semiHidden/>
    <w:unhideWhenUsed/>
    <w:rsid w:val="004E6246"/>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F3"/>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BodyText"/>
    <w:link w:val="SubtitleChar"/>
    <w:qFormat/>
    <w:rsid w:val="005A2FF3"/>
    <w:pPr>
      <w:keepNext/>
      <w:suppressAutoHyphens/>
      <w:spacing w:before="240" w:after="120" w:line="240" w:lineRule="auto"/>
      <w:jc w:val="center"/>
    </w:pPr>
    <w:rPr>
      <w:rFonts w:ascii="Arial" w:eastAsia="Andale Sans UI" w:hAnsi="Arial" w:cs="Tahoma"/>
      <w:i/>
      <w:iCs/>
      <w:color w:val="000000"/>
      <w:sz w:val="24"/>
      <w:szCs w:val="28"/>
      <w:lang w:eastAsia="ar-SA"/>
    </w:rPr>
  </w:style>
  <w:style w:type="character" w:customStyle="1" w:styleId="SubtitleChar">
    <w:name w:val="Subtitle Char"/>
    <w:basedOn w:val="DefaultParagraphFont"/>
    <w:link w:val="Subtitle"/>
    <w:rsid w:val="005A2FF3"/>
    <w:rPr>
      <w:rFonts w:ascii="Arial" w:eastAsia="Andale Sans UI" w:hAnsi="Arial" w:cs="Tahoma"/>
      <w:i/>
      <w:iCs/>
      <w:color w:val="000000"/>
      <w:sz w:val="24"/>
      <w:szCs w:val="28"/>
      <w:lang w:eastAsia="ar-SA"/>
    </w:rPr>
  </w:style>
  <w:style w:type="paragraph" w:styleId="Title">
    <w:name w:val="Title"/>
    <w:basedOn w:val="Normal"/>
    <w:next w:val="Subtitle"/>
    <w:link w:val="TitleChar"/>
    <w:qFormat/>
    <w:rsid w:val="005A2FF3"/>
    <w:pPr>
      <w:suppressAutoHyphens/>
      <w:spacing w:after="0" w:line="240" w:lineRule="auto"/>
      <w:jc w:val="center"/>
    </w:pPr>
    <w:rPr>
      <w:rFonts w:ascii="Times New Roman" w:eastAsia="Times New Roman" w:hAnsi="Times New Roman" w:cs="Arial"/>
      <w:b/>
      <w:color w:val="000000"/>
      <w:sz w:val="36"/>
      <w:szCs w:val="20"/>
      <w:lang w:eastAsia="ar-SA"/>
    </w:rPr>
  </w:style>
  <w:style w:type="character" w:customStyle="1" w:styleId="TitleChar">
    <w:name w:val="Title Char"/>
    <w:basedOn w:val="DefaultParagraphFont"/>
    <w:link w:val="Title"/>
    <w:rsid w:val="005A2FF3"/>
    <w:rPr>
      <w:rFonts w:ascii="Times New Roman" w:eastAsia="Times New Roman" w:hAnsi="Times New Roman" w:cs="Arial"/>
      <w:b/>
      <w:color w:val="000000"/>
      <w:sz w:val="36"/>
      <w:szCs w:val="20"/>
      <w:lang w:eastAsia="ar-SA"/>
    </w:rPr>
  </w:style>
  <w:style w:type="paragraph" w:styleId="BodyText">
    <w:name w:val="Body Text"/>
    <w:basedOn w:val="Normal"/>
    <w:link w:val="BodyTextChar"/>
    <w:unhideWhenUsed/>
    <w:rsid w:val="005A2FF3"/>
    <w:pPr>
      <w:suppressAutoHyphens/>
      <w:spacing w:after="0" w:line="240" w:lineRule="auto"/>
      <w:jc w:val="both"/>
    </w:pPr>
    <w:rPr>
      <w:rFonts w:ascii="Times New Roman" w:eastAsia="Times New Roman" w:hAnsi="Times New Roman" w:cs="Arial"/>
      <w:color w:val="000000"/>
      <w:sz w:val="32"/>
      <w:szCs w:val="20"/>
      <w:lang w:eastAsia="ar-SA"/>
    </w:rPr>
  </w:style>
  <w:style w:type="character" w:customStyle="1" w:styleId="BodyTextChar">
    <w:name w:val="Body Text Char"/>
    <w:basedOn w:val="DefaultParagraphFont"/>
    <w:link w:val="BodyText"/>
    <w:rsid w:val="005A2FF3"/>
    <w:rPr>
      <w:rFonts w:ascii="Times New Roman" w:eastAsia="Times New Roman" w:hAnsi="Times New Roman" w:cs="Arial"/>
      <w:color w:val="000000"/>
      <w:sz w:val="32"/>
      <w:szCs w:val="20"/>
      <w:lang w:eastAsia="ar-SA"/>
    </w:rPr>
  </w:style>
  <w:style w:type="character" w:styleId="CommentReference">
    <w:name w:val="annotation reference"/>
    <w:basedOn w:val="DefaultParagraphFont"/>
    <w:uiPriority w:val="99"/>
    <w:semiHidden/>
    <w:unhideWhenUsed/>
    <w:rsid w:val="005A2FF3"/>
    <w:rPr>
      <w:sz w:val="16"/>
      <w:szCs w:val="16"/>
    </w:rPr>
  </w:style>
  <w:style w:type="paragraph" w:styleId="CommentText">
    <w:name w:val="annotation text"/>
    <w:basedOn w:val="Normal"/>
    <w:link w:val="CommentTextChar"/>
    <w:uiPriority w:val="99"/>
    <w:semiHidden/>
    <w:unhideWhenUsed/>
    <w:rsid w:val="005A2FF3"/>
    <w:pPr>
      <w:spacing w:line="240" w:lineRule="auto"/>
    </w:pPr>
    <w:rPr>
      <w:sz w:val="20"/>
      <w:szCs w:val="20"/>
    </w:rPr>
  </w:style>
  <w:style w:type="character" w:customStyle="1" w:styleId="CommentTextChar">
    <w:name w:val="Comment Text Char"/>
    <w:basedOn w:val="DefaultParagraphFont"/>
    <w:link w:val="CommentText"/>
    <w:uiPriority w:val="99"/>
    <w:semiHidden/>
    <w:rsid w:val="005A2FF3"/>
    <w:rPr>
      <w:sz w:val="20"/>
      <w:szCs w:val="20"/>
    </w:rPr>
  </w:style>
  <w:style w:type="character" w:styleId="Strong">
    <w:name w:val="Strong"/>
    <w:basedOn w:val="DefaultParagraphFont"/>
    <w:uiPriority w:val="22"/>
    <w:qFormat/>
    <w:rsid w:val="005A2FF3"/>
    <w:rPr>
      <w:b/>
      <w:bCs/>
    </w:rPr>
  </w:style>
  <w:style w:type="paragraph" w:customStyle="1" w:styleId="Default">
    <w:name w:val="Default"/>
    <w:rsid w:val="005A2F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A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F3"/>
    <w:rPr>
      <w:rFonts w:ascii="Tahoma" w:hAnsi="Tahoma" w:cs="Tahoma"/>
      <w:sz w:val="16"/>
      <w:szCs w:val="16"/>
    </w:rPr>
  </w:style>
  <w:style w:type="character" w:styleId="Hyperlink">
    <w:name w:val="Hyperlink"/>
    <w:basedOn w:val="DefaultParagraphFont"/>
    <w:uiPriority w:val="99"/>
    <w:semiHidden/>
    <w:unhideWhenUsed/>
    <w:rsid w:val="00F7538D"/>
    <w:rPr>
      <w:color w:val="0000FF"/>
      <w:u w:val="single"/>
    </w:rPr>
  </w:style>
  <w:style w:type="paragraph" w:styleId="NoSpacing">
    <w:name w:val="No Spacing"/>
    <w:basedOn w:val="Normal"/>
    <w:uiPriority w:val="1"/>
    <w:qFormat/>
    <w:rsid w:val="00F7538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614A2D"/>
    <w:rPr>
      <w:color w:val="800080" w:themeColor="followedHyperlink"/>
      <w:u w:val="single"/>
    </w:rPr>
  </w:style>
  <w:style w:type="paragraph" w:styleId="Header">
    <w:name w:val="header"/>
    <w:basedOn w:val="Normal"/>
    <w:link w:val="HeaderChar"/>
    <w:uiPriority w:val="99"/>
    <w:unhideWhenUsed/>
    <w:rsid w:val="00F63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7FF"/>
  </w:style>
  <w:style w:type="paragraph" w:styleId="Footer">
    <w:name w:val="footer"/>
    <w:basedOn w:val="Normal"/>
    <w:link w:val="FooterChar"/>
    <w:uiPriority w:val="99"/>
    <w:unhideWhenUsed/>
    <w:rsid w:val="00F63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FF"/>
  </w:style>
  <w:style w:type="paragraph" w:styleId="Revision">
    <w:name w:val="Revision"/>
    <w:hidden/>
    <w:uiPriority w:val="99"/>
    <w:semiHidden/>
    <w:rsid w:val="00A22FE0"/>
    <w:pPr>
      <w:spacing w:after="0" w:line="240" w:lineRule="auto"/>
    </w:pPr>
  </w:style>
  <w:style w:type="paragraph" w:styleId="CommentSubject">
    <w:name w:val="annotation subject"/>
    <w:basedOn w:val="CommentText"/>
    <w:next w:val="CommentText"/>
    <w:link w:val="CommentSubjectChar"/>
    <w:uiPriority w:val="99"/>
    <w:semiHidden/>
    <w:unhideWhenUsed/>
    <w:rsid w:val="00E8150A"/>
    <w:rPr>
      <w:b/>
      <w:bCs/>
    </w:rPr>
  </w:style>
  <w:style w:type="character" w:customStyle="1" w:styleId="CommentSubjectChar">
    <w:name w:val="Comment Subject Char"/>
    <w:basedOn w:val="CommentTextChar"/>
    <w:link w:val="CommentSubject"/>
    <w:uiPriority w:val="99"/>
    <w:semiHidden/>
    <w:rsid w:val="00E8150A"/>
    <w:rPr>
      <w:b/>
      <w:bCs/>
      <w:sz w:val="20"/>
      <w:szCs w:val="20"/>
    </w:rPr>
  </w:style>
  <w:style w:type="paragraph" w:styleId="NormalWeb">
    <w:name w:val="Normal (Web)"/>
    <w:basedOn w:val="Normal"/>
    <w:uiPriority w:val="99"/>
    <w:semiHidden/>
    <w:unhideWhenUsed/>
    <w:rsid w:val="004E624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5861">
      <w:bodyDiv w:val="1"/>
      <w:marLeft w:val="0"/>
      <w:marRight w:val="0"/>
      <w:marTop w:val="0"/>
      <w:marBottom w:val="0"/>
      <w:divBdr>
        <w:top w:val="none" w:sz="0" w:space="0" w:color="auto"/>
        <w:left w:val="none" w:sz="0" w:space="0" w:color="auto"/>
        <w:bottom w:val="none" w:sz="0" w:space="0" w:color="auto"/>
        <w:right w:val="none" w:sz="0" w:space="0" w:color="auto"/>
      </w:divBdr>
    </w:div>
    <w:div w:id="362482015">
      <w:bodyDiv w:val="1"/>
      <w:marLeft w:val="0"/>
      <w:marRight w:val="0"/>
      <w:marTop w:val="0"/>
      <w:marBottom w:val="0"/>
      <w:divBdr>
        <w:top w:val="none" w:sz="0" w:space="0" w:color="auto"/>
        <w:left w:val="none" w:sz="0" w:space="0" w:color="auto"/>
        <w:bottom w:val="none" w:sz="0" w:space="0" w:color="auto"/>
        <w:right w:val="none" w:sz="0" w:space="0" w:color="auto"/>
      </w:divBdr>
    </w:div>
    <w:div w:id="526679706">
      <w:bodyDiv w:val="1"/>
      <w:marLeft w:val="0"/>
      <w:marRight w:val="0"/>
      <w:marTop w:val="0"/>
      <w:marBottom w:val="0"/>
      <w:divBdr>
        <w:top w:val="none" w:sz="0" w:space="0" w:color="auto"/>
        <w:left w:val="none" w:sz="0" w:space="0" w:color="auto"/>
        <w:bottom w:val="none" w:sz="0" w:space="0" w:color="auto"/>
        <w:right w:val="none" w:sz="0" w:space="0" w:color="auto"/>
      </w:divBdr>
    </w:div>
    <w:div w:id="560294280">
      <w:bodyDiv w:val="1"/>
      <w:marLeft w:val="0"/>
      <w:marRight w:val="0"/>
      <w:marTop w:val="0"/>
      <w:marBottom w:val="0"/>
      <w:divBdr>
        <w:top w:val="none" w:sz="0" w:space="0" w:color="auto"/>
        <w:left w:val="none" w:sz="0" w:space="0" w:color="auto"/>
        <w:bottom w:val="none" w:sz="0" w:space="0" w:color="auto"/>
        <w:right w:val="none" w:sz="0" w:space="0" w:color="auto"/>
      </w:divBdr>
    </w:div>
    <w:div w:id="592857792">
      <w:bodyDiv w:val="1"/>
      <w:marLeft w:val="0"/>
      <w:marRight w:val="0"/>
      <w:marTop w:val="0"/>
      <w:marBottom w:val="0"/>
      <w:divBdr>
        <w:top w:val="none" w:sz="0" w:space="0" w:color="auto"/>
        <w:left w:val="none" w:sz="0" w:space="0" w:color="auto"/>
        <w:bottom w:val="none" w:sz="0" w:space="0" w:color="auto"/>
        <w:right w:val="none" w:sz="0" w:space="0" w:color="auto"/>
      </w:divBdr>
    </w:div>
    <w:div w:id="816143088">
      <w:bodyDiv w:val="1"/>
      <w:marLeft w:val="0"/>
      <w:marRight w:val="0"/>
      <w:marTop w:val="0"/>
      <w:marBottom w:val="0"/>
      <w:divBdr>
        <w:top w:val="none" w:sz="0" w:space="0" w:color="auto"/>
        <w:left w:val="none" w:sz="0" w:space="0" w:color="auto"/>
        <w:bottom w:val="none" w:sz="0" w:space="0" w:color="auto"/>
        <w:right w:val="none" w:sz="0" w:space="0" w:color="auto"/>
      </w:divBdr>
    </w:div>
    <w:div w:id="967053680">
      <w:bodyDiv w:val="1"/>
      <w:marLeft w:val="0"/>
      <w:marRight w:val="0"/>
      <w:marTop w:val="0"/>
      <w:marBottom w:val="0"/>
      <w:divBdr>
        <w:top w:val="none" w:sz="0" w:space="0" w:color="auto"/>
        <w:left w:val="none" w:sz="0" w:space="0" w:color="auto"/>
        <w:bottom w:val="none" w:sz="0" w:space="0" w:color="auto"/>
        <w:right w:val="none" w:sz="0" w:space="0" w:color="auto"/>
      </w:divBdr>
    </w:div>
    <w:div w:id="1241715071">
      <w:bodyDiv w:val="1"/>
      <w:marLeft w:val="0"/>
      <w:marRight w:val="0"/>
      <w:marTop w:val="0"/>
      <w:marBottom w:val="0"/>
      <w:divBdr>
        <w:top w:val="none" w:sz="0" w:space="0" w:color="auto"/>
        <w:left w:val="none" w:sz="0" w:space="0" w:color="auto"/>
        <w:bottom w:val="none" w:sz="0" w:space="0" w:color="auto"/>
        <w:right w:val="none" w:sz="0" w:space="0" w:color="auto"/>
      </w:divBdr>
    </w:div>
    <w:div w:id="1494182007">
      <w:bodyDiv w:val="1"/>
      <w:marLeft w:val="0"/>
      <w:marRight w:val="0"/>
      <w:marTop w:val="0"/>
      <w:marBottom w:val="0"/>
      <w:divBdr>
        <w:top w:val="none" w:sz="0" w:space="0" w:color="auto"/>
        <w:left w:val="none" w:sz="0" w:space="0" w:color="auto"/>
        <w:bottom w:val="none" w:sz="0" w:space="0" w:color="auto"/>
        <w:right w:val="none" w:sz="0" w:space="0" w:color="auto"/>
      </w:divBdr>
    </w:div>
    <w:div w:id="1855535926">
      <w:bodyDiv w:val="1"/>
      <w:marLeft w:val="0"/>
      <w:marRight w:val="0"/>
      <w:marTop w:val="0"/>
      <w:marBottom w:val="0"/>
      <w:divBdr>
        <w:top w:val="none" w:sz="0" w:space="0" w:color="auto"/>
        <w:left w:val="none" w:sz="0" w:space="0" w:color="auto"/>
        <w:bottom w:val="none" w:sz="0" w:space="0" w:color="auto"/>
        <w:right w:val="none" w:sz="0" w:space="0" w:color="auto"/>
      </w:divBdr>
    </w:div>
    <w:div w:id="20290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istol.gov.uk/page/community-and-safety/armed-forces-community-covena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7AB8-998A-49E6-BA00-72E42003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18</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Reid</dc:creator>
  <cp:lastModifiedBy>Carrie Pearson</cp:lastModifiedBy>
  <cp:revision>177</cp:revision>
  <dcterms:created xsi:type="dcterms:W3CDTF">2019-10-07T09:47:00Z</dcterms:created>
  <dcterms:modified xsi:type="dcterms:W3CDTF">2020-01-31T14:06:00Z</dcterms:modified>
</cp:coreProperties>
</file>