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642A" w14:textId="2C5B0C9D" w:rsidR="00A6728A" w:rsidRPr="00AB124C" w:rsidRDefault="000953ED" w:rsidP="00AB124C">
      <w:pPr>
        <w:jc w:val="both"/>
        <w:rPr>
          <w:b/>
          <w:lang w:val="en-US"/>
        </w:rPr>
      </w:pPr>
      <w:r>
        <w:rPr>
          <w:b/>
          <w:lang w:val="en-US"/>
        </w:rPr>
        <w:t xml:space="preserve"> </w:t>
      </w:r>
    </w:p>
    <w:p w14:paraId="18A5043C" w14:textId="3D504AEB" w:rsidR="00A6728A" w:rsidRPr="00AB124C" w:rsidRDefault="00A6728A" w:rsidP="00316F8C">
      <w:pPr>
        <w:jc w:val="center"/>
        <w:rPr>
          <w:b/>
          <w:lang w:val="en-US"/>
        </w:rPr>
      </w:pPr>
      <w:r w:rsidRPr="00AB124C">
        <w:rPr>
          <w:b/>
          <w:lang w:val="en-US"/>
        </w:rPr>
        <w:t>GOSPORT BOROUGH COUNCIL (GBC)</w:t>
      </w:r>
    </w:p>
    <w:p w14:paraId="0DA03889" w14:textId="77777777" w:rsidR="00A6728A" w:rsidRPr="00AB124C" w:rsidRDefault="00A6728A" w:rsidP="009716EA">
      <w:pPr>
        <w:jc w:val="center"/>
        <w:rPr>
          <w:b/>
          <w:lang w:val="en-US"/>
        </w:rPr>
      </w:pPr>
    </w:p>
    <w:p w14:paraId="56A595DE" w14:textId="77777777" w:rsidR="008320E9" w:rsidRPr="00AB124C" w:rsidRDefault="00C00D19" w:rsidP="009716EA">
      <w:pPr>
        <w:jc w:val="center"/>
        <w:rPr>
          <w:b/>
          <w:lang w:val="en-US"/>
        </w:rPr>
      </w:pPr>
      <w:r w:rsidRPr="00AB124C">
        <w:rPr>
          <w:b/>
          <w:lang w:val="en-US"/>
        </w:rPr>
        <w:t>INVITATION TO QUOTE (ITQ)</w:t>
      </w:r>
    </w:p>
    <w:p w14:paraId="29734509" w14:textId="77777777" w:rsidR="00C00D19" w:rsidRPr="00AB124C" w:rsidRDefault="00C00D19" w:rsidP="009716EA">
      <w:pPr>
        <w:jc w:val="center"/>
        <w:rPr>
          <w:b/>
          <w:lang w:val="en-US"/>
        </w:rPr>
      </w:pPr>
    </w:p>
    <w:p w14:paraId="4F70455C" w14:textId="335CB9DF" w:rsidR="001A5259" w:rsidRDefault="00C00D19" w:rsidP="009716EA">
      <w:pPr>
        <w:jc w:val="center"/>
        <w:rPr>
          <w:b/>
          <w:color w:val="auto"/>
          <w:lang w:val="en-US"/>
        </w:rPr>
      </w:pPr>
      <w:r w:rsidRPr="00316F8C">
        <w:rPr>
          <w:b/>
          <w:color w:val="auto"/>
          <w:lang w:val="en-US"/>
        </w:rPr>
        <w:t xml:space="preserve">PUBLISHED: </w:t>
      </w:r>
      <w:r w:rsidR="001A5259">
        <w:rPr>
          <w:b/>
          <w:color w:val="auto"/>
          <w:lang w:val="en-US"/>
        </w:rPr>
        <w:t xml:space="preserve"> </w:t>
      </w:r>
      <w:r w:rsidR="00F2376E">
        <w:rPr>
          <w:b/>
          <w:color w:val="auto"/>
          <w:lang w:val="en-US"/>
        </w:rPr>
        <w:t>12</w:t>
      </w:r>
      <w:r w:rsidR="00F2376E" w:rsidRPr="00F2376E">
        <w:rPr>
          <w:b/>
          <w:color w:val="auto"/>
          <w:vertAlign w:val="superscript"/>
          <w:lang w:val="en-US"/>
        </w:rPr>
        <w:t>th</w:t>
      </w:r>
      <w:r w:rsidR="00F2376E">
        <w:rPr>
          <w:b/>
          <w:color w:val="auto"/>
          <w:lang w:val="en-US"/>
        </w:rPr>
        <w:t xml:space="preserve"> April </w:t>
      </w:r>
      <w:r w:rsidR="001A5259">
        <w:rPr>
          <w:b/>
          <w:color w:val="auto"/>
          <w:lang w:val="en-US"/>
        </w:rPr>
        <w:t>2024</w:t>
      </w:r>
    </w:p>
    <w:p w14:paraId="531D500C" w14:textId="19C05CDF" w:rsidR="00C00D19" w:rsidRPr="00316F8C" w:rsidRDefault="00C00D19" w:rsidP="001A5259">
      <w:pPr>
        <w:jc w:val="center"/>
        <w:rPr>
          <w:b/>
          <w:color w:val="auto"/>
          <w:lang w:val="en-US"/>
        </w:rPr>
      </w:pPr>
      <w:r w:rsidRPr="00316F8C">
        <w:rPr>
          <w:b/>
          <w:color w:val="auto"/>
          <w:lang w:val="en-US"/>
        </w:rPr>
        <w:t>FOR:</w:t>
      </w:r>
      <w:r w:rsidR="001A5259">
        <w:rPr>
          <w:b/>
          <w:color w:val="auto"/>
          <w:lang w:val="en-US"/>
        </w:rPr>
        <w:t xml:space="preserve"> </w:t>
      </w:r>
      <w:r w:rsidR="0036270D" w:rsidRPr="00316F8C">
        <w:rPr>
          <w:b/>
          <w:color w:val="auto"/>
          <w:lang w:val="en-US"/>
        </w:rPr>
        <w:t xml:space="preserve">I.C.T equipment for </w:t>
      </w:r>
      <w:r w:rsidR="000953ED">
        <w:rPr>
          <w:b/>
          <w:color w:val="auto"/>
          <w:lang w:val="en-US"/>
        </w:rPr>
        <w:t xml:space="preserve">ad-hoc </w:t>
      </w:r>
      <w:r w:rsidR="0036270D" w:rsidRPr="00316F8C">
        <w:rPr>
          <w:b/>
          <w:color w:val="auto"/>
          <w:lang w:val="en-US"/>
        </w:rPr>
        <w:t>purchases</w:t>
      </w:r>
    </w:p>
    <w:p w14:paraId="2694B00E" w14:textId="77777777" w:rsidR="00C00D19" w:rsidRPr="00316F8C" w:rsidRDefault="00C00D19" w:rsidP="009716EA">
      <w:pPr>
        <w:jc w:val="center"/>
        <w:rPr>
          <w:b/>
          <w:color w:val="auto"/>
          <w:lang w:val="en-US"/>
        </w:rPr>
      </w:pPr>
    </w:p>
    <w:p w14:paraId="3132DECE" w14:textId="2A1194D2" w:rsidR="00C00D19" w:rsidRPr="00316F8C" w:rsidRDefault="00C00D19" w:rsidP="009716EA">
      <w:pPr>
        <w:jc w:val="center"/>
        <w:rPr>
          <w:b/>
          <w:color w:val="auto"/>
          <w:lang w:val="en-US"/>
        </w:rPr>
      </w:pPr>
      <w:r w:rsidRPr="00316F8C">
        <w:rPr>
          <w:b/>
          <w:color w:val="auto"/>
          <w:lang w:val="en-US"/>
        </w:rPr>
        <w:t xml:space="preserve">RESPONSE DEADLINE: </w:t>
      </w:r>
      <w:r w:rsidR="005E3921">
        <w:rPr>
          <w:b/>
          <w:color w:val="auto"/>
          <w:lang w:val="en-US"/>
        </w:rPr>
        <w:t>12:00pm</w:t>
      </w:r>
      <w:r w:rsidR="006C4F4D">
        <w:rPr>
          <w:b/>
          <w:color w:val="auto"/>
          <w:lang w:val="en-US"/>
        </w:rPr>
        <w:t>,</w:t>
      </w:r>
      <w:r w:rsidR="001A5259">
        <w:rPr>
          <w:b/>
          <w:color w:val="auto"/>
          <w:lang w:val="en-US"/>
        </w:rPr>
        <w:t xml:space="preserve"> </w:t>
      </w:r>
      <w:r w:rsidR="00CD2ED1">
        <w:rPr>
          <w:b/>
          <w:color w:val="auto"/>
          <w:lang w:val="en-US"/>
        </w:rPr>
        <w:t>31/05/</w:t>
      </w:r>
      <w:r w:rsidR="0036270D" w:rsidRPr="00316F8C">
        <w:rPr>
          <w:b/>
          <w:color w:val="auto"/>
          <w:lang w:val="en-US"/>
        </w:rPr>
        <w:t>202</w:t>
      </w:r>
      <w:r w:rsidR="001A5259">
        <w:rPr>
          <w:b/>
          <w:color w:val="auto"/>
          <w:lang w:val="en-US"/>
        </w:rPr>
        <w:t>4</w:t>
      </w:r>
    </w:p>
    <w:p w14:paraId="079A56E3"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4703F1F8" w14:textId="77777777" w:rsidR="00C00D19" w:rsidRPr="00AB124C" w:rsidRDefault="00C00D19" w:rsidP="00AB124C">
          <w:pPr>
            <w:pStyle w:val="TOCHeading"/>
            <w:jc w:val="both"/>
            <w:rPr>
              <w:rFonts w:cs="Arial"/>
              <w:szCs w:val="24"/>
            </w:rPr>
          </w:pPr>
          <w:r w:rsidRPr="00AB124C">
            <w:rPr>
              <w:rFonts w:cs="Arial"/>
              <w:szCs w:val="24"/>
            </w:rPr>
            <w:t>Contents</w:t>
          </w:r>
        </w:p>
        <w:p w14:paraId="7D669713" w14:textId="77777777" w:rsidR="00A76F29" w:rsidRPr="00AB124C" w:rsidRDefault="00A76F29" w:rsidP="00AB124C">
          <w:pPr>
            <w:jc w:val="both"/>
            <w:rPr>
              <w:lang w:val="en-US"/>
            </w:rPr>
          </w:pPr>
        </w:p>
        <w:p w14:paraId="1F003A32" w14:textId="08B62F20" w:rsidR="005E3921"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59239525" w:history="1">
            <w:r w:rsidR="005E3921" w:rsidRPr="007C42CE">
              <w:rPr>
                <w:rStyle w:val="Hyperlink"/>
                <w:noProof/>
                <w:lang w:val="en-US"/>
              </w:rPr>
              <w:t>1.</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Introduction</w:t>
            </w:r>
            <w:r w:rsidR="005E3921">
              <w:rPr>
                <w:noProof/>
                <w:webHidden/>
              </w:rPr>
              <w:tab/>
            </w:r>
            <w:r w:rsidR="005E3921">
              <w:rPr>
                <w:noProof/>
                <w:webHidden/>
              </w:rPr>
              <w:fldChar w:fldCharType="begin"/>
            </w:r>
            <w:r w:rsidR="005E3921">
              <w:rPr>
                <w:noProof/>
                <w:webHidden/>
              </w:rPr>
              <w:instrText xml:space="preserve"> PAGEREF _Toc159239525 \h </w:instrText>
            </w:r>
            <w:r w:rsidR="005E3921">
              <w:rPr>
                <w:noProof/>
                <w:webHidden/>
              </w:rPr>
            </w:r>
            <w:r w:rsidR="005E3921">
              <w:rPr>
                <w:noProof/>
                <w:webHidden/>
              </w:rPr>
              <w:fldChar w:fldCharType="separate"/>
            </w:r>
            <w:r w:rsidR="005E3921">
              <w:rPr>
                <w:noProof/>
                <w:webHidden/>
              </w:rPr>
              <w:t>2</w:t>
            </w:r>
            <w:r w:rsidR="005E3921">
              <w:rPr>
                <w:noProof/>
                <w:webHidden/>
              </w:rPr>
              <w:fldChar w:fldCharType="end"/>
            </w:r>
          </w:hyperlink>
        </w:p>
        <w:p w14:paraId="66C54FDA" w14:textId="22619548"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26" w:history="1">
            <w:r w:rsidR="005E3921" w:rsidRPr="007C42CE">
              <w:rPr>
                <w:rStyle w:val="Hyperlink"/>
                <w:bCs/>
                <w:noProof/>
                <w:lang w:val="en-US"/>
              </w:rPr>
              <w:t>2.</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Specification</w:t>
            </w:r>
            <w:r w:rsidR="005E3921" w:rsidRPr="007C42CE">
              <w:rPr>
                <w:rStyle w:val="Hyperlink"/>
                <w:bCs/>
                <w:noProof/>
                <w:lang w:val="en-US"/>
              </w:rPr>
              <w:t xml:space="preserve"> / Requirements</w:t>
            </w:r>
            <w:r w:rsidR="005E3921">
              <w:rPr>
                <w:noProof/>
                <w:webHidden/>
              </w:rPr>
              <w:tab/>
            </w:r>
            <w:r w:rsidR="005E3921">
              <w:rPr>
                <w:noProof/>
                <w:webHidden/>
              </w:rPr>
              <w:fldChar w:fldCharType="begin"/>
            </w:r>
            <w:r w:rsidR="005E3921">
              <w:rPr>
                <w:noProof/>
                <w:webHidden/>
              </w:rPr>
              <w:instrText xml:space="preserve"> PAGEREF _Toc159239526 \h </w:instrText>
            </w:r>
            <w:r w:rsidR="005E3921">
              <w:rPr>
                <w:noProof/>
                <w:webHidden/>
              </w:rPr>
            </w:r>
            <w:r w:rsidR="005E3921">
              <w:rPr>
                <w:noProof/>
                <w:webHidden/>
              </w:rPr>
              <w:fldChar w:fldCharType="separate"/>
            </w:r>
            <w:r w:rsidR="005E3921">
              <w:rPr>
                <w:noProof/>
                <w:webHidden/>
              </w:rPr>
              <w:t>2</w:t>
            </w:r>
            <w:r w:rsidR="005E3921">
              <w:rPr>
                <w:noProof/>
                <w:webHidden/>
              </w:rPr>
              <w:fldChar w:fldCharType="end"/>
            </w:r>
          </w:hyperlink>
        </w:p>
        <w:p w14:paraId="3A95472C" w14:textId="0F125DEA" w:rsidR="005E3921" w:rsidRDefault="004D786A">
          <w:pPr>
            <w:pStyle w:val="TOC1"/>
            <w:tabs>
              <w:tab w:val="right" w:leader="dot" w:pos="9016"/>
            </w:tabs>
            <w:rPr>
              <w:rFonts w:asciiTheme="minorHAnsi" w:eastAsiaTheme="minorEastAsia" w:hAnsiTheme="minorHAnsi" w:cstheme="minorBidi"/>
              <w:noProof/>
              <w:color w:val="auto"/>
              <w:sz w:val="22"/>
              <w:szCs w:val="22"/>
              <w:lang w:eastAsia="en-GB"/>
            </w:rPr>
          </w:pPr>
          <w:hyperlink w:anchor="_Toc159239527" w:history="1">
            <w:r w:rsidR="005E3921" w:rsidRPr="007C42CE">
              <w:rPr>
                <w:rStyle w:val="Hyperlink"/>
                <w:noProof/>
                <w:lang w:val="en-US"/>
              </w:rPr>
              <w:t xml:space="preserve">2.1 </w:t>
            </w:r>
            <w:r w:rsidR="005E3921" w:rsidRPr="007C42CE">
              <w:rPr>
                <w:rStyle w:val="Hyperlink"/>
                <w:bCs/>
                <w:noProof/>
              </w:rPr>
              <w:t xml:space="preserve"> </w:t>
            </w:r>
            <w:r w:rsidR="005E3921" w:rsidRPr="007C42CE">
              <w:rPr>
                <w:rStyle w:val="Hyperlink"/>
                <w:noProof/>
                <w:lang w:val="en-US"/>
              </w:rPr>
              <w:t>Lotting</w:t>
            </w:r>
            <w:r w:rsidR="005E3921">
              <w:rPr>
                <w:noProof/>
                <w:webHidden/>
              </w:rPr>
              <w:tab/>
            </w:r>
            <w:r w:rsidR="005E3921">
              <w:rPr>
                <w:noProof/>
                <w:webHidden/>
              </w:rPr>
              <w:fldChar w:fldCharType="begin"/>
            </w:r>
            <w:r w:rsidR="005E3921">
              <w:rPr>
                <w:noProof/>
                <w:webHidden/>
              </w:rPr>
              <w:instrText xml:space="preserve"> PAGEREF _Toc159239527 \h </w:instrText>
            </w:r>
            <w:r w:rsidR="005E3921">
              <w:rPr>
                <w:noProof/>
                <w:webHidden/>
              </w:rPr>
            </w:r>
            <w:r w:rsidR="005E3921">
              <w:rPr>
                <w:noProof/>
                <w:webHidden/>
              </w:rPr>
              <w:fldChar w:fldCharType="separate"/>
            </w:r>
            <w:r w:rsidR="005E3921">
              <w:rPr>
                <w:noProof/>
                <w:webHidden/>
              </w:rPr>
              <w:t>3</w:t>
            </w:r>
            <w:r w:rsidR="005E3921">
              <w:rPr>
                <w:noProof/>
                <w:webHidden/>
              </w:rPr>
              <w:fldChar w:fldCharType="end"/>
            </w:r>
          </w:hyperlink>
        </w:p>
        <w:p w14:paraId="0BD828D2" w14:textId="41151762"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28" w:history="1">
            <w:r w:rsidR="005E3921" w:rsidRPr="007C42CE">
              <w:rPr>
                <w:rStyle w:val="Hyperlink"/>
                <w:noProof/>
                <w:lang w:val="en-US"/>
              </w:rPr>
              <w:t>3.</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Insurance</w:t>
            </w:r>
            <w:r w:rsidR="005E3921">
              <w:rPr>
                <w:noProof/>
                <w:webHidden/>
              </w:rPr>
              <w:tab/>
            </w:r>
            <w:r w:rsidR="005E3921">
              <w:rPr>
                <w:noProof/>
                <w:webHidden/>
              </w:rPr>
              <w:fldChar w:fldCharType="begin"/>
            </w:r>
            <w:r w:rsidR="005E3921">
              <w:rPr>
                <w:noProof/>
                <w:webHidden/>
              </w:rPr>
              <w:instrText xml:space="preserve"> PAGEREF _Toc159239528 \h </w:instrText>
            </w:r>
            <w:r w:rsidR="005E3921">
              <w:rPr>
                <w:noProof/>
                <w:webHidden/>
              </w:rPr>
            </w:r>
            <w:r w:rsidR="005E3921">
              <w:rPr>
                <w:noProof/>
                <w:webHidden/>
              </w:rPr>
              <w:fldChar w:fldCharType="separate"/>
            </w:r>
            <w:r w:rsidR="005E3921">
              <w:rPr>
                <w:noProof/>
                <w:webHidden/>
              </w:rPr>
              <w:t>4</w:t>
            </w:r>
            <w:r w:rsidR="005E3921">
              <w:rPr>
                <w:noProof/>
                <w:webHidden/>
              </w:rPr>
              <w:fldChar w:fldCharType="end"/>
            </w:r>
          </w:hyperlink>
        </w:p>
        <w:p w14:paraId="7EA2BEDA" w14:textId="42BA56E5"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29" w:history="1">
            <w:r w:rsidR="005E3921" w:rsidRPr="007C42CE">
              <w:rPr>
                <w:rStyle w:val="Hyperlink"/>
                <w:noProof/>
                <w:lang w:val="en-US"/>
              </w:rPr>
              <w:t>4.</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Procurement Timetable</w:t>
            </w:r>
            <w:r w:rsidR="005E3921">
              <w:rPr>
                <w:noProof/>
                <w:webHidden/>
              </w:rPr>
              <w:tab/>
            </w:r>
            <w:r w:rsidR="005E3921">
              <w:rPr>
                <w:noProof/>
                <w:webHidden/>
              </w:rPr>
              <w:fldChar w:fldCharType="begin"/>
            </w:r>
            <w:r w:rsidR="005E3921">
              <w:rPr>
                <w:noProof/>
                <w:webHidden/>
              </w:rPr>
              <w:instrText xml:space="preserve"> PAGEREF _Toc159239529 \h </w:instrText>
            </w:r>
            <w:r w:rsidR="005E3921">
              <w:rPr>
                <w:noProof/>
                <w:webHidden/>
              </w:rPr>
            </w:r>
            <w:r w:rsidR="005E3921">
              <w:rPr>
                <w:noProof/>
                <w:webHidden/>
              </w:rPr>
              <w:fldChar w:fldCharType="separate"/>
            </w:r>
            <w:r w:rsidR="005E3921">
              <w:rPr>
                <w:noProof/>
                <w:webHidden/>
              </w:rPr>
              <w:t>4</w:t>
            </w:r>
            <w:r w:rsidR="005E3921">
              <w:rPr>
                <w:noProof/>
                <w:webHidden/>
              </w:rPr>
              <w:fldChar w:fldCharType="end"/>
            </w:r>
          </w:hyperlink>
        </w:p>
        <w:p w14:paraId="4480A4BC" w14:textId="7117C7B5"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30" w:history="1">
            <w:r w:rsidR="005E3921" w:rsidRPr="007C42CE">
              <w:rPr>
                <w:rStyle w:val="Hyperlink"/>
                <w:noProof/>
                <w:lang w:val="en-US"/>
              </w:rPr>
              <w:t>5.</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Instructions on submitting a response</w:t>
            </w:r>
            <w:r w:rsidR="005E3921">
              <w:rPr>
                <w:noProof/>
                <w:webHidden/>
              </w:rPr>
              <w:tab/>
            </w:r>
            <w:r w:rsidR="005E3921">
              <w:rPr>
                <w:noProof/>
                <w:webHidden/>
              </w:rPr>
              <w:fldChar w:fldCharType="begin"/>
            </w:r>
            <w:r w:rsidR="005E3921">
              <w:rPr>
                <w:noProof/>
                <w:webHidden/>
              </w:rPr>
              <w:instrText xml:space="preserve"> PAGEREF _Toc159239530 \h </w:instrText>
            </w:r>
            <w:r w:rsidR="005E3921">
              <w:rPr>
                <w:noProof/>
                <w:webHidden/>
              </w:rPr>
            </w:r>
            <w:r w:rsidR="005E3921">
              <w:rPr>
                <w:noProof/>
                <w:webHidden/>
              </w:rPr>
              <w:fldChar w:fldCharType="separate"/>
            </w:r>
            <w:r w:rsidR="005E3921">
              <w:rPr>
                <w:noProof/>
                <w:webHidden/>
              </w:rPr>
              <w:t>4</w:t>
            </w:r>
            <w:r w:rsidR="005E3921">
              <w:rPr>
                <w:noProof/>
                <w:webHidden/>
              </w:rPr>
              <w:fldChar w:fldCharType="end"/>
            </w:r>
          </w:hyperlink>
        </w:p>
        <w:p w14:paraId="163C9DBC" w14:textId="6105A3D5"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31" w:history="1">
            <w:r w:rsidR="005E3921" w:rsidRPr="007C42CE">
              <w:rPr>
                <w:rStyle w:val="Hyperlink"/>
                <w:noProof/>
                <w:lang w:val="en-US"/>
              </w:rPr>
              <w:t>6.</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Clarifications</w:t>
            </w:r>
            <w:r w:rsidR="005E3921">
              <w:rPr>
                <w:noProof/>
                <w:webHidden/>
              </w:rPr>
              <w:tab/>
            </w:r>
            <w:r w:rsidR="005E3921">
              <w:rPr>
                <w:noProof/>
                <w:webHidden/>
              </w:rPr>
              <w:fldChar w:fldCharType="begin"/>
            </w:r>
            <w:r w:rsidR="005E3921">
              <w:rPr>
                <w:noProof/>
                <w:webHidden/>
              </w:rPr>
              <w:instrText xml:space="preserve"> PAGEREF _Toc159239531 \h </w:instrText>
            </w:r>
            <w:r w:rsidR="005E3921">
              <w:rPr>
                <w:noProof/>
                <w:webHidden/>
              </w:rPr>
            </w:r>
            <w:r w:rsidR="005E3921">
              <w:rPr>
                <w:noProof/>
                <w:webHidden/>
              </w:rPr>
              <w:fldChar w:fldCharType="separate"/>
            </w:r>
            <w:r w:rsidR="005E3921">
              <w:rPr>
                <w:noProof/>
                <w:webHidden/>
              </w:rPr>
              <w:t>5</w:t>
            </w:r>
            <w:r w:rsidR="005E3921">
              <w:rPr>
                <w:noProof/>
                <w:webHidden/>
              </w:rPr>
              <w:fldChar w:fldCharType="end"/>
            </w:r>
          </w:hyperlink>
        </w:p>
        <w:p w14:paraId="2E7BFC2E" w14:textId="127783D8"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32" w:history="1">
            <w:r w:rsidR="005E3921" w:rsidRPr="007C42CE">
              <w:rPr>
                <w:rStyle w:val="Hyperlink"/>
                <w:noProof/>
                <w:lang w:val="en-US"/>
              </w:rPr>
              <w:t>7.</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Evaluation</w:t>
            </w:r>
            <w:r w:rsidR="005E3921">
              <w:rPr>
                <w:noProof/>
                <w:webHidden/>
              </w:rPr>
              <w:tab/>
            </w:r>
            <w:r w:rsidR="005E3921">
              <w:rPr>
                <w:noProof/>
                <w:webHidden/>
              </w:rPr>
              <w:fldChar w:fldCharType="begin"/>
            </w:r>
            <w:r w:rsidR="005E3921">
              <w:rPr>
                <w:noProof/>
                <w:webHidden/>
              </w:rPr>
              <w:instrText xml:space="preserve"> PAGEREF _Toc159239532 \h </w:instrText>
            </w:r>
            <w:r w:rsidR="005E3921">
              <w:rPr>
                <w:noProof/>
                <w:webHidden/>
              </w:rPr>
            </w:r>
            <w:r w:rsidR="005E3921">
              <w:rPr>
                <w:noProof/>
                <w:webHidden/>
              </w:rPr>
              <w:fldChar w:fldCharType="separate"/>
            </w:r>
            <w:r w:rsidR="005E3921">
              <w:rPr>
                <w:noProof/>
                <w:webHidden/>
              </w:rPr>
              <w:t>5</w:t>
            </w:r>
            <w:r w:rsidR="005E3921">
              <w:rPr>
                <w:noProof/>
                <w:webHidden/>
              </w:rPr>
              <w:fldChar w:fldCharType="end"/>
            </w:r>
          </w:hyperlink>
        </w:p>
        <w:p w14:paraId="6586441B" w14:textId="42F169A9"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33" w:history="1">
            <w:r w:rsidR="005E3921" w:rsidRPr="007C42CE">
              <w:rPr>
                <w:rStyle w:val="Hyperlink"/>
                <w:noProof/>
                <w:lang w:val="en-US"/>
              </w:rPr>
              <w:t>8.</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Award</w:t>
            </w:r>
            <w:r w:rsidR="005E3921">
              <w:rPr>
                <w:noProof/>
                <w:webHidden/>
              </w:rPr>
              <w:tab/>
            </w:r>
            <w:r w:rsidR="005E3921">
              <w:rPr>
                <w:noProof/>
                <w:webHidden/>
              </w:rPr>
              <w:fldChar w:fldCharType="begin"/>
            </w:r>
            <w:r w:rsidR="005E3921">
              <w:rPr>
                <w:noProof/>
                <w:webHidden/>
              </w:rPr>
              <w:instrText xml:space="preserve"> PAGEREF _Toc159239533 \h </w:instrText>
            </w:r>
            <w:r w:rsidR="005E3921">
              <w:rPr>
                <w:noProof/>
                <w:webHidden/>
              </w:rPr>
            </w:r>
            <w:r w:rsidR="005E3921">
              <w:rPr>
                <w:noProof/>
                <w:webHidden/>
              </w:rPr>
              <w:fldChar w:fldCharType="separate"/>
            </w:r>
            <w:r w:rsidR="005E3921">
              <w:rPr>
                <w:noProof/>
                <w:webHidden/>
              </w:rPr>
              <w:t>6</w:t>
            </w:r>
            <w:r w:rsidR="005E3921">
              <w:rPr>
                <w:noProof/>
                <w:webHidden/>
              </w:rPr>
              <w:fldChar w:fldCharType="end"/>
            </w:r>
          </w:hyperlink>
        </w:p>
        <w:p w14:paraId="6AEFA004" w14:textId="1587A962" w:rsidR="005E3921" w:rsidRDefault="004D786A">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59239534" w:history="1">
            <w:r w:rsidR="005E3921" w:rsidRPr="007C42CE">
              <w:rPr>
                <w:rStyle w:val="Hyperlink"/>
                <w:noProof/>
                <w:lang w:val="en-US"/>
              </w:rPr>
              <w:t>9.</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Terms and Conditions</w:t>
            </w:r>
            <w:r w:rsidR="005E3921">
              <w:rPr>
                <w:noProof/>
                <w:webHidden/>
              </w:rPr>
              <w:tab/>
            </w:r>
            <w:r w:rsidR="005E3921">
              <w:rPr>
                <w:noProof/>
                <w:webHidden/>
              </w:rPr>
              <w:fldChar w:fldCharType="begin"/>
            </w:r>
            <w:r w:rsidR="005E3921">
              <w:rPr>
                <w:noProof/>
                <w:webHidden/>
              </w:rPr>
              <w:instrText xml:space="preserve"> PAGEREF _Toc159239534 \h </w:instrText>
            </w:r>
            <w:r w:rsidR="005E3921">
              <w:rPr>
                <w:noProof/>
                <w:webHidden/>
              </w:rPr>
            </w:r>
            <w:r w:rsidR="005E3921">
              <w:rPr>
                <w:noProof/>
                <w:webHidden/>
              </w:rPr>
              <w:fldChar w:fldCharType="separate"/>
            </w:r>
            <w:r w:rsidR="005E3921">
              <w:rPr>
                <w:noProof/>
                <w:webHidden/>
              </w:rPr>
              <w:t>7</w:t>
            </w:r>
            <w:r w:rsidR="005E3921">
              <w:rPr>
                <w:noProof/>
                <w:webHidden/>
              </w:rPr>
              <w:fldChar w:fldCharType="end"/>
            </w:r>
          </w:hyperlink>
        </w:p>
        <w:p w14:paraId="05DA9BFD" w14:textId="2738E8DC" w:rsidR="005E3921" w:rsidRDefault="004D786A">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59239535" w:history="1">
            <w:r w:rsidR="005E3921" w:rsidRPr="007C42CE">
              <w:rPr>
                <w:rStyle w:val="Hyperlink"/>
                <w:noProof/>
                <w:lang w:val="en-US"/>
              </w:rPr>
              <w:t>10.</w:t>
            </w:r>
            <w:r w:rsidR="005E3921">
              <w:rPr>
                <w:rFonts w:asciiTheme="minorHAnsi" w:eastAsiaTheme="minorEastAsia" w:hAnsiTheme="minorHAnsi" w:cstheme="minorBidi"/>
                <w:noProof/>
                <w:color w:val="auto"/>
                <w:sz w:val="22"/>
                <w:szCs w:val="22"/>
                <w:lang w:eastAsia="en-GB"/>
              </w:rPr>
              <w:tab/>
            </w:r>
            <w:r w:rsidR="005E3921" w:rsidRPr="007C42CE">
              <w:rPr>
                <w:rStyle w:val="Hyperlink"/>
                <w:noProof/>
                <w:lang w:val="en-US"/>
              </w:rPr>
              <w:t>Conduct and Conflicts of interest</w:t>
            </w:r>
            <w:r w:rsidR="005E3921">
              <w:rPr>
                <w:noProof/>
                <w:webHidden/>
              </w:rPr>
              <w:tab/>
            </w:r>
            <w:r w:rsidR="005E3921">
              <w:rPr>
                <w:noProof/>
                <w:webHidden/>
              </w:rPr>
              <w:fldChar w:fldCharType="begin"/>
            </w:r>
            <w:r w:rsidR="005E3921">
              <w:rPr>
                <w:noProof/>
                <w:webHidden/>
              </w:rPr>
              <w:instrText xml:space="preserve"> PAGEREF _Toc159239535 \h </w:instrText>
            </w:r>
            <w:r w:rsidR="005E3921">
              <w:rPr>
                <w:noProof/>
                <w:webHidden/>
              </w:rPr>
            </w:r>
            <w:r w:rsidR="005E3921">
              <w:rPr>
                <w:noProof/>
                <w:webHidden/>
              </w:rPr>
              <w:fldChar w:fldCharType="separate"/>
            </w:r>
            <w:r w:rsidR="005E3921">
              <w:rPr>
                <w:noProof/>
                <w:webHidden/>
              </w:rPr>
              <w:t>7</w:t>
            </w:r>
            <w:r w:rsidR="005E3921">
              <w:rPr>
                <w:noProof/>
                <w:webHidden/>
              </w:rPr>
              <w:fldChar w:fldCharType="end"/>
            </w:r>
          </w:hyperlink>
        </w:p>
        <w:p w14:paraId="7188514F" w14:textId="1BC2E60D" w:rsidR="006C4F4D" w:rsidRDefault="00C00D19" w:rsidP="006C4F4D">
          <w:pPr>
            <w:jc w:val="both"/>
            <w:rPr>
              <w:bCs/>
              <w:noProof/>
            </w:rPr>
          </w:pPr>
          <w:r w:rsidRPr="00AB124C">
            <w:rPr>
              <w:b/>
              <w:bCs/>
              <w:noProof/>
            </w:rPr>
            <w:fldChar w:fldCharType="end"/>
          </w:r>
        </w:p>
      </w:sdtContent>
    </w:sdt>
    <w:p w14:paraId="66A3FE42" w14:textId="34AEF39B" w:rsidR="006C4F4D" w:rsidRDefault="00435E15" w:rsidP="006C4F4D">
      <w:pPr>
        <w:jc w:val="both"/>
        <w:rPr>
          <w:lang w:val="en-US"/>
        </w:rPr>
      </w:pPr>
      <w:r>
        <w:rPr>
          <w:lang w:val="en-US"/>
        </w:rPr>
        <w:t>Other documents supplied separately</w:t>
      </w:r>
      <w:r w:rsidR="006C4F4D">
        <w:rPr>
          <w:lang w:val="en-US"/>
        </w:rPr>
        <w:t>:</w:t>
      </w:r>
    </w:p>
    <w:p w14:paraId="714D45DA" w14:textId="0B2C0F7E" w:rsidR="000953ED" w:rsidRPr="006C4F4D" w:rsidRDefault="006C4F4D" w:rsidP="006C4F4D">
      <w:pPr>
        <w:pStyle w:val="ListParagraph"/>
        <w:numPr>
          <w:ilvl w:val="0"/>
          <w:numId w:val="14"/>
        </w:numPr>
        <w:jc w:val="both"/>
      </w:pPr>
      <w:r w:rsidRPr="006C4F4D">
        <w:rPr>
          <w:lang w:val="en-US"/>
        </w:rPr>
        <w:t>Pricing Schedule</w:t>
      </w:r>
      <w:r w:rsidR="000953ED" w:rsidRPr="006C4F4D">
        <w:rPr>
          <w:lang w:val="en-US"/>
        </w:rPr>
        <w:br w:type="page"/>
      </w:r>
    </w:p>
    <w:p w14:paraId="0120158B" w14:textId="5EFED564" w:rsidR="00C00D19" w:rsidRPr="00AB124C" w:rsidRDefault="00C00D19" w:rsidP="00AB124C">
      <w:pPr>
        <w:pStyle w:val="Heading1"/>
        <w:numPr>
          <w:ilvl w:val="0"/>
          <w:numId w:val="1"/>
        </w:numPr>
        <w:ind w:left="426" w:hanging="426"/>
        <w:jc w:val="both"/>
        <w:rPr>
          <w:rFonts w:cs="Arial"/>
          <w:szCs w:val="24"/>
          <w:lang w:val="en-US"/>
        </w:rPr>
      </w:pPr>
      <w:bookmarkStart w:id="0" w:name="_Toc159239525"/>
      <w:r w:rsidRPr="00AB124C">
        <w:rPr>
          <w:rFonts w:cs="Arial"/>
          <w:szCs w:val="24"/>
          <w:lang w:val="en-US"/>
        </w:rPr>
        <w:lastRenderedPageBreak/>
        <w:t>Introduction</w:t>
      </w:r>
      <w:bookmarkEnd w:id="0"/>
    </w:p>
    <w:p w14:paraId="3D0D0879" w14:textId="1F793F4A" w:rsidR="00D85C57" w:rsidRDefault="00D85C57" w:rsidP="00AB124C">
      <w:pPr>
        <w:jc w:val="both"/>
        <w:rPr>
          <w:color w:val="auto"/>
          <w:lang w:val="en-US"/>
        </w:rPr>
      </w:pPr>
      <w:r w:rsidRPr="00953358">
        <w:rPr>
          <w:color w:val="auto"/>
          <w:lang w:val="en-US"/>
        </w:rPr>
        <w:t>Gosport Borough Council (GBC) is inviting quotations f</w:t>
      </w:r>
      <w:r w:rsidR="0036270D" w:rsidRPr="00953358">
        <w:rPr>
          <w:color w:val="auto"/>
          <w:lang w:val="en-US"/>
        </w:rPr>
        <w:t>or various items of I.T.C. equipment and accessories that will be included in an internal cata</w:t>
      </w:r>
      <w:r w:rsidR="000953ED">
        <w:rPr>
          <w:color w:val="auto"/>
          <w:lang w:val="en-US"/>
        </w:rPr>
        <w:t>logue of products, enabling the Council</w:t>
      </w:r>
      <w:r w:rsidR="0036270D" w:rsidRPr="00953358">
        <w:rPr>
          <w:color w:val="auto"/>
          <w:lang w:val="en-US"/>
        </w:rPr>
        <w:t xml:space="preserve"> to </w:t>
      </w:r>
      <w:r w:rsidR="00F94D4E">
        <w:rPr>
          <w:color w:val="auto"/>
          <w:lang w:val="en-US"/>
        </w:rPr>
        <w:t>order</w:t>
      </w:r>
      <w:r w:rsidR="000953ED">
        <w:rPr>
          <w:color w:val="auto"/>
          <w:lang w:val="en-US"/>
        </w:rPr>
        <w:t xml:space="preserve"> the required items on an ad-hoc </w:t>
      </w:r>
      <w:r w:rsidR="0036270D" w:rsidRPr="00953358">
        <w:rPr>
          <w:color w:val="auto"/>
          <w:lang w:val="en-US"/>
        </w:rPr>
        <w:t>basis</w:t>
      </w:r>
      <w:r w:rsidR="000953ED">
        <w:rPr>
          <w:color w:val="auto"/>
          <w:lang w:val="en-US"/>
        </w:rPr>
        <w:t xml:space="preserve">, for a period of </w:t>
      </w:r>
      <w:r w:rsidR="000E2E3A">
        <w:rPr>
          <w:color w:val="auto"/>
          <w:lang w:val="en-US"/>
        </w:rPr>
        <w:t>12</w:t>
      </w:r>
      <w:r w:rsidR="000953ED">
        <w:rPr>
          <w:color w:val="auto"/>
          <w:lang w:val="en-US"/>
        </w:rPr>
        <w:t xml:space="preserve"> months.</w:t>
      </w:r>
      <w:r w:rsidR="00953358" w:rsidRPr="00953358">
        <w:rPr>
          <w:color w:val="auto"/>
          <w:lang w:val="en-US"/>
        </w:rPr>
        <w:t xml:space="preserve"> Such items are usually required </w:t>
      </w:r>
      <w:r w:rsidR="000953ED">
        <w:rPr>
          <w:color w:val="auto"/>
          <w:lang w:val="en-US"/>
        </w:rPr>
        <w:t>with a short lead time</w:t>
      </w:r>
      <w:r w:rsidR="00953358" w:rsidRPr="00953358">
        <w:rPr>
          <w:color w:val="auto"/>
          <w:lang w:val="en-US"/>
        </w:rPr>
        <w:t>, preferably with next day delivery or as close to it as possible.</w:t>
      </w:r>
    </w:p>
    <w:p w14:paraId="638243AF" w14:textId="77777777" w:rsidR="000953ED" w:rsidRPr="00953358" w:rsidRDefault="000953ED" w:rsidP="00AB124C">
      <w:pPr>
        <w:jc w:val="both"/>
        <w:rPr>
          <w:color w:val="auto"/>
          <w:lang w:val="en-US"/>
        </w:rPr>
      </w:pPr>
    </w:p>
    <w:p w14:paraId="147B9AE3" w14:textId="16F6A426" w:rsidR="0036270D" w:rsidRPr="00953358" w:rsidRDefault="0036270D" w:rsidP="00AB124C">
      <w:pPr>
        <w:jc w:val="both"/>
        <w:rPr>
          <w:color w:val="auto"/>
          <w:lang w:val="en-US"/>
        </w:rPr>
      </w:pPr>
      <w:r w:rsidRPr="00953358">
        <w:rPr>
          <w:color w:val="auto"/>
          <w:lang w:val="en-US"/>
        </w:rPr>
        <w:t>Such items would include goods such as</w:t>
      </w:r>
      <w:r w:rsidR="00953358" w:rsidRPr="00953358">
        <w:rPr>
          <w:color w:val="auto"/>
          <w:lang w:val="en-US"/>
        </w:rPr>
        <w:t xml:space="preserve"> </w:t>
      </w:r>
      <w:r w:rsidRPr="00953358">
        <w:rPr>
          <w:color w:val="auto"/>
          <w:lang w:val="en-US"/>
        </w:rPr>
        <w:t xml:space="preserve">Keyboards, Mice, </w:t>
      </w:r>
      <w:r w:rsidR="00F845E7">
        <w:rPr>
          <w:color w:val="auto"/>
          <w:lang w:val="en-US"/>
        </w:rPr>
        <w:t xml:space="preserve">device </w:t>
      </w:r>
      <w:r w:rsidRPr="00953358">
        <w:rPr>
          <w:color w:val="auto"/>
          <w:lang w:val="en-US"/>
        </w:rPr>
        <w:t>Charging Cables, Monitors, LCD Televisions, mounts and brackets, Laptops and bags, Mobile Telephones, Desk phone Handsets, and telephony headsets</w:t>
      </w:r>
      <w:r w:rsidR="00F845E7">
        <w:rPr>
          <w:color w:val="auto"/>
          <w:lang w:val="en-US"/>
        </w:rPr>
        <w:t>.</w:t>
      </w:r>
    </w:p>
    <w:p w14:paraId="380ADF00" w14:textId="77777777" w:rsidR="00D85C57" w:rsidRPr="00953358" w:rsidRDefault="00D85C57" w:rsidP="00AB124C">
      <w:pPr>
        <w:jc w:val="both"/>
        <w:rPr>
          <w:color w:val="auto"/>
          <w:lang w:val="en-US"/>
        </w:rPr>
      </w:pPr>
    </w:p>
    <w:p w14:paraId="644940D8" w14:textId="493A71D9" w:rsidR="0036270D" w:rsidRPr="00953358" w:rsidRDefault="0036270D" w:rsidP="0036270D">
      <w:pPr>
        <w:jc w:val="both"/>
        <w:rPr>
          <w:color w:val="auto"/>
          <w:lang w:val="en-US"/>
        </w:rPr>
      </w:pPr>
      <w:r w:rsidRPr="00953358">
        <w:rPr>
          <w:color w:val="auto"/>
          <w:lang w:val="en-US"/>
        </w:rPr>
        <w:t xml:space="preserve">GBC is a small local government authority located in the town of Gosport, Hampshire, and is conducting this procurement to </w:t>
      </w:r>
      <w:r w:rsidR="000953ED">
        <w:rPr>
          <w:color w:val="auto"/>
          <w:lang w:val="en-US"/>
        </w:rPr>
        <w:t xml:space="preserve">enable the Council to </w:t>
      </w:r>
      <w:r w:rsidRPr="00953358">
        <w:rPr>
          <w:color w:val="auto"/>
          <w:lang w:val="en-US"/>
        </w:rPr>
        <w:t xml:space="preserve">purchase </w:t>
      </w:r>
      <w:r w:rsidR="000953ED">
        <w:rPr>
          <w:color w:val="auto"/>
          <w:lang w:val="en-US"/>
        </w:rPr>
        <w:t>IT hardware on an ad-hoc basis with a short lead-time.</w:t>
      </w:r>
    </w:p>
    <w:p w14:paraId="454B2155" w14:textId="77777777" w:rsidR="0036270D" w:rsidRDefault="0036270D" w:rsidP="0036270D">
      <w:pPr>
        <w:jc w:val="both"/>
        <w:rPr>
          <w:color w:val="4F81BD" w:themeColor="accent1"/>
          <w:lang w:val="en-US"/>
        </w:rPr>
      </w:pPr>
    </w:p>
    <w:p w14:paraId="40288B0B" w14:textId="0828B408" w:rsidR="00C00D19" w:rsidRPr="00316F8C" w:rsidRDefault="00C00D19" w:rsidP="006C4F4D">
      <w:pPr>
        <w:pStyle w:val="Heading1"/>
        <w:numPr>
          <w:ilvl w:val="0"/>
          <w:numId w:val="1"/>
        </w:numPr>
        <w:ind w:left="426" w:hanging="426"/>
        <w:jc w:val="both"/>
        <w:rPr>
          <w:b w:val="0"/>
          <w:bCs/>
          <w:lang w:val="en-US"/>
        </w:rPr>
      </w:pPr>
      <w:bookmarkStart w:id="1" w:name="_Toc159239526"/>
      <w:r w:rsidRPr="006C4F4D">
        <w:rPr>
          <w:rFonts w:cs="Arial"/>
          <w:szCs w:val="24"/>
          <w:lang w:val="en-US"/>
        </w:rPr>
        <w:t>Specification</w:t>
      </w:r>
      <w:r w:rsidRPr="00316F8C">
        <w:rPr>
          <w:bCs/>
          <w:lang w:val="en-US"/>
        </w:rPr>
        <w:t xml:space="preserve"> / Requirements</w:t>
      </w:r>
      <w:bookmarkEnd w:id="1"/>
    </w:p>
    <w:p w14:paraId="3A9BF77F" w14:textId="77777777" w:rsidR="00643F40" w:rsidRDefault="00643F40" w:rsidP="00643F40">
      <w:pPr>
        <w:jc w:val="both"/>
        <w:rPr>
          <w:color w:val="FF0000"/>
          <w:lang w:val="en-US"/>
        </w:rPr>
      </w:pPr>
    </w:p>
    <w:p w14:paraId="380ACBFB" w14:textId="064177EF" w:rsidR="00953358" w:rsidRDefault="00953358" w:rsidP="00953358">
      <w:pPr>
        <w:spacing w:after="200" w:line="276" w:lineRule="auto"/>
        <w:rPr>
          <w:color w:val="auto"/>
          <w:lang w:val="en-US"/>
        </w:rPr>
      </w:pPr>
      <w:r w:rsidRPr="00953358">
        <w:rPr>
          <w:color w:val="auto"/>
          <w:lang w:val="en-US"/>
        </w:rPr>
        <w:t xml:space="preserve">The successful supplier (mentioned hereafter as ‘the </w:t>
      </w:r>
      <w:r w:rsidR="000953ED">
        <w:rPr>
          <w:color w:val="auto"/>
          <w:lang w:val="en-US"/>
        </w:rPr>
        <w:t>Supplier</w:t>
      </w:r>
      <w:r w:rsidRPr="00953358">
        <w:rPr>
          <w:color w:val="auto"/>
          <w:lang w:val="en-US"/>
        </w:rPr>
        <w:t xml:space="preserve">) will supply and deliver I.C.T.  hardware items, including Keyboards, Mice, Charging Cables, Monitors, LCD Televisions, mounts and brackets, Laptops and bags, Mobile Telephones, Desk phone Handsets, and telephony headsets (mentioned hereafter as ‘the goods’). </w:t>
      </w:r>
    </w:p>
    <w:p w14:paraId="4586A754" w14:textId="23663657" w:rsidR="00FE4B21" w:rsidRDefault="00D7210E" w:rsidP="00D7210E">
      <w:pPr>
        <w:rPr>
          <w:color w:val="auto"/>
          <w:lang w:val="en-US"/>
        </w:rPr>
      </w:pPr>
      <w:r w:rsidRPr="00D7210E">
        <w:rPr>
          <w:color w:val="auto"/>
          <w:lang w:val="en-US"/>
        </w:rPr>
        <w:t>Please note that some items are listed as named manufacturers/brands. This is due to compatibility issues with existing software, a</w:t>
      </w:r>
      <w:r w:rsidR="00435E15">
        <w:rPr>
          <w:color w:val="auto"/>
          <w:lang w:val="en-US"/>
        </w:rPr>
        <w:t>nd continuity within the Council</w:t>
      </w:r>
      <w:r w:rsidRPr="00D7210E">
        <w:rPr>
          <w:color w:val="auto"/>
          <w:lang w:val="en-US"/>
        </w:rPr>
        <w:t xml:space="preserve"> equipment already issued to staff. Therefore, we cannot accept alternative manufacturers/brands on these s</w:t>
      </w:r>
      <w:r w:rsidR="00435E15">
        <w:rPr>
          <w:color w:val="auto"/>
          <w:lang w:val="en-US"/>
        </w:rPr>
        <w:t>pecific items. For all other items, GBC</w:t>
      </w:r>
      <w:r w:rsidRPr="00D7210E">
        <w:rPr>
          <w:color w:val="auto"/>
          <w:lang w:val="en-US"/>
        </w:rPr>
        <w:t xml:space="preserve"> </w:t>
      </w:r>
      <w:r w:rsidR="00435E15">
        <w:rPr>
          <w:color w:val="auto"/>
          <w:lang w:val="en-US"/>
        </w:rPr>
        <w:t xml:space="preserve">has not specified brands. </w:t>
      </w:r>
    </w:p>
    <w:p w14:paraId="233F7FE0" w14:textId="77777777" w:rsidR="00435E15" w:rsidRDefault="00435E15" w:rsidP="00D7210E">
      <w:pPr>
        <w:rPr>
          <w:color w:val="auto"/>
          <w:lang w:val="en-US"/>
        </w:rPr>
      </w:pPr>
    </w:p>
    <w:p w14:paraId="18A2C659" w14:textId="3421D9D8" w:rsidR="006C4F4D" w:rsidRDefault="006C4F4D" w:rsidP="00953358">
      <w:pPr>
        <w:spacing w:after="200" w:line="276" w:lineRule="auto"/>
        <w:rPr>
          <w:color w:val="auto"/>
          <w:lang w:val="en-US"/>
        </w:rPr>
      </w:pPr>
      <w:r>
        <w:rPr>
          <w:color w:val="auto"/>
          <w:lang w:val="en-US"/>
        </w:rPr>
        <w:t xml:space="preserve">Delivery of the items are required next working day or within 1-2 </w:t>
      </w:r>
      <w:r w:rsidR="00435E15">
        <w:rPr>
          <w:color w:val="auto"/>
          <w:lang w:val="en-US"/>
        </w:rPr>
        <w:t>working days from date of order, to the following address:</w:t>
      </w:r>
    </w:p>
    <w:p w14:paraId="34E0836C" w14:textId="7711BF98" w:rsidR="00435E15" w:rsidRDefault="00435E15" w:rsidP="00435E15">
      <w:pPr>
        <w:pStyle w:val="NoSpacing"/>
        <w:rPr>
          <w:lang w:val="en-US"/>
        </w:rPr>
      </w:pPr>
      <w:r>
        <w:rPr>
          <w:lang w:val="en-US"/>
        </w:rPr>
        <w:t>Gosport Borough Council,</w:t>
      </w:r>
    </w:p>
    <w:p w14:paraId="3F923F1B" w14:textId="19CA3C3A" w:rsidR="00435E15" w:rsidRDefault="00435E15" w:rsidP="00435E15">
      <w:pPr>
        <w:pStyle w:val="NoSpacing"/>
        <w:rPr>
          <w:lang w:val="en-US"/>
        </w:rPr>
      </w:pPr>
      <w:r>
        <w:rPr>
          <w:lang w:val="en-US"/>
        </w:rPr>
        <w:t>Town Hall, High Street</w:t>
      </w:r>
    </w:p>
    <w:p w14:paraId="7E75399C" w14:textId="0A36D0A8" w:rsidR="00435E15" w:rsidRDefault="00435E15" w:rsidP="00435E15">
      <w:pPr>
        <w:pStyle w:val="NoSpacing"/>
        <w:rPr>
          <w:lang w:val="en-US"/>
        </w:rPr>
      </w:pPr>
      <w:r>
        <w:rPr>
          <w:lang w:val="en-US"/>
        </w:rPr>
        <w:t>Gosport, Hampshire</w:t>
      </w:r>
    </w:p>
    <w:p w14:paraId="73EF6F9B" w14:textId="4F003A46" w:rsidR="00435E15" w:rsidRPr="00953358" w:rsidRDefault="00435E15" w:rsidP="00435E15">
      <w:pPr>
        <w:pStyle w:val="NoSpacing"/>
        <w:rPr>
          <w:lang w:val="en-US"/>
        </w:rPr>
      </w:pPr>
      <w:r>
        <w:rPr>
          <w:lang w:val="en-US"/>
        </w:rPr>
        <w:t>PO12 1EB</w:t>
      </w:r>
    </w:p>
    <w:p w14:paraId="25F77067" w14:textId="77777777" w:rsidR="00435E15" w:rsidRDefault="00435E15" w:rsidP="00953358">
      <w:pPr>
        <w:spacing w:after="200" w:line="276" w:lineRule="auto"/>
        <w:rPr>
          <w:color w:val="auto"/>
          <w:lang w:val="en-US"/>
        </w:rPr>
      </w:pPr>
    </w:p>
    <w:p w14:paraId="3CF360D9" w14:textId="77777777" w:rsidR="00435E15" w:rsidRDefault="00435E15" w:rsidP="00953358">
      <w:pPr>
        <w:spacing w:after="200" w:line="276" w:lineRule="auto"/>
        <w:rPr>
          <w:color w:val="auto"/>
          <w:lang w:val="en-US"/>
        </w:rPr>
      </w:pPr>
    </w:p>
    <w:p w14:paraId="11403CB2" w14:textId="288978FE" w:rsidR="00953358" w:rsidRPr="00953358" w:rsidRDefault="00953358" w:rsidP="00953358">
      <w:pPr>
        <w:spacing w:after="200" w:line="276" w:lineRule="auto"/>
        <w:rPr>
          <w:color w:val="auto"/>
          <w:lang w:val="en-US"/>
        </w:rPr>
      </w:pPr>
      <w:r w:rsidRPr="00953358">
        <w:rPr>
          <w:color w:val="auto"/>
          <w:lang w:val="en-US"/>
        </w:rPr>
        <w:t xml:space="preserve">The goods will be in accordance with statutory requirements, be of satisfactory quality, meet any description concerning them and be fit for normal purposes as per the Sale of Goods Act 2015. </w:t>
      </w:r>
    </w:p>
    <w:p w14:paraId="68652A57" w14:textId="54C41F39" w:rsidR="00953358" w:rsidRPr="00953358" w:rsidRDefault="00953358" w:rsidP="00953358">
      <w:pPr>
        <w:spacing w:line="276" w:lineRule="auto"/>
        <w:ind w:right="-46" w:hanging="11"/>
      </w:pPr>
      <w:r w:rsidRPr="00953358">
        <w:t xml:space="preserve">All goods should conform to relevant industry standards, </w:t>
      </w:r>
      <w:r w:rsidRPr="00953358">
        <w:rPr>
          <w:color w:val="auto"/>
          <w:lang w:val="en-US"/>
        </w:rPr>
        <w:t xml:space="preserve">the </w:t>
      </w:r>
      <w:r w:rsidR="000953ED">
        <w:rPr>
          <w:color w:val="auto"/>
          <w:lang w:val="en-US"/>
        </w:rPr>
        <w:t>supplier</w:t>
      </w:r>
      <w:r w:rsidRPr="00953358">
        <w:rPr>
          <w:color w:val="auto"/>
          <w:lang w:val="en-US"/>
        </w:rPr>
        <w:t xml:space="preserve"> </w:t>
      </w:r>
      <w:r w:rsidRPr="00953358">
        <w:t>shall be responsible for ensuring that the goods are of a condition that is fit for purpose for its intended use.</w:t>
      </w:r>
    </w:p>
    <w:p w14:paraId="0C1635DB" w14:textId="77777777" w:rsidR="00953358" w:rsidRPr="00953358" w:rsidRDefault="00953358" w:rsidP="00953358">
      <w:pPr>
        <w:spacing w:line="276" w:lineRule="auto"/>
        <w:ind w:right="-46" w:hanging="11"/>
      </w:pPr>
    </w:p>
    <w:p w14:paraId="4B1CDBC3" w14:textId="4412F06C" w:rsidR="00953358" w:rsidRDefault="00953358" w:rsidP="00953358">
      <w:pPr>
        <w:spacing w:after="200" w:line="276" w:lineRule="auto"/>
        <w:rPr>
          <w:color w:val="auto"/>
          <w:lang w:val="en-US"/>
        </w:rPr>
      </w:pPr>
      <w:r w:rsidRPr="00953358">
        <w:rPr>
          <w:color w:val="auto"/>
          <w:lang w:val="en-US"/>
        </w:rPr>
        <w:t xml:space="preserve">All goods must be correctly loaded and </w:t>
      </w:r>
      <w:r w:rsidR="000953ED">
        <w:rPr>
          <w:color w:val="auto"/>
          <w:lang w:val="en-US"/>
        </w:rPr>
        <w:t xml:space="preserve">secured </w:t>
      </w:r>
      <w:r w:rsidRPr="00953358">
        <w:rPr>
          <w:color w:val="auto"/>
          <w:lang w:val="en-US"/>
        </w:rPr>
        <w:t xml:space="preserve">to reach their destination in good condition and at the agreed time/date. </w:t>
      </w:r>
    </w:p>
    <w:p w14:paraId="2D27B370" w14:textId="77777777" w:rsidR="00953358" w:rsidRPr="00953358" w:rsidRDefault="00953358" w:rsidP="00953358">
      <w:pPr>
        <w:spacing w:after="200" w:line="276" w:lineRule="auto"/>
        <w:rPr>
          <w:color w:val="auto"/>
          <w:lang w:val="en-US"/>
        </w:rPr>
      </w:pPr>
      <w:r w:rsidRPr="00953358">
        <w:rPr>
          <w:color w:val="auto"/>
          <w:lang w:val="en-US"/>
        </w:rPr>
        <w:t>The goods will be ordered electronically via a purchase order with a unique number, this number must be shown on each delivery note, which must accompany each delivery. Each invoice must also contain the correct unique number to correspond with the goods delivered.</w:t>
      </w:r>
    </w:p>
    <w:p w14:paraId="671BA33B" w14:textId="19E52322" w:rsidR="00953358" w:rsidRPr="00953358" w:rsidRDefault="00953358" w:rsidP="00953358">
      <w:pPr>
        <w:spacing w:line="240" w:lineRule="auto"/>
        <w:rPr>
          <w:color w:val="auto"/>
          <w:lang w:val="en-US"/>
        </w:rPr>
      </w:pPr>
      <w:r w:rsidRPr="00953358">
        <w:rPr>
          <w:color w:val="auto"/>
          <w:lang w:val="en-US"/>
        </w:rPr>
        <w:t xml:space="preserve">The pricing schedule lists the goods that GBC anticipate ordering throughout the duration of the </w:t>
      </w:r>
      <w:r w:rsidR="000953ED">
        <w:rPr>
          <w:color w:val="auto"/>
          <w:lang w:val="en-US"/>
        </w:rPr>
        <w:t>supply period</w:t>
      </w:r>
      <w:r w:rsidRPr="00953358">
        <w:rPr>
          <w:color w:val="auto"/>
          <w:lang w:val="en-US"/>
        </w:rPr>
        <w:t xml:space="preserve">. For illustration purposes only the Pricing Schedule, Column A, provides the unit of measure typically used for each order. These quantities are not guaranteed in any way for future orders. </w:t>
      </w:r>
    </w:p>
    <w:p w14:paraId="2A51FC94" w14:textId="77777777" w:rsidR="00953358" w:rsidRPr="00953358" w:rsidRDefault="00953358" w:rsidP="00953358">
      <w:pPr>
        <w:spacing w:line="240" w:lineRule="auto"/>
        <w:rPr>
          <w:color w:val="auto"/>
          <w:lang w:val="en-US"/>
        </w:rPr>
      </w:pPr>
    </w:p>
    <w:p w14:paraId="2653940E" w14:textId="77788601" w:rsidR="00953358" w:rsidRPr="00953358" w:rsidRDefault="00953358" w:rsidP="00953358">
      <w:pPr>
        <w:spacing w:line="240" w:lineRule="auto"/>
        <w:rPr>
          <w:color w:val="auto"/>
        </w:rPr>
      </w:pPr>
      <w:r w:rsidRPr="00953358">
        <w:rPr>
          <w:color w:val="auto"/>
        </w:rPr>
        <w:t>For the avoidance of doubt, the Council will not guarantee the commissioning of any volume of goods through this</w:t>
      </w:r>
      <w:r w:rsidR="00F94D4E">
        <w:rPr>
          <w:color w:val="auto"/>
        </w:rPr>
        <w:t xml:space="preserve"> supply period</w:t>
      </w:r>
      <w:r w:rsidRPr="00953358">
        <w:rPr>
          <w:color w:val="auto"/>
        </w:rPr>
        <w:t>.</w:t>
      </w:r>
    </w:p>
    <w:p w14:paraId="6F63B234" w14:textId="77777777" w:rsidR="00953358" w:rsidRPr="00953358" w:rsidRDefault="00953358" w:rsidP="00953358">
      <w:pPr>
        <w:spacing w:after="200" w:line="276" w:lineRule="auto"/>
        <w:rPr>
          <w:color w:val="auto"/>
          <w:lang w:val="en-US"/>
        </w:rPr>
      </w:pPr>
    </w:p>
    <w:p w14:paraId="5EB85BEA" w14:textId="537D06FF" w:rsidR="00953358" w:rsidRPr="00953358" w:rsidRDefault="00953358" w:rsidP="00953358">
      <w:pPr>
        <w:spacing w:after="200" w:line="276" w:lineRule="auto"/>
        <w:rPr>
          <w:color w:val="auto"/>
          <w:lang w:val="en-US"/>
        </w:rPr>
      </w:pPr>
      <w:r w:rsidRPr="00953358">
        <w:rPr>
          <w:color w:val="auto"/>
          <w:lang w:val="en-US"/>
        </w:rPr>
        <w:t xml:space="preserve">Any change in the quoted product during the </w:t>
      </w:r>
      <w:r w:rsidR="00600DFA">
        <w:rPr>
          <w:color w:val="auto"/>
          <w:lang w:val="en-US"/>
        </w:rPr>
        <w:t>12</w:t>
      </w:r>
      <w:r w:rsidR="00F94D4E" w:rsidRPr="00953358">
        <w:rPr>
          <w:color w:val="auto"/>
          <w:lang w:val="en-US"/>
        </w:rPr>
        <w:t>-month</w:t>
      </w:r>
      <w:r w:rsidRPr="00953358">
        <w:rPr>
          <w:color w:val="auto"/>
          <w:lang w:val="en-US"/>
        </w:rPr>
        <w:t xml:space="preserve"> period, must be made in consultation with GBC and on a like for like basis.</w:t>
      </w:r>
    </w:p>
    <w:p w14:paraId="61AB16EB" w14:textId="531508CC" w:rsidR="00953358" w:rsidRPr="00953358" w:rsidRDefault="00953358" w:rsidP="00953358">
      <w:pPr>
        <w:spacing w:after="200" w:line="276" w:lineRule="auto"/>
        <w:rPr>
          <w:color w:val="auto"/>
          <w:lang w:val="en-US"/>
        </w:rPr>
      </w:pPr>
      <w:r w:rsidRPr="00953358">
        <w:rPr>
          <w:color w:val="auto"/>
          <w:lang w:val="en-US"/>
        </w:rPr>
        <w:t>You must submit the attached pricing schedule complete with your full and final price for each item, for each lot that you want to quote for. Cells</w:t>
      </w:r>
      <w:r w:rsidR="00F94D4E">
        <w:rPr>
          <w:color w:val="auto"/>
          <w:lang w:val="en-US"/>
        </w:rPr>
        <w:t xml:space="preserve"> highlighted must be completed including all prices and lead times.</w:t>
      </w:r>
    </w:p>
    <w:p w14:paraId="7B9B1952" w14:textId="71AC226A" w:rsidR="00953358" w:rsidRDefault="00953358" w:rsidP="00953358">
      <w:pPr>
        <w:spacing w:after="200" w:line="276" w:lineRule="auto"/>
        <w:rPr>
          <w:color w:val="auto"/>
          <w:lang w:val="en-US"/>
        </w:rPr>
      </w:pPr>
      <w:r w:rsidRPr="00953358">
        <w:rPr>
          <w:color w:val="auto"/>
          <w:lang w:val="en-US"/>
        </w:rPr>
        <w:t xml:space="preserve">Prices must be fixed for the </w:t>
      </w:r>
      <w:r w:rsidR="00600DFA">
        <w:rPr>
          <w:color w:val="auto"/>
          <w:lang w:val="en-US"/>
        </w:rPr>
        <w:t>12</w:t>
      </w:r>
      <w:r w:rsidR="00F94D4E" w:rsidRPr="00953358">
        <w:rPr>
          <w:color w:val="auto"/>
          <w:lang w:val="en-US"/>
        </w:rPr>
        <w:t>-month</w:t>
      </w:r>
      <w:r w:rsidRPr="00953358">
        <w:rPr>
          <w:color w:val="auto"/>
          <w:lang w:val="en-US"/>
        </w:rPr>
        <w:t xml:space="preserve"> period, please ensure you provide your delivery costs and considerations for these costs in the cells provided.</w:t>
      </w:r>
    </w:p>
    <w:p w14:paraId="7B1C1ADA" w14:textId="232FD906" w:rsidR="00953358" w:rsidRPr="002C06AF" w:rsidRDefault="00F94D4E" w:rsidP="00F94D4E">
      <w:pPr>
        <w:pStyle w:val="Heading1"/>
        <w:jc w:val="both"/>
        <w:rPr>
          <w:rFonts w:cs="Arial"/>
          <w:b w:val="0"/>
          <w:bCs/>
          <w:szCs w:val="24"/>
        </w:rPr>
      </w:pPr>
      <w:bookmarkStart w:id="2" w:name="_Toc159239527"/>
      <w:proofErr w:type="gramStart"/>
      <w:r w:rsidRPr="00F94D4E">
        <w:rPr>
          <w:rFonts w:eastAsiaTheme="minorHAnsi" w:cs="Arial"/>
          <w:szCs w:val="24"/>
          <w:u w:val="none"/>
          <w:lang w:val="en-US"/>
        </w:rPr>
        <w:t>2.1</w:t>
      </w:r>
      <w:r>
        <w:rPr>
          <w:rFonts w:eastAsiaTheme="minorHAnsi" w:cs="Arial"/>
          <w:b w:val="0"/>
          <w:szCs w:val="24"/>
          <w:u w:val="none"/>
          <w:lang w:val="en-US"/>
        </w:rPr>
        <w:t xml:space="preserve"> </w:t>
      </w:r>
      <w:r w:rsidRPr="00F94D4E">
        <w:rPr>
          <w:rFonts w:cs="Arial"/>
          <w:b w:val="0"/>
          <w:bCs/>
          <w:szCs w:val="24"/>
          <w:u w:val="none"/>
        </w:rPr>
        <w:t xml:space="preserve"> </w:t>
      </w:r>
      <w:proofErr w:type="spellStart"/>
      <w:r w:rsidR="00953358" w:rsidRPr="00F94D4E">
        <w:rPr>
          <w:rFonts w:cs="Arial"/>
          <w:szCs w:val="24"/>
          <w:lang w:val="en-US"/>
        </w:rPr>
        <w:t>Lotting</w:t>
      </w:r>
      <w:bookmarkEnd w:id="2"/>
      <w:proofErr w:type="spellEnd"/>
      <w:proofErr w:type="gramEnd"/>
    </w:p>
    <w:p w14:paraId="003F0919" w14:textId="2240359D" w:rsidR="00953358" w:rsidRPr="002C06AF" w:rsidRDefault="00953358" w:rsidP="00953358">
      <w:pPr>
        <w:pStyle w:val="NoSpacing"/>
        <w:spacing w:after="200" w:line="276" w:lineRule="auto"/>
        <w:jc w:val="both"/>
        <w:rPr>
          <w:rFonts w:cs="Arial"/>
        </w:rPr>
      </w:pPr>
      <w:r w:rsidRPr="002C06AF">
        <w:rPr>
          <w:rFonts w:cs="Arial"/>
        </w:rPr>
        <w:t xml:space="preserve">The pricing schedule included in this invitation to quote is divided into </w:t>
      </w:r>
      <w:r>
        <w:rPr>
          <w:rFonts w:cs="Arial"/>
        </w:rPr>
        <w:t>3</w:t>
      </w:r>
      <w:r w:rsidRPr="002C06AF">
        <w:rPr>
          <w:rFonts w:cs="Arial"/>
        </w:rPr>
        <w:t xml:space="preserve"> lots. </w:t>
      </w:r>
      <w:r>
        <w:rPr>
          <w:rFonts w:cs="Arial"/>
        </w:rPr>
        <w:t xml:space="preserve">The </w:t>
      </w:r>
      <w:r w:rsidR="00F94D4E">
        <w:rPr>
          <w:rFonts w:cs="Arial"/>
        </w:rPr>
        <w:t>supplier</w:t>
      </w:r>
      <w:r>
        <w:rPr>
          <w:rFonts w:cs="Arial"/>
        </w:rPr>
        <w:t xml:space="preserve"> </w:t>
      </w:r>
      <w:r w:rsidRPr="002C06AF">
        <w:rPr>
          <w:rFonts w:cs="Arial"/>
        </w:rPr>
        <w:t xml:space="preserve">may quote for all of the lots or for fewer lots than this, if desired. It is for the </w:t>
      </w:r>
      <w:r w:rsidR="00F94D4E">
        <w:rPr>
          <w:rFonts w:cs="Arial"/>
        </w:rPr>
        <w:t>supplier</w:t>
      </w:r>
      <w:r w:rsidRPr="002C06AF">
        <w:rPr>
          <w:rFonts w:cs="Arial"/>
        </w:rPr>
        <w:t xml:space="preserve"> to determine which lots they wish to submit a quote for. The </w:t>
      </w:r>
      <w:r w:rsidR="00F94D4E">
        <w:rPr>
          <w:rFonts w:cs="Arial"/>
        </w:rPr>
        <w:t>supplier</w:t>
      </w:r>
      <w:r w:rsidRPr="002C06AF">
        <w:rPr>
          <w:rFonts w:cs="Arial"/>
        </w:rPr>
        <w:t xml:space="preserve"> must quote for all items within the Lot.</w:t>
      </w:r>
    </w:p>
    <w:p w14:paraId="60DA9794" w14:textId="77777777" w:rsidR="00643F40" w:rsidRPr="00953358" w:rsidRDefault="00643F40" w:rsidP="00643F40">
      <w:pPr>
        <w:rPr>
          <w:color w:val="auto"/>
          <w:lang w:val="en-US"/>
        </w:rPr>
      </w:pPr>
      <w:r w:rsidRPr="00953358">
        <w:rPr>
          <w:color w:val="auto"/>
          <w:lang w:val="en-US"/>
        </w:rPr>
        <w:t xml:space="preserve">The </w:t>
      </w:r>
      <w:r w:rsidR="00BE0858" w:rsidRPr="00953358">
        <w:rPr>
          <w:color w:val="auto"/>
          <w:lang w:val="en-US"/>
        </w:rPr>
        <w:t>Supplier</w:t>
      </w:r>
      <w:r w:rsidRPr="00953358">
        <w:rPr>
          <w:color w:val="auto"/>
          <w:lang w:val="en-US"/>
        </w:rPr>
        <w:t xml:space="preserve"> must offer open lines of communication via phone and email for GBC staff to receive advice and discuss requirements.  This must be available Monday to Friday from 9am until 5pm.</w:t>
      </w:r>
    </w:p>
    <w:p w14:paraId="57EB2099" w14:textId="77777777" w:rsidR="00C00D19" w:rsidRPr="00AB124C" w:rsidRDefault="00C00D19" w:rsidP="00AB124C">
      <w:pPr>
        <w:pStyle w:val="Heading1"/>
        <w:numPr>
          <w:ilvl w:val="0"/>
          <w:numId w:val="1"/>
        </w:numPr>
        <w:ind w:left="426" w:hanging="426"/>
        <w:jc w:val="both"/>
        <w:rPr>
          <w:rFonts w:cs="Arial"/>
          <w:szCs w:val="24"/>
          <w:lang w:val="en-US"/>
        </w:rPr>
      </w:pPr>
      <w:bookmarkStart w:id="3" w:name="_Toc159239528"/>
      <w:r w:rsidRPr="00AB124C">
        <w:rPr>
          <w:rFonts w:cs="Arial"/>
          <w:szCs w:val="24"/>
          <w:lang w:val="en-US"/>
        </w:rPr>
        <w:lastRenderedPageBreak/>
        <w:t>Insurance</w:t>
      </w:r>
      <w:bookmarkEnd w:id="3"/>
    </w:p>
    <w:p w14:paraId="724E66F8" w14:textId="77777777" w:rsidR="00C00D19" w:rsidRPr="00AB124C" w:rsidRDefault="00C00D19" w:rsidP="00AB124C">
      <w:pPr>
        <w:ind w:left="426" w:hanging="426"/>
        <w:jc w:val="both"/>
        <w:rPr>
          <w:lang w:val="en-US"/>
        </w:rPr>
      </w:pPr>
    </w:p>
    <w:p w14:paraId="3702B87C" w14:textId="77777777" w:rsidR="00561108" w:rsidRDefault="006F338B" w:rsidP="003C72DD">
      <w:pPr>
        <w:autoSpaceDE w:val="0"/>
        <w:autoSpaceDN w:val="0"/>
        <w:adjustRightInd w:val="0"/>
        <w:spacing w:line="240" w:lineRule="auto"/>
        <w:jc w:val="both"/>
        <w:rPr>
          <w:color w:val="auto"/>
        </w:rPr>
      </w:pPr>
      <w:r w:rsidRPr="00953358">
        <w:rPr>
          <w:color w:val="auto"/>
        </w:rPr>
        <w:t xml:space="preserve">The successful </w:t>
      </w:r>
      <w:r w:rsidR="00BE0858" w:rsidRPr="00953358">
        <w:rPr>
          <w:color w:val="auto"/>
        </w:rPr>
        <w:t>supplier</w:t>
      </w:r>
      <w:r w:rsidRPr="00953358">
        <w:rPr>
          <w:color w:val="auto"/>
        </w:rPr>
        <w:t xml:space="preserve"> shall hold and continue to hold valid insurance, such as public and employee liability and professional indemnity, throughout the service provision. The service provider must provide evidence of cover to the Council at any time when requested by GBC. See GBC standard terms and conditions, ‘i</w:t>
      </w:r>
      <w:r w:rsidR="003C72DD" w:rsidRPr="00953358">
        <w:rPr>
          <w:color w:val="auto"/>
        </w:rPr>
        <w:t>ndemnity and insurance’ clause.</w:t>
      </w:r>
    </w:p>
    <w:p w14:paraId="5DB46D97" w14:textId="24BDAF04" w:rsidR="00953358" w:rsidRDefault="00953358" w:rsidP="003C72DD">
      <w:pPr>
        <w:autoSpaceDE w:val="0"/>
        <w:autoSpaceDN w:val="0"/>
        <w:adjustRightInd w:val="0"/>
        <w:spacing w:line="240" w:lineRule="auto"/>
        <w:jc w:val="both"/>
        <w:rPr>
          <w:color w:val="auto"/>
        </w:rPr>
      </w:pPr>
    </w:p>
    <w:p w14:paraId="1BEFE10E" w14:textId="77777777" w:rsidR="00F94D4E" w:rsidRPr="00953358" w:rsidRDefault="00F94D4E" w:rsidP="003C72DD">
      <w:pPr>
        <w:autoSpaceDE w:val="0"/>
        <w:autoSpaceDN w:val="0"/>
        <w:adjustRightInd w:val="0"/>
        <w:spacing w:line="240" w:lineRule="auto"/>
        <w:jc w:val="both"/>
        <w:rPr>
          <w:color w:val="auto"/>
        </w:rPr>
      </w:pPr>
    </w:p>
    <w:p w14:paraId="7E6C3E58" w14:textId="77777777" w:rsidR="00C00D19" w:rsidRPr="00AB124C" w:rsidRDefault="00ED1BA4" w:rsidP="00AB124C">
      <w:pPr>
        <w:pStyle w:val="Heading1"/>
        <w:numPr>
          <w:ilvl w:val="0"/>
          <w:numId w:val="1"/>
        </w:numPr>
        <w:ind w:left="426" w:hanging="426"/>
        <w:jc w:val="both"/>
        <w:rPr>
          <w:rFonts w:cs="Arial"/>
          <w:szCs w:val="24"/>
          <w:lang w:val="en-US"/>
        </w:rPr>
      </w:pPr>
      <w:bookmarkStart w:id="4" w:name="_Toc159239529"/>
      <w:r>
        <w:rPr>
          <w:rFonts w:cs="Arial"/>
          <w:szCs w:val="24"/>
          <w:lang w:val="en-US"/>
        </w:rPr>
        <w:t xml:space="preserve">Procurement </w:t>
      </w:r>
      <w:r w:rsidR="00C00D19" w:rsidRPr="00AB124C">
        <w:rPr>
          <w:rFonts w:cs="Arial"/>
          <w:szCs w:val="24"/>
          <w:lang w:val="en-US"/>
        </w:rPr>
        <w:t>Timetable</w:t>
      </w:r>
      <w:bookmarkEnd w:id="4"/>
    </w:p>
    <w:tbl>
      <w:tblPr>
        <w:tblStyle w:val="TableGrid"/>
        <w:tblW w:w="0" w:type="auto"/>
        <w:tblInd w:w="108" w:type="dxa"/>
        <w:tblLook w:val="04A0" w:firstRow="1" w:lastRow="0" w:firstColumn="1" w:lastColumn="0" w:noHBand="0" w:noVBand="1"/>
      </w:tblPr>
      <w:tblGrid>
        <w:gridCol w:w="3715"/>
        <w:gridCol w:w="5193"/>
      </w:tblGrid>
      <w:tr w:rsidR="00316F8C" w:rsidRPr="00316F8C" w14:paraId="6C4A3318" w14:textId="77777777" w:rsidTr="00F94D4E">
        <w:tc>
          <w:tcPr>
            <w:tcW w:w="3715" w:type="dxa"/>
          </w:tcPr>
          <w:p w14:paraId="43A21CF1" w14:textId="77777777" w:rsidR="00A76F29" w:rsidRPr="00316F8C" w:rsidRDefault="00A76F29" w:rsidP="00AB124C">
            <w:pPr>
              <w:jc w:val="both"/>
              <w:rPr>
                <w:rFonts w:ascii="Arial" w:hAnsi="Arial" w:cs="Arial"/>
                <w:b/>
                <w:lang w:val="en-US"/>
              </w:rPr>
            </w:pPr>
            <w:r w:rsidRPr="00316F8C">
              <w:rPr>
                <w:rFonts w:ascii="Arial" w:hAnsi="Arial" w:cs="Arial"/>
                <w:b/>
                <w:lang w:val="en-US"/>
              </w:rPr>
              <w:t>Event</w:t>
            </w:r>
          </w:p>
        </w:tc>
        <w:tc>
          <w:tcPr>
            <w:tcW w:w="5193" w:type="dxa"/>
          </w:tcPr>
          <w:p w14:paraId="3D3D1B39" w14:textId="77777777" w:rsidR="00A76F29" w:rsidRPr="00316F8C" w:rsidRDefault="00A76F29" w:rsidP="00AB124C">
            <w:pPr>
              <w:jc w:val="both"/>
              <w:rPr>
                <w:rFonts w:ascii="Arial" w:hAnsi="Arial" w:cs="Arial"/>
                <w:b/>
                <w:lang w:val="en-US"/>
              </w:rPr>
            </w:pPr>
            <w:r w:rsidRPr="00316F8C">
              <w:rPr>
                <w:rFonts w:ascii="Arial" w:hAnsi="Arial" w:cs="Arial"/>
                <w:b/>
                <w:lang w:val="en-US"/>
              </w:rPr>
              <w:t>Indicative Date</w:t>
            </w:r>
          </w:p>
        </w:tc>
      </w:tr>
      <w:tr w:rsidR="00316F8C" w:rsidRPr="00316F8C" w14:paraId="647FBC31" w14:textId="77777777" w:rsidTr="00F94D4E">
        <w:tc>
          <w:tcPr>
            <w:tcW w:w="3715" w:type="dxa"/>
          </w:tcPr>
          <w:p w14:paraId="7597144E" w14:textId="77777777" w:rsidR="00C00D19" w:rsidRPr="00316F8C" w:rsidRDefault="00A76F29" w:rsidP="00AB124C">
            <w:pPr>
              <w:jc w:val="both"/>
              <w:rPr>
                <w:rFonts w:ascii="Arial" w:hAnsi="Arial" w:cs="Arial"/>
                <w:lang w:val="en-US"/>
              </w:rPr>
            </w:pPr>
            <w:r w:rsidRPr="00316F8C">
              <w:rPr>
                <w:rFonts w:ascii="Arial" w:hAnsi="Arial" w:cs="Arial"/>
                <w:lang w:val="en-US"/>
              </w:rPr>
              <w:t>Invitation to Quote published</w:t>
            </w:r>
          </w:p>
        </w:tc>
        <w:tc>
          <w:tcPr>
            <w:tcW w:w="5193" w:type="dxa"/>
          </w:tcPr>
          <w:p w14:paraId="3FF2E674" w14:textId="527A68EF" w:rsidR="00C00D19" w:rsidRPr="00316F8C" w:rsidRDefault="00F2376E" w:rsidP="00AB124C">
            <w:pPr>
              <w:jc w:val="both"/>
              <w:rPr>
                <w:rFonts w:ascii="Arial" w:hAnsi="Arial" w:cs="Arial"/>
                <w:lang w:val="en-US"/>
              </w:rPr>
            </w:pPr>
            <w:r>
              <w:rPr>
                <w:rFonts w:ascii="Arial" w:hAnsi="Arial" w:cs="Arial"/>
                <w:lang w:val="en-US"/>
              </w:rPr>
              <w:t>12/04</w:t>
            </w:r>
            <w:r w:rsidR="00CD2ED1">
              <w:rPr>
                <w:rFonts w:ascii="Arial" w:hAnsi="Arial" w:cs="Arial"/>
                <w:lang w:val="en-US"/>
              </w:rPr>
              <w:t>/</w:t>
            </w:r>
            <w:r w:rsidR="00F94D4E">
              <w:rPr>
                <w:rFonts w:ascii="Arial" w:hAnsi="Arial" w:cs="Arial"/>
                <w:lang w:val="en-US"/>
              </w:rPr>
              <w:t>202</w:t>
            </w:r>
            <w:r w:rsidR="00936205">
              <w:rPr>
                <w:rFonts w:ascii="Arial" w:hAnsi="Arial" w:cs="Arial"/>
                <w:lang w:val="en-US"/>
              </w:rPr>
              <w:t>4</w:t>
            </w:r>
          </w:p>
        </w:tc>
      </w:tr>
      <w:tr w:rsidR="00316F8C" w:rsidRPr="00316F8C" w14:paraId="4CE6A0D7" w14:textId="77777777" w:rsidTr="00F94D4E">
        <w:tc>
          <w:tcPr>
            <w:tcW w:w="3715" w:type="dxa"/>
          </w:tcPr>
          <w:p w14:paraId="183165B9" w14:textId="77777777" w:rsidR="00C00D19" w:rsidRPr="00316F8C" w:rsidRDefault="00A76F29" w:rsidP="00AB124C">
            <w:pPr>
              <w:jc w:val="both"/>
              <w:rPr>
                <w:rFonts w:ascii="Arial" w:hAnsi="Arial" w:cs="Arial"/>
                <w:lang w:val="en-US"/>
              </w:rPr>
            </w:pPr>
            <w:r w:rsidRPr="00316F8C">
              <w:rPr>
                <w:rFonts w:ascii="Arial" w:hAnsi="Arial" w:cs="Arial"/>
                <w:lang w:val="en-US"/>
              </w:rPr>
              <w:t>Deadline for clarifications</w:t>
            </w:r>
          </w:p>
        </w:tc>
        <w:tc>
          <w:tcPr>
            <w:tcW w:w="5193" w:type="dxa"/>
          </w:tcPr>
          <w:p w14:paraId="3A182F98" w14:textId="0EC5E713" w:rsidR="00C00D19" w:rsidRPr="00316F8C" w:rsidRDefault="00CD2ED1" w:rsidP="00F94D4E">
            <w:pPr>
              <w:jc w:val="both"/>
              <w:rPr>
                <w:rFonts w:ascii="Arial" w:hAnsi="Arial" w:cs="Arial"/>
                <w:lang w:val="en-US"/>
              </w:rPr>
            </w:pPr>
            <w:r>
              <w:rPr>
                <w:rFonts w:ascii="Arial" w:hAnsi="Arial" w:cs="Arial"/>
                <w:lang w:val="en-US"/>
              </w:rPr>
              <w:t>24/05/</w:t>
            </w:r>
            <w:r w:rsidR="00F94D4E">
              <w:rPr>
                <w:rFonts w:ascii="Arial" w:hAnsi="Arial" w:cs="Arial"/>
                <w:lang w:val="en-US"/>
              </w:rPr>
              <w:t>202</w:t>
            </w:r>
            <w:r w:rsidR="00936205">
              <w:rPr>
                <w:rFonts w:ascii="Arial" w:hAnsi="Arial" w:cs="Arial"/>
                <w:lang w:val="en-US"/>
              </w:rPr>
              <w:t>4</w:t>
            </w:r>
          </w:p>
        </w:tc>
      </w:tr>
      <w:tr w:rsidR="00316F8C" w:rsidRPr="00316F8C" w14:paraId="58E450D4" w14:textId="77777777" w:rsidTr="00F94D4E">
        <w:tc>
          <w:tcPr>
            <w:tcW w:w="3715" w:type="dxa"/>
          </w:tcPr>
          <w:p w14:paraId="46B52655" w14:textId="77777777" w:rsidR="00C00D19" w:rsidRPr="00316F8C" w:rsidRDefault="00A76F29" w:rsidP="00AB124C">
            <w:pPr>
              <w:jc w:val="both"/>
              <w:rPr>
                <w:rFonts w:ascii="Arial" w:hAnsi="Arial" w:cs="Arial"/>
                <w:lang w:val="en-US"/>
              </w:rPr>
            </w:pPr>
            <w:r w:rsidRPr="00316F8C">
              <w:rPr>
                <w:rFonts w:ascii="Arial" w:hAnsi="Arial" w:cs="Arial"/>
                <w:lang w:val="en-US"/>
              </w:rPr>
              <w:t>Deadline for receipt of quotes</w:t>
            </w:r>
          </w:p>
        </w:tc>
        <w:tc>
          <w:tcPr>
            <w:tcW w:w="5193" w:type="dxa"/>
          </w:tcPr>
          <w:p w14:paraId="2E8C56A2" w14:textId="57799316" w:rsidR="00C00D19" w:rsidRPr="00316F8C" w:rsidRDefault="005E3921" w:rsidP="00F94D4E">
            <w:pPr>
              <w:jc w:val="both"/>
              <w:rPr>
                <w:rFonts w:ascii="Arial" w:hAnsi="Arial" w:cs="Arial"/>
                <w:lang w:val="en-US"/>
              </w:rPr>
            </w:pPr>
            <w:r>
              <w:rPr>
                <w:rFonts w:ascii="Arial" w:hAnsi="Arial" w:cs="Arial"/>
                <w:lang w:val="en-US"/>
              </w:rPr>
              <w:t xml:space="preserve">12:00pm, </w:t>
            </w:r>
            <w:r w:rsidR="00CD2ED1">
              <w:rPr>
                <w:rFonts w:ascii="Arial" w:hAnsi="Arial" w:cs="Arial"/>
                <w:lang w:val="en-US"/>
              </w:rPr>
              <w:t>31/05/</w:t>
            </w:r>
            <w:r w:rsidR="00F94D4E">
              <w:rPr>
                <w:rFonts w:ascii="Arial" w:hAnsi="Arial" w:cs="Arial"/>
                <w:lang w:val="en-US"/>
              </w:rPr>
              <w:t>202</w:t>
            </w:r>
            <w:r w:rsidR="00936205">
              <w:rPr>
                <w:rFonts w:ascii="Arial" w:hAnsi="Arial" w:cs="Arial"/>
                <w:lang w:val="en-US"/>
              </w:rPr>
              <w:t>4</w:t>
            </w:r>
          </w:p>
        </w:tc>
      </w:tr>
      <w:tr w:rsidR="00316F8C" w:rsidRPr="00316F8C" w14:paraId="725A678B" w14:textId="77777777" w:rsidTr="00F94D4E">
        <w:tc>
          <w:tcPr>
            <w:tcW w:w="3715" w:type="dxa"/>
          </w:tcPr>
          <w:p w14:paraId="49FDB5E6" w14:textId="77777777" w:rsidR="00A76F29" w:rsidRPr="00316F8C" w:rsidRDefault="00A76F29" w:rsidP="00AB124C">
            <w:pPr>
              <w:jc w:val="both"/>
              <w:rPr>
                <w:rFonts w:ascii="Arial" w:hAnsi="Arial" w:cs="Arial"/>
                <w:lang w:val="en-US"/>
              </w:rPr>
            </w:pPr>
            <w:r w:rsidRPr="00316F8C">
              <w:rPr>
                <w:rFonts w:ascii="Arial" w:hAnsi="Arial" w:cs="Arial"/>
                <w:lang w:val="en-US"/>
              </w:rPr>
              <w:t>Evaluation completed by</w:t>
            </w:r>
          </w:p>
        </w:tc>
        <w:tc>
          <w:tcPr>
            <w:tcW w:w="5193" w:type="dxa"/>
          </w:tcPr>
          <w:p w14:paraId="25380D13" w14:textId="1174F53E" w:rsidR="00A76F29" w:rsidRPr="00316F8C" w:rsidRDefault="00CD2ED1" w:rsidP="00AB124C">
            <w:pPr>
              <w:jc w:val="both"/>
              <w:rPr>
                <w:rFonts w:ascii="Arial" w:hAnsi="Arial" w:cs="Arial"/>
                <w:lang w:val="en-US"/>
              </w:rPr>
            </w:pPr>
            <w:r>
              <w:rPr>
                <w:rFonts w:ascii="Arial" w:hAnsi="Arial" w:cs="Arial"/>
                <w:lang w:val="en-US"/>
              </w:rPr>
              <w:t>07/06/</w:t>
            </w:r>
            <w:r w:rsidR="00F94D4E">
              <w:rPr>
                <w:rFonts w:ascii="Arial" w:hAnsi="Arial" w:cs="Arial"/>
                <w:lang w:val="en-US"/>
              </w:rPr>
              <w:t>202</w:t>
            </w:r>
            <w:r w:rsidR="00936205">
              <w:rPr>
                <w:rFonts w:ascii="Arial" w:hAnsi="Arial" w:cs="Arial"/>
                <w:lang w:val="en-US"/>
              </w:rPr>
              <w:t>4</w:t>
            </w:r>
          </w:p>
        </w:tc>
      </w:tr>
      <w:tr w:rsidR="00316F8C" w:rsidRPr="00316F8C" w14:paraId="330BFAB3" w14:textId="77777777" w:rsidTr="00F94D4E">
        <w:tc>
          <w:tcPr>
            <w:tcW w:w="3715" w:type="dxa"/>
          </w:tcPr>
          <w:p w14:paraId="114330F1" w14:textId="77777777" w:rsidR="00A76F29" w:rsidRPr="00316F8C" w:rsidRDefault="00A76F29" w:rsidP="00AB124C">
            <w:pPr>
              <w:jc w:val="both"/>
              <w:rPr>
                <w:rFonts w:ascii="Arial" w:hAnsi="Arial" w:cs="Arial"/>
                <w:lang w:val="en-US"/>
              </w:rPr>
            </w:pPr>
            <w:r w:rsidRPr="00316F8C">
              <w:rPr>
                <w:rFonts w:ascii="Arial" w:hAnsi="Arial" w:cs="Arial"/>
                <w:lang w:val="en-US"/>
              </w:rPr>
              <w:t>Notification of award decision</w:t>
            </w:r>
          </w:p>
        </w:tc>
        <w:tc>
          <w:tcPr>
            <w:tcW w:w="5193" w:type="dxa"/>
          </w:tcPr>
          <w:p w14:paraId="59B94153" w14:textId="0CE2564F" w:rsidR="00A76F29" w:rsidRPr="00316F8C" w:rsidRDefault="00CD2ED1" w:rsidP="00AB124C">
            <w:pPr>
              <w:jc w:val="both"/>
              <w:rPr>
                <w:rFonts w:ascii="Arial" w:hAnsi="Arial" w:cs="Arial"/>
                <w:lang w:val="en-US"/>
              </w:rPr>
            </w:pPr>
            <w:r>
              <w:rPr>
                <w:rFonts w:ascii="Arial" w:hAnsi="Arial" w:cs="Arial"/>
                <w:lang w:val="en-US"/>
              </w:rPr>
              <w:t>07/06/</w:t>
            </w:r>
            <w:r w:rsidR="00F94D4E">
              <w:rPr>
                <w:rFonts w:ascii="Arial" w:hAnsi="Arial" w:cs="Arial"/>
                <w:lang w:val="en-US"/>
              </w:rPr>
              <w:t>202</w:t>
            </w:r>
            <w:r w:rsidR="00936205">
              <w:rPr>
                <w:rFonts w:ascii="Arial" w:hAnsi="Arial" w:cs="Arial"/>
                <w:lang w:val="en-US"/>
              </w:rPr>
              <w:t>4</w:t>
            </w:r>
          </w:p>
        </w:tc>
      </w:tr>
      <w:tr w:rsidR="00316F8C" w:rsidRPr="00316F8C" w14:paraId="509F93E3" w14:textId="77777777" w:rsidTr="00F94D4E">
        <w:tc>
          <w:tcPr>
            <w:tcW w:w="3715" w:type="dxa"/>
          </w:tcPr>
          <w:p w14:paraId="6D9D6DEE" w14:textId="2001A41F" w:rsidR="00A76F29" w:rsidRPr="00316F8C" w:rsidRDefault="00F94D4E" w:rsidP="00F94D4E">
            <w:pPr>
              <w:jc w:val="both"/>
              <w:rPr>
                <w:rFonts w:ascii="Arial" w:hAnsi="Arial" w:cs="Arial"/>
                <w:lang w:val="en-US"/>
              </w:rPr>
            </w:pPr>
            <w:r>
              <w:rPr>
                <w:rFonts w:ascii="Arial" w:hAnsi="Arial" w:cs="Arial"/>
                <w:lang w:val="en-US"/>
              </w:rPr>
              <w:t>Supply period star</w:t>
            </w:r>
            <w:r w:rsidR="00A76F29" w:rsidRPr="00316F8C">
              <w:rPr>
                <w:rFonts w:ascii="Arial" w:hAnsi="Arial" w:cs="Arial"/>
                <w:lang w:val="en-US"/>
              </w:rPr>
              <w:t>t date</w:t>
            </w:r>
          </w:p>
        </w:tc>
        <w:tc>
          <w:tcPr>
            <w:tcW w:w="5193" w:type="dxa"/>
          </w:tcPr>
          <w:p w14:paraId="4B8F398C" w14:textId="45CD58BA" w:rsidR="00A76F29" w:rsidRPr="00316F8C" w:rsidRDefault="00CD2ED1" w:rsidP="00387E47">
            <w:pPr>
              <w:jc w:val="both"/>
              <w:rPr>
                <w:rFonts w:ascii="Arial" w:hAnsi="Arial" w:cs="Arial"/>
                <w:lang w:val="en-US"/>
              </w:rPr>
            </w:pPr>
            <w:r>
              <w:rPr>
                <w:rFonts w:ascii="Arial" w:hAnsi="Arial" w:cs="Arial"/>
                <w:lang w:val="en-US"/>
              </w:rPr>
              <w:t>01/07/</w:t>
            </w:r>
            <w:r w:rsidR="00F94D4E">
              <w:rPr>
                <w:rFonts w:ascii="Arial" w:hAnsi="Arial" w:cs="Arial"/>
                <w:lang w:val="en-US"/>
              </w:rPr>
              <w:t>2024</w:t>
            </w:r>
          </w:p>
        </w:tc>
      </w:tr>
      <w:tr w:rsidR="00316F8C" w:rsidRPr="00316F8C" w14:paraId="2FF25FAC" w14:textId="77777777" w:rsidTr="00F94D4E">
        <w:tc>
          <w:tcPr>
            <w:tcW w:w="3715" w:type="dxa"/>
          </w:tcPr>
          <w:p w14:paraId="14F9581D" w14:textId="00DA59F6" w:rsidR="00A76F29" w:rsidRPr="00316F8C" w:rsidRDefault="00F94D4E" w:rsidP="00F94D4E">
            <w:pPr>
              <w:jc w:val="both"/>
              <w:rPr>
                <w:rFonts w:ascii="Arial" w:hAnsi="Arial" w:cs="Arial"/>
                <w:lang w:val="en-US"/>
              </w:rPr>
            </w:pPr>
            <w:r>
              <w:rPr>
                <w:rFonts w:ascii="Arial" w:hAnsi="Arial" w:cs="Arial"/>
                <w:lang w:val="en-US"/>
              </w:rPr>
              <w:t>Supply period end</w:t>
            </w:r>
            <w:r w:rsidR="00A76F29" w:rsidRPr="00316F8C">
              <w:rPr>
                <w:rFonts w:ascii="Arial" w:hAnsi="Arial" w:cs="Arial"/>
                <w:lang w:val="en-US"/>
              </w:rPr>
              <w:t xml:space="preserve"> date</w:t>
            </w:r>
          </w:p>
        </w:tc>
        <w:tc>
          <w:tcPr>
            <w:tcW w:w="5193" w:type="dxa"/>
          </w:tcPr>
          <w:p w14:paraId="3CB6128C" w14:textId="60E82A29" w:rsidR="00A76F29" w:rsidRPr="00316F8C" w:rsidRDefault="00CD2ED1" w:rsidP="00AB124C">
            <w:pPr>
              <w:jc w:val="both"/>
              <w:rPr>
                <w:rFonts w:ascii="Arial" w:hAnsi="Arial" w:cs="Arial"/>
                <w:lang w:val="en-US"/>
              </w:rPr>
            </w:pPr>
            <w:r>
              <w:rPr>
                <w:rFonts w:ascii="Arial" w:hAnsi="Arial" w:cs="Arial"/>
                <w:lang w:val="en-US"/>
              </w:rPr>
              <w:t>30/06/</w:t>
            </w:r>
            <w:r w:rsidR="004D786A">
              <w:rPr>
                <w:rFonts w:ascii="Arial" w:hAnsi="Arial" w:cs="Arial"/>
                <w:lang w:val="en-US"/>
              </w:rPr>
              <w:t>2025</w:t>
            </w:r>
            <w:bookmarkStart w:id="5" w:name="_GoBack"/>
            <w:bookmarkEnd w:id="5"/>
          </w:p>
        </w:tc>
      </w:tr>
    </w:tbl>
    <w:p w14:paraId="004D2906" w14:textId="77777777" w:rsidR="00C00D19" w:rsidRPr="00AB124C" w:rsidRDefault="00C00D19" w:rsidP="00AB124C">
      <w:pPr>
        <w:ind w:left="426" w:hanging="426"/>
        <w:jc w:val="both"/>
        <w:rPr>
          <w:lang w:val="en-US"/>
        </w:rPr>
      </w:pPr>
    </w:p>
    <w:p w14:paraId="3C4DFFBC" w14:textId="77777777" w:rsidR="00C00D19" w:rsidRPr="00AB124C" w:rsidRDefault="00C00D19" w:rsidP="00AB124C">
      <w:pPr>
        <w:pStyle w:val="Heading1"/>
        <w:numPr>
          <w:ilvl w:val="0"/>
          <w:numId w:val="1"/>
        </w:numPr>
        <w:ind w:left="426" w:hanging="426"/>
        <w:jc w:val="both"/>
        <w:rPr>
          <w:rFonts w:cs="Arial"/>
          <w:szCs w:val="24"/>
          <w:lang w:val="en-US"/>
        </w:rPr>
      </w:pPr>
      <w:bookmarkStart w:id="6" w:name="_Toc159239530"/>
      <w:r w:rsidRPr="00AB124C">
        <w:rPr>
          <w:rFonts w:cs="Arial"/>
          <w:szCs w:val="24"/>
          <w:lang w:val="en-US"/>
        </w:rPr>
        <w:t>Instructions on submitting a response</w:t>
      </w:r>
      <w:bookmarkEnd w:id="6"/>
    </w:p>
    <w:p w14:paraId="63F38D37" w14:textId="77777777" w:rsidR="00643F40" w:rsidRPr="004706D9" w:rsidRDefault="00643F40" w:rsidP="00643F40">
      <w:pPr>
        <w:rPr>
          <w:color w:val="auto"/>
          <w:lang w:val="en-US"/>
        </w:rPr>
      </w:pPr>
      <w:r w:rsidRPr="004706D9">
        <w:rPr>
          <w:color w:val="auto"/>
          <w:lang w:val="en-US"/>
        </w:rPr>
        <w:t xml:space="preserve">Responses/quotes must be uploaded via the Proactis portal, also known as the South East Business Portal: </w:t>
      </w:r>
      <w:hyperlink r:id="rId11" w:history="1">
        <w:r w:rsidRPr="004706D9">
          <w:rPr>
            <w:rStyle w:val="Hyperlink"/>
            <w:color w:val="auto"/>
          </w:rPr>
          <w:t>https://sebp.due-north.com/</w:t>
        </w:r>
      </w:hyperlink>
      <w:r w:rsidR="003C72DD" w:rsidRPr="004706D9">
        <w:rPr>
          <w:rStyle w:val="Hyperlink"/>
          <w:color w:val="auto"/>
          <w:u w:val="none"/>
        </w:rPr>
        <w:t xml:space="preserve">, </w:t>
      </w:r>
      <w:r w:rsidR="00FD0BAA" w:rsidRPr="004706D9">
        <w:rPr>
          <w:rStyle w:val="Hyperlink"/>
          <w:color w:val="auto"/>
          <w:u w:val="none"/>
        </w:rPr>
        <w:t xml:space="preserve">and submitted </w:t>
      </w:r>
      <w:r w:rsidR="005E3F40" w:rsidRPr="004706D9">
        <w:rPr>
          <w:color w:val="auto"/>
          <w:lang w:val="en-US"/>
        </w:rPr>
        <w:t xml:space="preserve">no later than the time and date specified in the </w:t>
      </w:r>
      <w:r w:rsidR="003C72DD" w:rsidRPr="004706D9">
        <w:rPr>
          <w:color w:val="auto"/>
          <w:lang w:val="en-US"/>
        </w:rPr>
        <w:t>procurement</w:t>
      </w:r>
      <w:r w:rsidR="005E3F40" w:rsidRPr="004706D9">
        <w:rPr>
          <w:color w:val="auto"/>
          <w:lang w:val="en-US"/>
        </w:rPr>
        <w:t xml:space="preserve"> timetable.</w:t>
      </w:r>
      <w:r w:rsidRPr="004706D9">
        <w:rPr>
          <w:color w:val="auto"/>
          <w:lang w:val="en-US"/>
        </w:rPr>
        <w:t xml:space="preserve"> </w:t>
      </w:r>
    </w:p>
    <w:p w14:paraId="117D6A4C" w14:textId="77777777" w:rsidR="005E3F40" w:rsidRPr="004706D9" w:rsidRDefault="005E3F40" w:rsidP="00AB124C">
      <w:pPr>
        <w:jc w:val="both"/>
        <w:rPr>
          <w:color w:val="auto"/>
          <w:lang w:val="en-US"/>
        </w:rPr>
      </w:pPr>
    </w:p>
    <w:p w14:paraId="7B7DA491" w14:textId="5DC2F400" w:rsidR="00F94D4E" w:rsidRDefault="005E3F40" w:rsidP="00F94D4E">
      <w:pPr>
        <w:pStyle w:val="NoSpacing"/>
        <w:rPr>
          <w:lang w:val="en-US"/>
        </w:rPr>
      </w:pPr>
      <w:r w:rsidRPr="004706D9">
        <w:rPr>
          <w:lang w:val="en-US"/>
        </w:rPr>
        <w:t>Your quote must includ</w:t>
      </w:r>
      <w:r w:rsidR="004706D9" w:rsidRPr="004706D9">
        <w:rPr>
          <w:lang w:val="en-US"/>
        </w:rPr>
        <w:t>e a completed pricing schedule (all prices entered must be full and final)</w:t>
      </w:r>
      <w:r w:rsidR="00F94D4E">
        <w:rPr>
          <w:lang w:val="en-US"/>
        </w:rPr>
        <w:t>. The pricing schedule must include all prices for each lot you are quoting for, as well as the lead time for each item.</w:t>
      </w:r>
    </w:p>
    <w:p w14:paraId="1B179345" w14:textId="75F51727" w:rsidR="00435E15" w:rsidRDefault="00435E15">
      <w:pPr>
        <w:rPr>
          <w:lang w:val="en-US"/>
        </w:rPr>
      </w:pPr>
      <w:r>
        <w:rPr>
          <w:lang w:val="en-US"/>
        </w:rPr>
        <w:br w:type="page"/>
      </w:r>
    </w:p>
    <w:p w14:paraId="56862116" w14:textId="77777777" w:rsidR="00435E15" w:rsidRDefault="00435E15">
      <w:pPr>
        <w:rPr>
          <w:rFonts w:cstheme="minorBidi"/>
          <w:color w:val="auto"/>
          <w:szCs w:val="22"/>
          <w:lang w:val="en-US"/>
        </w:rPr>
      </w:pPr>
    </w:p>
    <w:p w14:paraId="6B3464A4" w14:textId="77777777" w:rsidR="003E043C" w:rsidRPr="00AB124C" w:rsidRDefault="003E043C" w:rsidP="00AB124C">
      <w:pPr>
        <w:pStyle w:val="Heading1"/>
        <w:numPr>
          <w:ilvl w:val="0"/>
          <w:numId w:val="1"/>
        </w:numPr>
        <w:ind w:left="426" w:hanging="426"/>
        <w:jc w:val="both"/>
        <w:rPr>
          <w:rFonts w:cs="Arial"/>
          <w:lang w:val="en-US"/>
        </w:rPr>
      </w:pPr>
      <w:bookmarkStart w:id="7" w:name="_Toc125559717"/>
      <w:bookmarkStart w:id="8" w:name="_Toc159239531"/>
      <w:r w:rsidRPr="00AB124C">
        <w:rPr>
          <w:rFonts w:cs="Arial"/>
          <w:lang w:val="en-US"/>
        </w:rPr>
        <w:t>Clarifications</w:t>
      </w:r>
      <w:bookmarkEnd w:id="7"/>
      <w:bookmarkEnd w:id="8"/>
    </w:p>
    <w:p w14:paraId="0FC10BC7" w14:textId="77777777" w:rsidR="003E043C" w:rsidRPr="003F77B1" w:rsidRDefault="003E043C" w:rsidP="00AB124C">
      <w:pPr>
        <w:jc w:val="both"/>
        <w:rPr>
          <w:color w:val="auto"/>
          <w:lang w:val="en-US"/>
        </w:rPr>
      </w:pPr>
      <w:r w:rsidRPr="003F77B1">
        <w:rPr>
          <w:color w:val="auto"/>
          <w:lang w:val="en-US"/>
        </w:rPr>
        <w:t>All requests for clarification should be submitted no later than the date specified in the Procurement timetable, using the messaging facility on the Proactis procurement portal.</w:t>
      </w:r>
    </w:p>
    <w:p w14:paraId="7BED97DF" w14:textId="77777777" w:rsidR="003E043C" w:rsidRPr="003F77B1" w:rsidRDefault="003E043C" w:rsidP="00AB124C">
      <w:pPr>
        <w:jc w:val="both"/>
        <w:rPr>
          <w:color w:val="auto"/>
          <w:lang w:val="en-US"/>
        </w:rPr>
      </w:pPr>
    </w:p>
    <w:p w14:paraId="64E84A42" w14:textId="77777777" w:rsidR="003E043C" w:rsidRPr="003F77B1" w:rsidRDefault="003E043C" w:rsidP="00AB124C">
      <w:pPr>
        <w:jc w:val="both"/>
        <w:rPr>
          <w:color w:val="auto"/>
          <w:lang w:val="en-US"/>
        </w:rPr>
      </w:pPr>
      <w:r w:rsidRPr="003F77B1">
        <w:rPr>
          <w:color w:val="auto"/>
          <w:lang w:val="en-US"/>
        </w:rPr>
        <w:t xml:space="preserve">Questions received after the deadline date may </w:t>
      </w:r>
      <w:r w:rsidRPr="00316F8C">
        <w:rPr>
          <w:color w:val="auto"/>
          <w:lang w:val="en-US"/>
        </w:rPr>
        <w:t>not be answered. If the potential provider expresses that the question is confidential and GBC agrees that it is, then the response will be sent only to the potential provider raising</w:t>
      </w:r>
      <w:r w:rsidRPr="003F77B1">
        <w:rPr>
          <w:color w:val="auto"/>
          <w:lang w:val="en-US"/>
        </w:rPr>
        <w:t xml:space="preserve"> the question. If GBC disagrees, they will inform the potential provider and allow them to withdraw their question.</w:t>
      </w:r>
    </w:p>
    <w:p w14:paraId="3E75B6BE" w14:textId="77777777" w:rsidR="00D85C57" w:rsidRPr="003F77B1" w:rsidRDefault="00D85C57" w:rsidP="00AB124C">
      <w:pPr>
        <w:jc w:val="both"/>
        <w:rPr>
          <w:color w:val="auto"/>
          <w:lang w:val="en-US"/>
        </w:rPr>
      </w:pPr>
    </w:p>
    <w:p w14:paraId="44F07F06" w14:textId="77777777" w:rsidR="00D85C57" w:rsidRPr="003F77B1" w:rsidRDefault="00D85C57" w:rsidP="00AB124C">
      <w:pPr>
        <w:jc w:val="both"/>
        <w:rPr>
          <w:color w:val="auto"/>
          <w:lang w:val="en-US"/>
        </w:rPr>
      </w:pPr>
      <w:r w:rsidRPr="003F77B1">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5945E783" w14:textId="77777777" w:rsidR="00D85C57" w:rsidRPr="00AB124C" w:rsidRDefault="00D85C57" w:rsidP="00AB124C">
      <w:pPr>
        <w:jc w:val="both"/>
        <w:rPr>
          <w:color w:val="1F497D" w:themeColor="text2"/>
          <w:lang w:val="en-US"/>
        </w:rPr>
      </w:pPr>
    </w:p>
    <w:p w14:paraId="588A4E3D" w14:textId="77777777" w:rsidR="00C00D19" w:rsidRPr="00AB124C" w:rsidRDefault="00C00D19" w:rsidP="00AB124C">
      <w:pPr>
        <w:pStyle w:val="Heading1"/>
        <w:numPr>
          <w:ilvl w:val="0"/>
          <w:numId w:val="1"/>
        </w:numPr>
        <w:ind w:left="426" w:hanging="426"/>
        <w:jc w:val="both"/>
        <w:rPr>
          <w:rFonts w:cs="Arial"/>
          <w:szCs w:val="24"/>
          <w:lang w:val="en-US"/>
        </w:rPr>
      </w:pPr>
      <w:bookmarkStart w:id="9" w:name="_Toc159239532"/>
      <w:r w:rsidRPr="00AB124C">
        <w:rPr>
          <w:rFonts w:cs="Arial"/>
          <w:szCs w:val="24"/>
          <w:lang w:val="en-US"/>
        </w:rPr>
        <w:t>Evaluation</w:t>
      </w:r>
      <w:bookmarkEnd w:id="9"/>
    </w:p>
    <w:p w14:paraId="24E6DF34" w14:textId="0903D444" w:rsidR="003E043C" w:rsidRDefault="003E043C" w:rsidP="00AB124C">
      <w:pPr>
        <w:jc w:val="both"/>
        <w:rPr>
          <w:color w:val="auto"/>
          <w:lang w:val="en-US"/>
        </w:rPr>
      </w:pPr>
      <w:r w:rsidRPr="00316F8C">
        <w:rPr>
          <w:color w:val="auto"/>
          <w:lang w:val="en-US"/>
        </w:rPr>
        <w:t>Quotes received on time will be evaluated on best price, providing the quote meets the requirements stated in this ITQ</w:t>
      </w:r>
      <w:r w:rsidR="00F94D4E">
        <w:rPr>
          <w:color w:val="auto"/>
          <w:lang w:val="en-US"/>
        </w:rPr>
        <w:t>, including the desired lead times (next day delivery of delivery in 1-2 working days)</w:t>
      </w:r>
      <w:r w:rsidRPr="00316F8C">
        <w:rPr>
          <w:color w:val="auto"/>
          <w:lang w:val="en-US"/>
        </w:rPr>
        <w:t>.</w:t>
      </w:r>
    </w:p>
    <w:p w14:paraId="72F2DDD6" w14:textId="528A0335" w:rsidR="00435E15" w:rsidRDefault="00435E15">
      <w:pPr>
        <w:rPr>
          <w:color w:val="auto"/>
          <w:lang w:val="en-US"/>
        </w:rPr>
      </w:pPr>
      <w:r>
        <w:rPr>
          <w:color w:val="auto"/>
          <w:lang w:val="en-US"/>
        </w:rPr>
        <w:br w:type="page"/>
      </w:r>
    </w:p>
    <w:p w14:paraId="4D8412A4" w14:textId="77777777" w:rsidR="00C00D19" w:rsidRPr="00AB124C" w:rsidRDefault="00C00D19" w:rsidP="00AB124C">
      <w:pPr>
        <w:pStyle w:val="Heading1"/>
        <w:numPr>
          <w:ilvl w:val="0"/>
          <w:numId w:val="1"/>
        </w:numPr>
        <w:ind w:left="426" w:hanging="426"/>
        <w:jc w:val="both"/>
        <w:rPr>
          <w:rFonts w:cs="Arial"/>
          <w:szCs w:val="24"/>
          <w:lang w:val="en-US"/>
        </w:rPr>
      </w:pPr>
      <w:bookmarkStart w:id="10" w:name="_Toc159239533"/>
      <w:r w:rsidRPr="00AB124C">
        <w:rPr>
          <w:rFonts w:cs="Arial"/>
          <w:szCs w:val="24"/>
          <w:lang w:val="en-US"/>
        </w:rPr>
        <w:lastRenderedPageBreak/>
        <w:t>Award</w:t>
      </w:r>
      <w:bookmarkEnd w:id="10"/>
    </w:p>
    <w:p w14:paraId="578A465A" w14:textId="77777777" w:rsidR="003E043C" w:rsidRPr="003F77B1" w:rsidRDefault="003E043C" w:rsidP="00AB124C">
      <w:pPr>
        <w:jc w:val="both"/>
        <w:rPr>
          <w:color w:val="auto"/>
          <w:lang w:val="en-US"/>
        </w:rPr>
      </w:pPr>
      <w:r w:rsidRPr="003F77B1">
        <w:rPr>
          <w:color w:val="auto"/>
          <w:lang w:val="en-US"/>
        </w:rPr>
        <w:t xml:space="preserve">The award decision will be notified via the Proactis portal after the deadline for responses has passed and the quotes have been evaluated. </w:t>
      </w:r>
    </w:p>
    <w:p w14:paraId="6EB9E247" w14:textId="77777777" w:rsidR="003E043C" w:rsidRPr="003F77B1" w:rsidRDefault="003E043C" w:rsidP="00AB124C">
      <w:pPr>
        <w:jc w:val="both"/>
        <w:rPr>
          <w:color w:val="auto"/>
          <w:lang w:val="en-US"/>
        </w:rPr>
      </w:pPr>
    </w:p>
    <w:p w14:paraId="6C2ABA19" w14:textId="77777777" w:rsidR="003E043C" w:rsidRPr="003F77B1" w:rsidRDefault="003E043C" w:rsidP="00AB124C">
      <w:pPr>
        <w:jc w:val="both"/>
        <w:rPr>
          <w:color w:val="auto"/>
          <w:lang w:val="en-US"/>
        </w:rPr>
      </w:pPr>
      <w:r w:rsidRPr="003F77B1">
        <w:rPr>
          <w:color w:val="auto"/>
          <w:lang w:val="en-US"/>
        </w:rPr>
        <w:t>GBC reserve the right to decline to make an award, or to abandon or cancel the procurement process. GBC will not be responsible for any costs or expenses incurred as a result of following this course of action.</w:t>
      </w:r>
    </w:p>
    <w:p w14:paraId="3E32381C" w14:textId="77777777" w:rsidR="003E043C" w:rsidRPr="003F77B1" w:rsidRDefault="003E043C" w:rsidP="00AB124C">
      <w:pPr>
        <w:jc w:val="both"/>
        <w:rPr>
          <w:color w:val="auto"/>
          <w:lang w:val="en-US"/>
        </w:rPr>
      </w:pPr>
    </w:p>
    <w:p w14:paraId="279F5AB9" w14:textId="77777777" w:rsidR="003E043C" w:rsidRPr="003F77B1" w:rsidRDefault="003E043C" w:rsidP="00AB124C">
      <w:pPr>
        <w:jc w:val="both"/>
        <w:rPr>
          <w:color w:val="auto"/>
          <w:lang w:val="en-US"/>
        </w:rPr>
      </w:pPr>
      <w:r w:rsidRPr="003F77B1">
        <w:rPr>
          <w:color w:val="auto"/>
          <w:lang w:val="en-US"/>
        </w:rPr>
        <w:t xml:space="preserve">Any costs incurred by the </w:t>
      </w:r>
      <w:r w:rsidR="00BE0858">
        <w:rPr>
          <w:color w:val="auto"/>
          <w:lang w:val="en-US"/>
        </w:rPr>
        <w:t>Supplier</w:t>
      </w:r>
      <w:r w:rsidRPr="003F77B1">
        <w:rPr>
          <w:color w:val="auto"/>
          <w:lang w:val="en-US"/>
        </w:rPr>
        <w:t xml:space="preserve"> in responding to this ITQ or in support of activities associated with the response to this ITQ are to be borne by the service provider and are not reimbursable by GBC.</w:t>
      </w:r>
    </w:p>
    <w:p w14:paraId="276828CD" w14:textId="77777777" w:rsidR="00643F40" w:rsidRDefault="00643F40" w:rsidP="00AB124C">
      <w:pPr>
        <w:jc w:val="both"/>
        <w:rPr>
          <w:color w:val="4F81BD" w:themeColor="accent1"/>
          <w:lang w:val="en-US"/>
        </w:rPr>
      </w:pPr>
    </w:p>
    <w:p w14:paraId="61F1FFC9" w14:textId="5EF9410C" w:rsidR="00643F40" w:rsidRPr="00387E47" w:rsidRDefault="00643F40" w:rsidP="00AB124C">
      <w:pPr>
        <w:jc w:val="both"/>
        <w:rPr>
          <w:color w:val="auto"/>
          <w:lang w:val="en-US"/>
        </w:rPr>
      </w:pPr>
      <w:r w:rsidRPr="00387E47">
        <w:rPr>
          <w:color w:val="auto"/>
          <w:lang w:val="en-US"/>
        </w:rPr>
        <w:t xml:space="preserve">Following award, </w:t>
      </w:r>
      <w:r w:rsidR="00C6735D" w:rsidRPr="00BE0858">
        <w:rPr>
          <w:color w:val="auto"/>
          <w:lang w:val="en-US"/>
        </w:rPr>
        <w:t>the Council</w:t>
      </w:r>
      <w:r w:rsidR="00C6735D" w:rsidRPr="00387E47">
        <w:rPr>
          <w:color w:val="auto"/>
          <w:lang w:val="en-US"/>
        </w:rPr>
        <w:t xml:space="preserve"> shall </w:t>
      </w:r>
      <w:r w:rsidR="00C6735D" w:rsidRPr="00316F8C">
        <w:rPr>
          <w:color w:val="auto"/>
          <w:lang w:val="en-US"/>
        </w:rPr>
        <w:t xml:space="preserve">order goods </w:t>
      </w:r>
      <w:r w:rsidR="00316F8C" w:rsidRPr="00316F8C">
        <w:rPr>
          <w:color w:val="auto"/>
          <w:lang w:val="en-US"/>
        </w:rPr>
        <w:t xml:space="preserve">as and when required </w:t>
      </w:r>
      <w:r w:rsidR="00C6735D" w:rsidRPr="00316F8C">
        <w:rPr>
          <w:color w:val="auto"/>
          <w:lang w:val="en-US"/>
        </w:rPr>
        <w:t>via purchase order which is sent electronically via email. This document will include a unique reference number, which must be stated on associated documentation</w:t>
      </w:r>
      <w:r w:rsidR="00C6735D" w:rsidRPr="00387E47">
        <w:rPr>
          <w:color w:val="auto"/>
          <w:lang w:val="en-US"/>
        </w:rPr>
        <w:t>, such as delivery notes and invoices.</w:t>
      </w:r>
    </w:p>
    <w:p w14:paraId="1BEEAE85" w14:textId="77777777" w:rsidR="00C6735D" w:rsidRPr="00387E47" w:rsidRDefault="00C6735D" w:rsidP="00AB124C">
      <w:pPr>
        <w:jc w:val="both"/>
        <w:rPr>
          <w:color w:val="auto"/>
          <w:lang w:val="en-US"/>
        </w:rPr>
      </w:pPr>
    </w:p>
    <w:p w14:paraId="2EA9D865" w14:textId="6C34894C" w:rsidR="00C6735D" w:rsidRPr="00387E47" w:rsidRDefault="00C6735D" w:rsidP="00C6735D">
      <w:pPr>
        <w:jc w:val="both"/>
        <w:rPr>
          <w:color w:val="auto"/>
          <w:lang w:val="en-US"/>
        </w:rPr>
      </w:pPr>
      <w:r w:rsidRPr="00387E47">
        <w:rPr>
          <w:color w:val="auto"/>
          <w:lang w:val="en-US"/>
        </w:rPr>
        <w:t xml:space="preserve">The Council pay all invoices in arrears following completion of the </w:t>
      </w:r>
      <w:r w:rsidRPr="00316F8C">
        <w:rPr>
          <w:color w:val="auto"/>
          <w:lang w:val="en-US"/>
        </w:rPr>
        <w:t>successful delivery of the goods. The contractor shall provide the Council with an inv</w:t>
      </w:r>
      <w:r w:rsidR="00600DFA">
        <w:rPr>
          <w:color w:val="auto"/>
          <w:lang w:val="en-US"/>
        </w:rPr>
        <w:t xml:space="preserve">oice within 30 days of </w:t>
      </w:r>
      <w:r w:rsidRPr="00387E47">
        <w:rPr>
          <w:color w:val="auto"/>
          <w:lang w:val="en-US"/>
        </w:rPr>
        <w:t>goods delivered. Invoices must detail:</w:t>
      </w:r>
    </w:p>
    <w:p w14:paraId="44DF5762"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name and address of the Council Representative (as displayed on the purchase order)</w:t>
      </w:r>
    </w:p>
    <w:p w14:paraId="47282963"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name and address</w:t>
      </w:r>
    </w:p>
    <w:p w14:paraId="6AC88C2F"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bank details</w:t>
      </w:r>
    </w:p>
    <w:p w14:paraId="2AB6E362"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relevant Council Purchase Order number</w:t>
      </w:r>
    </w:p>
    <w:p w14:paraId="453DE744" w14:textId="77777777" w:rsidR="00C6735D" w:rsidRPr="00316F8C" w:rsidRDefault="00C6735D" w:rsidP="00C6735D">
      <w:pPr>
        <w:pStyle w:val="ListParagraph"/>
        <w:numPr>
          <w:ilvl w:val="0"/>
          <w:numId w:val="6"/>
        </w:numPr>
        <w:jc w:val="both"/>
        <w:rPr>
          <w:color w:val="auto"/>
          <w:lang w:val="en-US"/>
        </w:rPr>
      </w:pPr>
      <w:r w:rsidRPr="00387E47">
        <w:rPr>
          <w:color w:val="auto"/>
          <w:lang w:val="en-US"/>
        </w:rPr>
        <w:t xml:space="preserve">A unique invoice </w:t>
      </w:r>
      <w:r w:rsidRPr="00316F8C">
        <w:rPr>
          <w:color w:val="auto"/>
          <w:lang w:val="en-US"/>
        </w:rPr>
        <w:t>number</w:t>
      </w:r>
    </w:p>
    <w:p w14:paraId="72DDEC2C" w14:textId="095CEF55" w:rsidR="00C6735D" w:rsidRPr="00316F8C" w:rsidRDefault="00C6735D" w:rsidP="00C6735D">
      <w:pPr>
        <w:pStyle w:val="ListParagraph"/>
        <w:numPr>
          <w:ilvl w:val="0"/>
          <w:numId w:val="6"/>
        </w:numPr>
        <w:jc w:val="both"/>
        <w:rPr>
          <w:color w:val="auto"/>
          <w:lang w:val="en-US"/>
        </w:rPr>
      </w:pPr>
      <w:r w:rsidRPr="00316F8C">
        <w:rPr>
          <w:color w:val="auto"/>
          <w:lang w:val="en-US"/>
        </w:rPr>
        <w:t>Full breakdown of the goods provided</w:t>
      </w:r>
    </w:p>
    <w:p w14:paraId="46BA5755" w14:textId="77777777" w:rsidR="00C6735D" w:rsidRPr="00387E47" w:rsidRDefault="00C6735D" w:rsidP="00C6735D">
      <w:pPr>
        <w:pStyle w:val="ListParagraph"/>
        <w:numPr>
          <w:ilvl w:val="0"/>
          <w:numId w:val="6"/>
        </w:numPr>
        <w:jc w:val="both"/>
        <w:rPr>
          <w:color w:val="auto"/>
          <w:lang w:val="en-US"/>
        </w:rPr>
      </w:pPr>
      <w:r w:rsidRPr="00316F8C">
        <w:rPr>
          <w:color w:val="auto"/>
          <w:lang w:val="en-US"/>
        </w:rPr>
        <w:t xml:space="preserve">All costs, VAT charged and VAT </w:t>
      </w:r>
      <w:r w:rsidRPr="00387E47">
        <w:rPr>
          <w:color w:val="auto"/>
          <w:lang w:val="en-US"/>
        </w:rPr>
        <w:t>number (if applicable)</w:t>
      </w:r>
    </w:p>
    <w:p w14:paraId="75B541C0" w14:textId="77777777" w:rsidR="00C6735D" w:rsidRPr="00387E47" w:rsidRDefault="00C6735D" w:rsidP="00AB124C">
      <w:pPr>
        <w:jc w:val="both"/>
        <w:rPr>
          <w:color w:val="auto"/>
          <w:lang w:val="en-US"/>
        </w:rPr>
      </w:pPr>
      <w:r w:rsidRPr="00387E47">
        <w:rPr>
          <w:color w:val="auto"/>
          <w:lang w:val="en-US"/>
        </w:rPr>
        <w:t>Invoice can be submitted via post or electronically via email, the email address will be displayed on the purchase order.</w:t>
      </w:r>
    </w:p>
    <w:p w14:paraId="65F1F2F1" w14:textId="77777777" w:rsidR="00A76F29" w:rsidRPr="00AB124C" w:rsidRDefault="00A76F29" w:rsidP="00AB124C">
      <w:pPr>
        <w:pStyle w:val="Heading1"/>
        <w:numPr>
          <w:ilvl w:val="0"/>
          <w:numId w:val="1"/>
        </w:numPr>
        <w:ind w:left="426" w:hanging="426"/>
        <w:jc w:val="both"/>
        <w:rPr>
          <w:rFonts w:cs="Arial"/>
          <w:lang w:val="en-US"/>
        </w:rPr>
      </w:pPr>
      <w:bookmarkStart w:id="11" w:name="_Toc159239534"/>
      <w:r w:rsidRPr="00AB124C">
        <w:rPr>
          <w:rFonts w:cs="Arial"/>
          <w:lang w:val="en-US"/>
        </w:rPr>
        <w:lastRenderedPageBreak/>
        <w:t>Terms and Conditions</w:t>
      </w:r>
      <w:bookmarkEnd w:id="11"/>
    </w:p>
    <w:p w14:paraId="7F3F971D" w14:textId="77777777" w:rsidR="007F23D5" w:rsidRPr="00316F8C" w:rsidRDefault="007F23D5" w:rsidP="00AB124C">
      <w:pPr>
        <w:spacing w:before="120" w:after="120" w:line="249" w:lineRule="auto"/>
        <w:ind w:left="-5" w:right="5" w:hanging="10"/>
        <w:jc w:val="both"/>
        <w:rPr>
          <w:color w:val="auto"/>
        </w:rPr>
      </w:pPr>
      <w:r w:rsidRPr="00316F8C">
        <w:rPr>
          <w:rFonts w:eastAsia="Verdana"/>
          <w:color w:val="auto"/>
        </w:rPr>
        <w:t xml:space="preserve">In submitting a response to this Invitation to Quote, </w:t>
      </w:r>
      <w:r w:rsidR="00BE0858" w:rsidRPr="00316F8C">
        <w:rPr>
          <w:rFonts w:eastAsia="Verdana"/>
          <w:color w:val="auto"/>
        </w:rPr>
        <w:t>potential Suppliers</w:t>
      </w:r>
      <w:r w:rsidRPr="00316F8C">
        <w:rPr>
          <w:rFonts w:eastAsia="Verdana"/>
          <w:color w:val="auto"/>
        </w:rPr>
        <w:t xml:space="preserve"> do so on the conditions set out in GBC’s standard Terms and Conditions, which are attached to this invitation.  In the event of any breach of the conditions, GBC shall be entitled to terminate any arrangement made as a result of such procurement. </w:t>
      </w:r>
    </w:p>
    <w:p w14:paraId="15DAF24B" w14:textId="11F6F1B0" w:rsidR="005D1421" w:rsidRDefault="00387E47" w:rsidP="00387E47">
      <w:pPr>
        <w:spacing w:before="120" w:after="120" w:line="249" w:lineRule="auto"/>
        <w:ind w:left="-5" w:right="5" w:hanging="10"/>
        <w:jc w:val="both"/>
        <w:rPr>
          <w:rFonts w:eastAsia="Verdana"/>
          <w:color w:val="4F81BD" w:themeColor="accent1"/>
        </w:rPr>
      </w:pPr>
      <w:r w:rsidRPr="00AB124C">
        <w:rPr>
          <w:rFonts w:eastAsia="Verdana"/>
          <w:color w:val="4F81BD" w:themeColor="accent1"/>
        </w:rPr>
        <w:t xml:space="preserve">. </w:t>
      </w:r>
    </w:p>
    <w:p w14:paraId="0B8DE01F" w14:textId="77777777" w:rsidR="005D1421" w:rsidRPr="005D1421" w:rsidRDefault="005D1421" w:rsidP="005D1421">
      <w:pPr>
        <w:pStyle w:val="Heading1"/>
        <w:numPr>
          <w:ilvl w:val="0"/>
          <w:numId w:val="1"/>
        </w:numPr>
        <w:ind w:left="426" w:hanging="426"/>
        <w:jc w:val="both"/>
        <w:rPr>
          <w:rFonts w:cs="Arial"/>
          <w:lang w:val="en-US"/>
        </w:rPr>
      </w:pPr>
      <w:bookmarkStart w:id="12" w:name="_Toc159239535"/>
      <w:r>
        <w:rPr>
          <w:rFonts w:cs="Arial"/>
          <w:lang w:val="en-US"/>
        </w:rPr>
        <w:t xml:space="preserve">Conduct and </w:t>
      </w:r>
      <w:r w:rsidRPr="005D1421">
        <w:rPr>
          <w:rFonts w:cs="Arial"/>
          <w:lang w:val="en-US"/>
        </w:rPr>
        <w:t>Conflicts of interest</w:t>
      </w:r>
      <w:bookmarkEnd w:id="12"/>
    </w:p>
    <w:p w14:paraId="7384A541" w14:textId="77777777" w:rsidR="005D1421" w:rsidRDefault="005D1421" w:rsidP="005D1421">
      <w:pPr>
        <w:jc w:val="both"/>
        <w:rPr>
          <w:color w:val="auto"/>
          <w:lang w:val="en-US"/>
        </w:rPr>
      </w:pPr>
      <w:r>
        <w:rPr>
          <w:color w:val="auto"/>
          <w:lang w:val="en-US"/>
        </w:rPr>
        <w:t xml:space="preserve">The </w:t>
      </w:r>
      <w:r w:rsidR="00BE0858">
        <w:rPr>
          <w:color w:val="auto"/>
          <w:lang w:val="en-US"/>
        </w:rPr>
        <w:t>supplier</w:t>
      </w:r>
      <w:r w:rsidRPr="005D1421">
        <w:rPr>
          <w:color w:val="auto"/>
          <w:lang w:val="en-US"/>
        </w:rPr>
        <w:t xml:space="preserve"> shall not, before the date and time specified for return of the tender, communicate to any person the amount or approximate amount of the </w:t>
      </w:r>
      <w:r w:rsidR="00BE0858">
        <w:rPr>
          <w:color w:val="auto"/>
          <w:lang w:val="en-US"/>
        </w:rPr>
        <w:t>quote</w:t>
      </w:r>
      <w:r w:rsidRPr="005D1421">
        <w:rPr>
          <w:color w:val="auto"/>
          <w:lang w:val="en-US"/>
        </w:rPr>
        <w:t xml:space="preserve"> or proposed </w:t>
      </w:r>
      <w:r w:rsidR="00BE0858">
        <w:rPr>
          <w:color w:val="auto"/>
          <w:lang w:val="en-US"/>
        </w:rPr>
        <w:t>quote</w:t>
      </w:r>
      <w:r w:rsidRPr="005D1421">
        <w:rPr>
          <w:color w:val="auto"/>
          <w:lang w:val="en-US"/>
        </w:rPr>
        <w:t xml:space="preserve">, except where the disclosure in confidence of the approximate amount of </w:t>
      </w:r>
      <w:r w:rsidR="00BE0858">
        <w:rPr>
          <w:color w:val="auto"/>
          <w:lang w:val="en-US"/>
        </w:rPr>
        <w:t>quote</w:t>
      </w:r>
      <w:r w:rsidRPr="005D1421">
        <w:rPr>
          <w:color w:val="auto"/>
          <w:lang w:val="en-US"/>
        </w:rPr>
        <w:t xml:space="preserve"> is necessary to obtain insurance cover. </w:t>
      </w:r>
    </w:p>
    <w:p w14:paraId="42C497D0" w14:textId="77777777" w:rsidR="005D1421" w:rsidRPr="005D1421" w:rsidRDefault="005D1421" w:rsidP="005D1421">
      <w:pPr>
        <w:jc w:val="both"/>
        <w:rPr>
          <w:color w:val="auto"/>
          <w:lang w:val="en-US"/>
        </w:rPr>
      </w:pPr>
    </w:p>
    <w:p w14:paraId="0B00E14E" w14:textId="77777777" w:rsidR="005D1421" w:rsidRDefault="005D1421" w:rsidP="005D1421">
      <w:pPr>
        <w:jc w:val="both"/>
        <w:rPr>
          <w:color w:val="auto"/>
          <w:lang w:val="en-US"/>
        </w:rPr>
      </w:pPr>
      <w:r w:rsidRPr="005D1421">
        <w:rPr>
          <w:color w:val="auto"/>
          <w:lang w:val="en-US"/>
        </w:rPr>
        <w:t xml:space="preserve">The </w:t>
      </w:r>
      <w:r w:rsidR="00BE0858">
        <w:rPr>
          <w:color w:val="auto"/>
          <w:lang w:val="en-US"/>
        </w:rPr>
        <w:t>quote</w:t>
      </w:r>
      <w:r w:rsidRPr="005D1421">
        <w:rPr>
          <w:color w:val="auto"/>
          <w:lang w:val="en-US"/>
        </w:rPr>
        <w:t xml:space="preserve"> shall be a bona-fide </w:t>
      </w:r>
      <w:r w:rsidR="00BE0858">
        <w:rPr>
          <w:color w:val="auto"/>
          <w:lang w:val="en-US"/>
        </w:rPr>
        <w:t>quote</w:t>
      </w:r>
      <w:r w:rsidRPr="005D1421">
        <w:rPr>
          <w:color w:val="auto"/>
          <w:lang w:val="en-US"/>
        </w:rPr>
        <w:t xml:space="preserve"> and shall not be fixed or adjusted by</w:t>
      </w:r>
      <w:r w:rsidR="00BE0858">
        <w:rPr>
          <w:color w:val="auto"/>
          <w:lang w:val="en-US"/>
        </w:rPr>
        <w:t>,</w:t>
      </w:r>
      <w:r w:rsidRPr="005D1421">
        <w:rPr>
          <w:color w:val="auto"/>
          <w:lang w:val="en-US"/>
        </w:rPr>
        <w:t xml:space="preserve"> under</w:t>
      </w:r>
      <w:r w:rsidR="00BE0858">
        <w:rPr>
          <w:color w:val="auto"/>
          <w:lang w:val="en-US"/>
        </w:rPr>
        <w:t>,</w:t>
      </w:r>
      <w:r w:rsidRPr="005D1421">
        <w:rPr>
          <w:color w:val="auto"/>
          <w:lang w:val="en-US"/>
        </w:rPr>
        <w:t xml:space="preserve"> or in accordance with any agreement or arrangement with any other person. </w:t>
      </w:r>
    </w:p>
    <w:p w14:paraId="3BD01F8A" w14:textId="77777777" w:rsidR="00BE0858" w:rsidRPr="005D1421" w:rsidRDefault="00BE0858" w:rsidP="005D1421">
      <w:pPr>
        <w:jc w:val="both"/>
        <w:rPr>
          <w:color w:val="auto"/>
          <w:lang w:val="en-US"/>
        </w:rPr>
      </w:pPr>
    </w:p>
    <w:p w14:paraId="3A56BF6F" w14:textId="77777777" w:rsidR="005D1421" w:rsidRDefault="00BE0858" w:rsidP="005D1421">
      <w:pPr>
        <w:jc w:val="both"/>
        <w:rPr>
          <w:color w:val="auto"/>
          <w:lang w:val="en-US"/>
        </w:rPr>
      </w:pPr>
      <w:r>
        <w:rPr>
          <w:color w:val="auto"/>
          <w:lang w:val="en-US"/>
        </w:rPr>
        <w:t>Suppliers</w:t>
      </w:r>
      <w:r w:rsidR="005D1421" w:rsidRPr="005D1421">
        <w:rPr>
          <w:color w:val="auto"/>
          <w:lang w:val="en-US"/>
        </w:rPr>
        <w:t xml:space="preserve"> shall not enter into any agreement or arrangement with any other person with the intent that the other person shall refrain from </w:t>
      </w:r>
      <w:r>
        <w:rPr>
          <w:color w:val="auto"/>
          <w:lang w:val="en-US"/>
        </w:rPr>
        <w:t>submitting a quote.</w:t>
      </w:r>
    </w:p>
    <w:p w14:paraId="2CFAD80C" w14:textId="77777777" w:rsidR="005D1421" w:rsidRPr="005D1421" w:rsidRDefault="005D1421" w:rsidP="005D1421">
      <w:pPr>
        <w:jc w:val="both"/>
        <w:rPr>
          <w:color w:val="auto"/>
          <w:lang w:val="en-US"/>
        </w:rPr>
      </w:pPr>
    </w:p>
    <w:p w14:paraId="2E3F0C38" w14:textId="77777777" w:rsidR="005D1421" w:rsidRPr="005D1421" w:rsidRDefault="00BE0858" w:rsidP="005D1421">
      <w:pPr>
        <w:jc w:val="both"/>
        <w:rPr>
          <w:color w:val="auto"/>
          <w:lang w:val="en-US"/>
        </w:rPr>
      </w:pPr>
      <w:r>
        <w:rPr>
          <w:color w:val="auto"/>
          <w:lang w:val="en-US"/>
        </w:rPr>
        <w:t>Suppliers</w:t>
      </w:r>
      <w:r w:rsidR="005D1421" w:rsidRPr="005D1421">
        <w:rPr>
          <w:color w:val="auto"/>
          <w:lang w:val="en-US"/>
        </w:rPr>
        <w:t xml:space="preserve"> must not, in connection with the proposed </w:t>
      </w:r>
      <w:r>
        <w:rPr>
          <w:color w:val="auto"/>
          <w:lang w:val="en-US"/>
        </w:rPr>
        <w:t>quote</w:t>
      </w:r>
      <w:r w:rsidR="005D1421" w:rsidRPr="005D1421">
        <w:rPr>
          <w:color w:val="auto"/>
          <w:lang w:val="en-US"/>
        </w:rPr>
        <w:t xml:space="preserve">: </w:t>
      </w:r>
    </w:p>
    <w:p w14:paraId="43C47B3D"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offer any inducement, fee or reward to any mem</w:t>
      </w:r>
      <w:r w:rsidR="00BE0858">
        <w:rPr>
          <w:rFonts w:eastAsia="Verdana"/>
        </w:rPr>
        <w:t>ber or officer of the Authority/Council</w:t>
      </w:r>
    </w:p>
    <w:p w14:paraId="63B8A428"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3D7E79EF" w14:textId="77777777" w:rsidR="00BE0858" w:rsidRPr="00BE0858" w:rsidRDefault="005D1421" w:rsidP="005D1421">
      <w:pPr>
        <w:pStyle w:val="ListParagraph"/>
        <w:numPr>
          <w:ilvl w:val="0"/>
          <w:numId w:val="10"/>
        </w:numPr>
        <w:spacing w:before="120" w:after="120" w:line="249" w:lineRule="auto"/>
        <w:ind w:right="5"/>
        <w:jc w:val="both"/>
      </w:pPr>
      <w:r w:rsidRPr="00D36BB4">
        <w:rPr>
          <w:rFonts w:eastAsia="Verdana"/>
        </w:rPr>
        <w:t>canvass any of the persons referred to above in connectio</w:t>
      </w:r>
      <w:r w:rsidR="00BE0858">
        <w:rPr>
          <w:rFonts w:eastAsia="Verdana"/>
        </w:rPr>
        <w:t>n with the provision;</w:t>
      </w:r>
    </w:p>
    <w:p w14:paraId="381892C7" w14:textId="77777777" w:rsidR="005D1421" w:rsidRPr="00D36BB4" w:rsidRDefault="00BE0858" w:rsidP="00BE0858">
      <w:pPr>
        <w:pStyle w:val="ListParagraph"/>
        <w:numPr>
          <w:ilvl w:val="1"/>
          <w:numId w:val="10"/>
        </w:numPr>
        <w:spacing w:before="120" w:after="120" w:line="249" w:lineRule="auto"/>
        <w:ind w:right="5"/>
        <w:jc w:val="both"/>
      </w:pPr>
      <w:r>
        <w:rPr>
          <w:rFonts w:eastAsia="Verdana"/>
        </w:rPr>
        <w:t xml:space="preserve">or contact, </w:t>
      </w:r>
      <w:r w:rsidR="005D1421" w:rsidRPr="00D36BB4">
        <w:rPr>
          <w:rFonts w:eastAsia="Verdana"/>
        </w:rPr>
        <w:t>any member or officer of the Authority</w:t>
      </w:r>
      <w:r>
        <w:rPr>
          <w:rFonts w:eastAsia="Verdana"/>
        </w:rPr>
        <w:t>/Council</w:t>
      </w:r>
      <w:r w:rsidR="005D1421" w:rsidRPr="00D36BB4">
        <w:rPr>
          <w:rFonts w:eastAsia="Verdana"/>
        </w:rPr>
        <w:t xml:space="preserve"> or any person acting as an advisor to the Authority</w:t>
      </w:r>
      <w:r>
        <w:rPr>
          <w:rFonts w:eastAsia="Verdana"/>
        </w:rPr>
        <w:t>/Council</w:t>
      </w:r>
      <w:r w:rsidR="005D1421" w:rsidRPr="00D36BB4">
        <w:rPr>
          <w:rFonts w:eastAsia="Verdana"/>
        </w:rPr>
        <w:t xml:space="preserve"> (except as authorised by this Invitation to </w:t>
      </w:r>
      <w:r>
        <w:rPr>
          <w:rFonts w:eastAsia="Verdana"/>
        </w:rPr>
        <w:t>Quote</w:t>
      </w:r>
      <w:r w:rsidR="005D1421" w:rsidRPr="00D36BB4">
        <w:rPr>
          <w:rFonts w:eastAsia="Verdana"/>
        </w:rPr>
        <w:t xml:space="preserve"> for the purpose of asking genuine questions about the process or the </w:t>
      </w:r>
      <w:r>
        <w:rPr>
          <w:rFonts w:eastAsia="Verdana"/>
        </w:rPr>
        <w:t>provision</w:t>
      </w:r>
      <w:r w:rsidR="005D1421" w:rsidRPr="00D36BB4">
        <w:rPr>
          <w:rFonts w:eastAsia="Verdana"/>
        </w:rPr>
        <w:t xml:space="preserve">) about any aspect of the proposed </w:t>
      </w:r>
      <w:r>
        <w:rPr>
          <w:rFonts w:eastAsia="Verdana"/>
        </w:rPr>
        <w:t>provision</w:t>
      </w:r>
      <w:r w:rsidR="005D1421" w:rsidRPr="00D36BB4">
        <w:rPr>
          <w:rFonts w:eastAsia="Verdana"/>
        </w:rPr>
        <w:t xml:space="preserve"> or for soliciting information in connection therewith. </w:t>
      </w:r>
    </w:p>
    <w:p w14:paraId="1ADB5B06" w14:textId="60F2B7CE" w:rsidR="00387E47" w:rsidRPr="00AB124C" w:rsidRDefault="008156A9" w:rsidP="006C4F4D">
      <w:pPr>
        <w:spacing w:before="120" w:after="120" w:line="249" w:lineRule="auto"/>
        <w:ind w:right="5"/>
        <w:rPr>
          <w:color w:val="FF0000"/>
          <w:lang w:val="en-US"/>
        </w:rPr>
      </w:pPr>
      <w:r>
        <w:rPr>
          <w:rFonts w:eastAsia="Verdana"/>
        </w:rPr>
        <w:t>Suppliers</w:t>
      </w:r>
      <w:r w:rsidR="005D1421" w:rsidRPr="00D36BB4">
        <w:rPr>
          <w:rFonts w:eastAsia="Verdana"/>
        </w:rPr>
        <w:t xml:space="preserve"> are responsible for ensuring that no conflicts of interest exist between the </w:t>
      </w:r>
      <w:r>
        <w:rPr>
          <w:rFonts w:eastAsia="Verdana"/>
        </w:rPr>
        <w:t>Supplier</w:t>
      </w:r>
      <w:r w:rsidR="005D1421" w:rsidRPr="00D36BB4">
        <w:rPr>
          <w:rFonts w:eastAsia="Verdana"/>
        </w:rPr>
        <w:t xml:space="preserve"> and its advisors and the C</w:t>
      </w:r>
      <w:r>
        <w:rPr>
          <w:rFonts w:eastAsia="Verdana"/>
        </w:rPr>
        <w:t>ouncil</w:t>
      </w:r>
      <w:r w:rsidR="005D1421" w:rsidRPr="00D36BB4">
        <w:rPr>
          <w:rFonts w:eastAsia="Verdana"/>
        </w:rPr>
        <w:t xml:space="preserve"> and its advisors.  Any </w:t>
      </w:r>
      <w:r>
        <w:rPr>
          <w:rFonts w:eastAsia="Verdana"/>
        </w:rPr>
        <w:t xml:space="preserve">Supplier </w:t>
      </w:r>
      <w:r w:rsidR="005D1421" w:rsidRPr="00D36BB4">
        <w:rPr>
          <w:rFonts w:eastAsia="Verdana"/>
        </w:rPr>
        <w:t xml:space="preserve">who fails to comply with this requirement may be disqualified from the procurement process at the discretion of the </w:t>
      </w:r>
      <w:r w:rsidR="00E571C6">
        <w:rPr>
          <w:rFonts w:eastAsia="Verdana"/>
        </w:rPr>
        <w:t>Council</w:t>
      </w:r>
      <w:r w:rsidR="005D1421" w:rsidRPr="00D36BB4">
        <w:rPr>
          <w:rFonts w:eastAsia="Verdana"/>
        </w:rPr>
        <w:t>. Any conflicts</w:t>
      </w:r>
      <w:r w:rsidR="00D36BB4" w:rsidRPr="00D36BB4">
        <w:rPr>
          <w:rFonts w:eastAsia="Verdana"/>
        </w:rPr>
        <w:t xml:space="preserve"> of interests</w:t>
      </w:r>
      <w:r w:rsidR="005D1421" w:rsidRPr="00D36BB4">
        <w:rPr>
          <w:rFonts w:eastAsia="Verdana"/>
        </w:rPr>
        <w:t xml:space="preserve"> must be declared to the Council at the earliest </w:t>
      </w:r>
      <w:r w:rsidR="006C4F4D">
        <w:rPr>
          <w:rFonts w:eastAsia="Verdana"/>
        </w:rPr>
        <w:t>opportunity.</w:t>
      </w:r>
    </w:p>
    <w:sectPr w:rsidR="00387E47" w:rsidRPr="00AB12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0356" w14:textId="77777777" w:rsidR="00600DFA" w:rsidRDefault="00600DFA" w:rsidP="00A76F29">
      <w:pPr>
        <w:spacing w:line="240" w:lineRule="auto"/>
      </w:pPr>
      <w:r>
        <w:separator/>
      </w:r>
    </w:p>
  </w:endnote>
  <w:endnote w:type="continuationSeparator" w:id="0">
    <w:p w14:paraId="0C9D397E" w14:textId="77777777" w:rsidR="00600DFA" w:rsidRDefault="00600DFA"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D0CC" w14:textId="77777777" w:rsidR="00600DFA" w:rsidRDefault="0060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1A55BBF4" w14:textId="044419E8" w:rsidR="00600DFA" w:rsidRDefault="00600DFA">
        <w:pPr>
          <w:pStyle w:val="Footer"/>
          <w:jc w:val="right"/>
        </w:pPr>
        <w:r>
          <w:fldChar w:fldCharType="begin"/>
        </w:r>
        <w:r>
          <w:instrText xml:space="preserve"> PAGE   \* MERGEFORMAT </w:instrText>
        </w:r>
        <w:r>
          <w:fldChar w:fldCharType="separate"/>
        </w:r>
        <w:r w:rsidR="004D786A">
          <w:rPr>
            <w:noProof/>
          </w:rPr>
          <w:t>4</w:t>
        </w:r>
        <w:r>
          <w:rPr>
            <w:noProof/>
          </w:rPr>
          <w:fldChar w:fldCharType="end"/>
        </w:r>
      </w:p>
    </w:sdtContent>
  </w:sdt>
  <w:p w14:paraId="661835BD" w14:textId="77777777" w:rsidR="00600DFA" w:rsidRDefault="0060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8E1A" w14:textId="77777777" w:rsidR="00600DFA" w:rsidRDefault="0060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F042" w14:textId="77777777" w:rsidR="00600DFA" w:rsidRDefault="00600DFA" w:rsidP="00A76F29">
      <w:pPr>
        <w:spacing w:line="240" w:lineRule="auto"/>
      </w:pPr>
      <w:r>
        <w:separator/>
      </w:r>
    </w:p>
  </w:footnote>
  <w:footnote w:type="continuationSeparator" w:id="0">
    <w:p w14:paraId="5BF828D3" w14:textId="77777777" w:rsidR="00600DFA" w:rsidRDefault="00600DFA"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AA5F" w14:textId="77777777" w:rsidR="00600DFA" w:rsidRDefault="00600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A0C9" w14:textId="77777777" w:rsidR="00600DFA" w:rsidRDefault="00600DFA">
    <w:pPr>
      <w:pStyle w:val="Header"/>
    </w:pPr>
    <w:r>
      <w:tab/>
    </w:r>
    <w:r>
      <w:tab/>
    </w:r>
    <w:r>
      <w:rPr>
        <w:noProof/>
        <w:lang w:eastAsia="en-GB"/>
      </w:rPr>
      <w:drawing>
        <wp:inline distT="0" distB="0" distL="0" distR="0" wp14:anchorId="325FAF03" wp14:editId="1BC9D84A">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4F9A" w14:textId="77777777" w:rsidR="00600DFA" w:rsidRDefault="00600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27B74D5"/>
    <w:multiLevelType w:val="hybridMultilevel"/>
    <w:tmpl w:val="9CAAC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5A7C4A"/>
    <w:multiLevelType w:val="multilevel"/>
    <w:tmpl w:val="DBCCAD6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E77A7"/>
    <w:multiLevelType w:val="hybridMultilevel"/>
    <w:tmpl w:val="302C6DD6"/>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98C"/>
    <w:multiLevelType w:val="hybridMultilevel"/>
    <w:tmpl w:val="65DC2D66"/>
    <w:lvl w:ilvl="0" w:tplc="0ED08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91B4249"/>
    <w:multiLevelType w:val="hybridMultilevel"/>
    <w:tmpl w:val="3794731A"/>
    <w:lvl w:ilvl="0" w:tplc="17E40F2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2"/>
  </w:num>
  <w:num w:numId="5">
    <w:abstractNumId w:val="3"/>
  </w:num>
  <w:num w:numId="6">
    <w:abstractNumId w:val="11"/>
  </w:num>
  <w:num w:numId="7">
    <w:abstractNumId w:val="1"/>
  </w:num>
  <w:num w:numId="8">
    <w:abstractNumId w:val="5"/>
  </w:num>
  <w:num w:numId="9">
    <w:abstractNumId w:val="12"/>
  </w:num>
  <w:num w:numId="10">
    <w:abstractNumId w:val="7"/>
  </w:num>
  <w:num w:numId="11">
    <w:abstractNumId w:val="1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771AE"/>
    <w:rsid w:val="000953ED"/>
    <w:rsid w:val="000E2E3A"/>
    <w:rsid w:val="000F29BC"/>
    <w:rsid w:val="001830B3"/>
    <w:rsid w:val="001A5259"/>
    <w:rsid w:val="00205CEA"/>
    <w:rsid w:val="00216C1E"/>
    <w:rsid w:val="0025062B"/>
    <w:rsid w:val="002A36DA"/>
    <w:rsid w:val="00302A14"/>
    <w:rsid w:val="00316F8C"/>
    <w:rsid w:val="0036270D"/>
    <w:rsid w:val="00385C57"/>
    <w:rsid w:val="00387E47"/>
    <w:rsid w:val="003B0774"/>
    <w:rsid w:val="003C72DD"/>
    <w:rsid w:val="003E043C"/>
    <w:rsid w:val="003F77B1"/>
    <w:rsid w:val="00415D04"/>
    <w:rsid w:val="00435E15"/>
    <w:rsid w:val="004411C8"/>
    <w:rsid w:val="004706D9"/>
    <w:rsid w:val="004C22A4"/>
    <w:rsid w:val="004D786A"/>
    <w:rsid w:val="00561108"/>
    <w:rsid w:val="0059320B"/>
    <w:rsid w:val="005A3180"/>
    <w:rsid w:val="005D1421"/>
    <w:rsid w:val="005E3921"/>
    <w:rsid w:val="005E3F40"/>
    <w:rsid w:val="00600DFA"/>
    <w:rsid w:val="00643F40"/>
    <w:rsid w:val="006835E8"/>
    <w:rsid w:val="006C4F4D"/>
    <w:rsid w:val="006F338B"/>
    <w:rsid w:val="007F23D5"/>
    <w:rsid w:val="00803094"/>
    <w:rsid w:val="008156A9"/>
    <w:rsid w:val="008320E9"/>
    <w:rsid w:val="00836A7E"/>
    <w:rsid w:val="00866F3C"/>
    <w:rsid w:val="00936205"/>
    <w:rsid w:val="00953358"/>
    <w:rsid w:val="009716EA"/>
    <w:rsid w:val="009D14ED"/>
    <w:rsid w:val="00A6728A"/>
    <w:rsid w:val="00A76F29"/>
    <w:rsid w:val="00AB124C"/>
    <w:rsid w:val="00BE0858"/>
    <w:rsid w:val="00C00D19"/>
    <w:rsid w:val="00C6735D"/>
    <w:rsid w:val="00CB34F0"/>
    <w:rsid w:val="00CD2ED1"/>
    <w:rsid w:val="00D36BB4"/>
    <w:rsid w:val="00D7210E"/>
    <w:rsid w:val="00D85C57"/>
    <w:rsid w:val="00D91EF0"/>
    <w:rsid w:val="00DC302E"/>
    <w:rsid w:val="00E47203"/>
    <w:rsid w:val="00E571C6"/>
    <w:rsid w:val="00ED1BA4"/>
    <w:rsid w:val="00F2376E"/>
    <w:rsid w:val="00F845E7"/>
    <w:rsid w:val="00F946EE"/>
    <w:rsid w:val="00F94D4E"/>
    <w:rsid w:val="00FD0BAA"/>
    <w:rsid w:val="00FE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727F"/>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paragraph" w:styleId="NoSpacing">
    <w:name w:val="No Spacing"/>
    <w:aliases w:val="Text"/>
    <w:link w:val="NoSpacingChar"/>
    <w:uiPriority w:val="1"/>
    <w:qFormat/>
    <w:rsid w:val="00953358"/>
    <w:pPr>
      <w:spacing w:line="240" w:lineRule="auto"/>
    </w:pPr>
    <w:rPr>
      <w:rFonts w:cstheme="minorBidi"/>
      <w:color w:val="auto"/>
      <w:szCs w:val="22"/>
    </w:rPr>
  </w:style>
  <w:style w:type="character" w:customStyle="1" w:styleId="NoSpacingChar">
    <w:name w:val="No Spacing Char"/>
    <w:aliases w:val="Text Char"/>
    <w:basedOn w:val="DefaultParagraphFont"/>
    <w:link w:val="NoSpacing"/>
    <w:uiPriority w:val="1"/>
    <w:locked/>
    <w:rsid w:val="00953358"/>
    <w:rPr>
      <w:rFonts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C579E0-4134-4E72-9C42-C271E5B8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F37749-7E88-46D9-AEF6-321EE6720373}">
  <ds:schemaRefs>
    <ds:schemaRef ds:uri="http://schemas.microsoft.com/sharepoint/v3/contenttype/forms"/>
  </ds:schemaRefs>
</ds:datastoreItem>
</file>

<file path=customXml/itemProps3.xml><?xml version="1.0" encoding="utf-8"?>
<ds:datastoreItem xmlns:ds="http://schemas.openxmlformats.org/officeDocument/2006/customXml" ds:itemID="{69C73503-1F61-4AD0-A18A-296CEF67511E}">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ABBFC3-25A7-4464-961B-0778D8F9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Bell, Emily</cp:lastModifiedBy>
  <cp:revision>4</cp:revision>
  <dcterms:created xsi:type="dcterms:W3CDTF">2024-04-10T13:52:00Z</dcterms:created>
  <dcterms:modified xsi:type="dcterms:W3CDTF">2024-04-12T09:30:00Z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