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4B77" w14:textId="77777777" w:rsidR="00F60755" w:rsidRPr="00F60755" w:rsidRDefault="005E4831" w:rsidP="00F60755">
      <w:pPr>
        <w:pStyle w:val="Heading2"/>
        <w:pBdr>
          <w:bottom w:val="single" w:sz="6" w:space="0" w:color="CCCCCC"/>
        </w:pBdr>
        <w:shd w:val="clear" w:color="auto" w:fill="E5E5E5"/>
        <w:spacing w:before="0" w:beforeAutospacing="0" w:after="150" w:afterAutospacing="0" w:line="600" w:lineRule="atLeast"/>
        <w:ind w:left="-150" w:right="-150"/>
        <w:rPr>
          <w:rFonts w:ascii="Arial" w:hAnsi="Arial" w:cs="Arial"/>
          <w:bCs w:val="0"/>
          <w:color w:val="365F91" w:themeColor="accent1" w:themeShade="BF"/>
          <w:sz w:val="22"/>
          <w:szCs w:val="22"/>
        </w:rPr>
      </w:pPr>
      <w:r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 xml:space="preserve">Portal </w:t>
      </w:r>
      <w:r w:rsidR="009A5F5E"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>Contract Reference:</w:t>
      </w:r>
      <w:r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 xml:space="preserve"> </w:t>
      </w:r>
      <w:r w:rsidR="00F60755" w:rsidRPr="00F60755">
        <w:rPr>
          <w:rFonts w:ascii="Arial" w:hAnsi="Arial" w:cs="Arial"/>
          <w:bCs w:val="0"/>
          <w:color w:val="365F91" w:themeColor="accent1" w:themeShade="BF"/>
          <w:sz w:val="22"/>
          <w:szCs w:val="22"/>
        </w:rPr>
        <w:t>DN631044</w:t>
      </w:r>
    </w:p>
    <w:p w14:paraId="11D05DB2" w14:textId="0926EB6E" w:rsidR="005E4831" w:rsidRPr="00AA0CBB" w:rsidRDefault="005E4831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AA0CBB" w:rsidRPr="00AA0CBB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P5845 </w:t>
      </w:r>
    </w:p>
    <w:p w14:paraId="11D05DB3" w14:textId="06DBE383" w:rsidR="009A5F5E" w:rsidRPr="00BD18B2" w:rsidRDefault="009A5F5E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AA0CBB" w:rsidRPr="00AA0CBB">
        <w:rPr>
          <w:rFonts w:ascii="Arial" w:hAnsi="Arial" w:cs="Arial"/>
          <w:b/>
          <w:color w:val="365F91" w:themeColor="accent1" w:themeShade="BF"/>
          <w:sz w:val="22"/>
          <w:szCs w:val="22"/>
        </w:rPr>
        <w:t>P5845 New Town Hall &amp; St Georges Café Operator</w:t>
      </w:r>
    </w:p>
    <w:p w14:paraId="11D05DB4" w14:textId="35A11259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37AF1">
        <w:rPr>
          <w:rFonts w:ascii="Arial" w:hAnsi="Arial" w:cs="Arial"/>
          <w:b/>
          <w:color w:val="365F91" w:themeColor="accent1" w:themeShade="BF"/>
          <w:sz w:val="22"/>
          <w:szCs w:val="22"/>
        </w:rPr>
        <w:t>21/09/2022</w:t>
      </w:r>
    </w:p>
    <w:p w14:paraId="11D05DB5" w14:textId="0E374790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37AF1">
        <w:rPr>
          <w:rFonts w:ascii="Arial" w:hAnsi="Arial" w:cs="Arial"/>
          <w:b/>
          <w:color w:val="365F91" w:themeColor="accent1" w:themeShade="BF"/>
          <w:sz w:val="22"/>
          <w:szCs w:val="22"/>
        </w:rPr>
        <w:t>21/10/2022</w:t>
      </w:r>
    </w:p>
    <w:p w14:paraId="11D05DB6" w14:textId="6DD153D3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D37AF1">
        <w:rPr>
          <w:rFonts w:ascii="Arial" w:hAnsi="Arial" w:cs="Arial"/>
          <w:b/>
          <w:color w:val="365F91" w:themeColor="accent1" w:themeShade="BF"/>
          <w:sz w:val="22"/>
          <w:szCs w:val="22"/>
        </w:rPr>
        <w:t>60 months</w:t>
      </w:r>
    </w:p>
    <w:p w14:paraId="11D05DB7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11D05DB8" w14:textId="28DE6EE2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F5A92">
        <w:rPr>
          <w:rFonts w:ascii="Arial" w:hAnsi="Arial" w:cs="Arial"/>
          <w:b/>
          <w:color w:val="365F91" w:themeColor="accent1" w:themeShade="BF"/>
          <w:sz w:val="22"/>
          <w:szCs w:val="22"/>
        </w:rPr>
        <w:t>£200k</w:t>
      </w:r>
    </w:p>
    <w:p w14:paraId="003DC815" w14:textId="77777777" w:rsidR="005B3948" w:rsidRPr="005B3948" w:rsidRDefault="00FC72E9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  <w:r w:rsidR="005B3948" w:rsidRPr="005B3948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The main objective of this procurement exercise is to appoint a café operator to run the New Town Hall and St George’s Town Hall cafes separately or jointly. Both cafes are in a shell and core condition as they form part of newly refurbished buildings. </w:t>
      </w:r>
    </w:p>
    <w:p w14:paraId="5D317EDB" w14:textId="77777777" w:rsidR="005B3948" w:rsidRPr="005B3948" w:rsidRDefault="005B3948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11D05DBE" w14:textId="3D462FB5" w:rsidR="008F0CB4" w:rsidRDefault="005B3948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5B3948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Market Engagement sessions were held in May 2022 which were well attended by over 40 individuals representing a mixture of local business owners and multi café operators. Feedback was requested from all attendees with the café operator model favoured by </w:t>
      </w:r>
      <w:proofErr w:type="gramStart"/>
      <w:r w:rsidRPr="005B3948">
        <w:rPr>
          <w:rFonts w:ascii="Arial" w:hAnsi="Arial" w:cs="Arial"/>
          <w:b/>
          <w:color w:val="365F91" w:themeColor="accent1" w:themeShade="BF"/>
          <w:sz w:val="22"/>
          <w:szCs w:val="22"/>
        </w:rPr>
        <w:t>the majority of</w:t>
      </w:r>
      <w:proofErr w:type="gramEnd"/>
      <w:r w:rsidRPr="005B3948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potential bidders over a traditional lease option. However, the concession agreement will be supported by a lease/licence to occupy at a nominal annual rent to formalise the property aspects of the procurement. </w:t>
      </w:r>
    </w:p>
    <w:p w14:paraId="65BA9166" w14:textId="77777777" w:rsidR="005B3948" w:rsidRPr="005B3948" w:rsidRDefault="005B3948" w:rsidP="005B3948">
      <w:pPr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11D05DBF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11D05DC0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11D05DC1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1D05DC2" w14:textId="77777777" w:rsidR="003C193B" w:rsidRPr="00EF5F1D" w:rsidRDefault="003C193B" w:rsidP="003C193B">
      <w:pPr>
        <w:rPr>
          <w:rFonts w:ascii="Arial" w:hAnsi="Arial" w:cs="Arial"/>
          <w:sz w:val="22"/>
          <w:szCs w:val="22"/>
        </w:rPr>
      </w:pPr>
      <w:r w:rsidRPr="00EF5F1D">
        <w:rPr>
          <w:rFonts w:ascii="Arial" w:hAnsi="Arial" w:cs="Arial"/>
          <w:sz w:val="22"/>
          <w:szCs w:val="22"/>
        </w:rPr>
        <w:t>The London Borough of Tower Hamlets (LBTH) is seeking expressions of interest from interested organisations for the above services and / or goods.</w:t>
      </w:r>
    </w:p>
    <w:p w14:paraId="11D05DC3" w14:textId="77777777" w:rsidR="003C193B" w:rsidRPr="00BD18B2" w:rsidRDefault="003C193B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1D05DC4" w14:textId="66C4D79E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>where the</w:t>
      </w:r>
      <w:r w:rsidR="003672FD">
        <w:rPr>
          <w:rFonts w:ascii="Arial" w:hAnsi="Arial" w:cs="Arial"/>
          <w:sz w:val="22"/>
          <w:szCs w:val="22"/>
        </w:rPr>
        <w:t>y will find</w:t>
      </w:r>
      <w:r w:rsidR="0005091D">
        <w:rPr>
          <w:rFonts w:ascii="Arial" w:hAnsi="Arial" w:cs="Arial"/>
          <w:sz w:val="22"/>
          <w:szCs w:val="22"/>
        </w:rPr>
        <w:t xml:space="preserve"> the</w:t>
      </w:r>
      <w:r w:rsidRPr="00BD18B2">
        <w:rPr>
          <w:rFonts w:ascii="Arial" w:hAnsi="Arial" w:cs="Arial"/>
          <w:sz w:val="22"/>
          <w:szCs w:val="22"/>
        </w:rPr>
        <w:t xml:space="preserve">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11D05DC5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11D05DC6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11D05DC7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11D05DC8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proofErr w:type="gramStart"/>
      <w:r w:rsidRPr="00BD18B2">
        <w:rPr>
          <w:rFonts w:ascii="Arial" w:hAnsi="Arial" w:cs="Arial"/>
          <w:sz w:val="22"/>
          <w:szCs w:val="22"/>
        </w:rPr>
        <w:t>Application</w:t>
      </w:r>
      <w:proofErr w:type="gramEnd"/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11D05DC9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11D05DCA" w14:textId="77C19A9F" w:rsidR="00B01DC5" w:rsidRPr="00BD18B2" w:rsidRDefault="00E95E49" w:rsidP="00B74BA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Tower Hamlets </w:t>
      </w:r>
      <w:r w:rsidR="000F6A41"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</w:t>
      </w:r>
      <w:r>
        <w:rPr>
          <w:rFonts w:ascii="Arial" w:hAnsi="Arial" w:cs="Arial"/>
          <w:sz w:val="22"/>
          <w:szCs w:val="22"/>
        </w:rPr>
        <w:t>. Ou</w:t>
      </w:r>
      <w:r w:rsidR="00F11214" w:rsidRPr="00BD18B2">
        <w:rPr>
          <w:rFonts w:ascii="Arial" w:hAnsi="Arial" w:cs="Arial"/>
          <w:sz w:val="22"/>
          <w:szCs w:val="22"/>
        </w:rPr>
        <w:t xml:space="preserve">r protocol can be found </w:t>
      </w:r>
      <w:hyperlink r:id="rId12" w:history="1">
        <w:r w:rsidR="000F6A41"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0F6A41"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11D05DCB" w14:textId="51895332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>ther information prior to submit</w:t>
      </w:r>
      <w:r w:rsidR="00E95E49">
        <w:rPr>
          <w:rFonts w:ascii="Arial" w:hAnsi="Arial" w:cs="Arial"/>
          <w:sz w:val="22"/>
          <w:szCs w:val="22"/>
        </w:rPr>
        <w:t xml:space="preserve">ting </w:t>
      </w:r>
      <w:r w:rsidR="0009584C" w:rsidRPr="00BD18B2">
        <w:rPr>
          <w:rFonts w:ascii="Arial" w:hAnsi="Arial" w:cs="Arial"/>
          <w:sz w:val="22"/>
          <w:szCs w:val="22"/>
        </w:rPr>
        <w:t xml:space="preserve">an </w:t>
      </w:r>
      <w:r w:rsidR="00E95E49">
        <w:rPr>
          <w:rFonts w:ascii="Arial" w:hAnsi="Arial" w:cs="Arial"/>
          <w:sz w:val="22"/>
          <w:szCs w:val="22"/>
        </w:rPr>
        <w:t>E</w:t>
      </w:r>
      <w:r w:rsidR="0009584C" w:rsidRPr="00BD18B2">
        <w:rPr>
          <w:rFonts w:ascii="Arial" w:hAnsi="Arial" w:cs="Arial"/>
          <w:sz w:val="22"/>
          <w:szCs w:val="22"/>
        </w:rPr>
        <w:t xml:space="preserve">xpression of </w:t>
      </w:r>
      <w:proofErr w:type="gramStart"/>
      <w:r w:rsidR="00E95E49">
        <w:rPr>
          <w:rFonts w:ascii="Arial" w:hAnsi="Arial" w:cs="Arial"/>
          <w:sz w:val="22"/>
          <w:szCs w:val="22"/>
        </w:rPr>
        <w:t>I</w:t>
      </w:r>
      <w:r w:rsidR="0009584C" w:rsidRPr="00BD18B2">
        <w:rPr>
          <w:rFonts w:ascii="Arial" w:hAnsi="Arial" w:cs="Arial"/>
          <w:sz w:val="22"/>
          <w:szCs w:val="22"/>
        </w:rPr>
        <w:t>nterest</w:t>
      </w:r>
      <w:proofErr w:type="gramEnd"/>
      <w:r w:rsidR="0009584C" w:rsidRPr="00BD18B2">
        <w:rPr>
          <w:rFonts w:ascii="Arial" w:hAnsi="Arial" w:cs="Arial"/>
          <w:sz w:val="22"/>
          <w:szCs w:val="22"/>
        </w:rPr>
        <w:t xml:space="preserve">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internal</w:t>
      </w:r>
      <w:r w:rsidR="000C1A96">
        <w:rPr>
          <w:rFonts w:ascii="Arial" w:hAnsi="Arial" w:cs="Arial"/>
          <w:sz w:val="22"/>
          <w:szCs w:val="22"/>
        </w:rPr>
        <w:t xml:space="preserve"> contract</w:t>
      </w:r>
      <w:r w:rsidR="00F321CB" w:rsidRPr="00BD18B2">
        <w:rPr>
          <w:rFonts w:ascii="Arial" w:hAnsi="Arial" w:cs="Arial"/>
          <w:sz w:val="22"/>
          <w:szCs w:val="22"/>
        </w:rPr>
        <w:t xml:space="preserve">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170F" w14:textId="77777777" w:rsidR="00DB4BBC" w:rsidRDefault="00DB4BBC">
      <w:r>
        <w:separator/>
      </w:r>
    </w:p>
  </w:endnote>
  <w:endnote w:type="continuationSeparator" w:id="0">
    <w:p w14:paraId="34222ED0" w14:textId="77777777" w:rsidR="00DB4BBC" w:rsidRDefault="00DB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DD1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11D05DD2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A5EB" w14:textId="77777777" w:rsidR="00DB4BBC" w:rsidRDefault="00DB4BBC">
      <w:r>
        <w:separator/>
      </w:r>
    </w:p>
  </w:footnote>
  <w:footnote w:type="continuationSeparator" w:id="0">
    <w:p w14:paraId="1BCB6308" w14:textId="77777777" w:rsidR="00DB4BBC" w:rsidRDefault="00DB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5DD0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05DD3" wp14:editId="11D05DD4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696630">
    <w:abstractNumId w:val="4"/>
  </w:num>
  <w:num w:numId="2" w16cid:durableId="679047617">
    <w:abstractNumId w:val="0"/>
  </w:num>
  <w:num w:numId="3" w16cid:durableId="341474343">
    <w:abstractNumId w:val="2"/>
  </w:num>
  <w:num w:numId="4" w16cid:durableId="821309758">
    <w:abstractNumId w:val="1"/>
  </w:num>
  <w:num w:numId="5" w16cid:durableId="149954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5091D"/>
    <w:rsid w:val="0009584C"/>
    <w:rsid w:val="000963F5"/>
    <w:rsid w:val="00096F7A"/>
    <w:rsid w:val="000A7569"/>
    <w:rsid w:val="000B0417"/>
    <w:rsid w:val="000C1A96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57DB7"/>
    <w:rsid w:val="002878FF"/>
    <w:rsid w:val="002B40AC"/>
    <w:rsid w:val="002E792B"/>
    <w:rsid w:val="002F5A92"/>
    <w:rsid w:val="00310D70"/>
    <w:rsid w:val="0035377E"/>
    <w:rsid w:val="003672FD"/>
    <w:rsid w:val="003749F3"/>
    <w:rsid w:val="0037731C"/>
    <w:rsid w:val="0038662B"/>
    <w:rsid w:val="0039123D"/>
    <w:rsid w:val="003C193B"/>
    <w:rsid w:val="003C767D"/>
    <w:rsid w:val="004264FC"/>
    <w:rsid w:val="00427509"/>
    <w:rsid w:val="00446C01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B3948"/>
    <w:rsid w:val="005C2155"/>
    <w:rsid w:val="005E2B58"/>
    <w:rsid w:val="005E4831"/>
    <w:rsid w:val="0062706A"/>
    <w:rsid w:val="0068378E"/>
    <w:rsid w:val="006B64A3"/>
    <w:rsid w:val="006F3677"/>
    <w:rsid w:val="0070167D"/>
    <w:rsid w:val="00705DE6"/>
    <w:rsid w:val="00714588"/>
    <w:rsid w:val="00717155"/>
    <w:rsid w:val="007C5E76"/>
    <w:rsid w:val="007E65EA"/>
    <w:rsid w:val="00804225"/>
    <w:rsid w:val="0084136A"/>
    <w:rsid w:val="00867336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96521"/>
    <w:rsid w:val="00AA0CBB"/>
    <w:rsid w:val="00AE31D1"/>
    <w:rsid w:val="00B01DC5"/>
    <w:rsid w:val="00B02BA4"/>
    <w:rsid w:val="00B24E44"/>
    <w:rsid w:val="00B74BA5"/>
    <w:rsid w:val="00B92462"/>
    <w:rsid w:val="00BD18B2"/>
    <w:rsid w:val="00BF0139"/>
    <w:rsid w:val="00C00C52"/>
    <w:rsid w:val="00C31D4B"/>
    <w:rsid w:val="00C67B34"/>
    <w:rsid w:val="00C870DF"/>
    <w:rsid w:val="00D3535C"/>
    <w:rsid w:val="00D37AF1"/>
    <w:rsid w:val="00D54DE7"/>
    <w:rsid w:val="00D55A43"/>
    <w:rsid w:val="00D640F9"/>
    <w:rsid w:val="00DA3E3A"/>
    <w:rsid w:val="00DB4BBC"/>
    <w:rsid w:val="00DF2239"/>
    <w:rsid w:val="00E0281C"/>
    <w:rsid w:val="00E30282"/>
    <w:rsid w:val="00E350BF"/>
    <w:rsid w:val="00E47F03"/>
    <w:rsid w:val="00E81405"/>
    <w:rsid w:val="00E84B1D"/>
    <w:rsid w:val="00E84E3A"/>
    <w:rsid w:val="00E95E49"/>
    <w:rsid w:val="00EB62C8"/>
    <w:rsid w:val="00EC15B7"/>
    <w:rsid w:val="00ED350C"/>
    <w:rsid w:val="00EF5F1D"/>
    <w:rsid w:val="00F11214"/>
    <w:rsid w:val="00F321CB"/>
    <w:rsid w:val="00F52E32"/>
    <w:rsid w:val="00F60755"/>
    <w:rsid w:val="00F654FF"/>
    <w:rsid w:val="00F716E3"/>
    <w:rsid w:val="00FC72E9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D05DB1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0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075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Working-for-Tower-Hamlets-and-Suppliers-Code-of-conduc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6" ma:contentTypeDescription="Create a new document." ma:contentTypeScope="" ma:versionID="e35e00721190e67ee8ea71e433486900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54bc564c38ba754a1c3c2baec0e03988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62C-FEC9-4538-B7FD-91AF3A99823A}"/>
</file>

<file path=customXml/itemProps2.xml><?xml version="1.0" encoding="utf-8"?>
<ds:datastoreItem xmlns:ds="http://schemas.openxmlformats.org/officeDocument/2006/customXml" ds:itemID="{625CC04B-F0F1-4053-A9D0-C094C71A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7EC7A-B5B1-415F-B54C-E6A5F33EC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946A2-9F7F-4427-9311-355F32B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2892</CharactersWithSpaces>
  <SharedDoc>false</SharedDoc>
  <HLinks>
    <vt:vector size="18" baseType="variant">
      <vt:variant>
        <vt:i4>4849713</vt:i4>
      </vt:variant>
      <vt:variant>
        <vt:i4>31</vt:i4>
      </vt:variant>
      <vt:variant>
        <vt:i4>0</vt:i4>
      </vt:variant>
      <vt:variant>
        <vt:i4>5</vt:i4>
      </vt:variant>
      <vt:variant>
        <vt:lpwstr>\\THPNAS01\SHARED\Resources\Finance\P &amp; CP\Shared\Toolkit\Procurement Templates 2011\procurement@towerhamlets.gov.uk</vt:lpwstr>
      </vt:variant>
      <vt:variant>
        <vt:lpwstr/>
      </vt:variant>
      <vt:variant>
        <vt:i4>7995455</vt:i4>
      </vt:variant>
      <vt:variant>
        <vt:i4>23</vt:i4>
      </vt:variant>
      <vt:variant>
        <vt:i4>0</vt:i4>
      </vt:variant>
      <vt:variant>
        <vt:i4>5</vt:i4>
      </vt:variant>
      <vt:variant>
        <vt:lpwstr>http://www.towerhamlets.gov.uk/lgsl/801-850/828_tenders_and_contracts/guidance_to_suppliers_and.aspx</vt:lpwstr>
      </vt:variant>
      <vt:variant>
        <vt:lpwstr/>
      </vt:variant>
      <vt:variant>
        <vt:i4>5701753</vt:i4>
      </vt:variant>
      <vt:variant>
        <vt:i4>15</vt:i4>
      </vt:variant>
      <vt:variant>
        <vt:i4>0</vt:i4>
      </vt:variant>
      <vt:variant>
        <vt:i4>5</vt:i4>
      </vt:variant>
      <vt:variant>
        <vt:lpwstr>https://www.londontenders.org/procontract/supplier.nsf/frm_home?openForm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Bola James</cp:lastModifiedBy>
  <cp:revision>2</cp:revision>
  <cp:lastPrinted>2017-12-12T12:04:00Z</cp:lastPrinted>
  <dcterms:created xsi:type="dcterms:W3CDTF">2022-09-21T08:30:00Z</dcterms:created>
  <dcterms:modified xsi:type="dcterms:W3CDTF">2022-09-21T08:30:00Z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23600</vt:r8>
  </property>
</Properties>
</file>