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B9F9" w14:textId="5527B3BD" w:rsidR="00720D90" w:rsidRPr="0025240B" w:rsidRDefault="00720D90" w:rsidP="0025240B">
      <w:pPr>
        <w:jc w:val="center"/>
        <w:rPr>
          <w:b/>
        </w:rPr>
      </w:pPr>
      <w:r w:rsidRPr="0025240B">
        <w:rPr>
          <w:b/>
        </w:rPr>
        <w:t>Schedule 2</w:t>
      </w:r>
    </w:p>
    <w:p w14:paraId="46B6FFE5" w14:textId="77777777" w:rsidR="00720D90" w:rsidRPr="0025240B" w:rsidRDefault="00720D90" w:rsidP="0025240B">
      <w:pPr>
        <w:jc w:val="center"/>
        <w:rPr>
          <w:b/>
        </w:rPr>
      </w:pPr>
    </w:p>
    <w:p w14:paraId="6B027CBF" w14:textId="58A17FF7" w:rsidR="00FD3A85" w:rsidRPr="0025240B" w:rsidRDefault="00277E40" w:rsidP="0025240B">
      <w:pPr>
        <w:jc w:val="center"/>
        <w:rPr>
          <w:b/>
        </w:rPr>
      </w:pPr>
      <w:r w:rsidRPr="0025240B">
        <w:rPr>
          <w:b/>
        </w:rPr>
        <w:t>Finance</w:t>
      </w:r>
    </w:p>
    <w:p w14:paraId="59788EAA" w14:textId="0E531569" w:rsidR="00277E40" w:rsidRPr="0025240B" w:rsidRDefault="00277E40" w:rsidP="0025240B">
      <w:pPr>
        <w:jc w:val="both"/>
      </w:pPr>
    </w:p>
    <w:p w14:paraId="6E2B0FDF" w14:textId="2737CF85" w:rsidR="00B11745" w:rsidRPr="0025240B" w:rsidRDefault="00B11745" w:rsidP="0025240B">
      <w:pPr>
        <w:pStyle w:val="ListParagraph"/>
        <w:numPr>
          <w:ilvl w:val="0"/>
          <w:numId w:val="5"/>
        </w:numPr>
        <w:ind w:left="709" w:hanging="709"/>
        <w:jc w:val="both"/>
        <w:rPr>
          <w:b/>
        </w:rPr>
      </w:pPr>
      <w:r w:rsidRPr="0025240B">
        <w:rPr>
          <w:b/>
        </w:rPr>
        <w:t>General</w:t>
      </w:r>
    </w:p>
    <w:p w14:paraId="11108552" w14:textId="3FB82896" w:rsidR="009B2843" w:rsidRPr="0025240B" w:rsidRDefault="00B11745" w:rsidP="0025240B">
      <w:pPr>
        <w:pStyle w:val="ListParagraph"/>
        <w:numPr>
          <w:ilvl w:val="1"/>
          <w:numId w:val="5"/>
        </w:numPr>
        <w:ind w:left="709" w:hanging="709"/>
        <w:jc w:val="both"/>
      </w:pPr>
      <w:r w:rsidRPr="0025240B">
        <w:t>For the performance of the Services, the Service Provider shall be paid the Contract Price.</w:t>
      </w:r>
    </w:p>
    <w:p w14:paraId="4A45F0F8" w14:textId="77777777" w:rsidR="009B2843" w:rsidRPr="0025240B" w:rsidRDefault="009B2843" w:rsidP="0025240B">
      <w:pPr>
        <w:jc w:val="both"/>
        <w:rPr>
          <w:b/>
        </w:rPr>
      </w:pPr>
    </w:p>
    <w:p w14:paraId="13E619E1" w14:textId="392562A4" w:rsidR="009B2843" w:rsidRPr="0025240B" w:rsidRDefault="009B2843" w:rsidP="0025240B">
      <w:pPr>
        <w:pStyle w:val="ListParagraph"/>
        <w:numPr>
          <w:ilvl w:val="0"/>
          <w:numId w:val="5"/>
        </w:numPr>
        <w:jc w:val="both"/>
        <w:rPr>
          <w:b/>
        </w:rPr>
      </w:pPr>
      <w:r w:rsidRPr="0025240B">
        <w:rPr>
          <w:b/>
        </w:rPr>
        <w:t xml:space="preserve">Implementation and Transition Period Payment </w:t>
      </w:r>
    </w:p>
    <w:p w14:paraId="6A84D700" w14:textId="20128C2F" w:rsidR="009B2843" w:rsidRPr="0025240B" w:rsidRDefault="009B2843" w:rsidP="0025240B">
      <w:pPr>
        <w:pStyle w:val="ListParagraph"/>
        <w:numPr>
          <w:ilvl w:val="1"/>
          <w:numId w:val="5"/>
        </w:numPr>
        <w:ind w:left="709" w:hanging="709"/>
        <w:jc w:val="both"/>
      </w:pPr>
      <w:r w:rsidRPr="0025240B">
        <w:t>Schedule 7 (Commencement Transition Provisions) sets out the actions required by the Service Provider</w:t>
      </w:r>
      <w:r w:rsidR="00E112E6" w:rsidRPr="0025240B">
        <w:t xml:space="preserve"> from the Contract Commencement Date,</w:t>
      </w:r>
      <w:r w:rsidRPr="0025240B">
        <w:t xml:space="preserve"> in addition to those expressly set out elsewhere in the Contract</w:t>
      </w:r>
      <w:r w:rsidR="00E112E6" w:rsidRPr="0025240B">
        <w:t xml:space="preserve">, </w:t>
      </w:r>
      <w:r w:rsidRPr="0025240B">
        <w:t xml:space="preserve">leading up to the Service Commencement Date. </w:t>
      </w:r>
    </w:p>
    <w:p w14:paraId="681FED83" w14:textId="77777777" w:rsidR="00BC5175" w:rsidRPr="0025240B" w:rsidRDefault="00BC5175" w:rsidP="0025240B">
      <w:pPr>
        <w:pStyle w:val="ListParagraph"/>
        <w:ind w:left="709"/>
        <w:jc w:val="both"/>
      </w:pPr>
    </w:p>
    <w:p w14:paraId="19B46818" w14:textId="065E3AC4" w:rsidR="009B2843" w:rsidRPr="0025240B" w:rsidRDefault="009B2843" w:rsidP="0025240B">
      <w:pPr>
        <w:pStyle w:val="ListParagraph"/>
        <w:numPr>
          <w:ilvl w:val="1"/>
          <w:numId w:val="5"/>
        </w:numPr>
        <w:ind w:left="709" w:hanging="709"/>
        <w:jc w:val="both"/>
      </w:pPr>
      <w:r w:rsidRPr="0025240B">
        <w:t xml:space="preserve">For the </w:t>
      </w:r>
      <w:r w:rsidR="00E112E6" w:rsidRPr="0025240B">
        <w:t xml:space="preserve">delivery and </w:t>
      </w:r>
      <w:r w:rsidRPr="0025240B">
        <w:t>performance of the Implementation and Transition Plan</w:t>
      </w:r>
      <w:r w:rsidR="00E112E6" w:rsidRPr="0025240B">
        <w:t xml:space="preserve"> as per Schedule 7 (Commencement Transition Provisions)</w:t>
      </w:r>
      <w:r w:rsidRPr="0025240B">
        <w:t xml:space="preserve">, </w:t>
      </w:r>
      <w:r w:rsidR="00BC5175" w:rsidRPr="0025240B">
        <w:t>a one-off payment of £25,000 will be paid before the Service Commencement Date.</w:t>
      </w:r>
    </w:p>
    <w:p w14:paraId="13114E47" w14:textId="77777777" w:rsidR="009B2843" w:rsidRPr="0025240B" w:rsidRDefault="009B2843" w:rsidP="0025240B">
      <w:pPr>
        <w:jc w:val="both"/>
      </w:pPr>
    </w:p>
    <w:p w14:paraId="355690DF" w14:textId="75122D66" w:rsidR="009B2843" w:rsidRPr="0025240B" w:rsidRDefault="00B11745" w:rsidP="0025240B">
      <w:pPr>
        <w:pStyle w:val="ListParagraph"/>
        <w:numPr>
          <w:ilvl w:val="0"/>
          <w:numId w:val="5"/>
        </w:numPr>
        <w:ind w:left="709" w:hanging="709"/>
        <w:jc w:val="both"/>
      </w:pPr>
      <w:r w:rsidRPr="0025240B">
        <w:rPr>
          <w:b/>
        </w:rPr>
        <w:t>Contract Price</w:t>
      </w:r>
    </w:p>
    <w:p w14:paraId="72479DC0" w14:textId="52AE54CA" w:rsidR="00BC5175" w:rsidRPr="0025240B" w:rsidRDefault="00E112E6" w:rsidP="0025240B">
      <w:pPr>
        <w:pStyle w:val="ListParagraph"/>
        <w:numPr>
          <w:ilvl w:val="1"/>
          <w:numId w:val="5"/>
        </w:numPr>
        <w:ind w:left="709" w:hanging="709"/>
        <w:jc w:val="both"/>
      </w:pPr>
      <w:r>
        <w:t>The t</w:t>
      </w:r>
      <w:r w:rsidR="00B11745">
        <w:t>otal annual Contract Price will be</w:t>
      </w:r>
      <w:r w:rsidR="001D2B46">
        <w:t xml:space="preserve"> a maximum of</w:t>
      </w:r>
      <w:r w:rsidR="00B11745">
        <w:t xml:space="preserve"> </w:t>
      </w:r>
      <w:r w:rsidR="00B11745" w:rsidRPr="4C975DD5">
        <w:rPr>
          <w:rFonts w:eastAsia="Arial"/>
        </w:rPr>
        <w:t>£</w:t>
      </w:r>
      <w:r w:rsidR="009B2843" w:rsidRPr="4C975DD5">
        <w:rPr>
          <w:rFonts w:eastAsia="Arial"/>
        </w:rPr>
        <w:t>3</w:t>
      </w:r>
      <w:r w:rsidR="00D77277" w:rsidRPr="4C975DD5">
        <w:rPr>
          <w:rFonts w:eastAsia="Arial"/>
        </w:rPr>
        <w:t>75</w:t>
      </w:r>
      <w:r w:rsidRPr="4C975DD5">
        <w:rPr>
          <w:rFonts w:eastAsia="Arial"/>
        </w:rPr>
        <w:t>,</w:t>
      </w:r>
      <w:r w:rsidR="00D77277" w:rsidRPr="4C975DD5">
        <w:rPr>
          <w:rFonts w:eastAsia="Arial"/>
        </w:rPr>
        <w:t>000 per year</w:t>
      </w:r>
      <w:r w:rsidR="00B11745">
        <w:t>.</w:t>
      </w:r>
      <w:r w:rsidR="00BC5175">
        <w:t xml:space="preserve"> </w:t>
      </w:r>
      <w:r w:rsidR="00B11745">
        <w:t>The Contract Price shall be calculated as follows each year:</w:t>
      </w:r>
    </w:p>
    <w:p w14:paraId="69323336" w14:textId="77777777" w:rsidR="00BC5175" w:rsidRPr="0025240B" w:rsidRDefault="00BC5175" w:rsidP="0025240B">
      <w:pPr>
        <w:pStyle w:val="ListParagraph"/>
        <w:ind w:left="709"/>
        <w:jc w:val="both"/>
      </w:pPr>
    </w:p>
    <w:p w14:paraId="54D192AA" w14:textId="4043732B" w:rsidR="00304018" w:rsidRPr="0025240B" w:rsidRDefault="00277E40" w:rsidP="0025240B">
      <w:pPr>
        <w:pStyle w:val="ListParagraph"/>
        <w:numPr>
          <w:ilvl w:val="0"/>
          <w:numId w:val="5"/>
        </w:numPr>
        <w:jc w:val="both"/>
      </w:pPr>
      <w:r w:rsidRPr="0025240B">
        <w:rPr>
          <w:b/>
        </w:rPr>
        <w:t>Block Payment</w:t>
      </w:r>
      <w:r w:rsidR="00D245CA" w:rsidRPr="0025240B">
        <w:rPr>
          <w:b/>
        </w:rPr>
        <w:t>s</w:t>
      </w:r>
    </w:p>
    <w:p w14:paraId="5EE6CA6F" w14:textId="06F46518" w:rsidR="00D245CA" w:rsidRPr="0025240B" w:rsidRDefault="00277E40" w:rsidP="0025240B">
      <w:pPr>
        <w:pStyle w:val="ListParagraph"/>
        <w:numPr>
          <w:ilvl w:val="1"/>
          <w:numId w:val="5"/>
        </w:numPr>
        <w:ind w:left="709" w:hanging="709"/>
        <w:jc w:val="both"/>
      </w:pPr>
      <w:r w:rsidRPr="0025240B">
        <w:t>A block payment of £</w:t>
      </w:r>
      <w:r w:rsidR="009B2843" w:rsidRPr="0025240B">
        <w:t>3</w:t>
      </w:r>
      <w:r w:rsidRPr="0025240B">
        <w:t>00,000 will be paid in 12 monthly instalments</w:t>
      </w:r>
      <w:r w:rsidR="00D245CA" w:rsidRPr="0025240B">
        <w:t>.</w:t>
      </w:r>
    </w:p>
    <w:p w14:paraId="68D6FB52" w14:textId="77777777" w:rsidR="00304018" w:rsidRPr="0025240B" w:rsidRDefault="00304018" w:rsidP="0025240B">
      <w:pPr>
        <w:pStyle w:val="ListParagraph"/>
        <w:ind w:left="709"/>
        <w:jc w:val="both"/>
      </w:pPr>
    </w:p>
    <w:p w14:paraId="39E21F2D" w14:textId="518BCF34" w:rsidR="00D245CA" w:rsidRPr="0025240B" w:rsidRDefault="00277E40" w:rsidP="0025240B">
      <w:pPr>
        <w:pStyle w:val="ListParagraph"/>
        <w:numPr>
          <w:ilvl w:val="1"/>
          <w:numId w:val="5"/>
        </w:numPr>
        <w:ind w:left="709" w:hanging="709"/>
        <w:jc w:val="both"/>
      </w:pPr>
      <w:r w:rsidRPr="0025240B">
        <w:t>The Service Provider will be expected to del</w:t>
      </w:r>
      <w:r w:rsidR="00B11745" w:rsidRPr="0025240B">
        <w:t xml:space="preserve">iver a minimum </w:t>
      </w:r>
      <w:r w:rsidR="009B2843" w:rsidRPr="0025240B">
        <w:t>750</w:t>
      </w:r>
      <w:r w:rsidR="00B11745" w:rsidRPr="0025240B">
        <w:t xml:space="preserve"> successful </w:t>
      </w:r>
      <w:r w:rsidR="00BC5175" w:rsidRPr="0025240B">
        <w:t xml:space="preserve">Tier 3 </w:t>
      </w:r>
      <w:r w:rsidR="002626A3" w:rsidRPr="0025240B">
        <w:t>f</w:t>
      </w:r>
      <w:r w:rsidR="00B11745" w:rsidRPr="0025240B">
        <w:t>our-</w:t>
      </w:r>
      <w:r w:rsidR="002626A3" w:rsidRPr="0025240B">
        <w:t>w</w:t>
      </w:r>
      <w:r w:rsidRPr="0025240B">
        <w:t xml:space="preserve">eek quits to fulfil the </w:t>
      </w:r>
      <w:r w:rsidR="00B11745" w:rsidRPr="0025240B">
        <w:t>block Contract Price</w:t>
      </w:r>
      <w:r w:rsidRPr="0025240B">
        <w:t>.</w:t>
      </w:r>
      <w:r w:rsidR="00BC5175" w:rsidRPr="0025240B">
        <w:t xml:space="preserve"> This is a baseline </w:t>
      </w:r>
      <w:r w:rsidR="00E112E6" w:rsidRPr="0025240B">
        <w:t xml:space="preserve">of </w:t>
      </w:r>
      <w:r w:rsidR="00BC5175" w:rsidRPr="0025240B">
        <w:t xml:space="preserve">£400 for each successful Tier 3 </w:t>
      </w:r>
      <w:r w:rsidR="002626A3" w:rsidRPr="0025240B">
        <w:t>f</w:t>
      </w:r>
      <w:r w:rsidR="00BC5175" w:rsidRPr="0025240B">
        <w:t>our-</w:t>
      </w:r>
      <w:r w:rsidR="002626A3" w:rsidRPr="0025240B">
        <w:t>w</w:t>
      </w:r>
      <w:r w:rsidR="00BC5175" w:rsidRPr="0025240B">
        <w:t>eek quit</w:t>
      </w:r>
      <w:r w:rsidR="00E033D9" w:rsidRPr="0025240B">
        <w:t xml:space="preserve"> from priority Service Users</w:t>
      </w:r>
      <w:r w:rsidR="00304018" w:rsidRPr="0025240B">
        <w:t>.</w:t>
      </w:r>
    </w:p>
    <w:p w14:paraId="7CFCEBDD" w14:textId="77777777" w:rsidR="00304018" w:rsidRPr="0025240B" w:rsidRDefault="00304018" w:rsidP="0025240B">
      <w:pPr>
        <w:jc w:val="both"/>
      </w:pPr>
    </w:p>
    <w:p w14:paraId="2298AA58" w14:textId="31F7CE57" w:rsidR="00D245CA" w:rsidRPr="0025240B" w:rsidRDefault="00277E40" w:rsidP="0025240B">
      <w:pPr>
        <w:pStyle w:val="ListParagraph"/>
        <w:numPr>
          <w:ilvl w:val="1"/>
          <w:numId w:val="5"/>
        </w:numPr>
        <w:ind w:left="709" w:hanging="709"/>
        <w:jc w:val="both"/>
      </w:pPr>
      <w:r w:rsidRPr="0025240B">
        <w:t>If the Service Provider doe</w:t>
      </w:r>
      <w:r w:rsidR="00B11745" w:rsidRPr="0025240B">
        <w:t xml:space="preserve">s not achieve the minimum </w:t>
      </w:r>
      <w:r w:rsidR="00BC5175" w:rsidRPr="0025240B">
        <w:t>750</w:t>
      </w:r>
      <w:r w:rsidR="00B11745" w:rsidRPr="0025240B">
        <w:t xml:space="preserve"> </w:t>
      </w:r>
      <w:r w:rsidR="002626A3" w:rsidRPr="0025240B">
        <w:t xml:space="preserve">successful </w:t>
      </w:r>
      <w:r w:rsidR="00BC5175" w:rsidRPr="0025240B">
        <w:t xml:space="preserve">Tier 3 </w:t>
      </w:r>
      <w:r w:rsidR="002626A3" w:rsidRPr="0025240B">
        <w:t>f</w:t>
      </w:r>
      <w:r w:rsidR="00B11745" w:rsidRPr="0025240B">
        <w:t>our-</w:t>
      </w:r>
      <w:r w:rsidR="002626A3" w:rsidRPr="0025240B">
        <w:t>w</w:t>
      </w:r>
      <w:r w:rsidRPr="0025240B">
        <w:t xml:space="preserve">eek quits </w:t>
      </w:r>
      <w:r w:rsidR="00E033D9" w:rsidRPr="0025240B">
        <w:t xml:space="preserve">from priority Service Users </w:t>
      </w:r>
      <w:r w:rsidRPr="0025240B">
        <w:t>they will be allowed to retain all block payments for that each year provided they achieve a total quit value 90% or greater of the indicative value in the first year</w:t>
      </w:r>
      <w:r w:rsidR="00BC5175" w:rsidRPr="0025240B">
        <w:t xml:space="preserve"> </w:t>
      </w:r>
      <w:r w:rsidRPr="0025240B">
        <w:t xml:space="preserve">and 95% or greater for all subsequent years of the Contract. </w:t>
      </w:r>
    </w:p>
    <w:p w14:paraId="4FC17138" w14:textId="77777777" w:rsidR="00304018" w:rsidRPr="0025240B" w:rsidRDefault="00304018" w:rsidP="0025240B">
      <w:pPr>
        <w:jc w:val="both"/>
      </w:pPr>
    </w:p>
    <w:p w14:paraId="497BB07E" w14:textId="28ADC0D1" w:rsidR="00D245CA" w:rsidRPr="0025240B" w:rsidRDefault="00277E40" w:rsidP="0025240B">
      <w:pPr>
        <w:pStyle w:val="ListParagraph"/>
        <w:numPr>
          <w:ilvl w:val="1"/>
          <w:numId w:val="5"/>
        </w:numPr>
        <w:ind w:left="709" w:hanging="709"/>
        <w:jc w:val="both"/>
      </w:pPr>
      <w:r w:rsidRPr="0025240B">
        <w:t xml:space="preserve">All </w:t>
      </w:r>
      <w:r w:rsidR="00D77277" w:rsidRPr="0025240B">
        <w:t xml:space="preserve">unachieved </w:t>
      </w:r>
      <w:r w:rsidR="002626A3" w:rsidRPr="0025240B">
        <w:t>successful Tier 3 f</w:t>
      </w:r>
      <w:r w:rsidR="00D77277" w:rsidRPr="0025240B">
        <w:t>our-</w:t>
      </w:r>
      <w:r w:rsidR="002626A3" w:rsidRPr="0025240B">
        <w:t>w</w:t>
      </w:r>
      <w:r w:rsidRPr="0025240B">
        <w:t xml:space="preserve">eek quits </w:t>
      </w:r>
      <w:r w:rsidR="00E033D9" w:rsidRPr="0025240B">
        <w:t xml:space="preserve">from priority Service Users </w:t>
      </w:r>
      <w:r w:rsidRPr="0025240B">
        <w:t>will be carried across to the following year</w:t>
      </w:r>
      <w:r w:rsidR="00557DB5" w:rsidRPr="0025240B">
        <w:t>, with exception of the final year of the Contract,</w:t>
      </w:r>
      <w:r w:rsidRPr="0025240B">
        <w:t xml:space="preserve"> and this will be </w:t>
      </w:r>
      <w:r w:rsidR="00D77277" w:rsidRPr="0025240B">
        <w:t xml:space="preserve">added to </w:t>
      </w:r>
      <w:r w:rsidRPr="0025240B">
        <w:t>the following year’s target</w:t>
      </w:r>
      <w:r w:rsidR="00D77277" w:rsidRPr="0025240B">
        <w:t xml:space="preserve"> activity value.</w:t>
      </w:r>
    </w:p>
    <w:p w14:paraId="02B17A88" w14:textId="77777777" w:rsidR="00304018" w:rsidRPr="0025240B" w:rsidRDefault="00304018" w:rsidP="0025240B">
      <w:pPr>
        <w:jc w:val="both"/>
      </w:pPr>
    </w:p>
    <w:p w14:paraId="399D4DD5" w14:textId="39B8F22C" w:rsidR="00D245CA" w:rsidRPr="0025240B" w:rsidRDefault="00277E40" w:rsidP="0025240B">
      <w:pPr>
        <w:pStyle w:val="ListParagraph"/>
        <w:numPr>
          <w:ilvl w:val="1"/>
          <w:numId w:val="5"/>
        </w:numPr>
        <w:ind w:left="709" w:hanging="709"/>
        <w:jc w:val="both"/>
      </w:pPr>
      <w:r w:rsidRPr="0025240B">
        <w:t xml:space="preserve">If the Service Provider does not achieve </w:t>
      </w:r>
      <w:r w:rsidR="00D77277" w:rsidRPr="0025240B">
        <w:t>the set allowable variance the Council</w:t>
      </w:r>
      <w:r w:rsidRPr="0025240B">
        <w:t xml:space="preserve"> </w:t>
      </w:r>
      <w:r w:rsidR="002626A3" w:rsidRPr="0025240B">
        <w:t xml:space="preserve">may </w:t>
      </w:r>
      <w:r w:rsidRPr="0025240B">
        <w:t xml:space="preserve">clawback the costs from the </w:t>
      </w:r>
      <w:r w:rsidR="00E112E6" w:rsidRPr="0025240B">
        <w:t xml:space="preserve">Contract Price </w:t>
      </w:r>
      <w:r w:rsidRPr="0025240B">
        <w:t>at the valu</w:t>
      </w:r>
      <w:r w:rsidR="001D2B46" w:rsidRPr="0025240B">
        <w:t>e of £</w:t>
      </w:r>
      <w:r w:rsidR="00BC5175" w:rsidRPr="0025240B">
        <w:t>4</w:t>
      </w:r>
      <w:r w:rsidR="001D2B46" w:rsidRPr="0025240B">
        <w:t>00 for each</w:t>
      </w:r>
      <w:r w:rsidR="00557DB5" w:rsidRPr="0025240B">
        <w:t xml:space="preserve"> unachieved</w:t>
      </w:r>
      <w:r w:rsidR="00BC5175" w:rsidRPr="0025240B">
        <w:t xml:space="preserve"> </w:t>
      </w:r>
      <w:r w:rsidR="009F5761" w:rsidRPr="0025240B">
        <w:t>successful Tier 3 four-week quits from priority Service Users</w:t>
      </w:r>
      <w:r w:rsidRPr="0025240B">
        <w:t xml:space="preserve"> that year</w:t>
      </w:r>
      <w:r w:rsidR="002626A3" w:rsidRPr="0025240B">
        <w:t xml:space="preserve"> (subject to </w:t>
      </w:r>
      <w:r w:rsidR="00E112E6" w:rsidRPr="0025240B">
        <w:t xml:space="preserve">previous </w:t>
      </w:r>
      <w:r w:rsidR="00A21A3B" w:rsidRPr="0025240B">
        <w:t>year’s</w:t>
      </w:r>
      <w:r w:rsidR="002626A3" w:rsidRPr="0025240B">
        <w:t xml:space="preserve"> performance)</w:t>
      </w:r>
      <w:r w:rsidRPr="0025240B">
        <w:t xml:space="preserve">. </w:t>
      </w:r>
    </w:p>
    <w:p w14:paraId="39216E52" w14:textId="77777777" w:rsidR="009F5761" w:rsidRPr="0025240B" w:rsidRDefault="009F5761" w:rsidP="0025240B"/>
    <w:p w14:paraId="7C52CA1F" w14:textId="7782E5A5" w:rsidR="009F5761" w:rsidRDefault="009F5761" w:rsidP="0025240B">
      <w:pPr>
        <w:jc w:val="both"/>
      </w:pPr>
    </w:p>
    <w:p w14:paraId="73B0F52E" w14:textId="77777777" w:rsidR="0025240B" w:rsidRPr="0025240B" w:rsidRDefault="0025240B" w:rsidP="0025240B">
      <w:pPr>
        <w:jc w:val="both"/>
      </w:pPr>
    </w:p>
    <w:p w14:paraId="636C52F8" w14:textId="4DB7DA5F" w:rsidR="00A21A3B" w:rsidRPr="0025240B" w:rsidRDefault="00A21A3B" w:rsidP="0025240B">
      <w:pPr>
        <w:jc w:val="both"/>
      </w:pPr>
    </w:p>
    <w:p w14:paraId="21414608" w14:textId="60285A60" w:rsidR="00A21A3B" w:rsidRPr="0025240B" w:rsidRDefault="00A21A3B" w:rsidP="0025240B">
      <w:pPr>
        <w:jc w:val="both"/>
      </w:pPr>
    </w:p>
    <w:p w14:paraId="071FFAEE" w14:textId="70EA3F12" w:rsidR="00A21A3B" w:rsidRPr="0025240B" w:rsidRDefault="00A21A3B" w:rsidP="0025240B">
      <w:pPr>
        <w:jc w:val="both"/>
      </w:pPr>
    </w:p>
    <w:p w14:paraId="658281BC" w14:textId="77777777" w:rsidR="00A21A3B" w:rsidRPr="0025240B" w:rsidRDefault="00A21A3B" w:rsidP="0025240B">
      <w:pPr>
        <w:jc w:val="both"/>
      </w:pPr>
    </w:p>
    <w:p w14:paraId="45830A6A" w14:textId="1A2C60F0" w:rsidR="00304018" w:rsidRPr="0025240B" w:rsidRDefault="00E033D9" w:rsidP="0025240B">
      <w:pPr>
        <w:pStyle w:val="ListParagraph"/>
        <w:numPr>
          <w:ilvl w:val="0"/>
          <w:numId w:val="5"/>
        </w:numPr>
        <w:jc w:val="both"/>
        <w:rPr>
          <w:b/>
        </w:rPr>
      </w:pPr>
      <w:r w:rsidRPr="0025240B">
        <w:rPr>
          <w:b/>
        </w:rPr>
        <w:lastRenderedPageBreak/>
        <w:t xml:space="preserve">Annual </w:t>
      </w:r>
      <w:r w:rsidR="009B2843" w:rsidRPr="0025240B">
        <w:rPr>
          <w:b/>
        </w:rPr>
        <w:t>P</w:t>
      </w:r>
      <w:r w:rsidR="00D245CA" w:rsidRPr="0025240B">
        <w:rPr>
          <w:b/>
        </w:rPr>
        <w:t>ayment</w:t>
      </w:r>
      <w:r w:rsidR="009B2843" w:rsidRPr="0025240B">
        <w:rPr>
          <w:b/>
        </w:rPr>
        <w:t xml:space="preserve"> </w:t>
      </w:r>
      <w:r w:rsidR="00BC5175" w:rsidRPr="0025240B">
        <w:rPr>
          <w:b/>
        </w:rPr>
        <w:t>by Results (</w:t>
      </w:r>
      <w:proofErr w:type="spellStart"/>
      <w:r w:rsidR="00BC5175" w:rsidRPr="0025240B">
        <w:rPr>
          <w:b/>
        </w:rPr>
        <w:t>PbR</w:t>
      </w:r>
      <w:proofErr w:type="spellEnd"/>
      <w:r w:rsidR="00BC5175" w:rsidRPr="0025240B">
        <w:rPr>
          <w:b/>
        </w:rPr>
        <w:t xml:space="preserve">) </w:t>
      </w:r>
      <w:r w:rsidR="00D245CA" w:rsidRPr="0025240B">
        <w:rPr>
          <w:b/>
        </w:rPr>
        <w:t>Premium</w:t>
      </w:r>
    </w:p>
    <w:p w14:paraId="1E055A42" w14:textId="4AA97191" w:rsidR="00D245CA" w:rsidRPr="0025240B" w:rsidRDefault="00D245CA" w:rsidP="4C975DD5">
      <w:pPr>
        <w:pStyle w:val="ListParagraph"/>
        <w:numPr>
          <w:ilvl w:val="1"/>
          <w:numId w:val="5"/>
        </w:numPr>
        <w:ind w:left="709" w:hanging="709"/>
        <w:jc w:val="both"/>
        <w:rPr>
          <w:rFonts w:eastAsia="Arial"/>
        </w:rPr>
      </w:pPr>
      <w:r>
        <w:t>T</w:t>
      </w:r>
      <w:r w:rsidRPr="4C975DD5">
        <w:rPr>
          <w:rFonts w:eastAsia="Arial"/>
        </w:rPr>
        <w:t xml:space="preserve">he following PBR premium payments will be awarded if the following </w:t>
      </w:r>
      <w:r w:rsidR="00A21A3B" w:rsidRPr="4C975DD5">
        <w:rPr>
          <w:rFonts w:eastAsia="Arial"/>
        </w:rPr>
        <w:t xml:space="preserve">Service Quality Performance Indicators </w:t>
      </w:r>
      <w:r w:rsidRPr="4C975DD5">
        <w:rPr>
          <w:rFonts w:eastAsia="Arial"/>
        </w:rPr>
        <w:t>are achieved annually:</w:t>
      </w:r>
    </w:p>
    <w:p w14:paraId="1266AA45" w14:textId="079EDDB4" w:rsidR="00A21A3B" w:rsidRPr="0025240B" w:rsidRDefault="00A21A3B" w:rsidP="4C975DD5">
      <w:pPr>
        <w:pStyle w:val="ListParagraph"/>
        <w:numPr>
          <w:ilvl w:val="0"/>
          <w:numId w:val="3"/>
        </w:numPr>
        <w:ind w:left="1418" w:hanging="709"/>
        <w:jc w:val="both"/>
        <w:rPr>
          <w:rFonts w:eastAsia="Arial"/>
        </w:rPr>
      </w:pPr>
      <w:r w:rsidRPr="4C975DD5">
        <w:rPr>
          <w:rFonts w:eastAsia="Arial"/>
        </w:rPr>
        <w:t>£25,000 if ≥20% of all successful Tier 3 four-week quits from priority Service Users remain quit at 12-weeks post-setting a quit date</w:t>
      </w:r>
    </w:p>
    <w:p w14:paraId="0656A633" w14:textId="644AF8CF" w:rsidR="002626A3" w:rsidRPr="0025240B" w:rsidRDefault="0023355E" w:rsidP="4C975DD5">
      <w:pPr>
        <w:pStyle w:val="ListParagraph"/>
        <w:numPr>
          <w:ilvl w:val="0"/>
          <w:numId w:val="3"/>
        </w:numPr>
        <w:ind w:left="1418" w:hanging="709"/>
        <w:jc w:val="both"/>
        <w:rPr>
          <w:rFonts w:eastAsia="Arial"/>
        </w:rPr>
      </w:pPr>
      <w:r w:rsidRPr="4C975DD5">
        <w:rPr>
          <w:rFonts w:eastAsia="Arial"/>
        </w:rPr>
        <w:t xml:space="preserve">£25,000 </w:t>
      </w:r>
      <w:r w:rsidR="00E033D9" w:rsidRPr="4C975DD5">
        <w:rPr>
          <w:rFonts w:eastAsia="Arial"/>
        </w:rPr>
        <w:t xml:space="preserve">if the quit rate of priority Service Users who have received Tier 3 support </w:t>
      </w:r>
      <w:r w:rsidRPr="4C975DD5">
        <w:rPr>
          <w:rFonts w:eastAsia="Arial"/>
        </w:rPr>
        <w:t>is ≥50%</w:t>
      </w:r>
      <w:r w:rsidR="00557DB5" w:rsidRPr="4C975DD5">
        <w:rPr>
          <w:rFonts w:eastAsia="Arial"/>
        </w:rPr>
        <w:t>.</w:t>
      </w:r>
      <w:r w:rsidRPr="4C975DD5">
        <w:rPr>
          <w:rFonts w:eastAsia="Arial"/>
        </w:rPr>
        <w:t xml:space="preserve"> </w:t>
      </w:r>
    </w:p>
    <w:p w14:paraId="50A88DC6" w14:textId="700D08C5" w:rsidR="00D245CA" w:rsidRPr="0025240B" w:rsidRDefault="00D245CA" w:rsidP="4C975DD5">
      <w:pPr>
        <w:pStyle w:val="ListParagraph"/>
        <w:numPr>
          <w:ilvl w:val="0"/>
          <w:numId w:val="3"/>
        </w:numPr>
        <w:ind w:left="1418" w:hanging="709"/>
        <w:jc w:val="both"/>
        <w:rPr>
          <w:rFonts w:eastAsia="Arial"/>
        </w:rPr>
      </w:pPr>
      <w:r w:rsidRPr="4C975DD5">
        <w:rPr>
          <w:rFonts w:eastAsia="Arial"/>
        </w:rPr>
        <w:t>£</w:t>
      </w:r>
      <w:r w:rsidR="0023355E" w:rsidRPr="4C975DD5">
        <w:rPr>
          <w:rFonts w:eastAsia="Arial"/>
        </w:rPr>
        <w:t>25</w:t>
      </w:r>
      <w:r w:rsidRPr="4C975DD5">
        <w:rPr>
          <w:rFonts w:eastAsia="Arial"/>
        </w:rPr>
        <w:t xml:space="preserve">,000 if </w:t>
      </w:r>
      <w:r w:rsidR="0023355E" w:rsidRPr="4C975DD5">
        <w:rPr>
          <w:rFonts w:eastAsia="Arial"/>
        </w:rPr>
        <w:t>≥</w:t>
      </w:r>
      <w:r w:rsidRPr="4C975DD5">
        <w:rPr>
          <w:rFonts w:eastAsia="Arial"/>
        </w:rPr>
        <w:t xml:space="preserve">85% </w:t>
      </w:r>
      <w:r w:rsidR="00A21A3B" w:rsidRPr="4C975DD5">
        <w:rPr>
          <w:rFonts w:eastAsia="Arial"/>
        </w:rPr>
        <w:t>of priority Service Users, supported via Tier 3 Community Outreach (Face-to-Face) settings that are four-week quits in line with the Russell Standard and a verified quit (refer to Schedule 1 (Specification) for further details on Carbon Mo</w:t>
      </w:r>
      <w:bookmarkStart w:id="0" w:name="_GoBack"/>
      <w:bookmarkEnd w:id="0"/>
      <w:r w:rsidR="00A21A3B" w:rsidRPr="4C975DD5">
        <w:rPr>
          <w:rFonts w:eastAsia="Arial"/>
        </w:rPr>
        <w:t>noxide (CO) Monitoring and other means of verifying four-week status).</w:t>
      </w:r>
    </w:p>
    <w:p w14:paraId="1C33C691" w14:textId="77777777" w:rsidR="00304018" w:rsidRPr="0025240B" w:rsidRDefault="00304018" w:rsidP="0025240B">
      <w:pPr>
        <w:pStyle w:val="ListParagraph"/>
        <w:ind w:left="1418"/>
        <w:jc w:val="both"/>
      </w:pPr>
    </w:p>
    <w:p w14:paraId="38F1F84D" w14:textId="4CC5B710" w:rsidR="00D245CA" w:rsidRDefault="00D245CA" w:rsidP="0025240B">
      <w:pPr>
        <w:pStyle w:val="ListParagraph"/>
        <w:numPr>
          <w:ilvl w:val="1"/>
          <w:numId w:val="5"/>
        </w:numPr>
        <w:ind w:left="709" w:hanging="709"/>
        <w:jc w:val="both"/>
      </w:pPr>
      <w:r>
        <w:t xml:space="preserve">The annual </w:t>
      </w:r>
      <w:r w:rsidR="0025240B">
        <w:t xml:space="preserve">PBR premium payments </w:t>
      </w:r>
      <w:r>
        <w:t>will be paid on submission of the Quarter 4 Service Quality Performance Report</w:t>
      </w:r>
      <w:r w:rsidR="00E033D9">
        <w:t xml:space="preserve"> and subsequent review at the associated Quarterly Contract Review Meeting</w:t>
      </w:r>
      <w:r>
        <w:t>.</w:t>
      </w:r>
    </w:p>
    <w:p w14:paraId="117C04FB" w14:textId="77777777" w:rsidR="0025240B" w:rsidRDefault="0025240B" w:rsidP="0025240B">
      <w:pPr>
        <w:pStyle w:val="ListParagraph"/>
        <w:ind w:left="709"/>
        <w:jc w:val="both"/>
      </w:pPr>
    </w:p>
    <w:p w14:paraId="385794AE" w14:textId="29D6F8F9" w:rsidR="0025240B" w:rsidRPr="0025240B" w:rsidRDefault="0025240B" w:rsidP="0025240B">
      <w:pPr>
        <w:pStyle w:val="ListParagraph"/>
        <w:numPr>
          <w:ilvl w:val="1"/>
          <w:numId w:val="5"/>
        </w:numPr>
        <w:ind w:left="709" w:hanging="709"/>
        <w:jc w:val="both"/>
      </w:pPr>
      <w:r>
        <w:t>For the avoidance of doubt, t</w:t>
      </w:r>
      <w:r w:rsidRPr="0025240B">
        <w:t>he annual PBR premium payments</w:t>
      </w:r>
      <w:r>
        <w:t xml:space="preserve"> are not associated to the Block Payments and remain available irrespective of</w:t>
      </w:r>
      <w:r w:rsidRPr="0025240B">
        <w:t xml:space="preserve"> the Service Provider achiev</w:t>
      </w:r>
      <w:r>
        <w:t>ing or not achieving</w:t>
      </w:r>
      <w:r w:rsidRPr="0025240B">
        <w:t xml:space="preserve"> the minimum 750 successful Tier 3 four-week quits from priority Service Users</w:t>
      </w:r>
      <w:r>
        <w:t>.</w:t>
      </w:r>
    </w:p>
    <w:p w14:paraId="1944BDD6" w14:textId="77777777" w:rsidR="0025240B" w:rsidRPr="0025240B" w:rsidRDefault="0025240B" w:rsidP="0025240B">
      <w:pPr>
        <w:jc w:val="both"/>
      </w:pPr>
    </w:p>
    <w:p w14:paraId="727E3E82" w14:textId="5C67AC88" w:rsidR="001D2B46" w:rsidRPr="0025240B" w:rsidRDefault="00D245CA" w:rsidP="0025240B">
      <w:pPr>
        <w:pStyle w:val="ListParagraph"/>
        <w:numPr>
          <w:ilvl w:val="1"/>
          <w:numId w:val="5"/>
        </w:numPr>
        <w:ind w:left="709" w:hanging="709"/>
        <w:jc w:val="both"/>
      </w:pPr>
      <w:r w:rsidRPr="0025240B">
        <w:t xml:space="preserve">If </w:t>
      </w:r>
      <w:r w:rsidR="0023355E" w:rsidRPr="0025240B">
        <w:t>all</w:t>
      </w:r>
      <w:r w:rsidRPr="0025240B">
        <w:t xml:space="preserve"> </w:t>
      </w:r>
      <w:r w:rsidR="00E033D9" w:rsidRPr="0025240B">
        <w:t xml:space="preserve">three annual </w:t>
      </w:r>
      <w:r w:rsidRPr="0025240B">
        <w:t xml:space="preserve">PBR premium payments are achieved, this is an additional £100 for each successful Tier 3 </w:t>
      </w:r>
      <w:r w:rsidR="00E033D9" w:rsidRPr="0025240B">
        <w:t>f</w:t>
      </w:r>
      <w:r w:rsidRPr="0025240B">
        <w:t>our-</w:t>
      </w:r>
      <w:r w:rsidR="00E033D9" w:rsidRPr="0025240B">
        <w:t>w</w:t>
      </w:r>
      <w:r w:rsidRPr="0025240B">
        <w:t>eek quit</w:t>
      </w:r>
      <w:r w:rsidR="00304018" w:rsidRPr="0025240B">
        <w:t xml:space="preserve"> </w:t>
      </w:r>
      <w:r w:rsidR="00E033D9" w:rsidRPr="0025240B">
        <w:t xml:space="preserve">from priority Service Users </w:t>
      </w:r>
      <w:r w:rsidR="00304018" w:rsidRPr="0025240B">
        <w:t>on top of the £400 baseline.</w:t>
      </w:r>
    </w:p>
    <w:p w14:paraId="3327DCED" w14:textId="34CE7B04" w:rsidR="00277E40" w:rsidRPr="0025240B" w:rsidRDefault="00277E40" w:rsidP="0025240B">
      <w:pPr>
        <w:jc w:val="both"/>
      </w:pPr>
    </w:p>
    <w:p w14:paraId="47FFC8AE" w14:textId="4CD5180E" w:rsidR="007E77D2" w:rsidRPr="0025240B" w:rsidRDefault="00E033D9" w:rsidP="0025240B">
      <w:pPr>
        <w:ind w:left="709" w:hanging="709"/>
        <w:jc w:val="both"/>
        <w:rPr>
          <w:b/>
        </w:rPr>
      </w:pPr>
      <w:r w:rsidRPr="0025240B">
        <w:rPr>
          <w:b/>
        </w:rPr>
        <w:t>6.</w:t>
      </w:r>
      <w:r w:rsidR="00B11745" w:rsidRPr="0025240B">
        <w:rPr>
          <w:b/>
        </w:rPr>
        <w:tab/>
        <w:t>Payment Terms</w:t>
      </w:r>
    </w:p>
    <w:p w14:paraId="5E6723D2" w14:textId="645C2768" w:rsidR="00B11745" w:rsidRPr="0025240B" w:rsidRDefault="00E033D9" w:rsidP="0025240B">
      <w:pPr>
        <w:ind w:left="709" w:hanging="709"/>
        <w:jc w:val="both"/>
      </w:pPr>
      <w:r w:rsidRPr="0025240B">
        <w:t>6.1</w:t>
      </w:r>
      <w:r w:rsidRPr="0025240B">
        <w:tab/>
      </w:r>
      <w:r w:rsidR="00B11745" w:rsidRPr="0025240B">
        <w:t>Invoices must include a Purchase Order Number and be sent to the address below</w:t>
      </w:r>
      <w:r w:rsidR="009F5761" w:rsidRPr="0025240B">
        <w:t xml:space="preserve"> or to VIMEnquiries@hants.gov.uk</w:t>
      </w:r>
      <w:r w:rsidR="00B11745" w:rsidRPr="0025240B">
        <w:t xml:space="preserve">.  The Service Provider </w:t>
      </w:r>
      <w:r w:rsidR="000A477C" w:rsidRPr="0025240B">
        <w:t>shall</w:t>
      </w:r>
      <w:r w:rsidR="00B11745" w:rsidRPr="0025240B">
        <w:t xml:space="preserve"> invoice each</w:t>
      </w:r>
      <w:r w:rsidR="00C33C31" w:rsidRPr="0025240B">
        <w:t xml:space="preserve"> </w:t>
      </w:r>
      <w:r w:rsidR="009F5761" w:rsidRPr="0025240B">
        <w:t>m</w:t>
      </w:r>
      <w:r w:rsidR="00C33C31" w:rsidRPr="0025240B">
        <w:t>onth</w:t>
      </w:r>
      <w:r w:rsidR="00AA7DFB" w:rsidRPr="0025240B">
        <w:t xml:space="preserve"> in arrears</w:t>
      </w:r>
      <w:r w:rsidR="00B11745" w:rsidRPr="0025240B">
        <w:t>.</w:t>
      </w:r>
    </w:p>
    <w:p w14:paraId="35D62860" w14:textId="77777777" w:rsidR="00B11745" w:rsidRPr="0025240B" w:rsidRDefault="00B11745" w:rsidP="0025240B">
      <w:pPr>
        <w:jc w:val="both"/>
      </w:pPr>
    </w:p>
    <w:p w14:paraId="73D7B2BA" w14:textId="77777777" w:rsidR="00B11745" w:rsidRPr="0025240B" w:rsidRDefault="00B11745" w:rsidP="0025240B">
      <w:pPr>
        <w:ind w:left="1440"/>
        <w:jc w:val="both"/>
        <w:rPr>
          <w:lang w:val="en"/>
        </w:rPr>
      </w:pPr>
      <w:r w:rsidRPr="0025240B">
        <w:rPr>
          <w:lang w:val="en"/>
        </w:rPr>
        <w:t xml:space="preserve">Oxfordshire County Council </w:t>
      </w:r>
    </w:p>
    <w:p w14:paraId="34F09131" w14:textId="77777777" w:rsidR="00B11745" w:rsidRPr="0025240B" w:rsidRDefault="00B11745" w:rsidP="0025240B">
      <w:pPr>
        <w:ind w:left="1440"/>
        <w:jc w:val="both"/>
        <w:rPr>
          <w:lang w:val="en"/>
        </w:rPr>
      </w:pPr>
      <w:r w:rsidRPr="0025240B">
        <w:rPr>
          <w:lang w:val="en"/>
        </w:rPr>
        <w:t xml:space="preserve">HCC Processing Centre </w:t>
      </w:r>
    </w:p>
    <w:p w14:paraId="0BFED5F4" w14:textId="77777777" w:rsidR="00B11745" w:rsidRPr="0025240B" w:rsidRDefault="00B11745" w:rsidP="0025240B">
      <w:pPr>
        <w:ind w:left="1440"/>
        <w:jc w:val="both"/>
        <w:rPr>
          <w:lang w:val="en"/>
        </w:rPr>
      </w:pPr>
      <w:r w:rsidRPr="0025240B">
        <w:rPr>
          <w:lang w:val="en"/>
        </w:rPr>
        <w:t>BOX 652</w:t>
      </w:r>
    </w:p>
    <w:p w14:paraId="4A629A40" w14:textId="77777777" w:rsidR="00B11745" w:rsidRPr="0025240B" w:rsidRDefault="00B11745" w:rsidP="0025240B">
      <w:pPr>
        <w:ind w:left="1440"/>
        <w:jc w:val="both"/>
        <w:rPr>
          <w:lang w:val="en"/>
        </w:rPr>
      </w:pPr>
      <w:r w:rsidRPr="0025240B">
        <w:rPr>
          <w:lang w:val="en"/>
        </w:rPr>
        <w:t>The Castle</w:t>
      </w:r>
    </w:p>
    <w:p w14:paraId="43C47453" w14:textId="77777777" w:rsidR="00B11745" w:rsidRPr="0025240B" w:rsidRDefault="00B11745" w:rsidP="0025240B">
      <w:pPr>
        <w:ind w:left="1440"/>
        <w:jc w:val="both"/>
        <w:rPr>
          <w:lang w:val="en"/>
        </w:rPr>
      </w:pPr>
      <w:r w:rsidRPr="0025240B">
        <w:rPr>
          <w:lang w:val="en"/>
        </w:rPr>
        <w:t xml:space="preserve">Winchester </w:t>
      </w:r>
    </w:p>
    <w:p w14:paraId="62AF5D48" w14:textId="77777777" w:rsidR="00B11745" w:rsidRPr="0025240B" w:rsidRDefault="00B11745" w:rsidP="0025240B">
      <w:pPr>
        <w:ind w:left="1440"/>
        <w:jc w:val="both"/>
        <w:rPr>
          <w:lang w:val="en"/>
        </w:rPr>
      </w:pPr>
      <w:r w:rsidRPr="0025240B">
        <w:rPr>
          <w:lang w:val="en"/>
        </w:rPr>
        <w:t>SO23 3NP</w:t>
      </w:r>
    </w:p>
    <w:p w14:paraId="7C9A77C8" w14:textId="77777777" w:rsidR="00B11745" w:rsidRPr="0025240B" w:rsidRDefault="00B11745" w:rsidP="0025240B">
      <w:pPr>
        <w:jc w:val="both"/>
      </w:pPr>
    </w:p>
    <w:p w14:paraId="4CF231AF" w14:textId="66C92267" w:rsidR="00B11745" w:rsidRPr="0025240B" w:rsidRDefault="00E033D9" w:rsidP="0025240B">
      <w:pPr>
        <w:ind w:left="709" w:hanging="709"/>
        <w:jc w:val="both"/>
        <w:rPr>
          <w:bCs/>
        </w:rPr>
      </w:pPr>
      <w:r w:rsidRPr="0025240B">
        <w:rPr>
          <w:bCs/>
        </w:rPr>
        <w:t>6.2</w:t>
      </w:r>
      <w:r w:rsidRPr="0025240B">
        <w:rPr>
          <w:bCs/>
        </w:rPr>
        <w:tab/>
      </w:r>
      <w:r w:rsidR="00B11745" w:rsidRPr="0025240B">
        <w:rPr>
          <w:bCs/>
        </w:rPr>
        <w:t xml:space="preserve">If </w:t>
      </w:r>
      <w:r w:rsidR="00304018" w:rsidRPr="0025240B">
        <w:rPr>
          <w:bCs/>
        </w:rPr>
        <w:t xml:space="preserve">Service Quality Performance Reports, as </w:t>
      </w:r>
      <w:r w:rsidR="0077041D" w:rsidRPr="0025240B">
        <w:rPr>
          <w:bCs/>
        </w:rPr>
        <w:t>per</w:t>
      </w:r>
      <w:r w:rsidR="00304018" w:rsidRPr="0025240B">
        <w:rPr>
          <w:bCs/>
        </w:rPr>
        <w:t xml:space="preserve"> Schedule 3</w:t>
      </w:r>
      <w:r w:rsidRPr="0025240B">
        <w:rPr>
          <w:bCs/>
        </w:rPr>
        <w:t xml:space="preserve"> (Monitoring and Review)</w:t>
      </w:r>
      <w:r w:rsidR="00304018" w:rsidRPr="0025240B">
        <w:rPr>
          <w:bCs/>
        </w:rPr>
        <w:t>,</w:t>
      </w:r>
      <w:r w:rsidR="00B11745" w:rsidRPr="0025240B">
        <w:rPr>
          <w:bCs/>
        </w:rPr>
        <w:t xml:space="preserve"> is not provided and/or </w:t>
      </w:r>
      <w:r w:rsidR="00D77277" w:rsidRPr="0025240B">
        <w:rPr>
          <w:bCs/>
        </w:rPr>
        <w:t xml:space="preserve">Service </w:t>
      </w:r>
      <w:r w:rsidR="00B11745" w:rsidRPr="0025240B">
        <w:rPr>
          <w:bCs/>
        </w:rPr>
        <w:t xml:space="preserve">Quality Performance Indicators are not met, a full explanation as to why and submission of a plan as to how this will be addressed in the subsequent monitoring period(s) will be required before payment can be made. Any payment will be subject to the Council being satisfied with the </w:t>
      </w:r>
      <w:r w:rsidR="00C33C31" w:rsidRPr="0025240B">
        <w:rPr>
          <w:bCs/>
        </w:rPr>
        <w:t xml:space="preserve">remedial </w:t>
      </w:r>
      <w:r w:rsidR="00B11745" w:rsidRPr="0025240B">
        <w:rPr>
          <w:bCs/>
        </w:rPr>
        <w:t>action plan that is provided.</w:t>
      </w:r>
    </w:p>
    <w:p w14:paraId="0268F480" w14:textId="77777777" w:rsidR="00B11745" w:rsidRPr="0025240B" w:rsidRDefault="00B11745" w:rsidP="0025240B">
      <w:pPr>
        <w:jc w:val="both"/>
      </w:pPr>
    </w:p>
    <w:p w14:paraId="7E4A93A1" w14:textId="77777777" w:rsidR="00B11745" w:rsidRPr="0025240B" w:rsidRDefault="00B11745" w:rsidP="0025240B">
      <w:pPr>
        <w:jc w:val="both"/>
      </w:pPr>
    </w:p>
    <w:sectPr w:rsidR="00B11745" w:rsidRPr="0025240B" w:rsidSect="009B284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190"/>
    <w:multiLevelType w:val="hybridMultilevel"/>
    <w:tmpl w:val="CF9A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260D7"/>
    <w:multiLevelType w:val="multilevel"/>
    <w:tmpl w:val="A9ACDA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2797C"/>
    <w:multiLevelType w:val="hybridMultilevel"/>
    <w:tmpl w:val="249E1156"/>
    <w:lvl w:ilvl="0" w:tplc="0809000F">
      <w:start w:val="5"/>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13C637FA"/>
    <w:multiLevelType w:val="hybridMultilevel"/>
    <w:tmpl w:val="D3A84D7A"/>
    <w:lvl w:ilvl="0" w:tplc="9020A8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D2CF3"/>
    <w:multiLevelType w:val="multilevel"/>
    <w:tmpl w:val="2C0E6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480FCD"/>
    <w:multiLevelType w:val="multilevel"/>
    <w:tmpl w:val="CA8A85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49C24F4"/>
    <w:multiLevelType w:val="multilevel"/>
    <w:tmpl w:val="A9BE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CC0C4B"/>
    <w:multiLevelType w:val="multilevel"/>
    <w:tmpl w:val="73F4B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34312"/>
    <w:multiLevelType w:val="multilevel"/>
    <w:tmpl w:val="0B088C6A"/>
    <w:lvl w:ilvl="0">
      <w:start w:val="1"/>
      <w:numFmt w:val="decimal"/>
      <w:lvlText w:val="%1."/>
      <w:lvlJc w:val="left"/>
      <w:pPr>
        <w:ind w:left="720" w:hanging="720"/>
      </w:pPr>
      <w:rPr>
        <w:rFonts w:hint="default"/>
        <w:b/>
        <w:bCs/>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65048AA"/>
    <w:multiLevelType w:val="hybridMultilevel"/>
    <w:tmpl w:val="30B631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00AF1"/>
    <w:multiLevelType w:val="multilevel"/>
    <w:tmpl w:val="1724064C"/>
    <w:lvl w:ilvl="0">
      <w:start w:val="4"/>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39547FBF"/>
    <w:multiLevelType w:val="multilevel"/>
    <w:tmpl w:val="119E42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9E72E4"/>
    <w:multiLevelType w:val="hybridMultilevel"/>
    <w:tmpl w:val="B44EAC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C25543"/>
    <w:multiLevelType w:val="hybridMultilevel"/>
    <w:tmpl w:val="83888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A7D9E"/>
    <w:multiLevelType w:val="hybridMultilevel"/>
    <w:tmpl w:val="B64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E2FC8"/>
    <w:multiLevelType w:val="multilevel"/>
    <w:tmpl w:val="73F4B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7D686D"/>
    <w:multiLevelType w:val="multilevel"/>
    <w:tmpl w:val="08D4F70E"/>
    <w:lvl w:ilvl="0">
      <w:start w:val="1"/>
      <w:numFmt w:val="decimal"/>
      <w:lvlText w:val="%1."/>
      <w:lvlJc w:val="left"/>
      <w:pPr>
        <w:ind w:left="720" w:hanging="720"/>
      </w:pPr>
      <w:rPr>
        <w:rFonts w:hint="default"/>
        <w:b/>
        <w:bCs/>
      </w:rPr>
    </w:lvl>
    <w:lvl w:ilvl="1">
      <w:start w:val="1"/>
      <w:numFmt w:val="decimal"/>
      <w:lvlText w:val="%1.%2"/>
      <w:lvlJc w:val="left"/>
      <w:pPr>
        <w:ind w:left="405" w:hanging="405"/>
      </w:pPr>
    </w:lvl>
    <w:lvl w:ilvl="2">
      <w:start w:val="1"/>
      <w:numFmt w:val="decimal"/>
      <w:lvlText w:val="%1.%2.%3"/>
      <w:lvlJc w:val="left"/>
      <w:pPr>
        <w:ind w:left="720" w:hanging="720"/>
      </w:pPr>
      <w:rPr>
        <w:b w:val="0"/>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F6D5CCA"/>
    <w:multiLevelType w:val="multilevel"/>
    <w:tmpl w:val="08D4F70E"/>
    <w:lvl w:ilvl="0">
      <w:start w:val="1"/>
      <w:numFmt w:val="decimal"/>
      <w:lvlText w:val="%1."/>
      <w:lvlJc w:val="left"/>
      <w:pPr>
        <w:ind w:left="720" w:hanging="720"/>
      </w:pPr>
      <w:rPr>
        <w:rFonts w:hint="default"/>
        <w:b/>
        <w:bCs/>
      </w:rPr>
    </w:lvl>
    <w:lvl w:ilvl="1">
      <w:start w:val="1"/>
      <w:numFmt w:val="decimal"/>
      <w:lvlText w:val="%1.%2"/>
      <w:lvlJc w:val="left"/>
      <w:pPr>
        <w:ind w:left="405" w:hanging="405"/>
      </w:pPr>
    </w:lvl>
    <w:lvl w:ilvl="2">
      <w:start w:val="1"/>
      <w:numFmt w:val="decimal"/>
      <w:lvlText w:val="%1.%2.%3"/>
      <w:lvlJc w:val="left"/>
      <w:pPr>
        <w:ind w:left="720" w:hanging="720"/>
      </w:pPr>
      <w:rPr>
        <w:b w:val="0"/>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53355BF2"/>
    <w:multiLevelType w:val="multilevel"/>
    <w:tmpl w:val="182C99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4D56B7"/>
    <w:multiLevelType w:val="hybridMultilevel"/>
    <w:tmpl w:val="F4506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36FBB"/>
    <w:multiLevelType w:val="hybridMultilevel"/>
    <w:tmpl w:val="6306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25B96"/>
    <w:multiLevelType w:val="multilevel"/>
    <w:tmpl w:val="73F4B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0"/>
  </w:num>
  <w:num w:numId="4">
    <w:abstractNumId w:val="19"/>
  </w:num>
  <w:num w:numId="5">
    <w:abstractNumId w:val="16"/>
  </w:num>
  <w:num w:numId="6">
    <w:abstractNumId w:val="5"/>
  </w:num>
  <w:num w:numId="7">
    <w:abstractNumId w:val="8"/>
  </w:num>
  <w:num w:numId="8">
    <w:abstractNumId w:val="12"/>
  </w:num>
  <w:num w:numId="9">
    <w:abstractNumId w:val="9"/>
  </w:num>
  <w:num w:numId="10">
    <w:abstractNumId w:val="13"/>
  </w:num>
  <w:num w:numId="11">
    <w:abstractNumId w:val="7"/>
  </w:num>
  <w:num w:numId="12">
    <w:abstractNumId w:val="15"/>
  </w:num>
  <w:num w:numId="13">
    <w:abstractNumId w:val="21"/>
  </w:num>
  <w:num w:numId="14">
    <w:abstractNumId w:val="10"/>
  </w:num>
  <w:num w:numId="15">
    <w:abstractNumId w:val="2"/>
  </w:num>
  <w:num w:numId="16">
    <w:abstractNumId w:val="17"/>
  </w:num>
  <w:num w:numId="17">
    <w:abstractNumId w:val="6"/>
  </w:num>
  <w:num w:numId="18">
    <w:abstractNumId w:val="3"/>
  </w:num>
  <w:num w:numId="19">
    <w:abstractNumId w:val="4"/>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0"/>
    <w:rsid w:val="000A477C"/>
    <w:rsid w:val="000B4310"/>
    <w:rsid w:val="001D2B46"/>
    <w:rsid w:val="0023355E"/>
    <w:rsid w:val="0025240B"/>
    <w:rsid w:val="002626A3"/>
    <w:rsid w:val="00277E40"/>
    <w:rsid w:val="003028BD"/>
    <w:rsid w:val="00304018"/>
    <w:rsid w:val="004000D7"/>
    <w:rsid w:val="00504E43"/>
    <w:rsid w:val="00557DB5"/>
    <w:rsid w:val="005A71E8"/>
    <w:rsid w:val="0062641C"/>
    <w:rsid w:val="00720D90"/>
    <w:rsid w:val="0077041D"/>
    <w:rsid w:val="007908F4"/>
    <w:rsid w:val="007E77D2"/>
    <w:rsid w:val="009B2843"/>
    <w:rsid w:val="009F5761"/>
    <w:rsid w:val="00A07662"/>
    <w:rsid w:val="00A21A3B"/>
    <w:rsid w:val="00A76A65"/>
    <w:rsid w:val="00AA7DFB"/>
    <w:rsid w:val="00B11745"/>
    <w:rsid w:val="00BC5175"/>
    <w:rsid w:val="00C00B0F"/>
    <w:rsid w:val="00C33C31"/>
    <w:rsid w:val="00CB6BF0"/>
    <w:rsid w:val="00D245CA"/>
    <w:rsid w:val="00D77277"/>
    <w:rsid w:val="00D87331"/>
    <w:rsid w:val="00E033D9"/>
    <w:rsid w:val="00E112E6"/>
    <w:rsid w:val="00F372D2"/>
    <w:rsid w:val="00FD3A85"/>
    <w:rsid w:val="4C9703C6"/>
    <w:rsid w:val="4C975DD5"/>
    <w:rsid w:val="621A8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EC7A"/>
  <w15:docId w15:val="{F2F95B72-48D3-43B0-BF1C-112AB187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46"/>
    <w:pPr>
      <w:ind w:left="720"/>
      <w:contextualSpacing/>
    </w:pPr>
  </w:style>
  <w:style w:type="paragraph" w:styleId="BalloonText">
    <w:name w:val="Balloon Text"/>
    <w:basedOn w:val="Normal"/>
    <w:link w:val="BalloonTextChar"/>
    <w:uiPriority w:val="99"/>
    <w:semiHidden/>
    <w:unhideWhenUsed/>
    <w:rsid w:val="00CB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C0EE-935A-444B-B189-8576EB33FDE4}">
  <ds:schemaRefs>
    <ds:schemaRef ds:uri="http://schemas.microsoft.com/sharepoint/v3/contenttype/forms"/>
  </ds:schemaRefs>
</ds:datastoreItem>
</file>

<file path=customXml/itemProps2.xml><?xml version="1.0" encoding="utf-8"?>
<ds:datastoreItem xmlns:ds="http://schemas.openxmlformats.org/officeDocument/2006/customXml" ds:itemID="{CD29B7A0-A624-4F68-AC9A-9EDE30CD9D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844bf54-9789-4205-bb01-07cb0fb564d9"/>
    <ds:schemaRef ds:uri="http://www.w3.org/XML/1998/namespace"/>
  </ds:schemaRefs>
</ds:datastoreItem>
</file>

<file path=customXml/itemProps3.xml><?xml version="1.0" encoding="utf-8"?>
<ds:datastoreItem xmlns:ds="http://schemas.openxmlformats.org/officeDocument/2006/customXml" ds:itemID="{E25D0925-9620-408C-9844-23912B8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1808D-87CB-406D-803D-83A6123E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Oxfordshire County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Eunan - Public Health</dc:creator>
  <cp:lastModifiedBy>Pinel, Stephen - Public Health</cp:lastModifiedBy>
  <cp:revision>4</cp:revision>
  <dcterms:created xsi:type="dcterms:W3CDTF">2020-08-06T11:14:00Z</dcterms:created>
  <dcterms:modified xsi:type="dcterms:W3CDTF">2020-08-07T11:22:00Z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