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5477C" w14:textId="77777777" w:rsidR="00844A8F" w:rsidRDefault="00844A8F" w:rsidP="00316421">
      <w:pPr>
        <w:rPr>
          <w:rFonts w:asciiTheme="minorHAnsi" w:hAnsiTheme="minorHAnsi" w:cstheme="minorHAnsi"/>
          <w:sz w:val="24"/>
        </w:rPr>
      </w:pPr>
    </w:p>
    <w:p w14:paraId="6F04353D" w14:textId="77777777" w:rsidR="00D92D53" w:rsidRDefault="00D92D53" w:rsidP="00316421">
      <w:pPr>
        <w:rPr>
          <w:rFonts w:asciiTheme="minorHAnsi" w:hAnsiTheme="minorHAnsi" w:cstheme="minorHAnsi"/>
          <w:sz w:val="24"/>
        </w:rPr>
      </w:pPr>
    </w:p>
    <w:p w14:paraId="0F7B5328" w14:textId="77777777" w:rsidR="00D92D53" w:rsidRPr="00BF5DD1" w:rsidRDefault="00D92D53" w:rsidP="00316421">
      <w:pPr>
        <w:rPr>
          <w:rFonts w:asciiTheme="minorHAnsi" w:hAnsiTheme="minorHAnsi" w:cstheme="minorHAnsi"/>
          <w:sz w:val="24"/>
        </w:rPr>
      </w:pPr>
    </w:p>
    <w:p w14:paraId="0931F1E3" w14:textId="77777777" w:rsidR="00844A8F" w:rsidRPr="00BF5DD1" w:rsidRDefault="00844A8F" w:rsidP="00316421">
      <w:pPr>
        <w:rPr>
          <w:rFonts w:asciiTheme="minorHAnsi" w:hAnsiTheme="minorHAnsi" w:cstheme="minorHAnsi"/>
          <w:sz w:val="24"/>
        </w:rPr>
      </w:pPr>
    </w:p>
    <w:p w14:paraId="5C194876" w14:textId="77777777" w:rsidR="00412019" w:rsidRDefault="007E30A0" w:rsidP="00B94189">
      <w:pPr>
        <w:jc w:val="center"/>
        <w:rPr>
          <w:rFonts w:cs="Arial"/>
          <w:b/>
          <w:sz w:val="48"/>
          <w:szCs w:val="48"/>
        </w:rPr>
      </w:pPr>
      <w:r w:rsidRPr="007E30A0">
        <w:rPr>
          <w:rFonts w:cs="Arial"/>
          <w:b/>
          <w:noProof/>
          <w:sz w:val="48"/>
          <w:szCs w:val="48"/>
          <w:lang w:val="en-GB" w:eastAsia="en-GB"/>
        </w:rPr>
        <w:drawing>
          <wp:inline distT="0" distB="0" distL="0" distR="0" wp14:anchorId="064E56EB" wp14:editId="06692734">
            <wp:extent cx="5613400" cy="2146300"/>
            <wp:effectExtent l="0" t="0" r="6350" b="6350"/>
            <wp:docPr id="1" name="Picture 1" descr="C:\Users\david.gilbride\AppData\Local\Microsoft\Windows\INetCache\Content.Outlook\0ZALBORP\VRU_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gilbride\AppData\Local\Microsoft\Windows\INetCache\Content.Outlook\0ZALBORP\VRU_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3400" cy="2146300"/>
                    </a:xfrm>
                    <a:prstGeom prst="rect">
                      <a:avLst/>
                    </a:prstGeom>
                    <a:noFill/>
                    <a:ln>
                      <a:noFill/>
                    </a:ln>
                  </pic:spPr>
                </pic:pic>
              </a:graphicData>
            </a:graphic>
          </wp:inline>
        </w:drawing>
      </w:r>
    </w:p>
    <w:p w14:paraId="50FDBD25" w14:textId="77777777" w:rsidR="007E30A0" w:rsidRDefault="007E30A0" w:rsidP="00B94189">
      <w:pPr>
        <w:jc w:val="center"/>
        <w:rPr>
          <w:rFonts w:cs="Arial"/>
          <w:b/>
          <w:sz w:val="48"/>
          <w:szCs w:val="48"/>
        </w:rPr>
      </w:pPr>
    </w:p>
    <w:p w14:paraId="314E0BF5" w14:textId="77777777" w:rsidR="007E30A0" w:rsidRDefault="007E30A0" w:rsidP="00B94189">
      <w:pPr>
        <w:jc w:val="center"/>
        <w:rPr>
          <w:rFonts w:cs="Arial"/>
          <w:b/>
          <w:sz w:val="48"/>
          <w:szCs w:val="48"/>
        </w:rPr>
      </w:pPr>
    </w:p>
    <w:p w14:paraId="1A2D95D7" w14:textId="77777777" w:rsidR="007E30A0" w:rsidRDefault="007E30A0" w:rsidP="00B94189">
      <w:pPr>
        <w:jc w:val="center"/>
        <w:rPr>
          <w:rFonts w:cs="Arial"/>
          <w:b/>
          <w:sz w:val="48"/>
          <w:szCs w:val="48"/>
        </w:rPr>
      </w:pPr>
    </w:p>
    <w:p w14:paraId="61DA18CB" w14:textId="77777777" w:rsidR="00B94189" w:rsidRDefault="00B94189" w:rsidP="00B94189">
      <w:pPr>
        <w:jc w:val="center"/>
        <w:rPr>
          <w:rFonts w:cs="Arial"/>
          <w:b/>
          <w:sz w:val="48"/>
          <w:szCs w:val="48"/>
        </w:rPr>
      </w:pPr>
      <w:r w:rsidRPr="00053BC1">
        <w:rPr>
          <w:rFonts w:cs="Arial"/>
          <w:b/>
          <w:sz w:val="48"/>
          <w:szCs w:val="48"/>
        </w:rPr>
        <w:t>Greater Manchester Hospital Intervention ‘Navigator’ Pilot</w:t>
      </w:r>
    </w:p>
    <w:p w14:paraId="06F60CB9" w14:textId="77777777" w:rsidR="00412019" w:rsidRPr="00053BC1" w:rsidRDefault="00412019" w:rsidP="00B94189">
      <w:pPr>
        <w:jc w:val="center"/>
        <w:rPr>
          <w:rFonts w:cs="Arial"/>
          <w:b/>
          <w:sz w:val="48"/>
          <w:szCs w:val="48"/>
        </w:rPr>
      </w:pPr>
    </w:p>
    <w:p w14:paraId="2852DB0B" w14:textId="77777777" w:rsidR="00B94189" w:rsidRPr="00053BC1" w:rsidRDefault="00B94189" w:rsidP="00B94189">
      <w:pPr>
        <w:jc w:val="center"/>
        <w:rPr>
          <w:rFonts w:cs="Arial"/>
          <w:b/>
          <w:sz w:val="48"/>
          <w:szCs w:val="48"/>
        </w:rPr>
      </w:pPr>
    </w:p>
    <w:p w14:paraId="0DA9F391" w14:textId="77777777" w:rsidR="00B94189" w:rsidRDefault="00B94189" w:rsidP="00B94189">
      <w:pPr>
        <w:jc w:val="center"/>
        <w:rPr>
          <w:rFonts w:cs="Arial"/>
          <w:b/>
          <w:sz w:val="48"/>
          <w:szCs w:val="48"/>
        </w:rPr>
      </w:pPr>
      <w:r w:rsidRPr="00053BC1">
        <w:rPr>
          <w:rFonts w:cs="Arial"/>
          <w:b/>
          <w:sz w:val="48"/>
          <w:szCs w:val="48"/>
        </w:rPr>
        <w:t>Service Specification</w:t>
      </w:r>
    </w:p>
    <w:p w14:paraId="4BF1A87D" w14:textId="77777777" w:rsidR="007E30A0" w:rsidRDefault="007E30A0" w:rsidP="00B94189">
      <w:pPr>
        <w:jc w:val="center"/>
        <w:rPr>
          <w:rFonts w:cs="Arial"/>
          <w:b/>
          <w:sz w:val="48"/>
          <w:szCs w:val="48"/>
        </w:rPr>
      </w:pPr>
      <w:r>
        <w:rPr>
          <w:rFonts w:cs="Arial"/>
          <w:b/>
          <w:sz w:val="48"/>
          <w:szCs w:val="48"/>
        </w:rPr>
        <w:t>October 2020</w:t>
      </w:r>
    </w:p>
    <w:p w14:paraId="10D9A0B3" w14:textId="77777777" w:rsidR="00316421" w:rsidRDefault="00316421" w:rsidP="00316421">
      <w:pPr>
        <w:rPr>
          <w:rFonts w:asciiTheme="minorHAnsi" w:hAnsiTheme="minorHAnsi" w:cstheme="minorHAnsi"/>
          <w:b/>
          <w:sz w:val="24"/>
        </w:rPr>
      </w:pPr>
    </w:p>
    <w:p w14:paraId="07F6ABFA" w14:textId="77777777" w:rsidR="00B94189" w:rsidRDefault="00B94189" w:rsidP="00316421">
      <w:pPr>
        <w:rPr>
          <w:rFonts w:asciiTheme="minorHAnsi" w:hAnsiTheme="minorHAnsi" w:cstheme="minorHAnsi"/>
          <w:b/>
          <w:sz w:val="24"/>
        </w:rPr>
      </w:pPr>
    </w:p>
    <w:p w14:paraId="1D304B19" w14:textId="77777777" w:rsidR="00B94189" w:rsidRDefault="00B94189" w:rsidP="00316421">
      <w:pPr>
        <w:rPr>
          <w:rFonts w:asciiTheme="minorHAnsi" w:hAnsiTheme="minorHAnsi" w:cstheme="minorHAnsi"/>
          <w:b/>
          <w:sz w:val="24"/>
        </w:rPr>
      </w:pPr>
    </w:p>
    <w:p w14:paraId="60BDB72D" w14:textId="77777777" w:rsidR="00B94189" w:rsidRDefault="00B94189" w:rsidP="00316421">
      <w:pPr>
        <w:rPr>
          <w:rFonts w:asciiTheme="minorHAnsi" w:hAnsiTheme="minorHAnsi" w:cstheme="minorHAnsi"/>
          <w:b/>
          <w:sz w:val="24"/>
        </w:rPr>
      </w:pPr>
    </w:p>
    <w:p w14:paraId="692922EB" w14:textId="77777777" w:rsidR="00B94189" w:rsidRDefault="00B94189" w:rsidP="00316421">
      <w:pPr>
        <w:rPr>
          <w:rFonts w:asciiTheme="minorHAnsi" w:hAnsiTheme="minorHAnsi" w:cstheme="minorHAnsi"/>
          <w:b/>
          <w:sz w:val="24"/>
        </w:rPr>
      </w:pPr>
    </w:p>
    <w:p w14:paraId="6A2D8EF3" w14:textId="77777777" w:rsidR="00B94189" w:rsidRDefault="00B94189" w:rsidP="00316421">
      <w:pPr>
        <w:rPr>
          <w:rFonts w:asciiTheme="minorHAnsi" w:hAnsiTheme="minorHAnsi" w:cstheme="minorHAnsi"/>
          <w:b/>
          <w:sz w:val="24"/>
        </w:rPr>
      </w:pPr>
    </w:p>
    <w:p w14:paraId="70D1EA99" w14:textId="77777777" w:rsidR="00B94189" w:rsidRDefault="00B94189" w:rsidP="00316421">
      <w:pPr>
        <w:rPr>
          <w:rFonts w:asciiTheme="minorHAnsi" w:hAnsiTheme="minorHAnsi" w:cstheme="minorHAnsi"/>
          <w:b/>
          <w:sz w:val="24"/>
        </w:rPr>
      </w:pPr>
    </w:p>
    <w:p w14:paraId="4021E61E" w14:textId="77777777" w:rsidR="00B94189" w:rsidRDefault="00B94189" w:rsidP="00316421">
      <w:pPr>
        <w:rPr>
          <w:rFonts w:asciiTheme="minorHAnsi" w:hAnsiTheme="minorHAnsi" w:cstheme="minorHAnsi"/>
          <w:b/>
          <w:sz w:val="24"/>
        </w:rPr>
      </w:pPr>
    </w:p>
    <w:p w14:paraId="6F85F486" w14:textId="77777777" w:rsidR="00B94189" w:rsidRDefault="00B94189" w:rsidP="00316421">
      <w:pPr>
        <w:rPr>
          <w:rFonts w:asciiTheme="minorHAnsi" w:hAnsiTheme="minorHAnsi" w:cstheme="minorHAnsi"/>
          <w:b/>
          <w:sz w:val="24"/>
        </w:rPr>
      </w:pPr>
    </w:p>
    <w:p w14:paraId="01029A8A" w14:textId="77777777" w:rsidR="00B94189" w:rsidRDefault="00B94189" w:rsidP="00316421">
      <w:pPr>
        <w:rPr>
          <w:rFonts w:asciiTheme="minorHAnsi" w:hAnsiTheme="minorHAnsi" w:cstheme="minorHAnsi"/>
          <w:b/>
          <w:sz w:val="24"/>
        </w:rPr>
      </w:pPr>
    </w:p>
    <w:p w14:paraId="5BEF5C4D" w14:textId="77777777" w:rsidR="00B94189" w:rsidRDefault="00B94189" w:rsidP="00316421">
      <w:pPr>
        <w:rPr>
          <w:rFonts w:asciiTheme="minorHAnsi" w:hAnsiTheme="minorHAnsi" w:cstheme="minorHAnsi"/>
          <w:b/>
          <w:sz w:val="24"/>
        </w:rPr>
      </w:pPr>
    </w:p>
    <w:p w14:paraId="08B4CA59" w14:textId="77777777" w:rsidR="0065483A" w:rsidRDefault="0065483A" w:rsidP="00412019">
      <w:pPr>
        <w:spacing w:after="160" w:line="259" w:lineRule="auto"/>
        <w:jc w:val="center"/>
        <w:rPr>
          <w:b/>
          <w:sz w:val="24"/>
        </w:rPr>
      </w:pPr>
      <w:r w:rsidRPr="00412019">
        <w:rPr>
          <w:b/>
          <w:sz w:val="24"/>
        </w:rPr>
        <w:lastRenderedPageBreak/>
        <w:t>Abbreviations, Terminology and Definitions:</w:t>
      </w:r>
    </w:p>
    <w:p w14:paraId="1AC36524" w14:textId="77777777" w:rsidR="00412019" w:rsidRPr="00412019" w:rsidRDefault="00412019" w:rsidP="00412019">
      <w:pPr>
        <w:spacing w:after="160" w:line="259" w:lineRule="auto"/>
        <w:jc w:val="center"/>
        <w:rPr>
          <w:b/>
          <w:sz w:val="24"/>
        </w:rPr>
      </w:pPr>
    </w:p>
    <w:p w14:paraId="550BE161" w14:textId="77777777" w:rsidR="005661E0" w:rsidRDefault="0065483A" w:rsidP="0065483A">
      <w:pPr>
        <w:spacing w:after="160" w:line="259" w:lineRule="auto"/>
      </w:pPr>
      <w:r>
        <w:t>In this document</w:t>
      </w:r>
      <w:r w:rsidR="005661E0">
        <w:t xml:space="preserve"> (and associated documents accessed via link</w:t>
      </w:r>
      <w:r w:rsidR="00010422">
        <w:t>s</w:t>
      </w:r>
      <w:r w:rsidR="005661E0">
        <w:t>)</w:t>
      </w:r>
      <w:r w:rsidR="00412019">
        <w:t>, the</w:t>
      </w:r>
      <w:r>
        <w:t xml:space="preserve"> following abbreviations and terminology are used</w:t>
      </w:r>
      <w:r w:rsidR="00010422">
        <w:t>.</w:t>
      </w:r>
      <w:r>
        <w:t xml:space="preserve"> </w:t>
      </w:r>
    </w:p>
    <w:p w14:paraId="43D23522" w14:textId="77777777" w:rsidR="0065483A" w:rsidRDefault="0065483A" w:rsidP="0065483A">
      <w:pPr>
        <w:spacing w:after="160" w:line="259" w:lineRule="auto"/>
        <w:rPr>
          <w:b/>
        </w:rPr>
      </w:pPr>
      <w:r w:rsidRPr="00412019">
        <w:rPr>
          <w:b/>
        </w:rPr>
        <w:t xml:space="preserve">Abbreviations: </w:t>
      </w:r>
    </w:p>
    <w:p w14:paraId="724D2C98" w14:textId="77777777" w:rsidR="00F77580" w:rsidRPr="00F77580" w:rsidRDefault="00F77580" w:rsidP="0065483A">
      <w:pPr>
        <w:spacing w:after="160" w:line="259" w:lineRule="auto"/>
      </w:pPr>
      <w:r w:rsidRPr="00F77580">
        <w:t xml:space="preserve">GM </w:t>
      </w:r>
      <w:r>
        <w:t>– Greater Manchester</w:t>
      </w:r>
    </w:p>
    <w:p w14:paraId="15B4BBDB" w14:textId="77777777" w:rsidR="0065483A" w:rsidRDefault="0065483A" w:rsidP="0065483A">
      <w:pPr>
        <w:spacing w:after="160" w:line="259" w:lineRule="auto"/>
      </w:pPr>
      <w:r>
        <w:t>GMCA - Greater Manchester Combined Authority</w:t>
      </w:r>
    </w:p>
    <w:p w14:paraId="5197851E" w14:textId="77777777" w:rsidR="0065483A" w:rsidRDefault="0065483A" w:rsidP="0065483A">
      <w:pPr>
        <w:spacing w:after="160" w:line="259" w:lineRule="auto"/>
      </w:pPr>
      <w:r>
        <w:t>GMP – Greater Manchester Police</w:t>
      </w:r>
    </w:p>
    <w:p w14:paraId="3CDAB175" w14:textId="77777777" w:rsidR="0065483A" w:rsidRDefault="0065483A" w:rsidP="0065483A">
      <w:pPr>
        <w:spacing w:after="160" w:line="259" w:lineRule="auto"/>
      </w:pPr>
      <w:r>
        <w:t>LA – Local Authority</w:t>
      </w:r>
    </w:p>
    <w:p w14:paraId="2CD69C03" w14:textId="77777777" w:rsidR="005661E0" w:rsidRDefault="005661E0" w:rsidP="0065483A">
      <w:pPr>
        <w:spacing w:after="160" w:line="259" w:lineRule="auto"/>
      </w:pPr>
      <w:r>
        <w:t xml:space="preserve">GDPR – General Data Protection Regulation </w:t>
      </w:r>
      <w:r w:rsidR="00FE566A">
        <w:t>2018</w:t>
      </w:r>
    </w:p>
    <w:p w14:paraId="402BF602" w14:textId="77777777" w:rsidR="0065483A" w:rsidRDefault="005661E0" w:rsidP="0065483A">
      <w:pPr>
        <w:spacing w:after="160" w:line="259" w:lineRule="auto"/>
        <w:rPr>
          <w:rFonts w:cs="Arial"/>
        </w:rPr>
      </w:pPr>
      <w:r w:rsidRPr="005661E0">
        <w:rPr>
          <w:rFonts w:cs="Arial"/>
        </w:rPr>
        <w:t xml:space="preserve">VCOP – Victim </w:t>
      </w:r>
      <w:r>
        <w:rPr>
          <w:rFonts w:cs="Arial"/>
        </w:rPr>
        <w:t>C</w:t>
      </w:r>
      <w:r w:rsidRPr="005661E0">
        <w:rPr>
          <w:rFonts w:cs="Arial"/>
        </w:rPr>
        <w:t xml:space="preserve">ode of </w:t>
      </w:r>
      <w:r>
        <w:rPr>
          <w:rFonts w:cs="Arial"/>
        </w:rPr>
        <w:t>Practice</w:t>
      </w:r>
    </w:p>
    <w:p w14:paraId="7189792C" w14:textId="77777777" w:rsidR="00F77580" w:rsidRDefault="00F77580" w:rsidP="0065483A">
      <w:pPr>
        <w:spacing w:after="160" w:line="259" w:lineRule="auto"/>
        <w:rPr>
          <w:rFonts w:cs="Arial"/>
        </w:rPr>
      </w:pPr>
      <w:r>
        <w:rPr>
          <w:rFonts w:cs="Arial"/>
        </w:rPr>
        <w:t xml:space="preserve">PCC – Police and Crime Commissioner (in Greater Manchester this office is now replaced by the Deputy Mayors office) </w:t>
      </w:r>
    </w:p>
    <w:p w14:paraId="41FA9401" w14:textId="77777777" w:rsidR="00D6686D" w:rsidRDefault="00D6686D" w:rsidP="0065483A">
      <w:pPr>
        <w:spacing w:after="160" w:line="259" w:lineRule="auto"/>
        <w:rPr>
          <w:rFonts w:cs="Arial"/>
        </w:rPr>
      </w:pPr>
      <w:r>
        <w:rPr>
          <w:rFonts w:cs="Arial"/>
        </w:rPr>
        <w:t xml:space="preserve">TIIG – Trauma Informed Intelligence Group (Liverpool John </w:t>
      </w:r>
      <w:proofErr w:type="spellStart"/>
      <w:r>
        <w:rPr>
          <w:rFonts w:cs="Arial"/>
        </w:rPr>
        <w:t>Moores</w:t>
      </w:r>
      <w:proofErr w:type="spellEnd"/>
      <w:r>
        <w:rPr>
          <w:rFonts w:cs="Arial"/>
        </w:rPr>
        <w:t xml:space="preserve"> University data </w:t>
      </w:r>
      <w:proofErr w:type="spellStart"/>
      <w:r>
        <w:rPr>
          <w:rFonts w:cs="Arial"/>
        </w:rPr>
        <w:t>centre</w:t>
      </w:r>
      <w:proofErr w:type="spellEnd"/>
      <w:r>
        <w:rPr>
          <w:rFonts w:cs="Arial"/>
        </w:rPr>
        <w:t xml:space="preserve"> collecting hospital and ambulance data)  </w:t>
      </w:r>
    </w:p>
    <w:p w14:paraId="450CD07E" w14:textId="77777777" w:rsidR="00FE566A" w:rsidRDefault="00FE566A" w:rsidP="0065483A">
      <w:pPr>
        <w:spacing w:after="160" w:line="259" w:lineRule="auto"/>
        <w:rPr>
          <w:rFonts w:cs="Arial"/>
        </w:rPr>
      </w:pPr>
    </w:p>
    <w:p w14:paraId="17A73B5B" w14:textId="77777777" w:rsidR="005661E0" w:rsidRPr="00412019" w:rsidRDefault="005661E0" w:rsidP="0065483A">
      <w:pPr>
        <w:spacing w:after="160" w:line="259" w:lineRule="auto"/>
        <w:rPr>
          <w:b/>
        </w:rPr>
      </w:pPr>
      <w:r w:rsidRPr="00412019">
        <w:rPr>
          <w:b/>
        </w:rPr>
        <w:t>Terminology:</w:t>
      </w:r>
    </w:p>
    <w:p w14:paraId="059CD3C6" w14:textId="77777777" w:rsidR="005661E0" w:rsidRDefault="005661E0" w:rsidP="0065483A">
      <w:pPr>
        <w:spacing w:after="160" w:line="259" w:lineRule="auto"/>
      </w:pPr>
      <w:r>
        <w:t xml:space="preserve">Commissioner - The grant budget holder (GMCA) </w:t>
      </w:r>
    </w:p>
    <w:p w14:paraId="6C7511DE" w14:textId="77777777" w:rsidR="005661E0" w:rsidRDefault="005661E0" w:rsidP="0065483A">
      <w:pPr>
        <w:spacing w:after="160" w:line="259" w:lineRule="auto"/>
      </w:pPr>
      <w:r>
        <w:t xml:space="preserve">Service – The expected service provided under the terms of this specification </w:t>
      </w:r>
    </w:p>
    <w:p w14:paraId="623B61AA" w14:textId="77777777" w:rsidR="005661E0" w:rsidRDefault="005661E0" w:rsidP="0065483A">
      <w:pPr>
        <w:spacing w:after="160" w:line="259" w:lineRule="auto"/>
      </w:pPr>
      <w:r>
        <w:t>Provider – The successful bidding Service Provider</w:t>
      </w:r>
    </w:p>
    <w:p w14:paraId="1B1EA5E1" w14:textId="77777777" w:rsidR="005661E0" w:rsidRDefault="005661E0" w:rsidP="0065483A">
      <w:pPr>
        <w:spacing w:after="160" w:line="259" w:lineRule="auto"/>
      </w:pPr>
      <w:r>
        <w:t>The EU Directive</w:t>
      </w:r>
      <w:r w:rsidR="00FE566A">
        <w:t xml:space="preserve"> </w:t>
      </w:r>
      <w:r w:rsidR="00412019">
        <w:t>- The</w:t>
      </w:r>
      <w:r>
        <w:t xml:space="preserve"> EU Victims Directive establishing minimum standards on the rights, support and protection of victims of crime agreed by the UK and 26 other Member States of the European Union</w:t>
      </w:r>
    </w:p>
    <w:p w14:paraId="01CE6A88" w14:textId="77777777" w:rsidR="00FD672F" w:rsidRDefault="00FD672F" w:rsidP="0065483A">
      <w:pPr>
        <w:spacing w:after="160" w:line="259" w:lineRule="auto"/>
      </w:pPr>
      <w:r>
        <w:t>Navigator – Hospital based intervention worker employed by the Service Provider</w:t>
      </w:r>
    </w:p>
    <w:p w14:paraId="66D982F3" w14:textId="77777777" w:rsidR="00FE566A" w:rsidRDefault="00FE566A" w:rsidP="0065483A">
      <w:pPr>
        <w:spacing w:after="160" w:line="259" w:lineRule="auto"/>
      </w:pPr>
    </w:p>
    <w:p w14:paraId="4181902D" w14:textId="77777777" w:rsidR="00FE566A" w:rsidRPr="00412019" w:rsidRDefault="00FE566A" w:rsidP="0065483A">
      <w:pPr>
        <w:spacing w:after="160" w:line="259" w:lineRule="auto"/>
        <w:rPr>
          <w:b/>
        </w:rPr>
      </w:pPr>
      <w:r w:rsidRPr="00412019">
        <w:rPr>
          <w:b/>
        </w:rPr>
        <w:t xml:space="preserve">Definitions: </w:t>
      </w:r>
    </w:p>
    <w:p w14:paraId="2284EE68" w14:textId="77777777" w:rsidR="00FE566A" w:rsidRDefault="00FE566A" w:rsidP="0065483A">
      <w:pPr>
        <w:spacing w:after="160" w:line="259" w:lineRule="auto"/>
      </w:pPr>
      <w:r>
        <w:t xml:space="preserve">Victim </w:t>
      </w:r>
      <w:r w:rsidR="00412019">
        <w:t>- A</w:t>
      </w:r>
      <w:r>
        <w:t xml:space="preserve"> victim of any crime regardless of whether they report to the police or not. </w:t>
      </w:r>
    </w:p>
    <w:p w14:paraId="60BAE060" w14:textId="77777777" w:rsidR="00FE566A" w:rsidRDefault="00FE566A" w:rsidP="0065483A">
      <w:pPr>
        <w:spacing w:after="160" w:line="259" w:lineRule="auto"/>
      </w:pPr>
      <w:r>
        <w:t xml:space="preserve">Data Controller </w:t>
      </w:r>
      <w:r w:rsidR="00412019">
        <w:t>- As</w:t>
      </w:r>
      <w:r>
        <w:t xml:space="preserve"> defined by Article 4(7) and (8) GDPR - is a person who (either alone or jointly in common with other persons) determines the purposes for which, and the manner in which, personal data is to be processed. </w:t>
      </w:r>
    </w:p>
    <w:p w14:paraId="7C3E9F7C" w14:textId="77777777" w:rsidR="005661E0" w:rsidRDefault="00FE566A" w:rsidP="0065483A">
      <w:pPr>
        <w:spacing w:after="160" w:line="259" w:lineRule="auto"/>
      </w:pPr>
      <w:r>
        <w:t xml:space="preserve">Data Processor </w:t>
      </w:r>
      <w:r w:rsidR="00412019">
        <w:t>–</w:t>
      </w:r>
      <w:r>
        <w:t xml:space="preserve"> </w:t>
      </w:r>
      <w:r w:rsidR="00412019">
        <w:t>As defined in Article 28 GDPR - In</w:t>
      </w:r>
      <w:r>
        <w:t xml:space="preserve"> relation to personal data, means any person (other than an employee of the data controller) who processes the data on behalf of the data controller. </w:t>
      </w:r>
    </w:p>
    <w:p w14:paraId="0979455F" w14:textId="77777777" w:rsidR="005661E0" w:rsidRDefault="005661E0" w:rsidP="0065483A">
      <w:pPr>
        <w:spacing w:after="160" w:line="259" w:lineRule="auto"/>
        <w:rPr>
          <w:rFonts w:cs="Arial"/>
        </w:rPr>
      </w:pPr>
    </w:p>
    <w:p w14:paraId="0C670197" w14:textId="77777777" w:rsidR="00697C5F" w:rsidRDefault="00697C5F" w:rsidP="0065483A">
      <w:pPr>
        <w:spacing w:after="160" w:line="259" w:lineRule="auto"/>
        <w:rPr>
          <w:rFonts w:cs="Arial"/>
        </w:rPr>
      </w:pPr>
    </w:p>
    <w:p w14:paraId="66B4BA8C" w14:textId="77777777" w:rsidR="00412019" w:rsidRDefault="00412019" w:rsidP="0065483A">
      <w:pPr>
        <w:spacing w:after="160" w:line="259" w:lineRule="auto"/>
        <w:rPr>
          <w:rFonts w:cs="Arial"/>
        </w:rPr>
      </w:pPr>
    </w:p>
    <w:p w14:paraId="3E656BA5" w14:textId="77777777" w:rsidR="00412019" w:rsidRDefault="00412019" w:rsidP="003C62A0">
      <w:pPr>
        <w:spacing w:after="160" w:line="259" w:lineRule="auto"/>
        <w:jc w:val="center"/>
        <w:rPr>
          <w:rFonts w:cs="Arial"/>
          <w:b/>
          <w:sz w:val="24"/>
        </w:rPr>
      </w:pPr>
      <w:r w:rsidRPr="00412019">
        <w:rPr>
          <w:rFonts w:cs="Arial"/>
          <w:b/>
          <w:sz w:val="24"/>
        </w:rPr>
        <w:lastRenderedPageBreak/>
        <w:t>Table of Contents</w:t>
      </w:r>
    </w:p>
    <w:p w14:paraId="53DF6A2A" w14:textId="77777777" w:rsidR="00412019" w:rsidRDefault="00412019" w:rsidP="0066308E">
      <w:pPr>
        <w:spacing w:after="160" w:line="259" w:lineRule="auto"/>
        <w:rPr>
          <w:rFonts w:cs="Arial"/>
          <w:b/>
          <w:sz w:val="24"/>
        </w:rPr>
      </w:pPr>
      <w:r>
        <w:rPr>
          <w:rFonts w:cs="Arial"/>
          <w:b/>
          <w:sz w:val="24"/>
        </w:rPr>
        <w:t xml:space="preserve">                                                                                                                                   Page</w:t>
      </w:r>
    </w:p>
    <w:p w14:paraId="3CF8A333" w14:textId="77777777" w:rsidR="00412019" w:rsidRDefault="00412019" w:rsidP="0066308E">
      <w:pPr>
        <w:spacing w:after="160" w:line="259" w:lineRule="auto"/>
        <w:rPr>
          <w:rFonts w:cs="Arial"/>
          <w:szCs w:val="20"/>
        </w:rPr>
      </w:pPr>
      <w:r w:rsidRPr="00412019">
        <w:rPr>
          <w:rFonts w:cs="Arial"/>
          <w:szCs w:val="20"/>
        </w:rPr>
        <w:t>Abbreviations, Terminology and Definitions</w:t>
      </w:r>
      <w:r>
        <w:rPr>
          <w:rFonts w:cs="Arial"/>
          <w:szCs w:val="20"/>
        </w:rPr>
        <w:t xml:space="preserve"> ……………………………………………</w:t>
      </w:r>
      <w:r w:rsidR="0066308E">
        <w:rPr>
          <w:rFonts w:cs="Arial"/>
          <w:szCs w:val="20"/>
        </w:rPr>
        <w:t>.</w:t>
      </w:r>
      <w:r>
        <w:rPr>
          <w:rFonts w:cs="Arial"/>
          <w:szCs w:val="20"/>
        </w:rPr>
        <w:t>…………………</w:t>
      </w:r>
      <w:r w:rsidR="0066308E">
        <w:rPr>
          <w:rFonts w:cs="Arial"/>
          <w:szCs w:val="20"/>
        </w:rPr>
        <w:t>…………</w:t>
      </w:r>
      <w:r>
        <w:rPr>
          <w:rFonts w:cs="Arial"/>
          <w:szCs w:val="20"/>
        </w:rPr>
        <w:t>2</w:t>
      </w:r>
    </w:p>
    <w:p w14:paraId="2999C27B" w14:textId="77777777" w:rsidR="003B41DD" w:rsidRDefault="003B41DD" w:rsidP="0066308E">
      <w:pPr>
        <w:spacing w:after="160" w:line="259" w:lineRule="auto"/>
        <w:rPr>
          <w:rFonts w:cs="Arial"/>
          <w:szCs w:val="20"/>
        </w:rPr>
      </w:pPr>
      <w:r>
        <w:rPr>
          <w:rFonts w:cs="Arial"/>
          <w:szCs w:val="20"/>
        </w:rPr>
        <w:t xml:space="preserve">Table of Contents </w:t>
      </w:r>
      <w:r w:rsidR="0066308E">
        <w:rPr>
          <w:rFonts w:cs="Arial"/>
          <w:szCs w:val="20"/>
        </w:rPr>
        <w:t>…………………………………………………………………………………………………..…...3</w:t>
      </w:r>
    </w:p>
    <w:p w14:paraId="0AC6B231" w14:textId="77777777" w:rsidR="00412019" w:rsidRPr="007E30A0" w:rsidRDefault="00412019" w:rsidP="0066308E">
      <w:pPr>
        <w:spacing w:after="160" w:line="259" w:lineRule="auto"/>
        <w:rPr>
          <w:rFonts w:cs="Arial"/>
          <w:b/>
          <w:szCs w:val="20"/>
        </w:rPr>
      </w:pPr>
    </w:p>
    <w:p w14:paraId="03AEBC8C" w14:textId="77777777" w:rsidR="00412019" w:rsidRPr="007E30A0" w:rsidRDefault="00412019" w:rsidP="0066308E">
      <w:pPr>
        <w:spacing w:after="160" w:line="259" w:lineRule="auto"/>
        <w:rPr>
          <w:rFonts w:cs="Arial"/>
          <w:b/>
          <w:szCs w:val="20"/>
        </w:rPr>
      </w:pPr>
      <w:r w:rsidRPr="007E30A0">
        <w:rPr>
          <w:rFonts w:cs="Arial"/>
          <w:b/>
          <w:szCs w:val="20"/>
        </w:rPr>
        <w:t xml:space="preserve">Section </w:t>
      </w:r>
      <w:r w:rsidR="007E30A0" w:rsidRPr="007E30A0">
        <w:rPr>
          <w:rFonts w:cs="Arial"/>
          <w:b/>
          <w:szCs w:val="20"/>
        </w:rPr>
        <w:t>One:</w:t>
      </w:r>
      <w:r w:rsidRPr="007E30A0">
        <w:rPr>
          <w:rFonts w:cs="Arial"/>
          <w:b/>
          <w:szCs w:val="20"/>
        </w:rPr>
        <w:t xml:space="preserve"> </w:t>
      </w:r>
      <w:r w:rsidR="002F5501" w:rsidRPr="007E30A0">
        <w:rPr>
          <w:rFonts w:cs="Arial"/>
          <w:b/>
          <w:szCs w:val="20"/>
        </w:rPr>
        <w:t>Current position</w:t>
      </w:r>
    </w:p>
    <w:p w14:paraId="618409EB" w14:textId="77777777" w:rsidR="00412019" w:rsidRPr="00412019" w:rsidRDefault="00412019" w:rsidP="0066308E">
      <w:pPr>
        <w:pStyle w:val="ListParagraph"/>
        <w:numPr>
          <w:ilvl w:val="1"/>
          <w:numId w:val="15"/>
        </w:numPr>
        <w:spacing w:after="160" w:line="259" w:lineRule="auto"/>
        <w:rPr>
          <w:rFonts w:cs="Arial"/>
          <w:szCs w:val="20"/>
        </w:rPr>
      </w:pPr>
      <w:r w:rsidRPr="00412019">
        <w:rPr>
          <w:rFonts w:cs="Arial"/>
          <w:szCs w:val="20"/>
        </w:rPr>
        <w:t>Introduction</w:t>
      </w:r>
      <w:r w:rsidR="0066308E">
        <w:rPr>
          <w:rFonts w:cs="Arial"/>
          <w:szCs w:val="20"/>
        </w:rPr>
        <w:t xml:space="preserve"> </w:t>
      </w:r>
      <w:r w:rsidR="003B41DD">
        <w:rPr>
          <w:rFonts w:cs="Arial"/>
          <w:szCs w:val="20"/>
        </w:rPr>
        <w:t xml:space="preserve"> ……………………………………………………………………………………………</w:t>
      </w:r>
      <w:r w:rsidR="0066308E">
        <w:rPr>
          <w:rFonts w:cs="Arial"/>
          <w:szCs w:val="20"/>
        </w:rPr>
        <w:t>………4</w:t>
      </w:r>
    </w:p>
    <w:p w14:paraId="217D6C04" w14:textId="77777777" w:rsidR="00412019" w:rsidRDefault="00412019" w:rsidP="0066308E">
      <w:pPr>
        <w:pStyle w:val="ListParagraph"/>
        <w:numPr>
          <w:ilvl w:val="1"/>
          <w:numId w:val="15"/>
        </w:numPr>
        <w:spacing w:after="160" w:line="259" w:lineRule="auto"/>
        <w:rPr>
          <w:rFonts w:cs="Arial"/>
          <w:szCs w:val="20"/>
        </w:rPr>
      </w:pPr>
      <w:r>
        <w:rPr>
          <w:rFonts w:cs="Arial"/>
          <w:szCs w:val="20"/>
        </w:rPr>
        <w:t>Victim Code of Practice</w:t>
      </w:r>
      <w:r w:rsidR="0066308E">
        <w:rPr>
          <w:rFonts w:cs="Arial"/>
          <w:szCs w:val="20"/>
        </w:rPr>
        <w:t xml:space="preserve"> </w:t>
      </w:r>
      <w:r w:rsidR="003B41DD">
        <w:rPr>
          <w:rFonts w:cs="Arial"/>
          <w:szCs w:val="20"/>
        </w:rPr>
        <w:t xml:space="preserve"> …………………………………………………………………</w:t>
      </w:r>
      <w:r w:rsidR="0066308E">
        <w:rPr>
          <w:rFonts w:cs="Arial"/>
          <w:szCs w:val="20"/>
        </w:rPr>
        <w:t>……..</w:t>
      </w:r>
      <w:r w:rsidR="003B41DD">
        <w:rPr>
          <w:rFonts w:cs="Arial"/>
          <w:szCs w:val="20"/>
        </w:rPr>
        <w:t>…………….4</w:t>
      </w:r>
    </w:p>
    <w:p w14:paraId="63A5A1A7" w14:textId="77777777" w:rsidR="00412019" w:rsidRDefault="00412019" w:rsidP="0066308E">
      <w:pPr>
        <w:pStyle w:val="ListParagraph"/>
        <w:numPr>
          <w:ilvl w:val="1"/>
          <w:numId w:val="15"/>
        </w:numPr>
        <w:spacing w:after="160" w:line="259" w:lineRule="auto"/>
        <w:rPr>
          <w:rFonts w:cs="Arial"/>
          <w:szCs w:val="20"/>
        </w:rPr>
      </w:pPr>
      <w:r>
        <w:rPr>
          <w:rFonts w:cs="Arial"/>
          <w:szCs w:val="20"/>
        </w:rPr>
        <w:t>The GM Violent Crime Strategy</w:t>
      </w:r>
      <w:r w:rsidR="0066308E">
        <w:rPr>
          <w:rFonts w:cs="Arial"/>
          <w:szCs w:val="20"/>
        </w:rPr>
        <w:t xml:space="preserve"> ………</w:t>
      </w:r>
      <w:r w:rsidR="003B41DD">
        <w:rPr>
          <w:rFonts w:cs="Arial"/>
          <w:szCs w:val="20"/>
        </w:rPr>
        <w:t>……</w:t>
      </w:r>
      <w:r w:rsidR="00A818A0">
        <w:rPr>
          <w:rFonts w:cs="Arial"/>
          <w:szCs w:val="20"/>
        </w:rPr>
        <w:t>………………………………</w:t>
      </w:r>
      <w:r w:rsidR="0066308E">
        <w:rPr>
          <w:rFonts w:cs="Arial"/>
          <w:szCs w:val="20"/>
        </w:rPr>
        <w:t xml:space="preserve">.. </w:t>
      </w:r>
      <w:r w:rsidR="00A818A0">
        <w:rPr>
          <w:rFonts w:cs="Arial"/>
          <w:szCs w:val="20"/>
        </w:rPr>
        <w:t>……………………………...5</w:t>
      </w:r>
    </w:p>
    <w:p w14:paraId="64377974" w14:textId="77777777" w:rsidR="002F5501" w:rsidRDefault="00412019" w:rsidP="0066308E">
      <w:pPr>
        <w:pStyle w:val="ListParagraph"/>
        <w:numPr>
          <w:ilvl w:val="1"/>
          <w:numId w:val="15"/>
        </w:numPr>
        <w:spacing w:after="160" w:line="259" w:lineRule="auto"/>
        <w:rPr>
          <w:rFonts w:cs="Arial"/>
          <w:szCs w:val="20"/>
        </w:rPr>
      </w:pPr>
      <w:r w:rsidRPr="002F5501">
        <w:rPr>
          <w:rFonts w:cs="Arial"/>
          <w:szCs w:val="20"/>
        </w:rPr>
        <w:t>The GM case for change</w:t>
      </w:r>
      <w:r w:rsidR="0066308E">
        <w:rPr>
          <w:rFonts w:cs="Arial"/>
          <w:szCs w:val="20"/>
        </w:rPr>
        <w:t xml:space="preserve"> </w:t>
      </w:r>
      <w:r w:rsidR="00A818A0">
        <w:rPr>
          <w:rFonts w:cs="Arial"/>
          <w:szCs w:val="20"/>
        </w:rPr>
        <w:t xml:space="preserve"> …………………………………</w:t>
      </w:r>
      <w:r w:rsidR="0066308E">
        <w:rPr>
          <w:rFonts w:cs="Arial"/>
          <w:szCs w:val="20"/>
        </w:rPr>
        <w:t>……..</w:t>
      </w:r>
      <w:r w:rsidR="00A818A0">
        <w:rPr>
          <w:rFonts w:cs="Arial"/>
          <w:szCs w:val="20"/>
        </w:rPr>
        <w:t>…………………………………………...5</w:t>
      </w:r>
    </w:p>
    <w:p w14:paraId="3F3B45A9" w14:textId="77777777" w:rsidR="002F5501" w:rsidRPr="007E30A0" w:rsidRDefault="002F5501" w:rsidP="0066308E">
      <w:pPr>
        <w:spacing w:after="160" w:line="259" w:lineRule="auto"/>
        <w:rPr>
          <w:rFonts w:cs="Arial"/>
          <w:b/>
          <w:szCs w:val="20"/>
        </w:rPr>
      </w:pPr>
      <w:r w:rsidRPr="007E30A0">
        <w:rPr>
          <w:rFonts w:cs="Arial"/>
          <w:b/>
          <w:szCs w:val="20"/>
        </w:rPr>
        <w:t>Section Two: Overview of required Service</w:t>
      </w:r>
    </w:p>
    <w:p w14:paraId="5FEC3B29" w14:textId="77777777" w:rsidR="002F5501" w:rsidRDefault="002F5501" w:rsidP="0066308E">
      <w:pPr>
        <w:rPr>
          <w:rFonts w:cs="Arial"/>
          <w:szCs w:val="20"/>
        </w:rPr>
      </w:pPr>
      <w:r>
        <w:rPr>
          <w:rFonts w:cs="Arial"/>
          <w:szCs w:val="20"/>
        </w:rPr>
        <w:t>2.1         Pilot objectives</w:t>
      </w:r>
      <w:r w:rsidR="00A818A0">
        <w:rPr>
          <w:rFonts w:cs="Arial"/>
          <w:szCs w:val="20"/>
        </w:rPr>
        <w:t xml:space="preserve"> </w:t>
      </w:r>
      <w:r w:rsidR="0066308E">
        <w:rPr>
          <w:rFonts w:cs="Arial"/>
          <w:szCs w:val="20"/>
        </w:rPr>
        <w:t>...</w:t>
      </w:r>
      <w:r w:rsidR="00A818A0">
        <w:rPr>
          <w:rFonts w:cs="Arial"/>
          <w:szCs w:val="20"/>
        </w:rPr>
        <w:t>…………………………………………………………………………</w:t>
      </w:r>
      <w:r w:rsidR="0066308E">
        <w:rPr>
          <w:rFonts w:cs="Arial"/>
          <w:szCs w:val="20"/>
        </w:rPr>
        <w:t>……...</w:t>
      </w:r>
      <w:r w:rsidR="00A818A0">
        <w:rPr>
          <w:rFonts w:cs="Arial"/>
          <w:szCs w:val="20"/>
        </w:rPr>
        <w:t>……………</w:t>
      </w:r>
      <w:r w:rsidR="009E6C6A">
        <w:rPr>
          <w:rFonts w:cs="Arial"/>
          <w:szCs w:val="20"/>
        </w:rPr>
        <w:t>7</w:t>
      </w:r>
    </w:p>
    <w:p w14:paraId="04A67AC6" w14:textId="77777777" w:rsidR="002F5501" w:rsidRDefault="002F5501" w:rsidP="0066308E">
      <w:pPr>
        <w:rPr>
          <w:rFonts w:cs="Arial"/>
          <w:szCs w:val="20"/>
        </w:rPr>
      </w:pPr>
      <w:r>
        <w:rPr>
          <w:rFonts w:cs="Arial"/>
          <w:szCs w:val="20"/>
        </w:rPr>
        <w:t xml:space="preserve">2.2         Core capabilities </w:t>
      </w:r>
      <w:r w:rsidR="00442B4C">
        <w:rPr>
          <w:rFonts w:cs="Arial"/>
          <w:szCs w:val="20"/>
        </w:rPr>
        <w:t xml:space="preserve">expected </w:t>
      </w:r>
      <w:r>
        <w:rPr>
          <w:rFonts w:cs="Arial"/>
          <w:szCs w:val="20"/>
        </w:rPr>
        <w:t xml:space="preserve">of Provider </w:t>
      </w:r>
      <w:r w:rsidR="00A818A0">
        <w:rPr>
          <w:rFonts w:cs="Arial"/>
          <w:szCs w:val="20"/>
        </w:rPr>
        <w:t>……………………………………………</w:t>
      </w:r>
      <w:r w:rsidR="003C62A0">
        <w:rPr>
          <w:rFonts w:cs="Arial"/>
          <w:szCs w:val="20"/>
        </w:rPr>
        <w:t>……..</w:t>
      </w:r>
      <w:r w:rsidR="00A818A0">
        <w:rPr>
          <w:rFonts w:cs="Arial"/>
          <w:szCs w:val="20"/>
        </w:rPr>
        <w:t>…………………</w:t>
      </w:r>
      <w:r w:rsidR="00E110F2">
        <w:rPr>
          <w:rFonts w:cs="Arial"/>
          <w:szCs w:val="20"/>
        </w:rPr>
        <w:t>8</w:t>
      </w:r>
    </w:p>
    <w:p w14:paraId="01C0C078" w14:textId="77777777" w:rsidR="00C60EC0" w:rsidRDefault="00C60EC0" w:rsidP="0066308E">
      <w:pPr>
        <w:rPr>
          <w:rFonts w:cs="Arial"/>
          <w:szCs w:val="20"/>
        </w:rPr>
      </w:pPr>
    </w:p>
    <w:p w14:paraId="5AA47A75" w14:textId="77777777" w:rsidR="00C60EC0" w:rsidRPr="007E30A0" w:rsidRDefault="00C60EC0" w:rsidP="0066308E">
      <w:pPr>
        <w:rPr>
          <w:rFonts w:cs="Arial"/>
          <w:b/>
          <w:szCs w:val="20"/>
        </w:rPr>
      </w:pPr>
      <w:r w:rsidRPr="007E30A0">
        <w:rPr>
          <w:rFonts w:cs="Arial"/>
          <w:b/>
          <w:szCs w:val="20"/>
        </w:rPr>
        <w:t>Section Three: Service Requirements</w:t>
      </w:r>
    </w:p>
    <w:p w14:paraId="72FAC38E" w14:textId="77777777" w:rsidR="00C60EC0" w:rsidRDefault="00C60EC0" w:rsidP="0066308E">
      <w:pPr>
        <w:rPr>
          <w:rFonts w:cs="Arial"/>
          <w:szCs w:val="20"/>
        </w:rPr>
      </w:pPr>
    </w:p>
    <w:p w14:paraId="192D0265" w14:textId="77777777" w:rsidR="00C60EC0" w:rsidRDefault="00C60EC0" w:rsidP="0066308E">
      <w:pPr>
        <w:rPr>
          <w:rFonts w:cs="Arial"/>
          <w:szCs w:val="20"/>
        </w:rPr>
      </w:pPr>
      <w:r>
        <w:rPr>
          <w:rFonts w:cs="Arial"/>
          <w:szCs w:val="20"/>
        </w:rPr>
        <w:t>3.1         Scope</w:t>
      </w:r>
      <w:r w:rsidR="00A818A0">
        <w:rPr>
          <w:rFonts w:cs="Arial"/>
          <w:szCs w:val="20"/>
        </w:rPr>
        <w:t xml:space="preserve"> ……………………………………………………………………………………………</w:t>
      </w:r>
      <w:r w:rsidR="003C62A0">
        <w:rPr>
          <w:rFonts w:cs="Arial"/>
          <w:szCs w:val="20"/>
        </w:rPr>
        <w:t>……..</w:t>
      </w:r>
      <w:r w:rsidR="00A818A0">
        <w:rPr>
          <w:rFonts w:cs="Arial"/>
          <w:szCs w:val="20"/>
        </w:rPr>
        <w:t>………8</w:t>
      </w:r>
      <w:r>
        <w:rPr>
          <w:rFonts w:cs="Arial"/>
          <w:szCs w:val="20"/>
        </w:rPr>
        <w:t xml:space="preserve">   </w:t>
      </w:r>
    </w:p>
    <w:p w14:paraId="6EC18E11" w14:textId="77777777" w:rsidR="00C60EC0" w:rsidRDefault="00C60EC0" w:rsidP="0066308E">
      <w:pPr>
        <w:rPr>
          <w:rFonts w:cs="Arial"/>
          <w:szCs w:val="20"/>
        </w:rPr>
      </w:pPr>
      <w:r>
        <w:rPr>
          <w:rFonts w:cs="Arial"/>
          <w:szCs w:val="20"/>
        </w:rPr>
        <w:t>3.2         General requirements</w:t>
      </w:r>
      <w:r w:rsidR="00A818A0">
        <w:rPr>
          <w:rFonts w:cs="Arial"/>
          <w:szCs w:val="20"/>
        </w:rPr>
        <w:t xml:space="preserve"> ………………………………………</w:t>
      </w:r>
      <w:r w:rsidR="003C62A0">
        <w:rPr>
          <w:rFonts w:cs="Arial"/>
          <w:szCs w:val="20"/>
        </w:rPr>
        <w:t>…</w:t>
      </w:r>
      <w:r w:rsidR="00A818A0">
        <w:rPr>
          <w:rFonts w:cs="Arial"/>
          <w:szCs w:val="20"/>
        </w:rPr>
        <w:t>………………………………</w:t>
      </w:r>
      <w:r w:rsidR="003C62A0">
        <w:rPr>
          <w:rFonts w:cs="Arial"/>
          <w:szCs w:val="20"/>
        </w:rPr>
        <w:t>…….</w:t>
      </w:r>
      <w:r w:rsidR="00A818A0">
        <w:rPr>
          <w:rFonts w:cs="Arial"/>
          <w:szCs w:val="20"/>
        </w:rPr>
        <w:t>……….9</w:t>
      </w:r>
    </w:p>
    <w:p w14:paraId="127416EB" w14:textId="77777777" w:rsidR="00C60EC0" w:rsidRDefault="00C60EC0" w:rsidP="0066308E">
      <w:pPr>
        <w:rPr>
          <w:rFonts w:cs="Arial"/>
          <w:szCs w:val="20"/>
        </w:rPr>
      </w:pPr>
      <w:r>
        <w:rPr>
          <w:rFonts w:cs="Arial"/>
          <w:szCs w:val="20"/>
        </w:rPr>
        <w:t xml:space="preserve">3.3         Service eligibility </w:t>
      </w:r>
      <w:r w:rsidR="00A818A0">
        <w:rPr>
          <w:rFonts w:cs="Arial"/>
          <w:szCs w:val="20"/>
        </w:rPr>
        <w:t>…………………………………………………………………</w:t>
      </w:r>
      <w:r w:rsidR="003C62A0">
        <w:rPr>
          <w:rFonts w:cs="Arial"/>
          <w:szCs w:val="20"/>
        </w:rPr>
        <w:t>……</w:t>
      </w:r>
      <w:r w:rsidR="00A818A0">
        <w:rPr>
          <w:rFonts w:cs="Arial"/>
          <w:szCs w:val="20"/>
        </w:rPr>
        <w:t>…………………….10</w:t>
      </w:r>
    </w:p>
    <w:p w14:paraId="0A9FE8DA" w14:textId="77777777" w:rsidR="00C60EC0" w:rsidRDefault="00C60EC0" w:rsidP="0066308E">
      <w:pPr>
        <w:rPr>
          <w:rFonts w:cs="Arial"/>
          <w:szCs w:val="20"/>
        </w:rPr>
      </w:pPr>
      <w:r>
        <w:rPr>
          <w:rFonts w:cs="Arial"/>
          <w:szCs w:val="20"/>
        </w:rPr>
        <w:t xml:space="preserve">3.4         Operating times </w:t>
      </w:r>
      <w:r w:rsidR="00A818A0">
        <w:rPr>
          <w:rFonts w:cs="Arial"/>
          <w:szCs w:val="20"/>
        </w:rPr>
        <w:t>……………………………………………………………………</w:t>
      </w:r>
      <w:r w:rsidR="003C62A0">
        <w:rPr>
          <w:rFonts w:cs="Arial"/>
          <w:szCs w:val="20"/>
        </w:rPr>
        <w:t>……</w:t>
      </w:r>
      <w:r w:rsidR="00A818A0">
        <w:rPr>
          <w:rFonts w:cs="Arial"/>
          <w:szCs w:val="20"/>
        </w:rPr>
        <w:t>…………………...11</w:t>
      </w:r>
    </w:p>
    <w:p w14:paraId="33B49E81" w14:textId="77777777" w:rsidR="00C60EC0" w:rsidRDefault="00C60EC0" w:rsidP="0066308E">
      <w:pPr>
        <w:rPr>
          <w:rFonts w:cs="Arial"/>
          <w:szCs w:val="20"/>
        </w:rPr>
      </w:pPr>
      <w:r>
        <w:rPr>
          <w:rFonts w:cs="Arial"/>
          <w:szCs w:val="20"/>
        </w:rPr>
        <w:t>3.5         Delivery locations</w:t>
      </w:r>
      <w:r w:rsidR="00A818A0">
        <w:rPr>
          <w:rFonts w:cs="Arial"/>
          <w:szCs w:val="20"/>
        </w:rPr>
        <w:t xml:space="preserve"> </w:t>
      </w:r>
      <w:r w:rsidR="003C62A0">
        <w:rPr>
          <w:rFonts w:cs="Arial"/>
          <w:szCs w:val="20"/>
        </w:rPr>
        <w:t>……</w:t>
      </w:r>
      <w:r w:rsidR="00A818A0">
        <w:rPr>
          <w:rFonts w:cs="Arial"/>
          <w:szCs w:val="20"/>
        </w:rPr>
        <w:t>………………………………………………………………………………………11</w:t>
      </w:r>
    </w:p>
    <w:p w14:paraId="33319441" w14:textId="77777777" w:rsidR="00C60EC0" w:rsidRDefault="00C60EC0" w:rsidP="0066308E">
      <w:pPr>
        <w:rPr>
          <w:rFonts w:cs="Arial"/>
          <w:szCs w:val="20"/>
        </w:rPr>
      </w:pPr>
      <w:r>
        <w:rPr>
          <w:rFonts w:cs="Arial"/>
          <w:szCs w:val="20"/>
        </w:rPr>
        <w:t>3.6         Case management</w:t>
      </w:r>
      <w:r w:rsidR="00A818A0">
        <w:rPr>
          <w:rFonts w:cs="Arial"/>
          <w:szCs w:val="20"/>
        </w:rPr>
        <w:t xml:space="preserve"> </w:t>
      </w:r>
      <w:r w:rsidR="003C62A0">
        <w:rPr>
          <w:rFonts w:cs="Arial"/>
          <w:szCs w:val="20"/>
        </w:rPr>
        <w:t>…...</w:t>
      </w:r>
      <w:r w:rsidR="00A818A0">
        <w:rPr>
          <w:rFonts w:cs="Arial"/>
          <w:szCs w:val="20"/>
        </w:rPr>
        <w:t>……………………………………………………………………………………..11</w:t>
      </w:r>
    </w:p>
    <w:p w14:paraId="10114FD7" w14:textId="77777777" w:rsidR="00C60EC0" w:rsidRDefault="00C60EC0" w:rsidP="0066308E">
      <w:pPr>
        <w:rPr>
          <w:rFonts w:cs="Arial"/>
          <w:szCs w:val="20"/>
        </w:rPr>
      </w:pPr>
      <w:r>
        <w:rPr>
          <w:rFonts w:cs="Arial"/>
          <w:szCs w:val="20"/>
        </w:rPr>
        <w:t>3.7         Referral and assessment</w:t>
      </w:r>
      <w:r w:rsidR="00A818A0">
        <w:rPr>
          <w:rFonts w:cs="Arial"/>
          <w:szCs w:val="20"/>
        </w:rPr>
        <w:t xml:space="preserve"> </w:t>
      </w:r>
      <w:r w:rsidR="003C62A0">
        <w:rPr>
          <w:rFonts w:cs="Arial"/>
          <w:szCs w:val="20"/>
        </w:rPr>
        <w:t>…...</w:t>
      </w:r>
      <w:r w:rsidR="00A818A0">
        <w:rPr>
          <w:rFonts w:cs="Arial"/>
          <w:szCs w:val="20"/>
        </w:rPr>
        <w:t>……………………………………………………………………………...11</w:t>
      </w:r>
    </w:p>
    <w:p w14:paraId="0330B6DD" w14:textId="77777777" w:rsidR="00C60EC0" w:rsidRDefault="00C60EC0" w:rsidP="0066308E">
      <w:pPr>
        <w:rPr>
          <w:rFonts w:cs="Arial"/>
          <w:szCs w:val="20"/>
        </w:rPr>
      </w:pPr>
      <w:r>
        <w:rPr>
          <w:rFonts w:cs="Arial"/>
          <w:szCs w:val="20"/>
        </w:rPr>
        <w:t>3.8         Staffing requirements</w:t>
      </w:r>
      <w:r w:rsidR="00A818A0">
        <w:rPr>
          <w:rFonts w:cs="Arial"/>
          <w:szCs w:val="20"/>
        </w:rPr>
        <w:t xml:space="preserve"> </w:t>
      </w:r>
      <w:r w:rsidR="003C62A0">
        <w:rPr>
          <w:rFonts w:cs="Arial"/>
          <w:szCs w:val="20"/>
        </w:rPr>
        <w:t>…...</w:t>
      </w:r>
      <w:r w:rsidR="00A818A0">
        <w:rPr>
          <w:rFonts w:cs="Arial"/>
          <w:szCs w:val="20"/>
        </w:rPr>
        <w:t>…………………………………………………………………………………..1</w:t>
      </w:r>
      <w:r w:rsidR="001D71A8">
        <w:rPr>
          <w:rFonts w:cs="Arial"/>
          <w:szCs w:val="20"/>
        </w:rPr>
        <w:t>2</w:t>
      </w:r>
    </w:p>
    <w:p w14:paraId="7EE3E1E5" w14:textId="77777777" w:rsidR="00C60EC0" w:rsidRDefault="00C60EC0" w:rsidP="0066308E">
      <w:pPr>
        <w:rPr>
          <w:rFonts w:cs="Arial"/>
          <w:szCs w:val="20"/>
        </w:rPr>
      </w:pPr>
      <w:r>
        <w:rPr>
          <w:rFonts w:cs="Arial"/>
          <w:szCs w:val="20"/>
        </w:rPr>
        <w:t>3.9         Management of service and reporting of management information</w:t>
      </w:r>
      <w:r w:rsidR="00A818A0">
        <w:rPr>
          <w:rFonts w:cs="Arial"/>
          <w:szCs w:val="20"/>
        </w:rPr>
        <w:t xml:space="preserve"> </w:t>
      </w:r>
      <w:r w:rsidR="003C62A0">
        <w:rPr>
          <w:rFonts w:cs="Arial"/>
          <w:szCs w:val="20"/>
        </w:rPr>
        <w:t>…...</w:t>
      </w:r>
      <w:r w:rsidR="00A818A0">
        <w:rPr>
          <w:rFonts w:cs="Arial"/>
          <w:szCs w:val="20"/>
        </w:rPr>
        <w:t>………………………………12</w:t>
      </w:r>
    </w:p>
    <w:p w14:paraId="075E1571" w14:textId="77777777" w:rsidR="00C60EC0" w:rsidRDefault="00C60EC0" w:rsidP="0066308E">
      <w:pPr>
        <w:rPr>
          <w:rFonts w:cs="Arial"/>
          <w:szCs w:val="20"/>
        </w:rPr>
      </w:pPr>
      <w:r>
        <w:rPr>
          <w:rFonts w:cs="Arial"/>
          <w:szCs w:val="20"/>
        </w:rPr>
        <w:t>3.10       Service user involvement</w:t>
      </w:r>
      <w:r w:rsidR="003C62A0">
        <w:rPr>
          <w:rFonts w:cs="Arial"/>
          <w:szCs w:val="20"/>
        </w:rPr>
        <w:t>…...</w:t>
      </w:r>
      <w:r w:rsidR="00A818A0">
        <w:rPr>
          <w:rFonts w:cs="Arial"/>
          <w:szCs w:val="20"/>
        </w:rPr>
        <w:t>………………………………………………………………………………12</w:t>
      </w:r>
    </w:p>
    <w:p w14:paraId="3F695536" w14:textId="77777777" w:rsidR="00D86A33" w:rsidRDefault="00C60EC0" w:rsidP="0066308E">
      <w:pPr>
        <w:rPr>
          <w:rFonts w:cs="Arial"/>
          <w:szCs w:val="20"/>
        </w:rPr>
      </w:pPr>
      <w:r>
        <w:rPr>
          <w:rFonts w:cs="Arial"/>
          <w:szCs w:val="20"/>
        </w:rPr>
        <w:t>3.11       Equality and accessibility standards</w:t>
      </w:r>
      <w:r w:rsidR="00A818A0">
        <w:rPr>
          <w:rFonts w:cs="Arial"/>
          <w:szCs w:val="20"/>
        </w:rPr>
        <w:t xml:space="preserve"> </w:t>
      </w:r>
      <w:r w:rsidR="003C62A0">
        <w:rPr>
          <w:rFonts w:cs="Arial"/>
          <w:szCs w:val="20"/>
        </w:rPr>
        <w:t>…..</w:t>
      </w:r>
      <w:r w:rsidR="00A818A0">
        <w:rPr>
          <w:rFonts w:cs="Arial"/>
          <w:szCs w:val="20"/>
        </w:rPr>
        <w:t>……………………………………………………………….....1</w:t>
      </w:r>
      <w:r w:rsidR="00F47D4C">
        <w:rPr>
          <w:rFonts w:cs="Arial"/>
          <w:szCs w:val="20"/>
        </w:rPr>
        <w:t>3</w:t>
      </w:r>
    </w:p>
    <w:p w14:paraId="46F6C532" w14:textId="77777777" w:rsidR="00D86A33" w:rsidRDefault="00D86A33" w:rsidP="0066308E">
      <w:pPr>
        <w:rPr>
          <w:rFonts w:cs="Arial"/>
          <w:szCs w:val="20"/>
        </w:rPr>
      </w:pPr>
    </w:p>
    <w:p w14:paraId="03F7DB12" w14:textId="77777777" w:rsidR="00D86A33" w:rsidRPr="007E30A0" w:rsidRDefault="00D86A33" w:rsidP="0066308E">
      <w:pPr>
        <w:rPr>
          <w:rFonts w:cs="Arial"/>
          <w:b/>
          <w:szCs w:val="20"/>
        </w:rPr>
      </w:pPr>
      <w:r w:rsidRPr="007E30A0">
        <w:rPr>
          <w:rFonts w:cs="Arial"/>
          <w:b/>
          <w:szCs w:val="20"/>
        </w:rPr>
        <w:t>Section Four: Mobilisation</w:t>
      </w:r>
    </w:p>
    <w:p w14:paraId="569BF517" w14:textId="77777777" w:rsidR="00D86A33" w:rsidRDefault="00D86A33" w:rsidP="0066308E">
      <w:pPr>
        <w:rPr>
          <w:rFonts w:cs="Arial"/>
          <w:szCs w:val="20"/>
        </w:rPr>
      </w:pPr>
    </w:p>
    <w:p w14:paraId="38164BFF" w14:textId="77777777" w:rsidR="00D86A33" w:rsidRDefault="00D86A33" w:rsidP="0066308E">
      <w:pPr>
        <w:rPr>
          <w:rFonts w:cs="Arial"/>
          <w:szCs w:val="20"/>
        </w:rPr>
      </w:pPr>
      <w:r>
        <w:rPr>
          <w:rFonts w:cs="Arial"/>
          <w:szCs w:val="20"/>
        </w:rPr>
        <w:t>4.1         Timescales</w:t>
      </w:r>
      <w:r w:rsidR="00A818A0">
        <w:rPr>
          <w:rFonts w:cs="Arial"/>
          <w:szCs w:val="20"/>
        </w:rPr>
        <w:t xml:space="preserve"> </w:t>
      </w:r>
      <w:r w:rsidR="003C62A0">
        <w:rPr>
          <w:rFonts w:cs="Arial"/>
          <w:szCs w:val="20"/>
        </w:rPr>
        <w:t>……..</w:t>
      </w:r>
      <w:r w:rsidR="00A818A0">
        <w:rPr>
          <w:rFonts w:cs="Arial"/>
          <w:szCs w:val="20"/>
        </w:rPr>
        <w:t>…………………………………………………………………………………………….13</w:t>
      </w:r>
    </w:p>
    <w:p w14:paraId="4A6E4AE8" w14:textId="77777777" w:rsidR="00D86A33" w:rsidRDefault="00D86A33" w:rsidP="0066308E">
      <w:pPr>
        <w:rPr>
          <w:rFonts w:cs="Arial"/>
          <w:szCs w:val="20"/>
        </w:rPr>
      </w:pPr>
      <w:r>
        <w:rPr>
          <w:rFonts w:cs="Arial"/>
          <w:szCs w:val="20"/>
        </w:rPr>
        <w:t>4.2          Key mobilization requirements</w:t>
      </w:r>
      <w:r w:rsidR="00A818A0">
        <w:rPr>
          <w:rFonts w:cs="Arial"/>
          <w:szCs w:val="20"/>
        </w:rPr>
        <w:t xml:space="preserve"> </w:t>
      </w:r>
      <w:r w:rsidR="003C62A0">
        <w:rPr>
          <w:rFonts w:cs="Arial"/>
          <w:szCs w:val="20"/>
        </w:rPr>
        <w:t>…….</w:t>
      </w:r>
      <w:r w:rsidR="00A818A0">
        <w:rPr>
          <w:rFonts w:cs="Arial"/>
          <w:szCs w:val="20"/>
        </w:rPr>
        <w:t>……………………………………………………………………...13</w:t>
      </w:r>
    </w:p>
    <w:p w14:paraId="043C74E3" w14:textId="77777777" w:rsidR="00D86A33" w:rsidRDefault="00D86A33" w:rsidP="0066308E">
      <w:pPr>
        <w:rPr>
          <w:rFonts w:cs="Arial"/>
          <w:szCs w:val="20"/>
        </w:rPr>
      </w:pPr>
      <w:r>
        <w:rPr>
          <w:rFonts w:cs="Arial"/>
          <w:szCs w:val="20"/>
        </w:rPr>
        <w:t xml:space="preserve">4.3          Business Continuity </w:t>
      </w:r>
      <w:r w:rsidR="003C62A0">
        <w:rPr>
          <w:rFonts w:cs="Arial"/>
          <w:szCs w:val="20"/>
        </w:rPr>
        <w:t>….</w:t>
      </w:r>
      <w:r w:rsidR="00A818A0">
        <w:rPr>
          <w:rFonts w:cs="Arial"/>
          <w:szCs w:val="20"/>
        </w:rPr>
        <w:t>……………………………………………………………………………………..14</w:t>
      </w:r>
      <w:r>
        <w:rPr>
          <w:rFonts w:cs="Arial"/>
          <w:szCs w:val="20"/>
        </w:rPr>
        <w:t xml:space="preserve"> </w:t>
      </w:r>
      <w:r w:rsidR="00C60EC0">
        <w:rPr>
          <w:rFonts w:cs="Arial"/>
          <w:szCs w:val="20"/>
        </w:rPr>
        <w:t xml:space="preserve">  </w:t>
      </w:r>
    </w:p>
    <w:p w14:paraId="1E5CCA56" w14:textId="77777777" w:rsidR="00D86A33" w:rsidRDefault="00D86A33" w:rsidP="0066308E">
      <w:pPr>
        <w:rPr>
          <w:rFonts w:cs="Arial"/>
          <w:szCs w:val="20"/>
        </w:rPr>
      </w:pPr>
    </w:p>
    <w:p w14:paraId="68CAFC9D" w14:textId="77777777" w:rsidR="00D86A33" w:rsidRPr="00F77580" w:rsidRDefault="00D86A33" w:rsidP="0066308E">
      <w:pPr>
        <w:rPr>
          <w:rFonts w:cs="Arial"/>
          <w:b/>
          <w:szCs w:val="20"/>
        </w:rPr>
      </w:pPr>
      <w:r w:rsidRPr="00F77580">
        <w:rPr>
          <w:rFonts w:cs="Arial"/>
          <w:b/>
          <w:szCs w:val="20"/>
        </w:rPr>
        <w:t>Section Five: Key performance indicators, outputs and outcomes</w:t>
      </w:r>
    </w:p>
    <w:p w14:paraId="4E49F5CA" w14:textId="77777777" w:rsidR="00D86A33" w:rsidRDefault="00D86A33" w:rsidP="0066308E">
      <w:pPr>
        <w:rPr>
          <w:rFonts w:cs="Arial"/>
          <w:szCs w:val="20"/>
        </w:rPr>
      </w:pPr>
    </w:p>
    <w:p w14:paraId="06672FA9" w14:textId="77777777" w:rsidR="00D86A33" w:rsidRDefault="00D86A33" w:rsidP="0066308E">
      <w:pPr>
        <w:rPr>
          <w:rFonts w:cs="Arial"/>
          <w:szCs w:val="20"/>
        </w:rPr>
      </w:pPr>
      <w:r>
        <w:rPr>
          <w:rFonts w:cs="Arial"/>
          <w:szCs w:val="20"/>
        </w:rPr>
        <w:t>5.1         Governance</w:t>
      </w:r>
      <w:r w:rsidR="00A818A0">
        <w:rPr>
          <w:rFonts w:cs="Arial"/>
          <w:szCs w:val="20"/>
        </w:rPr>
        <w:t xml:space="preserve"> ………………………………………………………………………………………………</w:t>
      </w:r>
      <w:r w:rsidR="003C62A0">
        <w:rPr>
          <w:rFonts w:cs="Arial"/>
          <w:szCs w:val="20"/>
        </w:rPr>
        <w:t>…</w:t>
      </w:r>
      <w:r w:rsidR="00A818A0">
        <w:rPr>
          <w:rFonts w:cs="Arial"/>
          <w:szCs w:val="20"/>
        </w:rPr>
        <w:t>.14</w:t>
      </w:r>
    </w:p>
    <w:p w14:paraId="3F9C21BD" w14:textId="77777777" w:rsidR="00D86A33" w:rsidRDefault="00D86A33" w:rsidP="0066308E">
      <w:pPr>
        <w:rPr>
          <w:rFonts w:cs="Arial"/>
          <w:szCs w:val="20"/>
        </w:rPr>
      </w:pPr>
      <w:r>
        <w:rPr>
          <w:rFonts w:cs="Arial"/>
          <w:szCs w:val="20"/>
        </w:rPr>
        <w:t>5.2         KPI and outcome requirements</w:t>
      </w:r>
      <w:r w:rsidR="00A818A0">
        <w:rPr>
          <w:rFonts w:cs="Arial"/>
          <w:szCs w:val="20"/>
        </w:rPr>
        <w:t xml:space="preserve"> </w:t>
      </w:r>
      <w:r w:rsidR="003C62A0">
        <w:rPr>
          <w:rFonts w:cs="Arial"/>
          <w:szCs w:val="20"/>
        </w:rPr>
        <w:t>…</w:t>
      </w:r>
      <w:r w:rsidR="00A818A0">
        <w:rPr>
          <w:rFonts w:cs="Arial"/>
          <w:szCs w:val="20"/>
        </w:rPr>
        <w:t>…………………………………………………………………………14</w:t>
      </w:r>
    </w:p>
    <w:p w14:paraId="63C7241A" w14:textId="77777777" w:rsidR="00D86A33" w:rsidRPr="00F77580" w:rsidRDefault="00D86A33" w:rsidP="0066308E">
      <w:pPr>
        <w:rPr>
          <w:rFonts w:cs="Arial"/>
          <w:b/>
          <w:szCs w:val="20"/>
        </w:rPr>
      </w:pPr>
    </w:p>
    <w:p w14:paraId="69C0EE7B" w14:textId="77777777" w:rsidR="00D86A33" w:rsidRPr="00F77580" w:rsidRDefault="00D86A33" w:rsidP="0066308E">
      <w:pPr>
        <w:rPr>
          <w:rFonts w:cs="Arial"/>
          <w:b/>
          <w:szCs w:val="20"/>
        </w:rPr>
      </w:pPr>
      <w:r w:rsidRPr="00F77580">
        <w:rPr>
          <w:rFonts w:cs="Arial"/>
          <w:b/>
          <w:szCs w:val="20"/>
        </w:rPr>
        <w:t>Section Six: Evaluation</w:t>
      </w:r>
    </w:p>
    <w:p w14:paraId="2989DA3F" w14:textId="77777777" w:rsidR="00D86A33" w:rsidRDefault="00D86A33" w:rsidP="0066308E">
      <w:pPr>
        <w:rPr>
          <w:rFonts w:cs="Arial"/>
          <w:szCs w:val="20"/>
        </w:rPr>
      </w:pPr>
    </w:p>
    <w:p w14:paraId="28867C81" w14:textId="77777777" w:rsidR="00230C4B" w:rsidRDefault="00D86A33" w:rsidP="0066308E">
      <w:pPr>
        <w:rPr>
          <w:rFonts w:cs="Arial"/>
          <w:szCs w:val="20"/>
        </w:rPr>
      </w:pPr>
      <w:r>
        <w:rPr>
          <w:rFonts w:cs="Arial"/>
          <w:szCs w:val="20"/>
        </w:rPr>
        <w:t xml:space="preserve">6.1 Provider support of </w:t>
      </w:r>
      <w:r w:rsidR="003C62A0">
        <w:rPr>
          <w:rFonts w:cs="Arial"/>
          <w:szCs w:val="20"/>
        </w:rPr>
        <w:t>evaluation..</w:t>
      </w:r>
      <w:r w:rsidR="00A818A0">
        <w:rPr>
          <w:rFonts w:cs="Arial"/>
          <w:szCs w:val="20"/>
        </w:rPr>
        <w:t>……………………………………</w:t>
      </w:r>
      <w:r w:rsidR="003C62A0">
        <w:rPr>
          <w:rFonts w:cs="Arial"/>
          <w:szCs w:val="20"/>
        </w:rPr>
        <w:t>.</w:t>
      </w:r>
      <w:r w:rsidR="00A818A0">
        <w:rPr>
          <w:rFonts w:cs="Arial"/>
          <w:szCs w:val="20"/>
        </w:rPr>
        <w:t>…………………………………………….1</w:t>
      </w:r>
      <w:r w:rsidR="00C61A6E">
        <w:rPr>
          <w:rFonts w:cs="Arial"/>
          <w:szCs w:val="20"/>
        </w:rPr>
        <w:t>5</w:t>
      </w:r>
      <w:r>
        <w:rPr>
          <w:rFonts w:cs="Arial"/>
          <w:szCs w:val="20"/>
        </w:rPr>
        <w:t xml:space="preserve">   </w:t>
      </w:r>
      <w:r w:rsidR="00C60EC0">
        <w:rPr>
          <w:rFonts w:cs="Arial"/>
          <w:szCs w:val="20"/>
        </w:rPr>
        <w:t xml:space="preserve">  </w:t>
      </w:r>
    </w:p>
    <w:p w14:paraId="4A631DA1" w14:textId="77777777" w:rsidR="00230C4B" w:rsidRDefault="00230C4B" w:rsidP="0066308E">
      <w:pPr>
        <w:rPr>
          <w:rFonts w:cs="Arial"/>
          <w:szCs w:val="20"/>
        </w:rPr>
      </w:pPr>
    </w:p>
    <w:p w14:paraId="57748F3D" w14:textId="77777777" w:rsidR="00C61A6E" w:rsidRDefault="00C61A6E" w:rsidP="0066308E">
      <w:pPr>
        <w:rPr>
          <w:rFonts w:cs="Arial"/>
          <w:szCs w:val="20"/>
        </w:rPr>
      </w:pPr>
    </w:p>
    <w:p w14:paraId="2DA80AA0" w14:textId="77777777" w:rsidR="00230C4B" w:rsidRDefault="00230C4B" w:rsidP="0066308E">
      <w:pPr>
        <w:rPr>
          <w:rFonts w:cs="Arial"/>
          <w:szCs w:val="20"/>
        </w:rPr>
      </w:pPr>
      <w:r w:rsidRPr="00230C4B">
        <w:rPr>
          <w:rFonts w:cs="Arial"/>
          <w:b/>
          <w:szCs w:val="20"/>
        </w:rPr>
        <w:t xml:space="preserve">Appendix </w:t>
      </w:r>
      <w:r w:rsidR="00C61A6E" w:rsidRPr="00230C4B">
        <w:rPr>
          <w:rFonts w:cs="Arial"/>
          <w:b/>
          <w:szCs w:val="20"/>
        </w:rPr>
        <w:t>1:</w:t>
      </w:r>
      <w:r w:rsidRPr="00230C4B">
        <w:rPr>
          <w:rFonts w:cs="Arial"/>
          <w:b/>
          <w:szCs w:val="20"/>
        </w:rPr>
        <w:t xml:space="preserve"> Key partners</w:t>
      </w:r>
      <w:r>
        <w:rPr>
          <w:rFonts w:cs="Arial"/>
          <w:szCs w:val="20"/>
        </w:rPr>
        <w:t>…………………………………………………………………………………………..</w:t>
      </w:r>
      <w:r w:rsidR="00C61A6E">
        <w:rPr>
          <w:rFonts w:cs="Arial"/>
          <w:szCs w:val="20"/>
        </w:rPr>
        <w:t>.</w:t>
      </w:r>
      <w:r>
        <w:rPr>
          <w:rFonts w:cs="Arial"/>
          <w:szCs w:val="20"/>
        </w:rPr>
        <w:t>1</w:t>
      </w:r>
      <w:r w:rsidR="00C61A6E">
        <w:rPr>
          <w:rFonts w:cs="Arial"/>
          <w:szCs w:val="20"/>
        </w:rPr>
        <w:t>6</w:t>
      </w:r>
      <w:r>
        <w:rPr>
          <w:rFonts w:cs="Arial"/>
          <w:szCs w:val="20"/>
        </w:rPr>
        <w:t xml:space="preserve">  </w:t>
      </w:r>
    </w:p>
    <w:p w14:paraId="22AC7272" w14:textId="77777777" w:rsidR="00C61A6E" w:rsidRDefault="00C61A6E" w:rsidP="0066308E">
      <w:pPr>
        <w:rPr>
          <w:rFonts w:cs="Arial"/>
          <w:szCs w:val="20"/>
        </w:rPr>
      </w:pPr>
    </w:p>
    <w:p w14:paraId="4CAF3C7B" w14:textId="77777777" w:rsidR="002F5501" w:rsidRDefault="002F5501" w:rsidP="0066308E">
      <w:pPr>
        <w:spacing w:after="160" w:line="259" w:lineRule="auto"/>
        <w:rPr>
          <w:rFonts w:cs="Arial"/>
          <w:szCs w:val="20"/>
        </w:rPr>
      </w:pPr>
    </w:p>
    <w:p w14:paraId="79B015F1" w14:textId="77777777" w:rsidR="00C61A6E" w:rsidRDefault="00C61A6E" w:rsidP="0066308E">
      <w:pPr>
        <w:spacing w:after="160" w:line="259" w:lineRule="auto"/>
        <w:rPr>
          <w:rFonts w:cs="Arial"/>
          <w:szCs w:val="20"/>
        </w:rPr>
      </w:pPr>
    </w:p>
    <w:p w14:paraId="7346C7E4" w14:textId="77777777" w:rsidR="00412019" w:rsidRDefault="00442B4C" w:rsidP="0065483A">
      <w:pPr>
        <w:spacing w:after="160" w:line="259" w:lineRule="auto"/>
        <w:rPr>
          <w:rFonts w:cs="Arial"/>
          <w:b/>
        </w:rPr>
      </w:pPr>
      <w:r>
        <w:rPr>
          <w:rFonts w:cs="Arial"/>
          <w:b/>
        </w:rPr>
        <w:lastRenderedPageBreak/>
        <w:t>Section One – Current position.</w:t>
      </w:r>
    </w:p>
    <w:p w14:paraId="7D6F7414" w14:textId="77777777" w:rsidR="00B94189" w:rsidRPr="0065483A" w:rsidRDefault="00B94189" w:rsidP="0065483A">
      <w:pPr>
        <w:pStyle w:val="ListParagraph"/>
        <w:numPr>
          <w:ilvl w:val="1"/>
          <w:numId w:val="14"/>
        </w:numPr>
        <w:spacing w:after="160" w:line="259" w:lineRule="auto"/>
        <w:rPr>
          <w:rFonts w:cs="Arial"/>
          <w:b/>
        </w:rPr>
      </w:pPr>
      <w:r w:rsidRPr="0065483A">
        <w:rPr>
          <w:rFonts w:cs="Arial"/>
          <w:b/>
        </w:rPr>
        <w:t xml:space="preserve">Introduction </w:t>
      </w:r>
    </w:p>
    <w:p w14:paraId="37C52604" w14:textId="77777777" w:rsidR="00B94189" w:rsidRDefault="00B94189" w:rsidP="00B94189">
      <w:pPr>
        <w:rPr>
          <w:rFonts w:cs="Arial"/>
        </w:rPr>
      </w:pPr>
      <w:r w:rsidRPr="00D54341">
        <w:rPr>
          <w:rFonts w:cs="Arial"/>
        </w:rPr>
        <w:t xml:space="preserve">Since the </w:t>
      </w:r>
      <w:r>
        <w:rPr>
          <w:rFonts w:cs="Arial"/>
        </w:rPr>
        <w:t xml:space="preserve">devolution of Victim Services funding in 2015 from the Ministry of Justice to the PCC (now Deputy Mayor in GM), GM has developed and improved its offer to all victims of all crime, regardless of whether the crime is reported to the Police or not. A generic service is provided by the current GM commissioned service, Victim Support, with additional bespoke services for certain crime types offered at a GM or LA level. </w:t>
      </w:r>
    </w:p>
    <w:p w14:paraId="21503FF2" w14:textId="77777777" w:rsidR="00B94189" w:rsidRDefault="00B94189" w:rsidP="00B94189">
      <w:pPr>
        <w:rPr>
          <w:rFonts w:cs="Arial"/>
        </w:rPr>
      </w:pPr>
    </w:p>
    <w:p w14:paraId="1EB1EE40" w14:textId="77777777" w:rsidR="00B94189" w:rsidRDefault="00B94189" w:rsidP="00B94189">
      <w:pPr>
        <w:rPr>
          <w:rFonts w:cs="Arial"/>
        </w:rPr>
      </w:pPr>
      <w:r>
        <w:rPr>
          <w:rFonts w:cs="Arial"/>
        </w:rPr>
        <w:t xml:space="preserve">The government </w:t>
      </w:r>
      <w:hyperlink r:id="rId9" w:history="1">
        <w:r w:rsidRPr="003D0068">
          <w:rPr>
            <w:rStyle w:val="Hyperlink"/>
            <w:rFonts w:cs="Arial"/>
          </w:rPr>
          <w:t>Serious Violence Strategy (2018)</w:t>
        </w:r>
      </w:hyperlink>
      <w:r>
        <w:rPr>
          <w:rFonts w:cs="Arial"/>
        </w:rPr>
        <w:t xml:space="preserve"> highlighted the national need to tackle escalating violent crime, which included expanding hospital intervention </w:t>
      </w:r>
      <w:r w:rsidR="00B90E6B">
        <w:rPr>
          <w:rFonts w:cs="Arial"/>
        </w:rPr>
        <w:t>programmes</w:t>
      </w:r>
      <w:r>
        <w:rPr>
          <w:rFonts w:cs="Arial"/>
        </w:rPr>
        <w:t xml:space="preserve"> to support and divert young people involved in violent crime, and Greater Manchester was subsequently selected as one of the 18 areas across England and Wales to receive additional Home Office funding in 2019 to create Violence Reduction Units.   </w:t>
      </w:r>
    </w:p>
    <w:p w14:paraId="2B0DBDBB" w14:textId="77777777" w:rsidR="00B90E6B" w:rsidRDefault="00B90E6B" w:rsidP="00B94189">
      <w:pPr>
        <w:rPr>
          <w:rFonts w:cs="Arial"/>
        </w:rPr>
      </w:pPr>
    </w:p>
    <w:p w14:paraId="4934766A" w14:textId="77777777" w:rsidR="003D368B" w:rsidRDefault="00B90E6B" w:rsidP="00B94189">
      <w:pPr>
        <w:rPr>
          <w:rFonts w:cs="Arial"/>
        </w:rPr>
      </w:pPr>
      <w:r>
        <w:rPr>
          <w:rFonts w:cs="Arial"/>
        </w:rPr>
        <w:t>In order to further improve the offer of support for young victims of violent crime</w:t>
      </w:r>
      <w:r w:rsidR="0002619B">
        <w:rPr>
          <w:rFonts w:cs="Arial"/>
        </w:rPr>
        <w:t>,</w:t>
      </w:r>
      <w:r>
        <w:rPr>
          <w:rFonts w:cs="Arial"/>
        </w:rPr>
        <w:t xml:space="preserve"> </w:t>
      </w:r>
      <w:r w:rsidR="008F1F15">
        <w:rPr>
          <w:rFonts w:cs="Arial"/>
        </w:rPr>
        <w:t xml:space="preserve"> the GM VRU will now develop a </w:t>
      </w:r>
      <w:r w:rsidR="0002619B">
        <w:rPr>
          <w:rFonts w:cs="Arial"/>
        </w:rPr>
        <w:t>m</w:t>
      </w:r>
      <w:r w:rsidR="008F1F15">
        <w:rPr>
          <w:rFonts w:cs="Arial"/>
        </w:rPr>
        <w:t xml:space="preserve">odel of hospital youth intervention. A </w:t>
      </w:r>
      <w:r w:rsidR="0002619B">
        <w:rPr>
          <w:rFonts w:cs="Arial"/>
        </w:rPr>
        <w:t>twelve</w:t>
      </w:r>
      <w:r w:rsidR="008F1F15">
        <w:rPr>
          <w:rFonts w:cs="Arial"/>
        </w:rPr>
        <w:t xml:space="preserve"> month pilot across </w:t>
      </w:r>
      <w:r w:rsidR="003D368B">
        <w:rPr>
          <w:rFonts w:cs="Arial"/>
        </w:rPr>
        <w:t>three</w:t>
      </w:r>
      <w:r w:rsidR="008F1F15">
        <w:rPr>
          <w:rFonts w:cs="Arial"/>
        </w:rPr>
        <w:t xml:space="preserve"> of the </w:t>
      </w:r>
      <w:r w:rsidR="003D368B">
        <w:rPr>
          <w:rFonts w:cs="Arial"/>
        </w:rPr>
        <w:t>ten</w:t>
      </w:r>
      <w:r w:rsidR="008F1F15">
        <w:rPr>
          <w:rFonts w:cs="Arial"/>
        </w:rPr>
        <w:t xml:space="preserve"> GM Local Authority areas (Bolton, Salford and Manchester), will focus on providing immediate interventions when young people present at A &amp; E departments</w:t>
      </w:r>
      <w:r w:rsidR="007E30A0">
        <w:rPr>
          <w:rFonts w:cs="Arial"/>
        </w:rPr>
        <w:t xml:space="preserve"> (or have been admitted)</w:t>
      </w:r>
      <w:r w:rsidR="008F1F15">
        <w:rPr>
          <w:rFonts w:cs="Arial"/>
        </w:rPr>
        <w:t xml:space="preserve">, followed by advocacy to ensure </w:t>
      </w:r>
      <w:r w:rsidR="003D368B">
        <w:rPr>
          <w:rFonts w:cs="Arial"/>
        </w:rPr>
        <w:t xml:space="preserve">appropriate </w:t>
      </w:r>
      <w:r w:rsidR="008F1F15">
        <w:rPr>
          <w:rFonts w:cs="Arial"/>
        </w:rPr>
        <w:t xml:space="preserve">longer term </w:t>
      </w:r>
      <w:r w:rsidR="003D368B">
        <w:rPr>
          <w:rFonts w:cs="Arial"/>
        </w:rPr>
        <w:t xml:space="preserve">local support is offered and accessed. </w:t>
      </w:r>
    </w:p>
    <w:p w14:paraId="7CAFA548" w14:textId="77777777" w:rsidR="00B90E6B" w:rsidRDefault="003D368B" w:rsidP="00B94189">
      <w:pPr>
        <w:rPr>
          <w:rFonts w:cs="Arial"/>
        </w:rPr>
      </w:pPr>
      <w:r>
        <w:rPr>
          <w:rFonts w:cs="Arial"/>
        </w:rPr>
        <w:t xml:space="preserve">The three areas have been selected based on demand and established partnership support for such a pilot.  </w:t>
      </w:r>
      <w:r w:rsidR="008F1F15">
        <w:rPr>
          <w:rFonts w:cs="Arial"/>
        </w:rPr>
        <w:t xml:space="preserve">    </w:t>
      </w:r>
    </w:p>
    <w:p w14:paraId="7964C71E" w14:textId="77777777" w:rsidR="0002619B" w:rsidRDefault="0002619B" w:rsidP="00B94189">
      <w:pPr>
        <w:rPr>
          <w:rFonts w:cs="Arial"/>
        </w:rPr>
      </w:pPr>
    </w:p>
    <w:p w14:paraId="2A37D5CB" w14:textId="77777777" w:rsidR="0002619B" w:rsidRDefault="0002619B" w:rsidP="0002619B">
      <w:pPr>
        <w:rPr>
          <w:rFonts w:cs="Arial"/>
        </w:rPr>
      </w:pPr>
      <w:r>
        <w:rPr>
          <w:rFonts w:cs="Arial"/>
        </w:rPr>
        <w:t xml:space="preserve">The </w:t>
      </w:r>
      <w:r w:rsidR="00962BB6">
        <w:rPr>
          <w:rFonts w:cs="Arial"/>
        </w:rPr>
        <w:t>six</w:t>
      </w:r>
      <w:r>
        <w:rPr>
          <w:rFonts w:cs="Arial"/>
        </w:rPr>
        <w:t xml:space="preserve"> main desired outcomes:</w:t>
      </w:r>
    </w:p>
    <w:p w14:paraId="3B118505" w14:textId="77777777" w:rsidR="0002619B" w:rsidRDefault="0002619B" w:rsidP="0002619B">
      <w:pPr>
        <w:pStyle w:val="ListParagraph"/>
        <w:numPr>
          <w:ilvl w:val="0"/>
          <w:numId w:val="7"/>
        </w:numPr>
        <w:rPr>
          <w:rFonts w:cs="Arial"/>
        </w:rPr>
      </w:pPr>
      <w:r w:rsidRPr="003F0FFE">
        <w:rPr>
          <w:rFonts w:cs="Arial"/>
        </w:rPr>
        <w:t xml:space="preserve">Reduce revictimisation </w:t>
      </w:r>
      <w:r w:rsidR="00962BB6">
        <w:rPr>
          <w:rFonts w:cs="Arial"/>
        </w:rPr>
        <w:t>/ reinjury</w:t>
      </w:r>
    </w:p>
    <w:p w14:paraId="2A28D41B" w14:textId="77777777" w:rsidR="00962BB6" w:rsidRPr="003F0FFE" w:rsidRDefault="00962BB6" w:rsidP="0002619B">
      <w:pPr>
        <w:pStyle w:val="ListParagraph"/>
        <w:numPr>
          <w:ilvl w:val="0"/>
          <w:numId w:val="7"/>
        </w:numPr>
        <w:rPr>
          <w:rFonts w:cs="Arial"/>
        </w:rPr>
      </w:pPr>
      <w:r>
        <w:rPr>
          <w:rFonts w:cs="Arial"/>
        </w:rPr>
        <w:t>Reduce violent homicide</w:t>
      </w:r>
    </w:p>
    <w:p w14:paraId="7B5DC7A0" w14:textId="77777777" w:rsidR="0002619B" w:rsidRPr="003F0FFE" w:rsidRDefault="0002619B" w:rsidP="0002619B">
      <w:pPr>
        <w:pStyle w:val="ListParagraph"/>
        <w:numPr>
          <w:ilvl w:val="0"/>
          <w:numId w:val="7"/>
        </w:numPr>
        <w:rPr>
          <w:rFonts w:cs="Arial"/>
        </w:rPr>
      </w:pPr>
      <w:r w:rsidRPr="003F0FFE">
        <w:rPr>
          <w:rFonts w:cs="Arial"/>
        </w:rPr>
        <w:t>Prevent offending</w:t>
      </w:r>
    </w:p>
    <w:p w14:paraId="57C051B0" w14:textId="77777777" w:rsidR="0002619B" w:rsidRDefault="0002619B" w:rsidP="0002619B">
      <w:pPr>
        <w:pStyle w:val="ListParagraph"/>
        <w:numPr>
          <w:ilvl w:val="0"/>
          <w:numId w:val="7"/>
        </w:numPr>
        <w:rPr>
          <w:rFonts w:cs="Arial"/>
        </w:rPr>
      </w:pPr>
      <w:r w:rsidRPr="003F0FFE">
        <w:rPr>
          <w:rFonts w:cs="Arial"/>
        </w:rPr>
        <w:t xml:space="preserve">Reduce attendance at hospital   </w:t>
      </w:r>
    </w:p>
    <w:p w14:paraId="080AC3DA" w14:textId="77777777" w:rsidR="0002619B" w:rsidRDefault="0002619B" w:rsidP="0002619B">
      <w:pPr>
        <w:pStyle w:val="ListParagraph"/>
        <w:numPr>
          <w:ilvl w:val="0"/>
          <w:numId w:val="7"/>
        </w:numPr>
        <w:rPr>
          <w:rFonts w:cs="Arial"/>
        </w:rPr>
      </w:pPr>
      <w:r>
        <w:rPr>
          <w:rFonts w:cs="Arial"/>
        </w:rPr>
        <w:t>Capitalise on existing local support</w:t>
      </w:r>
    </w:p>
    <w:p w14:paraId="20083FCA" w14:textId="77777777" w:rsidR="0002619B" w:rsidRDefault="0002619B" w:rsidP="0002619B">
      <w:pPr>
        <w:pStyle w:val="ListParagraph"/>
        <w:numPr>
          <w:ilvl w:val="0"/>
          <w:numId w:val="7"/>
        </w:numPr>
        <w:rPr>
          <w:rFonts w:cs="Arial"/>
        </w:rPr>
      </w:pPr>
      <w:r>
        <w:rPr>
          <w:rFonts w:cs="Arial"/>
        </w:rPr>
        <w:t>Improved life chances for young people</w:t>
      </w:r>
    </w:p>
    <w:p w14:paraId="7783E7B2" w14:textId="77777777" w:rsidR="0002619B" w:rsidRDefault="0002619B" w:rsidP="00B94189">
      <w:pPr>
        <w:rPr>
          <w:rFonts w:cs="Arial"/>
        </w:rPr>
      </w:pPr>
    </w:p>
    <w:p w14:paraId="1A5C842A" w14:textId="77777777" w:rsidR="0002619B" w:rsidRDefault="0002619B" w:rsidP="00B94189">
      <w:pPr>
        <w:rPr>
          <w:rFonts w:cs="Arial"/>
        </w:rPr>
      </w:pPr>
    </w:p>
    <w:p w14:paraId="6A46F355" w14:textId="77777777" w:rsidR="003D368B" w:rsidRPr="00E52B4F" w:rsidRDefault="003D368B" w:rsidP="00B94189">
      <w:pPr>
        <w:rPr>
          <w:rFonts w:cs="Arial"/>
          <w:b/>
        </w:rPr>
      </w:pPr>
    </w:p>
    <w:p w14:paraId="3EF1E6EF" w14:textId="77777777" w:rsidR="003D368B" w:rsidRPr="00E52B4F" w:rsidRDefault="003D368B" w:rsidP="00B94189">
      <w:pPr>
        <w:rPr>
          <w:rFonts w:cs="Arial"/>
          <w:b/>
        </w:rPr>
      </w:pPr>
      <w:r w:rsidRPr="00E52B4F">
        <w:rPr>
          <w:rFonts w:cs="Arial"/>
          <w:b/>
        </w:rPr>
        <w:t>1.2    Victim Code of Practice</w:t>
      </w:r>
    </w:p>
    <w:p w14:paraId="61353D9B" w14:textId="77777777" w:rsidR="003D368B" w:rsidRDefault="003D368B" w:rsidP="00B94189">
      <w:pPr>
        <w:rPr>
          <w:rFonts w:cs="Arial"/>
        </w:rPr>
      </w:pPr>
    </w:p>
    <w:p w14:paraId="52895AE5" w14:textId="77777777" w:rsidR="003D368B" w:rsidRDefault="003D368B" w:rsidP="00B94189">
      <w:r>
        <w:t>From November 2015, the UK, along with 26 other European Union Member States, were bound by the obligations of the EU Victims Directive establishing minimum standards on the rights, support and protection of victims of crime. The Directive aims to ensure that a victim of crime, anywhere within the EU, receives a minimum standard of support and protection. The Ministry of Justice also introduced ‘</w:t>
      </w:r>
      <w:hyperlink r:id="rId10" w:history="1">
        <w:r w:rsidRPr="003D0068">
          <w:rPr>
            <w:rStyle w:val="Hyperlink"/>
          </w:rPr>
          <w:t>The Code of Practice for Victims of Crime’</w:t>
        </w:r>
      </w:hyperlink>
      <w:r>
        <w:t xml:space="preserve"> (revised October 2015). This forms a key part of the wider Government strategy to transform the criminal justice system by putting victims first and making the system more responsive and easier to navigate. The Deputy Mayor and Greater Manchester Police have a shared responsibility and commitment to improve the services and outcomes for victims of crime; to be responsive and accountable to victims, witnesses and communities; and to give victims an effective voice in the wider criminal justice system, not just because of the Directive but because it is right to do so. </w:t>
      </w:r>
      <w:r w:rsidR="00E52B4F">
        <w:t xml:space="preserve">Young victims of violent crime (many with complex situations) are disproportionately </w:t>
      </w:r>
      <w:r w:rsidR="00F77580">
        <w:t>underrepresented</w:t>
      </w:r>
      <w:r w:rsidR="00E52B4F">
        <w:t xml:space="preserve"> in terms of both the offer and uptake of support and this reinforces the need for further improvements to the GM offer.</w:t>
      </w:r>
    </w:p>
    <w:p w14:paraId="7A70D922" w14:textId="77777777" w:rsidR="004F6B05" w:rsidRDefault="004F6B05" w:rsidP="00B94189"/>
    <w:p w14:paraId="5646D44D" w14:textId="77777777" w:rsidR="004F6B05" w:rsidRDefault="004F6B05" w:rsidP="00B94189"/>
    <w:p w14:paraId="764B7DFD" w14:textId="77777777" w:rsidR="004F6B05" w:rsidRDefault="004F6B05" w:rsidP="00B94189"/>
    <w:p w14:paraId="492D41F4" w14:textId="77777777" w:rsidR="004F6B05" w:rsidRDefault="004F6B05" w:rsidP="00B94189"/>
    <w:p w14:paraId="68480EF8" w14:textId="77777777" w:rsidR="00460011" w:rsidRDefault="00460011" w:rsidP="00B94189"/>
    <w:p w14:paraId="2F733E6D" w14:textId="77777777" w:rsidR="00460011" w:rsidRDefault="00460011" w:rsidP="00B94189"/>
    <w:p w14:paraId="732E9883" w14:textId="77777777" w:rsidR="00D6686D" w:rsidRDefault="00D6686D" w:rsidP="00B94189"/>
    <w:p w14:paraId="5D9DCD47" w14:textId="77777777" w:rsidR="00D6686D" w:rsidRDefault="00D6686D" w:rsidP="00B94189"/>
    <w:p w14:paraId="09D90805" w14:textId="77777777" w:rsidR="00D6686D" w:rsidRDefault="00D6686D" w:rsidP="00B94189"/>
    <w:p w14:paraId="66155885" w14:textId="77777777" w:rsidR="00D6686D" w:rsidRDefault="00D6686D" w:rsidP="00B94189"/>
    <w:p w14:paraId="5BF1C2B4" w14:textId="77777777" w:rsidR="00D6686D" w:rsidRDefault="00D6686D" w:rsidP="00B94189"/>
    <w:p w14:paraId="64C74BCE" w14:textId="77777777" w:rsidR="00B94189" w:rsidRPr="003D368B" w:rsidRDefault="003D368B" w:rsidP="003D368B">
      <w:pPr>
        <w:rPr>
          <w:b/>
        </w:rPr>
      </w:pPr>
      <w:r>
        <w:rPr>
          <w:b/>
        </w:rPr>
        <w:lastRenderedPageBreak/>
        <w:t>1.3</w:t>
      </w:r>
      <w:r w:rsidR="00B94189" w:rsidRPr="003D368B">
        <w:rPr>
          <w:b/>
        </w:rPr>
        <w:t xml:space="preserve"> Greater Manchester Strategy</w:t>
      </w:r>
    </w:p>
    <w:p w14:paraId="4CB40490" w14:textId="77777777" w:rsidR="00B90E6B" w:rsidRDefault="00B90E6B" w:rsidP="00B90E6B">
      <w:pPr>
        <w:rPr>
          <w:b/>
        </w:rPr>
      </w:pPr>
    </w:p>
    <w:p w14:paraId="311FE347" w14:textId="77777777" w:rsidR="00B90E6B" w:rsidRDefault="00B90E6B" w:rsidP="00B90E6B">
      <w:pPr>
        <w:rPr>
          <w:rFonts w:cs="Arial"/>
        </w:rPr>
      </w:pPr>
      <w:r>
        <w:rPr>
          <w:rFonts w:cs="Arial"/>
        </w:rPr>
        <w:t xml:space="preserve">The </w:t>
      </w:r>
      <w:hyperlink r:id="rId11" w:history="1">
        <w:r w:rsidRPr="003D0068">
          <w:rPr>
            <w:rStyle w:val="Hyperlink"/>
            <w:rFonts w:cs="Arial"/>
          </w:rPr>
          <w:t>Greater Manchester Serious Violence Action Plan (2020)</w:t>
        </w:r>
      </w:hyperlink>
      <w:r>
        <w:rPr>
          <w:rFonts w:cs="Arial"/>
        </w:rPr>
        <w:t xml:space="preserve"> highlights 7 priorities to tackle serious violent crime across GM:</w:t>
      </w:r>
    </w:p>
    <w:p w14:paraId="2F5EE1E7" w14:textId="77777777" w:rsidR="00B90E6B" w:rsidRDefault="00B90E6B" w:rsidP="00B90E6B">
      <w:pPr>
        <w:rPr>
          <w:rFonts w:cs="Arial"/>
        </w:rPr>
      </w:pPr>
    </w:p>
    <w:p w14:paraId="660D1CDA" w14:textId="77777777" w:rsidR="00B90E6B" w:rsidRDefault="00B90E6B" w:rsidP="00B90E6B">
      <w:pPr>
        <w:pStyle w:val="ListParagraph"/>
        <w:numPr>
          <w:ilvl w:val="0"/>
          <w:numId w:val="6"/>
        </w:numPr>
      </w:pPr>
      <w:r>
        <w:t xml:space="preserve">Support an improved criminal justice response to all forms of serious violence </w:t>
      </w:r>
    </w:p>
    <w:p w14:paraId="2018D168" w14:textId="77777777" w:rsidR="00B90E6B" w:rsidRDefault="00B90E6B" w:rsidP="00B90E6B">
      <w:pPr>
        <w:pStyle w:val="ListParagraph"/>
        <w:numPr>
          <w:ilvl w:val="0"/>
          <w:numId w:val="6"/>
        </w:numPr>
      </w:pPr>
      <w:r>
        <w:t xml:space="preserve">Support community and voluntary organisations to deliver activities and interventions in areas of highest need </w:t>
      </w:r>
    </w:p>
    <w:p w14:paraId="73264012" w14:textId="77777777" w:rsidR="00B90E6B" w:rsidRDefault="00B90E6B" w:rsidP="00B90E6B">
      <w:pPr>
        <w:pStyle w:val="ListParagraph"/>
        <w:numPr>
          <w:ilvl w:val="0"/>
          <w:numId w:val="6"/>
        </w:numPr>
      </w:pPr>
      <w:r>
        <w:t>Ensure that families and communities that are affected by serious violence are effectively supported through our place-based offer</w:t>
      </w:r>
    </w:p>
    <w:p w14:paraId="1D74E2B6" w14:textId="77777777" w:rsidR="00B90E6B" w:rsidRDefault="00B90E6B" w:rsidP="00B90E6B">
      <w:pPr>
        <w:pStyle w:val="ListParagraph"/>
        <w:numPr>
          <w:ilvl w:val="0"/>
          <w:numId w:val="6"/>
        </w:numPr>
      </w:pPr>
      <w:r>
        <w:t>Ensure victims of violent crime receive appropriate and timely support</w:t>
      </w:r>
    </w:p>
    <w:p w14:paraId="282A1073" w14:textId="77777777" w:rsidR="00B90E6B" w:rsidRDefault="00B90E6B" w:rsidP="00B90E6B">
      <w:pPr>
        <w:pStyle w:val="ListParagraph"/>
        <w:numPr>
          <w:ilvl w:val="0"/>
          <w:numId w:val="6"/>
        </w:numPr>
      </w:pPr>
      <w:r>
        <w:t xml:space="preserve">Create a dedicated Violence Reduction Unit for Greater Manchester </w:t>
      </w:r>
    </w:p>
    <w:p w14:paraId="70C5C552" w14:textId="77777777" w:rsidR="00B90E6B" w:rsidRDefault="00B90E6B" w:rsidP="00B90E6B">
      <w:pPr>
        <w:pStyle w:val="ListParagraph"/>
        <w:numPr>
          <w:ilvl w:val="0"/>
          <w:numId w:val="6"/>
        </w:numPr>
      </w:pPr>
      <w:r>
        <w:t>Work with Community Safety Partnerships and Local Safeguarding Boards to implement a place-based approach to tackling serious violence</w:t>
      </w:r>
    </w:p>
    <w:p w14:paraId="6E2FC7CF" w14:textId="77777777" w:rsidR="00B90E6B" w:rsidRDefault="00B90E6B" w:rsidP="00B90E6B">
      <w:pPr>
        <w:pStyle w:val="ListParagraph"/>
        <w:numPr>
          <w:ilvl w:val="0"/>
          <w:numId w:val="6"/>
        </w:numPr>
      </w:pPr>
      <w:r>
        <w:t>Collaborate with schools, colleges and alternative provision to prevent violence</w:t>
      </w:r>
    </w:p>
    <w:p w14:paraId="3A113521" w14:textId="77777777" w:rsidR="00B94189" w:rsidRDefault="00B94189" w:rsidP="00B94189">
      <w:pPr>
        <w:rPr>
          <w:b/>
        </w:rPr>
      </w:pPr>
    </w:p>
    <w:p w14:paraId="4130003D" w14:textId="77777777" w:rsidR="00B94189" w:rsidRDefault="00B90E6B" w:rsidP="00B94189">
      <w:r>
        <w:t xml:space="preserve">By embracing a community-led public health approach, the Serious Violence Action Plan aims to set out an ambitious and inclusive programme to reducing violence across Greater Manchester. To aid and coordinate delivery of the plan we have created the Greater Manchester Violence Reduction Unit (VRU), an interdisciplinary team incorporating education, youth justice, public health, </w:t>
      </w:r>
      <w:r w:rsidR="004F6B05">
        <w:t xml:space="preserve">probation, </w:t>
      </w:r>
      <w:r>
        <w:t xml:space="preserve">police and criminal justice, the voluntary, community and social enterprise (VCSE) sector, victim services and a broader network of organisations and stakeholders. Working closely with academics, health professionals and community leaders, the VRU aims to provide a much richer insight into the problem of violence and how to best target resources to more effectively tackle the issue. </w:t>
      </w:r>
    </w:p>
    <w:p w14:paraId="69860869" w14:textId="77777777" w:rsidR="004F6B05" w:rsidRDefault="004F6B05" w:rsidP="00B94189"/>
    <w:p w14:paraId="55FDA5B2" w14:textId="77777777" w:rsidR="004F6B05" w:rsidRDefault="004F6B05" w:rsidP="00B94189">
      <w:r>
        <w:t xml:space="preserve">The </w:t>
      </w:r>
      <w:hyperlink r:id="rId12" w:history="1">
        <w:r w:rsidRPr="004F6B05">
          <w:rPr>
            <w:rStyle w:val="Hyperlink"/>
          </w:rPr>
          <w:t>Greater Manchester Integrated Health and Justice Strategy (2020</w:t>
        </w:r>
      </w:hyperlink>
      <w:r>
        <w:t xml:space="preserve">) also aims to address the poor health and inequalities </w:t>
      </w:r>
      <w:r w:rsidR="00D6686D">
        <w:t xml:space="preserve">which contribute to the exposure of young and vulnerable people to the criminal justice system, both as victims and offenders. </w:t>
      </w:r>
    </w:p>
    <w:p w14:paraId="7ECA79AC" w14:textId="77777777" w:rsidR="0002619B" w:rsidRDefault="0002619B" w:rsidP="00B94189"/>
    <w:p w14:paraId="38AABDC9" w14:textId="77777777" w:rsidR="0002619B" w:rsidRDefault="0002619B" w:rsidP="00B94189">
      <w:pPr>
        <w:rPr>
          <w:b/>
        </w:rPr>
      </w:pPr>
    </w:p>
    <w:p w14:paraId="093F9D11" w14:textId="77777777" w:rsidR="00B94189" w:rsidRDefault="00E52B4F" w:rsidP="00B94189">
      <w:pPr>
        <w:rPr>
          <w:b/>
        </w:rPr>
      </w:pPr>
      <w:r>
        <w:rPr>
          <w:b/>
        </w:rPr>
        <w:t xml:space="preserve">1.4 The Greater Manchester </w:t>
      </w:r>
      <w:r w:rsidR="006D2E2F">
        <w:rPr>
          <w:b/>
        </w:rPr>
        <w:t>case for change</w:t>
      </w:r>
    </w:p>
    <w:p w14:paraId="68794EDE" w14:textId="77777777" w:rsidR="00B94189" w:rsidRDefault="00B94189" w:rsidP="00B94189">
      <w:pPr>
        <w:rPr>
          <w:b/>
        </w:rPr>
      </w:pPr>
    </w:p>
    <w:p w14:paraId="10D3959C" w14:textId="77777777" w:rsidR="00B94189" w:rsidRDefault="00B94189" w:rsidP="00B94189">
      <w:pPr>
        <w:rPr>
          <w:rFonts w:cs="Arial"/>
        </w:rPr>
      </w:pPr>
      <w:r w:rsidRPr="004B5DEE">
        <w:rPr>
          <w:rFonts w:cs="Arial"/>
        </w:rPr>
        <w:t xml:space="preserve">Academic studies support the notion that many victims will themselves have a propensity to offend. The risk is increased where the victim has been the subject of or exposed to serious violent crime. </w:t>
      </w:r>
    </w:p>
    <w:p w14:paraId="201F37EC" w14:textId="77777777" w:rsidR="00B94189" w:rsidRPr="004B5DEE" w:rsidRDefault="00B94189" w:rsidP="00B94189">
      <w:pPr>
        <w:rPr>
          <w:rFonts w:cs="Arial"/>
        </w:rPr>
      </w:pPr>
    </w:p>
    <w:p w14:paraId="68B11FB0" w14:textId="77777777" w:rsidR="00B94189" w:rsidRDefault="00B94189" w:rsidP="00B94189">
      <w:pPr>
        <w:rPr>
          <w:rFonts w:cs="Arial"/>
        </w:rPr>
      </w:pPr>
      <w:r w:rsidRPr="004B5DEE">
        <w:rPr>
          <w:rFonts w:cs="Arial"/>
        </w:rPr>
        <w:t>Many young victims will often know the offender, due to geographical area, educational setting</w:t>
      </w:r>
      <w:r w:rsidR="00D6686D">
        <w:rPr>
          <w:rFonts w:cs="Arial"/>
        </w:rPr>
        <w:t xml:space="preserve"> and</w:t>
      </w:r>
      <w:r w:rsidRPr="004B5DEE">
        <w:rPr>
          <w:rFonts w:cs="Arial"/>
        </w:rPr>
        <w:t xml:space="preserve"> gang associations</w:t>
      </w:r>
      <w:r w:rsidR="00D6686D">
        <w:rPr>
          <w:rFonts w:cs="Arial"/>
        </w:rPr>
        <w:t>,</w:t>
      </w:r>
      <w:r w:rsidRPr="004B5DEE">
        <w:rPr>
          <w:rFonts w:cs="Arial"/>
        </w:rPr>
        <w:t xml:space="preserve"> leading to an even greater risk of retaliation, or carrying a weapon for protection. </w:t>
      </w:r>
    </w:p>
    <w:p w14:paraId="6E19A3A9" w14:textId="77777777" w:rsidR="00B94189" w:rsidRPr="004B5DEE" w:rsidRDefault="00B94189" w:rsidP="00B94189">
      <w:pPr>
        <w:rPr>
          <w:rFonts w:cs="Arial"/>
        </w:rPr>
      </w:pPr>
    </w:p>
    <w:p w14:paraId="68A88CD8" w14:textId="77777777" w:rsidR="00B94189" w:rsidRPr="004B5DEE" w:rsidRDefault="00B94189" w:rsidP="00B94189">
      <w:pPr>
        <w:rPr>
          <w:rFonts w:cs="Arial"/>
        </w:rPr>
      </w:pPr>
      <w:r w:rsidRPr="004B5DEE">
        <w:rPr>
          <w:rFonts w:cs="Arial"/>
        </w:rPr>
        <w:t xml:space="preserve">Support available for younger victims of serious violent crime is limited.   </w:t>
      </w:r>
    </w:p>
    <w:p w14:paraId="25301D73" w14:textId="77777777" w:rsidR="00B94189" w:rsidRDefault="00B94189" w:rsidP="00B94189">
      <w:pPr>
        <w:rPr>
          <w:rFonts w:cs="Arial"/>
        </w:rPr>
      </w:pPr>
      <w:r w:rsidRPr="004B5DEE">
        <w:rPr>
          <w:rFonts w:cs="Arial"/>
        </w:rPr>
        <w:t xml:space="preserve">In a GM audit of violent crime involving victims aged 10-25 (Sept – Dec ’19), only 4 out of 98 were referred to Victim Support. Out of the 4 referred, none took up an offer of support. This 4% referral rate contrasts significantly with an overall referral rate (all reported crime and all age) of 20%. Further academic studies and hospital data show us that only 30 – 40% of serious violent crime affecting 10 – 25 year age group is reported to Police, creating an even bigger void in engagement and support. </w:t>
      </w:r>
    </w:p>
    <w:p w14:paraId="41E69C98" w14:textId="77777777" w:rsidR="00B94189" w:rsidRPr="004B5DEE" w:rsidRDefault="00B94189" w:rsidP="00B94189">
      <w:pPr>
        <w:rPr>
          <w:rFonts w:cs="Arial"/>
        </w:rPr>
      </w:pPr>
    </w:p>
    <w:p w14:paraId="47124890" w14:textId="77777777" w:rsidR="00B94189" w:rsidRDefault="00B94189" w:rsidP="00B94189">
      <w:pPr>
        <w:rPr>
          <w:b/>
        </w:rPr>
      </w:pPr>
    </w:p>
    <w:p w14:paraId="237691E2" w14:textId="77777777" w:rsidR="0002619B" w:rsidRDefault="0002619B" w:rsidP="0002619B">
      <w:pPr>
        <w:rPr>
          <w:rFonts w:cs="Arial"/>
        </w:rPr>
      </w:pPr>
      <w:r w:rsidRPr="004B5DEE">
        <w:rPr>
          <w:rFonts w:cs="Arial"/>
        </w:rPr>
        <w:t xml:space="preserve">In GM, Knife crime almost doubled in the period 2015 to 2018. This is broadly in line with the national trend across the UK. </w:t>
      </w:r>
    </w:p>
    <w:p w14:paraId="16C74F37" w14:textId="77777777" w:rsidR="0002619B" w:rsidRDefault="0002619B" w:rsidP="0002619B">
      <w:pPr>
        <w:rPr>
          <w:rFonts w:cs="Arial"/>
        </w:rPr>
      </w:pPr>
    </w:p>
    <w:p w14:paraId="7736A8B9" w14:textId="77777777" w:rsidR="0039169A" w:rsidRDefault="0039169A" w:rsidP="0039169A">
      <w:pPr>
        <w:rPr>
          <w:rFonts w:cs="Arial"/>
        </w:rPr>
      </w:pPr>
      <w:r>
        <w:rPr>
          <w:rFonts w:cs="Arial"/>
        </w:rPr>
        <w:t xml:space="preserve">In the period April 2016 – Feb 2019, the Manchester Royal Infirmary alone recorded 891 knife or sharp object assault injuries. Although overall </w:t>
      </w:r>
      <w:r w:rsidRPr="004B5DEE">
        <w:rPr>
          <w:rFonts w:cs="Arial"/>
        </w:rPr>
        <w:t xml:space="preserve">reductions in knife crime have been achieved in 2019/20, they </w:t>
      </w:r>
      <w:r>
        <w:rPr>
          <w:rFonts w:cs="Arial"/>
        </w:rPr>
        <w:t>remain at</w:t>
      </w:r>
      <w:r w:rsidRPr="004B5DEE">
        <w:rPr>
          <w:rFonts w:cs="Arial"/>
        </w:rPr>
        <w:t xml:space="preserve"> an unacceptable level, and </w:t>
      </w:r>
      <w:r>
        <w:rPr>
          <w:rFonts w:cs="Arial"/>
        </w:rPr>
        <w:t xml:space="preserve">possession of knives is actually increasing. This funding and activity is not sustainable and future increases can be expected. </w:t>
      </w:r>
    </w:p>
    <w:p w14:paraId="06F3C6CF" w14:textId="77777777" w:rsidR="0039169A" w:rsidRDefault="0039169A" w:rsidP="0039169A">
      <w:pPr>
        <w:spacing w:after="160" w:line="259" w:lineRule="auto"/>
        <w:rPr>
          <w:rFonts w:cs="Arial"/>
        </w:rPr>
      </w:pPr>
      <w:r w:rsidRPr="00C5024D">
        <w:rPr>
          <w:rFonts w:cs="Arial"/>
        </w:rPr>
        <w:t>Following a steady decline in violent crime recording since the mid-90s, there have been increases in recent years.</w:t>
      </w:r>
    </w:p>
    <w:p w14:paraId="511EA194" w14:textId="77777777" w:rsidR="0002619B" w:rsidRPr="00C5024D" w:rsidRDefault="0002619B" w:rsidP="0002619B">
      <w:pPr>
        <w:spacing w:after="160" w:line="259" w:lineRule="auto"/>
        <w:rPr>
          <w:rFonts w:cs="Arial"/>
        </w:rPr>
      </w:pPr>
      <w:r w:rsidRPr="00C5024D">
        <w:rPr>
          <w:rFonts w:cs="Arial"/>
        </w:rPr>
        <w:lastRenderedPageBreak/>
        <w:t xml:space="preserve">Between the year ending June 2016 and year ending June 2019 for Greater </w:t>
      </w:r>
      <w:r w:rsidR="009E6C6A" w:rsidRPr="00C5024D">
        <w:rPr>
          <w:rFonts w:cs="Arial"/>
        </w:rPr>
        <w:t>Manchester:</w:t>
      </w:r>
    </w:p>
    <w:p w14:paraId="1F299551" w14:textId="77777777" w:rsidR="0002619B" w:rsidRPr="00777F19" w:rsidRDefault="0002619B" w:rsidP="0002619B">
      <w:pPr>
        <w:pStyle w:val="ListParagraph"/>
        <w:numPr>
          <w:ilvl w:val="1"/>
          <w:numId w:val="8"/>
        </w:numPr>
        <w:spacing w:after="160" w:line="259" w:lineRule="auto"/>
        <w:rPr>
          <w:rFonts w:cs="Arial"/>
        </w:rPr>
      </w:pPr>
      <w:r w:rsidRPr="00777F19">
        <w:rPr>
          <w:rFonts w:cs="Arial"/>
        </w:rPr>
        <w:t xml:space="preserve">Overall violence against the person increased by 46% </w:t>
      </w:r>
    </w:p>
    <w:p w14:paraId="19520325" w14:textId="77777777" w:rsidR="0002619B" w:rsidRPr="00777F19" w:rsidRDefault="0002619B" w:rsidP="0002619B">
      <w:pPr>
        <w:pStyle w:val="ListParagraph"/>
        <w:numPr>
          <w:ilvl w:val="1"/>
          <w:numId w:val="8"/>
        </w:numPr>
        <w:spacing w:after="160" w:line="259" w:lineRule="auto"/>
        <w:rPr>
          <w:rFonts w:cs="Arial"/>
        </w:rPr>
      </w:pPr>
      <w:r w:rsidRPr="00777F19">
        <w:rPr>
          <w:rFonts w:cs="Arial"/>
        </w:rPr>
        <w:t>Violence without injury increased by 49% (this makes up 46% of violence against person)</w:t>
      </w:r>
    </w:p>
    <w:p w14:paraId="7A4F5730" w14:textId="77777777" w:rsidR="0002619B" w:rsidRPr="00777F19" w:rsidRDefault="0002619B" w:rsidP="0002619B">
      <w:pPr>
        <w:pStyle w:val="ListParagraph"/>
        <w:numPr>
          <w:ilvl w:val="1"/>
          <w:numId w:val="8"/>
        </w:numPr>
        <w:spacing w:after="160" w:line="259" w:lineRule="auto"/>
        <w:rPr>
          <w:rFonts w:cs="Arial"/>
        </w:rPr>
      </w:pPr>
      <w:r w:rsidRPr="00777F19">
        <w:rPr>
          <w:rFonts w:cs="Arial"/>
        </w:rPr>
        <w:t>Violence with injury increased by 26%</w:t>
      </w:r>
    </w:p>
    <w:p w14:paraId="50D0C7D8" w14:textId="77777777" w:rsidR="0002619B" w:rsidRDefault="0002619B" w:rsidP="0002619B">
      <w:pPr>
        <w:pStyle w:val="ListParagraph"/>
        <w:numPr>
          <w:ilvl w:val="1"/>
          <w:numId w:val="8"/>
        </w:numPr>
        <w:spacing w:after="160" w:line="259" w:lineRule="auto"/>
        <w:rPr>
          <w:rFonts w:cs="Arial"/>
        </w:rPr>
      </w:pPr>
      <w:r w:rsidRPr="00777F19">
        <w:rPr>
          <w:rFonts w:cs="Arial"/>
        </w:rPr>
        <w:t>Robbery of personal property increased by 54%</w:t>
      </w:r>
    </w:p>
    <w:p w14:paraId="748F8999" w14:textId="77777777" w:rsidR="0039169A" w:rsidRPr="003D2285" w:rsidRDefault="0039169A" w:rsidP="0039169A">
      <w:pPr>
        <w:spacing w:after="160" w:line="259" w:lineRule="auto"/>
        <w:rPr>
          <w:rFonts w:cs="Arial"/>
        </w:rPr>
      </w:pPr>
      <w:r w:rsidRPr="003D2285">
        <w:rPr>
          <w:rFonts w:cs="Arial"/>
        </w:rPr>
        <w:t>As outlined in the 2018 national Serious Violence Strategy, too frequently young and other vulnerable groups of the population are targeted or caught up in serious organised crime</w:t>
      </w:r>
      <w:r>
        <w:rPr>
          <w:rFonts w:cs="Arial"/>
        </w:rPr>
        <w:t xml:space="preserve"> For those trapped </w:t>
      </w:r>
      <w:r w:rsidRPr="003D2285">
        <w:rPr>
          <w:rFonts w:cs="Arial"/>
        </w:rPr>
        <w:t xml:space="preserve"> within the hidden recesses of exploitation, such as ‘county lines’ drug dealing</w:t>
      </w:r>
      <w:r>
        <w:rPr>
          <w:rFonts w:cs="Arial"/>
        </w:rPr>
        <w:t>,</w:t>
      </w:r>
      <w:r w:rsidRPr="003D2285">
        <w:rPr>
          <w:rFonts w:cs="Arial"/>
        </w:rPr>
        <w:t xml:space="preserve">  violence </w:t>
      </w:r>
      <w:r>
        <w:rPr>
          <w:rFonts w:cs="Arial"/>
        </w:rPr>
        <w:t>can be a near</w:t>
      </w:r>
      <w:r w:rsidRPr="003D2285">
        <w:rPr>
          <w:rFonts w:cs="Arial"/>
        </w:rPr>
        <w:t xml:space="preserve"> constant threat or </w:t>
      </w:r>
      <w:r>
        <w:rPr>
          <w:rFonts w:cs="Arial"/>
        </w:rPr>
        <w:t>even a reality</w:t>
      </w:r>
      <w:r w:rsidRPr="003D2285">
        <w:rPr>
          <w:rFonts w:cs="Arial"/>
        </w:rPr>
        <w:t>.</w:t>
      </w:r>
      <w:r>
        <w:rPr>
          <w:rFonts w:cs="Arial"/>
        </w:rPr>
        <w:t xml:space="preserve"> It is anticipated that Navigators would frequently come into contact with these victims and, in collaboration with partners, provide an opportunity for the victim to escape the grips of exploitation.  </w:t>
      </w:r>
    </w:p>
    <w:p w14:paraId="419EB482" w14:textId="77777777" w:rsidR="0039169A" w:rsidRDefault="0039169A" w:rsidP="0002619B">
      <w:pPr>
        <w:spacing w:after="160" w:line="259" w:lineRule="auto"/>
        <w:rPr>
          <w:rFonts w:cs="Arial"/>
        </w:rPr>
      </w:pPr>
    </w:p>
    <w:p w14:paraId="007FB7DF" w14:textId="77777777" w:rsidR="0002619B" w:rsidRPr="005815C2" w:rsidRDefault="0002619B" w:rsidP="0002619B">
      <w:pPr>
        <w:spacing w:after="160" w:line="259" w:lineRule="auto"/>
        <w:rPr>
          <w:rFonts w:cs="Arial"/>
        </w:rPr>
      </w:pPr>
      <w:r w:rsidRPr="005815C2">
        <w:rPr>
          <w:rFonts w:cs="Arial"/>
        </w:rPr>
        <w:t>Nationally, in 2017/18 people aged 20-29 accounted for more than 1,900 of the 4,986 admissions to hospital as a result of knife or sharp object assault – an increase of 24% since 2012/13. Admissions involving 10 to 19 year olds increased even more rapidly from 656 to 1,012 – a rise of around 55%.</w:t>
      </w:r>
    </w:p>
    <w:tbl>
      <w:tblPr>
        <w:tblStyle w:val="TableGrid"/>
        <w:tblW w:w="0" w:type="auto"/>
        <w:tblLook w:val="04A0" w:firstRow="1" w:lastRow="0" w:firstColumn="1" w:lastColumn="0" w:noHBand="0" w:noVBand="1"/>
      </w:tblPr>
      <w:tblGrid>
        <w:gridCol w:w="9016"/>
      </w:tblGrid>
      <w:tr w:rsidR="006D2E2F" w:rsidRPr="00BD09AB" w14:paraId="485CF8EF" w14:textId="77777777" w:rsidTr="006D2E2F">
        <w:tc>
          <w:tcPr>
            <w:tcW w:w="9016" w:type="dxa"/>
            <w:tcBorders>
              <w:top w:val="nil"/>
              <w:left w:val="nil"/>
              <w:bottom w:val="nil"/>
              <w:right w:val="nil"/>
            </w:tcBorders>
          </w:tcPr>
          <w:p w14:paraId="3EBD94EB" w14:textId="77777777" w:rsidR="006D2E2F" w:rsidRPr="00025A75" w:rsidRDefault="006D2E2F" w:rsidP="00506051">
            <w:pPr>
              <w:rPr>
                <w:rFonts w:cs="Arial"/>
                <w:b/>
              </w:rPr>
            </w:pPr>
            <w:r w:rsidRPr="00025A75">
              <w:rPr>
                <w:b/>
              </w:rPr>
              <w:t xml:space="preserve">GM Hospital attendance  April – Oct 2019 - </w:t>
            </w:r>
            <w:r w:rsidRPr="00025A75">
              <w:rPr>
                <w:b/>
                <w:color w:val="000000" w:themeColor="text1"/>
              </w:rPr>
              <w:t>knife and sharp/bladed object (Trauma and Injury Intelligence Group - TIIG data)</w:t>
            </w:r>
          </w:p>
          <w:p w14:paraId="0A06C9FA" w14:textId="77777777" w:rsidR="006D2E2F" w:rsidRDefault="006D2E2F" w:rsidP="00506051">
            <w:pPr>
              <w:rPr>
                <w:rFonts w:cs="Arial"/>
              </w:rPr>
            </w:pPr>
            <w:r>
              <w:rPr>
                <w:noProof/>
                <w:lang w:val="en-GB" w:eastAsia="en-GB"/>
              </w:rPr>
              <w:drawing>
                <wp:inline distT="0" distB="0" distL="0" distR="0" wp14:anchorId="0B11A15A" wp14:editId="3E67BAA9">
                  <wp:extent cx="4191000" cy="18288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4499" cy="1834690"/>
                          </a:xfrm>
                          <a:prstGeom prst="rect">
                            <a:avLst/>
                          </a:prstGeom>
                          <a:noFill/>
                          <a:ln>
                            <a:noFill/>
                          </a:ln>
                        </pic:spPr>
                      </pic:pic>
                    </a:graphicData>
                  </a:graphic>
                </wp:inline>
              </w:drawing>
            </w:r>
          </w:p>
          <w:p w14:paraId="417F2927" w14:textId="77777777" w:rsidR="006D2E2F" w:rsidRDefault="006D2E2F" w:rsidP="00506051">
            <w:pPr>
              <w:rPr>
                <w:b/>
              </w:rPr>
            </w:pPr>
          </w:p>
          <w:p w14:paraId="465A92E3" w14:textId="77777777" w:rsidR="006D2E2F" w:rsidRPr="00025A75" w:rsidRDefault="006D2E2F" w:rsidP="00506051">
            <w:pPr>
              <w:rPr>
                <w:rFonts w:asciiTheme="minorHAnsi" w:hAnsiTheme="minorHAnsi" w:cstheme="minorBidi"/>
                <w:b/>
              </w:rPr>
            </w:pPr>
            <w:r w:rsidRPr="00025A75">
              <w:rPr>
                <w:b/>
              </w:rPr>
              <w:t xml:space="preserve">November 2019 </w:t>
            </w:r>
            <w:r>
              <w:rPr>
                <w:b/>
              </w:rPr>
              <w:t xml:space="preserve">one month </w:t>
            </w:r>
            <w:r w:rsidRPr="00025A75">
              <w:rPr>
                <w:b/>
              </w:rPr>
              <w:t xml:space="preserve">snapshot </w:t>
            </w:r>
            <w:r>
              <w:rPr>
                <w:b/>
              </w:rPr>
              <w:t xml:space="preserve">of </w:t>
            </w:r>
            <w:r w:rsidRPr="00025A75">
              <w:rPr>
                <w:b/>
              </w:rPr>
              <w:t>knife and sharp/bladed object (TIIG data)</w:t>
            </w:r>
          </w:p>
          <w:tbl>
            <w:tblPr>
              <w:tblW w:w="6060" w:type="dxa"/>
              <w:tblCellMar>
                <w:left w:w="0" w:type="dxa"/>
                <w:right w:w="0" w:type="dxa"/>
              </w:tblCellMar>
              <w:tblLook w:val="04A0" w:firstRow="1" w:lastRow="0" w:firstColumn="1" w:lastColumn="0" w:noHBand="0" w:noVBand="1"/>
            </w:tblPr>
            <w:tblGrid>
              <w:gridCol w:w="4160"/>
              <w:gridCol w:w="1900"/>
            </w:tblGrid>
            <w:tr w:rsidR="006D2E2F" w14:paraId="552C837C" w14:textId="77777777" w:rsidTr="00506051">
              <w:trPr>
                <w:trHeight w:val="300"/>
              </w:trPr>
              <w:tc>
                <w:tcPr>
                  <w:tcW w:w="41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C1E084" w14:textId="77777777" w:rsidR="006D2E2F" w:rsidRDefault="006D2E2F" w:rsidP="00506051">
                  <w:pPr>
                    <w:jc w:val="center"/>
                  </w:pPr>
                  <w:r>
                    <w:rPr>
                      <w:color w:val="000000"/>
                    </w:rPr>
                    <w:t> </w:t>
                  </w:r>
                  <w:r>
                    <w:rPr>
                      <w:b/>
                      <w:bCs/>
                      <w:color w:val="000000"/>
                    </w:rPr>
                    <w:t>Site</w:t>
                  </w:r>
                </w:p>
              </w:tc>
              <w:tc>
                <w:tcPr>
                  <w:tcW w:w="19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7CED774" w14:textId="77777777" w:rsidR="006D2E2F" w:rsidRDefault="006D2E2F" w:rsidP="00506051">
                  <w:pPr>
                    <w:jc w:val="center"/>
                  </w:pPr>
                  <w:r>
                    <w:rPr>
                      <w:b/>
                      <w:bCs/>
                      <w:color w:val="000000"/>
                    </w:rPr>
                    <w:t>N</w:t>
                  </w:r>
                  <w:r w:rsidR="009E6C6A">
                    <w:rPr>
                      <w:b/>
                      <w:bCs/>
                      <w:color w:val="000000"/>
                    </w:rPr>
                    <w:t>umber</w:t>
                  </w:r>
                </w:p>
              </w:tc>
            </w:tr>
            <w:tr w:rsidR="006D2E2F" w14:paraId="2E3888D6" w14:textId="77777777" w:rsidTr="00506051">
              <w:trPr>
                <w:trHeight w:val="300"/>
              </w:trPr>
              <w:tc>
                <w:tcPr>
                  <w:tcW w:w="4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BD201D" w14:textId="77777777" w:rsidR="006D2E2F" w:rsidRDefault="006D2E2F" w:rsidP="00506051">
                  <w:pPr>
                    <w:jc w:val="center"/>
                  </w:pPr>
                  <w:r>
                    <w:rPr>
                      <w:color w:val="000000"/>
                    </w:rPr>
                    <w:t>Manchester Royal Infirmary</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85B9E0" w14:textId="77777777" w:rsidR="006D2E2F" w:rsidRDefault="006D2E2F" w:rsidP="00506051">
                  <w:pPr>
                    <w:jc w:val="center"/>
                  </w:pPr>
                  <w:r>
                    <w:rPr>
                      <w:color w:val="000000"/>
                    </w:rPr>
                    <w:t>112</w:t>
                  </w:r>
                </w:p>
              </w:tc>
            </w:tr>
            <w:tr w:rsidR="00C40E79" w14:paraId="16C6956A" w14:textId="77777777" w:rsidTr="00506051">
              <w:trPr>
                <w:trHeight w:val="300"/>
              </w:trPr>
              <w:tc>
                <w:tcPr>
                  <w:tcW w:w="4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9E65800" w14:textId="77777777" w:rsidR="00C40E79" w:rsidRDefault="00C40E79" w:rsidP="00506051">
                  <w:pPr>
                    <w:jc w:val="center"/>
                    <w:rPr>
                      <w:color w:val="000000"/>
                    </w:rPr>
                  </w:pPr>
                  <w:r>
                    <w:rPr>
                      <w:color w:val="000000"/>
                    </w:rPr>
                    <w:t>Royal Manchester Children’s Hospital</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4CAE52C" w14:textId="77777777" w:rsidR="00C40E79" w:rsidRDefault="00C40E79" w:rsidP="00506051">
                  <w:pPr>
                    <w:jc w:val="center"/>
                    <w:rPr>
                      <w:color w:val="000000"/>
                    </w:rPr>
                  </w:pPr>
                  <w:r>
                    <w:rPr>
                      <w:color w:val="000000"/>
                    </w:rPr>
                    <w:t>To be provided in future data sets</w:t>
                  </w:r>
                </w:p>
              </w:tc>
            </w:tr>
            <w:tr w:rsidR="006D2E2F" w14:paraId="40D02D6D" w14:textId="77777777" w:rsidTr="00506051">
              <w:trPr>
                <w:trHeight w:val="300"/>
              </w:trPr>
              <w:tc>
                <w:tcPr>
                  <w:tcW w:w="4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B5EC179" w14:textId="77777777" w:rsidR="006D2E2F" w:rsidRDefault="006D2E2F" w:rsidP="00506051">
                  <w:pPr>
                    <w:jc w:val="center"/>
                  </w:pPr>
                  <w:r>
                    <w:rPr>
                      <w:color w:val="000000"/>
                    </w:rPr>
                    <w:t>Royal Oldham Hospital</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31211D" w14:textId="77777777" w:rsidR="006D2E2F" w:rsidRDefault="006D2E2F" w:rsidP="00506051">
                  <w:pPr>
                    <w:jc w:val="center"/>
                  </w:pPr>
                  <w:r>
                    <w:rPr>
                      <w:color w:val="000000"/>
                    </w:rPr>
                    <w:t>105</w:t>
                  </w:r>
                </w:p>
              </w:tc>
            </w:tr>
            <w:tr w:rsidR="006D2E2F" w14:paraId="75A10333" w14:textId="77777777" w:rsidTr="00506051">
              <w:trPr>
                <w:trHeight w:val="300"/>
              </w:trPr>
              <w:tc>
                <w:tcPr>
                  <w:tcW w:w="4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6B8AEA" w14:textId="77777777" w:rsidR="006D2E2F" w:rsidRDefault="006D2E2F" w:rsidP="00506051">
                  <w:pPr>
                    <w:jc w:val="center"/>
                  </w:pPr>
                  <w:r>
                    <w:rPr>
                      <w:color w:val="000000"/>
                    </w:rPr>
                    <w:t>North Manchester General Hospital</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BCDE17" w14:textId="77777777" w:rsidR="006D2E2F" w:rsidRDefault="006D2E2F" w:rsidP="00506051">
                  <w:pPr>
                    <w:jc w:val="center"/>
                  </w:pPr>
                  <w:r>
                    <w:rPr>
                      <w:color w:val="000000"/>
                    </w:rPr>
                    <w:t>102</w:t>
                  </w:r>
                </w:p>
              </w:tc>
            </w:tr>
            <w:tr w:rsidR="006D2E2F" w14:paraId="1FF9D842" w14:textId="77777777" w:rsidTr="00506051">
              <w:trPr>
                <w:trHeight w:val="300"/>
              </w:trPr>
              <w:tc>
                <w:tcPr>
                  <w:tcW w:w="4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04BCA1" w14:textId="77777777" w:rsidR="006D2E2F" w:rsidRDefault="006D2E2F" w:rsidP="00506051">
                  <w:pPr>
                    <w:jc w:val="center"/>
                  </w:pPr>
                  <w:r>
                    <w:rPr>
                      <w:color w:val="000000"/>
                    </w:rPr>
                    <w:t>Salford Royal</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C54520" w14:textId="77777777" w:rsidR="006D2E2F" w:rsidRDefault="006D2E2F" w:rsidP="00506051">
                  <w:pPr>
                    <w:jc w:val="center"/>
                  </w:pPr>
                  <w:r>
                    <w:rPr>
                      <w:color w:val="000000"/>
                    </w:rPr>
                    <w:t>100</w:t>
                  </w:r>
                </w:p>
              </w:tc>
            </w:tr>
            <w:tr w:rsidR="006D2E2F" w14:paraId="30ADE328" w14:textId="77777777" w:rsidTr="00506051">
              <w:trPr>
                <w:trHeight w:val="300"/>
              </w:trPr>
              <w:tc>
                <w:tcPr>
                  <w:tcW w:w="4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EA2ABA" w14:textId="77777777" w:rsidR="006D2E2F" w:rsidRDefault="006D2E2F" w:rsidP="00506051">
                  <w:pPr>
                    <w:jc w:val="center"/>
                  </w:pPr>
                  <w:r>
                    <w:rPr>
                      <w:color w:val="000000"/>
                    </w:rPr>
                    <w:t>Tameside General Hospital</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75F7BE" w14:textId="77777777" w:rsidR="006D2E2F" w:rsidRDefault="006D2E2F" w:rsidP="00506051">
                  <w:pPr>
                    <w:jc w:val="center"/>
                  </w:pPr>
                  <w:r>
                    <w:rPr>
                      <w:color w:val="000000"/>
                    </w:rPr>
                    <w:t>73</w:t>
                  </w:r>
                </w:p>
              </w:tc>
            </w:tr>
            <w:tr w:rsidR="006D2E2F" w14:paraId="35A49557" w14:textId="77777777" w:rsidTr="00506051">
              <w:trPr>
                <w:trHeight w:val="300"/>
              </w:trPr>
              <w:tc>
                <w:tcPr>
                  <w:tcW w:w="4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F032AD" w14:textId="77777777" w:rsidR="006D2E2F" w:rsidRDefault="006D2E2F" w:rsidP="00506051">
                  <w:pPr>
                    <w:jc w:val="center"/>
                  </w:pPr>
                  <w:r>
                    <w:rPr>
                      <w:color w:val="000000"/>
                    </w:rPr>
                    <w:t>Royal Bolton Hospital</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D4D2B7" w14:textId="77777777" w:rsidR="006D2E2F" w:rsidRDefault="006D2E2F" w:rsidP="00506051">
                  <w:pPr>
                    <w:jc w:val="center"/>
                  </w:pPr>
                  <w:r>
                    <w:rPr>
                      <w:color w:val="000000"/>
                    </w:rPr>
                    <w:t>71</w:t>
                  </w:r>
                </w:p>
              </w:tc>
            </w:tr>
            <w:tr w:rsidR="006D2E2F" w14:paraId="1BB31ACA" w14:textId="77777777" w:rsidTr="00506051">
              <w:trPr>
                <w:trHeight w:val="300"/>
              </w:trPr>
              <w:tc>
                <w:tcPr>
                  <w:tcW w:w="4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0202CD" w14:textId="77777777" w:rsidR="006D2E2F" w:rsidRDefault="006D2E2F" w:rsidP="00506051">
                  <w:pPr>
                    <w:jc w:val="center"/>
                  </w:pPr>
                  <w:r>
                    <w:rPr>
                      <w:color w:val="000000"/>
                    </w:rPr>
                    <w:t>Wythenshawe Hospital</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321DEF" w14:textId="77777777" w:rsidR="006D2E2F" w:rsidRDefault="006D2E2F" w:rsidP="00506051">
                  <w:pPr>
                    <w:jc w:val="center"/>
                  </w:pPr>
                  <w:r>
                    <w:rPr>
                      <w:color w:val="000000"/>
                    </w:rPr>
                    <w:t>69</w:t>
                  </w:r>
                </w:p>
              </w:tc>
            </w:tr>
            <w:tr w:rsidR="006D2E2F" w14:paraId="27300A9B" w14:textId="77777777" w:rsidTr="00506051">
              <w:trPr>
                <w:trHeight w:val="300"/>
              </w:trPr>
              <w:tc>
                <w:tcPr>
                  <w:tcW w:w="4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177D5E" w14:textId="77777777" w:rsidR="006D2E2F" w:rsidRDefault="006D2E2F" w:rsidP="00506051">
                  <w:pPr>
                    <w:jc w:val="center"/>
                  </w:pPr>
                  <w:r>
                    <w:rPr>
                      <w:color w:val="000000"/>
                    </w:rPr>
                    <w:t>Fairfield General Hospital</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314BA7" w14:textId="77777777" w:rsidR="006D2E2F" w:rsidRDefault="006D2E2F" w:rsidP="00506051">
                  <w:pPr>
                    <w:jc w:val="center"/>
                  </w:pPr>
                  <w:r>
                    <w:rPr>
                      <w:color w:val="000000"/>
                    </w:rPr>
                    <w:t>59</w:t>
                  </w:r>
                </w:p>
              </w:tc>
            </w:tr>
            <w:tr w:rsidR="006D2E2F" w14:paraId="2AB600B8" w14:textId="77777777" w:rsidTr="00506051">
              <w:trPr>
                <w:trHeight w:val="300"/>
              </w:trPr>
              <w:tc>
                <w:tcPr>
                  <w:tcW w:w="4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1393FA" w14:textId="77777777" w:rsidR="006D2E2F" w:rsidRDefault="006D2E2F" w:rsidP="00506051">
                  <w:pPr>
                    <w:jc w:val="center"/>
                  </w:pPr>
                  <w:r>
                    <w:rPr>
                      <w:color w:val="000000"/>
                    </w:rPr>
                    <w:t>Rochdale Infirmary</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20DC72" w14:textId="77777777" w:rsidR="006D2E2F" w:rsidRDefault="006D2E2F" w:rsidP="00506051">
                  <w:pPr>
                    <w:jc w:val="center"/>
                  </w:pPr>
                  <w:r>
                    <w:rPr>
                      <w:color w:val="000000"/>
                    </w:rPr>
                    <w:t>45</w:t>
                  </w:r>
                </w:p>
              </w:tc>
            </w:tr>
            <w:tr w:rsidR="006D2E2F" w14:paraId="60EB5B24" w14:textId="77777777" w:rsidTr="00506051">
              <w:trPr>
                <w:trHeight w:val="300"/>
              </w:trPr>
              <w:tc>
                <w:tcPr>
                  <w:tcW w:w="4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465DB3" w14:textId="77777777" w:rsidR="006D2E2F" w:rsidRDefault="006D2E2F" w:rsidP="00506051">
                  <w:pPr>
                    <w:jc w:val="center"/>
                  </w:pPr>
                  <w:r>
                    <w:rPr>
                      <w:color w:val="000000"/>
                    </w:rPr>
                    <w:t>Trafford General Hospital</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85611C" w14:textId="77777777" w:rsidR="006D2E2F" w:rsidRDefault="006D2E2F" w:rsidP="00506051">
                  <w:pPr>
                    <w:jc w:val="center"/>
                  </w:pPr>
                  <w:r>
                    <w:rPr>
                      <w:color w:val="000000"/>
                    </w:rPr>
                    <w:t>29</w:t>
                  </w:r>
                </w:p>
              </w:tc>
            </w:tr>
            <w:tr w:rsidR="006D2E2F" w14:paraId="7B6CD1BA" w14:textId="77777777" w:rsidTr="00506051">
              <w:trPr>
                <w:trHeight w:val="300"/>
              </w:trPr>
              <w:tc>
                <w:tcPr>
                  <w:tcW w:w="4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146A77" w14:textId="77777777" w:rsidR="006D2E2F" w:rsidRDefault="006D2E2F" w:rsidP="00506051">
                  <w:pPr>
                    <w:jc w:val="center"/>
                  </w:pPr>
                  <w:r>
                    <w:rPr>
                      <w:color w:val="000000"/>
                    </w:rPr>
                    <w:t>Stepping Hill Hospital</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4530C4" w14:textId="77777777" w:rsidR="006D2E2F" w:rsidRDefault="006D2E2F" w:rsidP="00506051">
                  <w:pPr>
                    <w:jc w:val="center"/>
                  </w:pPr>
                  <w:r>
                    <w:rPr>
                      <w:color w:val="000000"/>
                    </w:rPr>
                    <w:t>14</w:t>
                  </w:r>
                </w:p>
              </w:tc>
            </w:tr>
            <w:tr w:rsidR="009E6C6A" w14:paraId="34820037" w14:textId="77777777" w:rsidTr="00230C4B">
              <w:trPr>
                <w:trHeight w:val="300"/>
              </w:trPr>
              <w:tc>
                <w:tcPr>
                  <w:tcW w:w="606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8B6B672" w14:textId="77777777" w:rsidR="009E6C6A" w:rsidRDefault="009E6C6A" w:rsidP="0039169A">
                  <w:r w:rsidRPr="009E6C6A">
                    <w:rPr>
                      <w:color w:val="000000"/>
                      <w:szCs w:val="20"/>
                    </w:rPr>
                    <w:t>Of the 779 GM A&amp;E assault attendances, 72% were men and 28% women. 37% were aged between 0 and 24 years of age.</w:t>
                  </w:r>
                </w:p>
              </w:tc>
            </w:tr>
          </w:tbl>
          <w:p w14:paraId="7A4F1EC9" w14:textId="77777777" w:rsidR="006D2E2F" w:rsidRPr="00BD09AB" w:rsidRDefault="006D2E2F" w:rsidP="009E6C6A">
            <w:pPr>
              <w:rPr>
                <w:rFonts w:cs="Arial"/>
              </w:rPr>
            </w:pPr>
          </w:p>
        </w:tc>
      </w:tr>
      <w:tr w:rsidR="006D2E2F" w:rsidRPr="00BD09AB" w14:paraId="20B83650" w14:textId="77777777" w:rsidTr="006D2E2F">
        <w:tc>
          <w:tcPr>
            <w:tcW w:w="9016" w:type="dxa"/>
            <w:tcBorders>
              <w:top w:val="nil"/>
              <w:left w:val="nil"/>
              <w:bottom w:val="nil"/>
              <w:right w:val="nil"/>
            </w:tcBorders>
          </w:tcPr>
          <w:p w14:paraId="31C6C2AA" w14:textId="77777777" w:rsidR="0039169A" w:rsidRDefault="0039169A" w:rsidP="0039169A">
            <w:pPr>
              <w:rPr>
                <w:rFonts w:cs="Arial"/>
              </w:rPr>
            </w:pPr>
            <w:r>
              <w:rPr>
                <w:rFonts w:cs="Arial"/>
              </w:rPr>
              <w:lastRenderedPageBreak/>
              <w:t xml:space="preserve">Whilst evidence of improved life outcomes and reduced financial costs to the wider system is currently limited, positive individual case studies from existing hospital intervention programmes suggest life changing experiences for those with complex backgrounds, and various levels of reductions in attendance at A &amp; E departments.  </w:t>
            </w:r>
          </w:p>
          <w:p w14:paraId="3126C56E" w14:textId="77777777" w:rsidR="0039169A" w:rsidRDefault="0039169A" w:rsidP="0039169A">
            <w:pPr>
              <w:rPr>
                <w:rFonts w:cs="Arial"/>
              </w:rPr>
            </w:pPr>
          </w:p>
          <w:p w14:paraId="3770E65A" w14:textId="77777777" w:rsidR="0039169A" w:rsidRDefault="0039169A" w:rsidP="0039169A">
            <w:pPr>
              <w:rPr>
                <w:rFonts w:cs="Arial"/>
              </w:rPr>
            </w:pPr>
            <w:r>
              <w:rPr>
                <w:rFonts w:cs="Arial"/>
              </w:rPr>
              <w:t xml:space="preserve">What we do know is that beyond statutory safeguarding within hospitals, a huge number of vulnerable victims will leave the hospital with no support interventions, leading to the possibility of retaliation offending, further victimisation, future offending, Police investigation resource and cost, and further A&amp;E attendance. </w:t>
            </w:r>
          </w:p>
          <w:p w14:paraId="0141D8ED" w14:textId="77777777" w:rsidR="0039169A" w:rsidRDefault="0039169A" w:rsidP="0039169A">
            <w:pPr>
              <w:rPr>
                <w:rFonts w:cs="Arial"/>
              </w:rPr>
            </w:pPr>
          </w:p>
          <w:p w14:paraId="562BA17C" w14:textId="77777777" w:rsidR="0039169A" w:rsidRDefault="0039169A" w:rsidP="0039169A">
            <w:pPr>
              <w:rPr>
                <w:rFonts w:cs="Arial"/>
              </w:rPr>
            </w:pPr>
            <w:r>
              <w:rPr>
                <w:rFonts w:cs="Arial"/>
              </w:rPr>
              <w:t xml:space="preserve">In many cases, a wider long term cost to the individual and society is incurred, with Criminal Justice interventions / healthcare needs / social care requirements / worklessness all adding up    </w:t>
            </w:r>
          </w:p>
          <w:p w14:paraId="62DF0463" w14:textId="77777777" w:rsidR="006D2E2F" w:rsidRPr="00BD09AB" w:rsidRDefault="006D2E2F" w:rsidP="0039169A">
            <w:pPr>
              <w:rPr>
                <w:rFonts w:cs="Arial"/>
              </w:rPr>
            </w:pPr>
          </w:p>
        </w:tc>
      </w:tr>
    </w:tbl>
    <w:p w14:paraId="56086790" w14:textId="77777777" w:rsidR="00316421" w:rsidRDefault="00316421" w:rsidP="00316421">
      <w:pPr>
        <w:rPr>
          <w:rFonts w:asciiTheme="minorHAnsi" w:hAnsiTheme="minorHAnsi" w:cstheme="minorHAnsi"/>
          <w:b/>
          <w:sz w:val="24"/>
        </w:rPr>
      </w:pPr>
    </w:p>
    <w:p w14:paraId="1B79EA9D" w14:textId="77777777" w:rsidR="00077625" w:rsidRDefault="00077625" w:rsidP="00316421">
      <w:pPr>
        <w:rPr>
          <w:rFonts w:asciiTheme="minorHAnsi" w:hAnsiTheme="minorHAnsi" w:cstheme="minorHAnsi"/>
          <w:b/>
          <w:sz w:val="24"/>
        </w:rPr>
      </w:pPr>
    </w:p>
    <w:p w14:paraId="2F2A40B5" w14:textId="77777777" w:rsidR="00077625" w:rsidRPr="00442B4C" w:rsidRDefault="00442B4C" w:rsidP="00316421">
      <w:pPr>
        <w:rPr>
          <w:rFonts w:cs="Arial"/>
          <w:b/>
          <w:szCs w:val="20"/>
        </w:rPr>
      </w:pPr>
      <w:r w:rsidRPr="00442B4C">
        <w:rPr>
          <w:rFonts w:cs="Arial"/>
          <w:b/>
          <w:szCs w:val="20"/>
        </w:rPr>
        <w:t>Section Two</w:t>
      </w:r>
      <w:r>
        <w:rPr>
          <w:rFonts w:cs="Arial"/>
          <w:b/>
          <w:szCs w:val="20"/>
        </w:rPr>
        <w:t xml:space="preserve"> – Overview of required Service </w:t>
      </w:r>
    </w:p>
    <w:p w14:paraId="03013806" w14:textId="77777777" w:rsidR="00077625" w:rsidRDefault="00442B4C" w:rsidP="00442B4C">
      <w:pPr>
        <w:pStyle w:val="Heading1"/>
        <w:keepLines/>
        <w:pBdr>
          <w:top w:val="nil"/>
          <w:left w:val="nil"/>
          <w:bottom w:val="nil"/>
          <w:right w:val="nil"/>
          <w:between w:val="nil"/>
          <w:bar w:val="nil"/>
        </w:pBdr>
        <w:spacing w:before="240" w:after="120" w:line="264" w:lineRule="auto"/>
        <w:ind w:left="680" w:hanging="680"/>
        <w:rPr>
          <w:rFonts w:cs="Arial"/>
          <w:szCs w:val="20"/>
          <w:lang w:val="en-GB"/>
        </w:rPr>
      </w:pPr>
      <w:bookmarkStart w:id="0" w:name="_Toc19131628"/>
      <w:r w:rsidRPr="00442B4C">
        <w:rPr>
          <w:rFonts w:cs="Arial"/>
          <w:szCs w:val="20"/>
        </w:rPr>
        <w:t>2.1</w:t>
      </w:r>
      <w:r w:rsidRPr="00442B4C">
        <w:rPr>
          <w:rFonts w:cs="Arial"/>
          <w:b w:val="0"/>
          <w:szCs w:val="20"/>
        </w:rPr>
        <w:t xml:space="preserve"> </w:t>
      </w:r>
      <w:r w:rsidRPr="00442B4C">
        <w:rPr>
          <w:rFonts w:cs="Arial"/>
          <w:szCs w:val="20"/>
        </w:rPr>
        <w:t>Pilot</w:t>
      </w:r>
      <w:r w:rsidR="00077625" w:rsidRPr="00442B4C">
        <w:rPr>
          <w:rFonts w:cs="Arial"/>
          <w:szCs w:val="20"/>
          <w:lang w:val="en-GB"/>
        </w:rPr>
        <w:t xml:space="preserve"> Objectives</w:t>
      </w:r>
      <w:bookmarkEnd w:id="0"/>
      <w:r w:rsidR="00962BB6">
        <w:rPr>
          <w:rFonts w:cs="Arial"/>
          <w:szCs w:val="20"/>
          <w:lang w:val="en-GB"/>
        </w:rPr>
        <w:t xml:space="preserve"> (within areas in scope)</w:t>
      </w:r>
    </w:p>
    <w:p w14:paraId="60CEF09B" w14:textId="77777777" w:rsidR="00962BB6" w:rsidRDefault="00460011" w:rsidP="00962BB6">
      <w:pPr>
        <w:rPr>
          <w:b/>
          <w:lang w:val="en-GB"/>
        </w:rPr>
      </w:pPr>
      <w:r>
        <w:rPr>
          <w:lang w:val="en-GB"/>
        </w:rPr>
        <w:t xml:space="preserve">            </w:t>
      </w:r>
      <w:r w:rsidRPr="00460011">
        <w:rPr>
          <w:b/>
          <w:lang w:val="en-GB"/>
        </w:rPr>
        <w:t>Primary</w:t>
      </w:r>
    </w:p>
    <w:p w14:paraId="7DF14D83" w14:textId="77777777" w:rsidR="00460011" w:rsidRPr="00460011" w:rsidRDefault="00460011" w:rsidP="00962BB6">
      <w:pPr>
        <w:rPr>
          <w:b/>
          <w:lang w:val="en-GB"/>
        </w:rPr>
      </w:pPr>
    </w:p>
    <w:p w14:paraId="2D379E51" w14:textId="77777777" w:rsidR="00460011" w:rsidRPr="00460011" w:rsidRDefault="00460011" w:rsidP="00460011">
      <w:pPr>
        <w:pStyle w:val="Bulletlist1"/>
        <w:spacing w:line="240" w:lineRule="auto"/>
        <w:rPr>
          <w:rFonts w:ascii="Arial" w:hAnsi="Arial" w:cs="Arial"/>
          <w:sz w:val="20"/>
          <w:szCs w:val="20"/>
          <w:lang w:val="en-GB"/>
        </w:rPr>
      </w:pPr>
      <w:r w:rsidRPr="00460011">
        <w:rPr>
          <w:rFonts w:ascii="Arial" w:hAnsi="Arial" w:cs="Arial"/>
          <w:sz w:val="20"/>
          <w:szCs w:val="20"/>
          <w:lang w:val="en-GB"/>
        </w:rPr>
        <w:t>Reduce individual violence reinjury / victimisation</w:t>
      </w:r>
    </w:p>
    <w:p w14:paraId="49C1497D" w14:textId="77777777" w:rsidR="00460011" w:rsidRPr="00460011" w:rsidRDefault="00460011" w:rsidP="00460011">
      <w:pPr>
        <w:pStyle w:val="Bulletlist1"/>
        <w:spacing w:line="240" w:lineRule="auto"/>
        <w:rPr>
          <w:rFonts w:ascii="Arial" w:hAnsi="Arial" w:cs="Arial"/>
          <w:sz w:val="20"/>
          <w:szCs w:val="20"/>
          <w:lang w:val="en-GB"/>
        </w:rPr>
      </w:pPr>
      <w:r w:rsidRPr="00460011">
        <w:rPr>
          <w:rFonts w:ascii="Arial" w:hAnsi="Arial" w:cs="Arial"/>
          <w:sz w:val="20"/>
          <w:szCs w:val="20"/>
          <w:lang w:val="en-GB"/>
        </w:rPr>
        <w:t xml:space="preserve">Reduce arrest for violence offences (within 10 – 25 age group)  </w:t>
      </w:r>
    </w:p>
    <w:p w14:paraId="172D25DE" w14:textId="77777777" w:rsidR="00460011" w:rsidRPr="00460011" w:rsidRDefault="00460011" w:rsidP="00460011">
      <w:pPr>
        <w:pStyle w:val="Bulletlist1"/>
        <w:spacing w:line="240" w:lineRule="auto"/>
        <w:rPr>
          <w:rFonts w:ascii="Arial" w:hAnsi="Arial" w:cs="Arial"/>
          <w:sz w:val="20"/>
          <w:szCs w:val="20"/>
          <w:lang w:val="en-GB"/>
        </w:rPr>
      </w:pPr>
      <w:r w:rsidRPr="00460011">
        <w:rPr>
          <w:rFonts w:ascii="Arial" w:hAnsi="Arial" w:cs="Arial"/>
          <w:sz w:val="20"/>
          <w:szCs w:val="20"/>
          <w:lang w:val="en-GB"/>
        </w:rPr>
        <w:t xml:space="preserve">Reduce instances of violence homicide                                                                                                                         </w:t>
      </w:r>
    </w:p>
    <w:p w14:paraId="3A1266E1" w14:textId="77777777" w:rsidR="00460011" w:rsidRDefault="00460011" w:rsidP="00460011">
      <w:pPr>
        <w:pStyle w:val="Bulletlist1"/>
        <w:spacing w:line="240" w:lineRule="auto"/>
        <w:rPr>
          <w:rFonts w:ascii="Arial" w:hAnsi="Arial" w:cs="Arial"/>
          <w:sz w:val="20"/>
          <w:szCs w:val="20"/>
          <w:lang w:val="en-GB"/>
        </w:rPr>
      </w:pPr>
      <w:r>
        <w:rPr>
          <w:rFonts w:ascii="Arial" w:hAnsi="Arial" w:cs="Arial"/>
          <w:sz w:val="20"/>
          <w:szCs w:val="20"/>
          <w:lang w:val="en-GB"/>
        </w:rPr>
        <w:t>I</w:t>
      </w:r>
      <w:r w:rsidRPr="00442B4C">
        <w:rPr>
          <w:rFonts w:ascii="Arial" w:hAnsi="Arial" w:cs="Arial"/>
          <w:sz w:val="20"/>
          <w:szCs w:val="20"/>
          <w:lang w:val="en-GB"/>
        </w:rPr>
        <w:t>ncrease capacity and provision for young victims of violence in Greater Manchester</w:t>
      </w:r>
    </w:p>
    <w:p w14:paraId="6F01862D" w14:textId="77777777" w:rsidR="00077625" w:rsidRPr="00442B4C" w:rsidRDefault="009E6C6A" w:rsidP="00962BB6">
      <w:pPr>
        <w:pStyle w:val="Bulletlist1"/>
        <w:spacing w:line="240" w:lineRule="auto"/>
        <w:rPr>
          <w:rFonts w:ascii="Arial" w:hAnsi="Arial" w:cs="Arial"/>
          <w:sz w:val="20"/>
          <w:szCs w:val="20"/>
          <w:lang w:val="en-GB"/>
        </w:rPr>
      </w:pPr>
      <w:r>
        <w:rPr>
          <w:rFonts w:ascii="Arial" w:hAnsi="Arial" w:cs="Arial"/>
          <w:sz w:val="20"/>
          <w:szCs w:val="20"/>
          <w:lang w:val="en-GB"/>
        </w:rPr>
        <w:t>I</w:t>
      </w:r>
      <w:r w:rsidR="00077625" w:rsidRPr="00442B4C">
        <w:rPr>
          <w:rFonts w:ascii="Arial" w:hAnsi="Arial" w:cs="Arial"/>
          <w:sz w:val="20"/>
          <w:szCs w:val="20"/>
          <w:lang w:val="en-GB"/>
        </w:rPr>
        <w:t>mprove identification of, and reduce vulnerability of, young victims of violence, ensuring they receive the right support at the right time</w:t>
      </w:r>
    </w:p>
    <w:p w14:paraId="28854E48" w14:textId="77777777" w:rsidR="00077625" w:rsidRPr="00442B4C" w:rsidRDefault="009E6C6A" w:rsidP="00962BB6">
      <w:pPr>
        <w:pStyle w:val="Bulletlist1"/>
        <w:spacing w:line="240" w:lineRule="auto"/>
        <w:rPr>
          <w:rFonts w:ascii="Arial" w:hAnsi="Arial" w:cs="Arial"/>
          <w:sz w:val="20"/>
          <w:szCs w:val="20"/>
          <w:lang w:val="en-GB"/>
        </w:rPr>
      </w:pPr>
      <w:r>
        <w:rPr>
          <w:rFonts w:ascii="Arial" w:hAnsi="Arial" w:cs="Arial"/>
          <w:sz w:val="20"/>
          <w:szCs w:val="20"/>
          <w:lang w:val="en-GB"/>
        </w:rPr>
        <w:t>E</w:t>
      </w:r>
      <w:r w:rsidR="00077625" w:rsidRPr="00442B4C">
        <w:rPr>
          <w:rFonts w:ascii="Arial" w:hAnsi="Arial" w:cs="Arial"/>
          <w:sz w:val="20"/>
          <w:szCs w:val="20"/>
          <w:lang w:val="en-GB"/>
        </w:rPr>
        <w:t>nsure that young people receive the support they need to engage or re-engage with services in the community</w:t>
      </w:r>
    </w:p>
    <w:p w14:paraId="1D18E338" w14:textId="77777777" w:rsidR="00077625" w:rsidRPr="00442B4C" w:rsidRDefault="009E6C6A" w:rsidP="00962BB6">
      <w:pPr>
        <w:pStyle w:val="Bulletlist1"/>
        <w:spacing w:line="240" w:lineRule="auto"/>
        <w:rPr>
          <w:rFonts w:ascii="Arial" w:hAnsi="Arial" w:cs="Arial"/>
          <w:sz w:val="20"/>
          <w:szCs w:val="20"/>
          <w:lang w:val="en-GB"/>
        </w:rPr>
      </w:pPr>
      <w:r>
        <w:rPr>
          <w:rFonts w:ascii="Arial" w:hAnsi="Arial" w:cs="Arial"/>
          <w:sz w:val="20"/>
          <w:szCs w:val="20"/>
          <w:lang w:val="en-GB"/>
        </w:rPr>
        <w:t>S</w:t>
      </w:r>
      <w:r w:rsidR="00077625" w:rsidRPr="00442B4C">
        <w:rPr>
          <w:rFonts w:ascii="Arial" w:hAnsi="Arial" w:cs="Arial"/>
          <w:sz w:val="20"/>
          <w:szCs w:val="20"/>
          <w:lang w:val="en-GB"/>
        </w:rPr>
        <w:t xml:space="preserve">hift to deliver interventions earlier </w:t>
      </w:r>
    </w:p>
    <w:p w14:paraId="5ED1A49F" w14:textId="77777777" w:rsidR="00077625" w:rsidRPr="00442B4C" w:rsidRDefault="009E6C6A" w:rsidP="00962BB6">
      <w:pPr>
        <w:pStyle w:val="Bulletlist1"/>
        <w:spacing w:line="240" w:lineRule="auto"/>
        <w:rPr>
          <w:rFonts w:ascii="Arial" w:hAnsi="Arial" w:cs="Arial"/>
          <w:sz w:val="20"/>
          <w:szCs w:val="20"/>
          <w:lang w:val="en-GB"/>
        </w:rPr>
      </w:pPr>
      <w:r>
        <w:rPr>
          <w:rFonts w:ascii="Arial" w:hAnsi="Arial" w:cs="Arial"/>
          <w:sz w:val="20"/>
          <w:szCs w:val="20"/>
          <w:lang w:val="en-GB"/>
        </w:rPr>
        <w:t>S</w:t>
      </w:r>
      <w:r w:rsidR="00077625" w:rsidRPr="00442B4C">
        <w:rPr>
          <w:rFonts w:ascii="Arial" w:hAnsi="Arial" w:cs="Arial"/>
          <w:sz w:val="20"/>
          <w:szCs w:val="20"/>
          <w:lang w:val="en-GB"/>
        </w:rPr>
        <w:t>upport and enhance safeguarding arrangements within each A&amp;E</w:t>
      </w:r>
    </w:p>
    <w:p w14:paraId="2BA55A54" w14:textId="77777777" w:rsidR="00077625" w:rsidRPr="00442B4C" w:rsidRDefault="009E6C6A" w:rsidP="00962BB6">
      <w:pPr>
        <w:pStyle w:val="Bulletlist1"/>
        <w:spacing w:line="240" w:lineRule="auto"/>
        <w:rPr>
          <w:rFonts w:ascii="Arial" w:hAnsi="Arial" w:cs="Arial"/>
          <w:sz w:val="20"/>
          <w:szCs w:val="20"/>
          <w:lang w:val="en-GB"/>
        </w:rPr>
      </w:pPr>
      <w:r>
        <w:rPr>
          <w:rFonts w:ascii="Arial" w:hAnsi="Arial" w:cs="Arial"/>
          <w:sz w:val="20"/>
          <w:szCs w:val="20"/>
          <w:lang w:val="en-GB"/>
        </w:rPr>
        <w:t>E</w:t>
      </w:r>
      <w:r w:rsidR="00077625" w:rsidRPr="00442B4C">
        <w:rPr>
          <w:rFonts w:ascii="Arial" w:hAnsi="Arial" w:cs="Arial"/>
          <w:sz w:val="20"/>
          <w:szCs w:val="20"/>
          <w:lang w:val="en-GB"/>
        </w:rPr>
        <w:t>nsure knowledge and skills are shared across A&amp;E and the partnerships</w:t>
      </w:r>
    </w:p>
    <w:p w14:paraId="018717F2" w14:textId="77777777" w:rsidR="00077625" w:rsidRDefault="009E6C6A" w:rsidP="00077625">
      <w:pPr>
        <w:pStyle w:val="Bulletlist1"/>
        <w:rPr>
          <w:rFonts w:ascii="Arial" w:hAnsi="Arial" w:cs="Arial"/>
          <w:sz w:val="20"/>
          <w:szCs w:val="20"/>
          <w:lang w:val="en-GB"/>
        </w:rPr>
      </w:pPr>
      <w:r>
        <w:rPr>
          <w:rFonts w:ascii="Arial" w:hAnsi="Arial" w:cs="Arial"/>
          <w:sz w:val="20"/>
          <w:szCs w:val="20"/>
          <w:lang w:val="en-GB"/>
        </w:rPr>
        <w:t>R</w:t>
      </w:r>
      <w:r w:rsidR="00077625" w:rsidRPr="00442B4C">
        <w:rPr>
          <w:rFonts w:ascii="Arial" w:hAnsi="Arial" w:cs="Arial"/>
          <w:sz w:val="20"/>
          <w:szCs w:val="20"/>
          <w:lang w:val="en-GB"/>
        </w:rPr>
        <w:t>educ</w:t>
      </w:r>
      <w:r>
        <w:rPr>
          <w:rFonts w:ascii="Arial" w:hAnsi="Arial" w:cs="Arial"/>
          <w:sz w:val="20"/>
          <w:szCs w:val="20"/>
          <w:lang w:val="en-GB"/>
        </w:rPr>
        <w:t>e</w:t>
      </w:r>
      <w:r w:rsidR="00077625" w:rsidRPr="00442B4C">
        <w:rPr>
          <w:rFonts w:ascii="Arial" w:hAnsi="Arial" w:cs="Arial"/>
          <w:sz w:val="20"/>
          <w:szCs w:val="20"/>
          <w:lang w:val="en-GB"/>
        </w:rPr>
        <w:t xml:space="preserve"> immediate risk to young people by equipping them with risk management strategies and tools supporting </w:t>
      </w:r>
      <w:r w:rsidR="00DF7F72" w:rsidRPr="00442B4C">
        <w:rPr>
          <w:rFonts w:ascii="Arial" w:hAnsi="Arial" w:cs="Arial"/>
          <w:sz w:val="20"/>
          <w:szCs w:val="20"/>
          <w:lang w:val="en-GB"/>
        </w:rPr>
        <w:t>them</w:t>
      </w:r>
      <w:r w:rsidR="00077625" w:rsidRPr="00442B4C">
        <w:rPr>
          <w:rFonts w:ascii="Arial" w:hAnsi="Arial" w:cs="Arial"/>
          <w:sz w:val="20"/>
          <w:szCs w:val="20"/>
          <w:lang w:val="en-GB"/>
        </w:rPr>
        <w:t xml:space="preserve"> to cope and recover</w:t>
      </w:r>
    </w:p>
    <w:p w14:paraId="36AE40B5" w14:textId="77777777" w:rsidR="00460011" w:rsidRDefault="00460011" w:rsidP="00460011">
      <w:pPr>
        <w:pStyle w:val="Bulletlist1"/>
        <w:numPr>
          <w:ilvl w:val="0"/>
          <w:numId w:val="0"/>
        </w:numPr>
        <w:ind w:left="680"/>
        <w:rPr>
          <w:rFonts w:ascii="Arial" w:hAnsi="Arial" w:cs="Arial"/>
          <w:b/>
          <w:sz w:val="20"/>
          <w:szCs w:val="20"/>
          <w:lang w:val="en-GB"/>
        </w:rPr>
      </w:pPr>
      <w:r w:rsidRPr="00460011">
        <w:rPr>
          <w:rFonts w:ascii="Arial" w:hAnsi="Arial" w:cs="Arial"/>
          <w:b/>
          <w:sz w:val="20"/>
          <w:szCs w:val="20"/>
          <w:lang w:val="en-GB"/>
        </w:rPr>
        <w:t>Secondary</w:t>
      </w:r>
    </w:p>
    <w:p w14:paraId="55F53685" w14:textId="77777777" w:rsidR="00077625" w:rsidRPr="00442B4C" w:rsidRDefault="009E6C6A" w:rsidP="00460011">
      <w:pPr>
        <w:pStyle w:val="Bulletlist1"/>
        <w:numPr>
          <w:ilvl w:val="0"/>
          <w:numId w:val="18"/>
        </w:numPr>
        <w:rPr>
          <w:rFonts w:ascii="Arial" w:hAnsi="Arial" w:cs="Arial"/>
          <w:sz w:val="20"/>
          <w:szCs w:val="20"/>
          <w:lang w:val="en-GB"/>
        </w:rPr>
      </w:pPr>
      <w:r>
        <w:rPr>
          <w:rFonts w:ascii="Arial" w:hAnsi="Arial" w:cs="Arial"/>
          <w:sz w:val="20"/>
          <w:szCs w:val="20"/>
          <w:lang w:val="en-GB"/>
        </w:rPr>
        <w:t>P</w:t>
      </w:r>
      <w:r w:rsidR="00077625" w:rsidRPr="00442B4C">
        <w:rPr>
          <w:rFonts w:ascii="Arial" w:hAnsi="Arial" w:cs="Arial"/>
          <w:sz w:val="20"/>
          <w:szCs w:val="20"/>
          <w:lang w:val="en-GB"/>
        </w:rPr>
        <w:t xml:space="preserve">romote a contextual safeguarding model and improve awareness of safeguarding and vulnerability in the </w:t>
      </w:r>
      <w:r w:rsidR="00FD672F">
        <w:rPr>
          <w:rFonts w:ascii="Arial" w:hAnsi="Arial" w:cs="Arial"/>
          <w:sz w:val="20"/>
          <w:szCs w:val="20"/>
          <w:lang w:val="en-GB"/>
        </w:rPr>
        <w:t>hospitals and wider partnerships</w:t>
      </w:r>
    </w:p>
    <w:p w14:paraId="3B397EA8" w14:textId="77777777" w:rsidR="00077625" w:rsidRDefault="009E6C6A" w:rsidP="00077625">
      <w:pPr>
        <w:pStyle w:val="Bulletlist1"/>
        <w:rPr>
          <w:rFonts w:ascii="Arial" w:hAnsi="Arial" w:cs="Arial"/>
          <w:sz w:val="20"/>
          <w:szCs w:val="20"/>
          <w:lang w:val="en-GB"/>
        </w:rPr>
      </w:pPr>
      <w:r>
        <w:rPr>
          <w:rFonts w:ascii="Arial" w:hAnsi="Arial" w:cs="Arial"/>
          <w:sz w:val="20"/>
          <w:szCs w:val="20"/>
          <w:lang w:val="en-GB"/>
        </w:rPr>
        <w:t>P</w:t>
      </w:r>
      <w:r w:rsidR="00077625" w:rsidRPr="00442B4C">
        <w:rPr>
          <w:rFonts w:ascii="Arial" w:hAnsi="Arial" w:cs="Arial"/>
          <w:sz w:val="20"/>
          <w:szCs w:val="20"/>
          <w:lang w:val="en-GB"/>
        </w:rPr>
        <w:t xml:space="preserve">rovide a more holistic picture of violence in the local areas served by the </w:t>
      </w:r>
      <w:r w:rsidR="00FD672F">
        <w:rPr>
          <w:rFonts w:ascii="Arial" w:hAnsi="Arial" w:cs="Arial"/>
          <w:sz w:val="20"/>
          <w:szCs w:val="20"/>
          <w:lang w:val="en-GB"/>
        </w:rPr>
        <w:t>hospitals</w:t>
      </w:r>
      <w:r w:rsidR="00077625" w:rsidRPr="00442B4C">
        <w:rPr>
          <w:rFonts w:ascii="Arial" w:hAnsi="Arial" w:cs="Arial"/>
          <w:sz w:val="20"/>
          <w:szCs w:val="20"/>
          <w:lang w:val="en-GB"/>
        </w:rPr>
        <w:t xml:space="preserve"> </w:t>
      </w:r>
    </w:p>
    <w:p w14:paraId="27BCD3EA" w14:textId="77777777" w:rsidR="00460011" w:rsidRDefault="00460011" w:rsidP="00077625">
      <w:pPr>
        <w:pStyle w:val="Bulletlist1"/>
        <w:rPr>
          <w:rFonts w:ascii="Arial" w:hAnsi="Arial" w:cs="Arial"/>
          <w:sz w:val="20"/>
          <w:szCs w:val="20"/>
          <w:lang w:val="en-GB"/>
        </w:rPr>
      </w:pPr>
      <w:r>
        <w:rPr>
          <w:rFonts w:ascii="Arial" w:hAnsi="Arial" w:cs="Arial"/>
          <w:sz w:val="20"/>
          <w:szCs w:val="20"/>
          <w:lang w:val="en-GB"/>
        </w:rPr>
        <w:t>Change attitudes towards violence</w:t>
      </w:r>
    </w:p>
    <w:p w14:paraId="121A8C88" w14:textId="77777777" w:rsidR="00460011" w:rsidRDefault="00460011" w:rsidP="00077625">
      <w:pPr>
        <w:pStyle w:val="Bulletlist1"/>
        <w:rPr>
          <w:rFonts w:ascii="Arial" w:hAnsi="Arial" w:cs="Arial"/>
          <w:sz w:val="20"/>
          <w:szCs w:val="20"/>
          <w:lang w:val="en-GB"/>
        </w:rPr>
      </w:pPr>
      <w:r>
        <w:rPr>
          <w:rFonts w:ascii="Arial" w:hAnsi="Arial" w:cs="Arial"/>
          <w:sz w:val="20"/>
          <w:szCs w:val="20"/>
          <w:lang w:val="en-GB"/>
        </w:rPr>
        <w:t>Identify and reduce high risk behaviour</w:t>
      </w:r>
    </w:p>
    <w:p w14:paraId="1F8DECB0" w14:textId="77777777" w:rsidR="00E110F2" w:rsidRDefault="00E110F2" w:rsidP="00E110F2">
      <w:pPr>
        <w:pStyle w:val="Bulletlist1"/>
        <w:numPr>
          <w:ilvl w:val="0"/>
          <w:numId w:val="0"/>
        </w:numPr>
        <w:ind w:left="1077" w:hanging="397"/>
        <w:rPr>
          <w:rFonts w:ascii="Arial" w:hAnsi="Arial" w:cs="Arial"/>
          <w:sz w:val="20"/>
          <w:szCs w:val="20"/>
          <w:lang w:val="en-GB"/>
        </w:rPr>
      </w:pPr>
    </w:p>
    <w:p w14:paraId="22BDE705" w14:textId="77777777" w:rsidR="00FD672F" w:rsidRPr="00442B4C" w:rsidRDefault="00FD672F" w:rsidP="00FD672F">
      <w:pPr>
        <w:pStyle w:val="Bulletlist1"/>
        <w:numPr>
          <w:ilvl w:val="0"/>
          <w:numId w:val="0"/>
        </w:numPr>
        <w:ind w:left="1077" w:hanging="397"/>
        <w:rPr>
          <w:rFonts w:ascii="Arial" w:hAnsi="Arial" w:cs="Arial"/>
          <w:sz w:val="20"/>
          <w:szCs w:val="20"/>
          <w:lang w:val="en-GB"/>
        </w:rPr>
      </w:pPr>
    </w:p>
    <w:p w14:paraId="6A545E71" w14:textId="77777777" w:rsidR="00077625" w:rsidRPr="00442B4C" w:rsidRDefault="00C40E79" w:rsidP="00077625">
      <w:pPr>
        <w:pStyle w:val="Heading2"/>
        <w:keepLines/>
        <w:numPr>
          <w:ilvl w:val="1"/>
          <w:numId w:val="0"/>
        </w:numPr>
        <w:pBdr>
          <w:top w:val="nil"/>
          <w:left w:val="nil"/>
          <w:bottom w:val="nil"/>
          <w:right w:val="nil"/>
          <w:between w:val="nil"/>
          <w:bar w:val="nil"/>
        </w:pBdr>
        <w:spacing w:after="120" w:line="264" w:lineRule="auto"/>
        <w:ind w:left="680" w:hanging="680"/>
        <w:rPr>
          <w:rFonts w:cs="Arial"/>
          <w:sz w:val="20"/>
          <w:szCs w:val="20"/>
          <w:lang w:val="en-GB"/>
        </w:rPr>
      </w:pPr>
      <w:bookmarkStart w:id="1" w:name="_Toc19131629"/>
      <w:r>
        <w:rPr>
          <w:rFonts w:cs="Arial"/>
          <w:sz w:val="20"/>
          <w:szCs w:val="20"/>
          <w:lang w:val="en-GB"/>
        </w:rPr>
        <w:lastRenderedPageBreak/>
        <w:t xml:space="preserve">            </w:t>
      </w:r>
      <w:r w:rsidR="00442B4C">
        <w:rPr>
          <w:rFonts w:cs="Arial"/>
          <w:sz w:val="20"/>
          <w:szCs w:val="20"/>
          <w:lang w:val="en-GB"/>
        </w:rPr>
        <w:t xml:space="preserve">2.2 </w:t>
      </w:r>
      <w:r w:rsidR="00077625" w:rsidRPr="00442B4C">
        <w:rPr>
          <w:rFonts w:cs="Arial"/>
          <w:sz w:val="20"/>
          <w:szCs w:val="20"/>
          <w:lang w:val="en-GB"/>
        </w:rPr>
        <w:t xml:space="preserve">Core Capabilities </w:t>
      </w:r>
      <w:r w:rsidR="00DF7F72" w:rsidRPr="00442B4C">
        <w:rPr>
          <w:rFonts w:cs="Arial"/>
          <w:sz w:val="20"/>
          <w:szCs w:val="20"/>
          <w:lang w:val="en-GB"/>
        </w:rPr>
        <w:t xml:space="preserve">expected </w:t>
      </w:r>
      <w:r w:rsidR="00077625" w:rsidRPr="00442B4C">
        <w:rPr>
          <w:rFonts w:cs="Arial"/>
          <w:sz w:val="20"/>
          <w:szCs w:val="20"/>
          <w:lang w:val="en-GB"/>
        </w:rPr>
        <w:t>of the Provider</w:t>
      </w:r>
      <w:bookmarkEnd w:id="1"/>
    </w:p>
    <w:p w14:paraId="41B7F4A9" w14:textId="77777777" w:rsidR="00077625" w:rsidRPr="00442B4C" w:rsidRDefault="00FD672F" w:rsidP="00077625">
      <w:pPr>
        <w:pStyle w:val="Bulletlist1"/>
        <w:rPr>
          <w:rFonts w:ascii="Arial" w:hAnsi="Arial" w:cs="Arial"/>
          <w:sz w:val="20"/>
          <w:szCs w:val="20"/>
          <w:lang w:val="en-GB"/>
        </w:rPr>
      </w:pPr>
      <w:r w:rsidRPr="00FD672F">
        <w:rPr>
          <w:rFonts w:ascii="Arial" w:hAnsi="Arial" w:cs="Arial"/>
          <w:sz w:val="20"/>
          <w:szCs w:val="20"/>
          <w:lang w:val="en-GB"/>
        </w:rPr>
        <w:t>C</w:t>
      </w:r>
      <w:r w:rsidR="00077625" w:rsidRPr="00FD672F">
        <w:rPr>
          <w:rFonts w:ascii="Arial" w:hAnsi="Arial" w:cs="Arial"/>
          <w:sz w:val="20"/>
          <w:szCs w:val="20"/>
          <w:lang w:val="en-GB"/>
        </w:rPr>
        <w:t>apacity to meet the stated timeframes</w:t>
      </w:r>
      <w:r w:rsidR="00077625" w:rsidRPr="00442B4C">
        <w:rPr>
          <w:rFonts w:ascii="Arial" w:hAnsi="Arial" w:cs="Arial"/>
          <w:sz w:val="20"/>
          <w:szCs w:val="20"/>
          <w:lang w:val="en-GB"/>
        </w:rPr>
        <w:t xml:space="preserve"> through having appropriately skilled, competent and resourced staff in place </w:t>
      </w:r>
    </w:p>
    <w:p w14:paraId="4931C88B" w14:textId="77777777" w:rsidR="00077625" w:rsidRPr="00442B4C" w:rsidRDefault="00FD672F" w:rsidP="00077625">
      <w:pPr>
        <w:pStyle w:val="Bulletlist1"/>
        <w:rPr>
          <w:rFonts w:ascii="Arial" w:hAnsi="Arial" w:cs="Arial"/>
          <w:sz w:val="20"/>
          <w:szCs w:val="20"/>
          <w:lang w:val="en-GB"/>
        </w:rPr>
      </w:pPr>
      <w:r w:rsidRPr="00FD672F">
        <w:rPr>
          <w:rFonts w:ascii="Arial" w:hAnsi="Arial" w:cs="Arial"/>
          <w:sz w:val="20"/>
          <w:szCs w:val="20"/>
          <w:lang w:val="en-GB"/>
        </w:rPr>
        <w:t>R</w:t>
      </w:r>
      <w:r w:rsidR="00077625" w:rsidRPr="00FD672F">
        <w:rPr>
          <w:rFonts w:ascii="Arial" w:hAnsi="Arial" w:cs="Arial"/>
          <w:sz w:val="20"/>
          <w:szCs w:val="20"/>
          <w:lang w:val="en-GB"/>
        </w:rPr>
        <w:t>obust experience of delivery of professional, credible and boundaried youth work</w:t>
      </w:r>
      <w:r>
        <w:rPr>
          <w:rFonts w:ascii="Arial" w:hAnsi="Arial" w:cs="Arial"/>
          <w:sz w:val="20"/>
          <w:szCs w:val="20"/>
          <w:lang w:val="en-GB"/>
        </w:rPr>
        <w:t>. C</w:t>
      </w:r>
      <w:r w:rsidR="00077625" w:rsidRPr="00442B4C">
        <w:rPr>
          <w:rFonts w:ascii="Arial" w:hAnsi="Arial" w:cs="Arial"/>
          <w:sz w:val="20"/>
          <w:szCs w:val="20"/>
          <w:lang w:val="en-GB"/>
        </w:rPr>
        <w:t xml:space="preserve">ritical to the success of the Service is professionally delivered youth work, provided by </w:t>
      </w:r>
      <w:r w:rsidR="00DF7F72" w:rsidRPr="00442B4C">
        <w:rPr>
          <w:rFonts w:ascii="Arial" w:hAnsi="Arial" w:cs="Arial"/>
          <w:sz w:val="20"/>
          <w:szCs w:val="20"/>
          <w:lang w:val="en-GB"/>
        </w:rPr>
        <w:t>intervention workers (Navigators),</w:t>
      </w:r>
      <w:r w:rsidR="00077625" w:rsidRPr="00442B4C">
        <w:rPr>
          <w:rFonts w:ascii="Arial" w:hAnsi="Arial" w:cs="Arial"/>
          <w:sz w:val="20"/>
          <w:szCs w:val="20"/>
          <w:lang w:val="en-GB"/>
        </w:rPr>
        <w:t xml:space="preserve"> with the ability to build rapport and trust quickly with vulnerable and often chaotic young people. </w:t>
      </w:r>
      <w:r w:rsidR="00DF7F72" w:rsidRPr="00442B4C">
        <w:rPr>
          <w:rFonts w:ascii="Arial" w:hAnsi="Arial" w:cs="Arial"/>
          <w:sz w:val="20"/>
          <w:szCs w:val="20"/>
          <w:lang w:val="en-GB"/>
        </w:rPr>
        <w:t>Navigators</w:t>
      </w:r>
      <w:r w:rsidR="00077625" w:rsidRPr="00442B4C">
        <w:rPr>
          <w:rFonts w:ascii="Arial" w:hAnsi="Arial" w:cs="Arial"/>
          <w:sz w:val="20"/>
          <w:szCs w:val="20"/>
          <w:lang w:val="en-GB"/>
        </w:rPr>
        <w:t xml:space="preserve"> will need to be credible to the young people they are working with; able to act as reliable and positive role models, recognising that young victims have often had varying experiences of statutory and voluntary support services. </w:t>
      </w:r>
      <w:r w:rsidR="00DF7F72" w:rsidRPr="00442B4C">
        <w:rPr>
          <w:rFonts w:ascii="Arial" w:hAnsi="Arial" w:cs="Arial"/>
          <w:sz w:val="20"/>
          <w:szCs w:val="20"/>
          <w:lang w:val="en-GB"/>
        </w:rPr>
        <w:t>Navigators</w:t>
      </w:r>
      <w:r w:rsidR="00077625" w:rsidRPr="00442B4C">
        <w:rPr>
          <w:rFonts w:ascii="Arial" w:hAnsi="Arial" w:cs="Arial"/>
          <w:sz w:val="20"/>
          <w:szCs w:val="20"/>
          <w:lang w:val="en-GB"/>
        </w:rPr>
        <w:t xml:space="preserve"> will need to be trained in the principles of contextual safeguarding, trauma-informed and evidence-based interventions and demonstrate how they will actively maintain professional boundaries</w:t>
      </w:r>
      <w:r>
        <w:rPr>
          <w:rFonts w:ascii="Arial" w:hAnsi="Arial" w:cs="Arial"/>
          <w:sz w:val="20"/>
          <w:szCs w:val="20"/>
          <w:lang w:val="en-GB"/>
        </w:rPr>
        <w:t>.</w:t>
      </w:r>
    </w:p>
    <w:p w14:paraId="15E74B79" w14:textId="77777777" w:rsidR="00077625" w:rsidRPr="00442B4C" w:rsidRDefault="00FD672F" w:rsidP="00077625">
      <w:pPr>
        <w:pStyle w:val="Bulletlist1"/>
        <w:rPr>
          <w:rFonts w:ascii="Arial" w:hAnsi="Arial" w:cs="Arial"/>
          <w:sz w:val="20"/>
          <w:szCs w:val="20"/>
          <w:lang w:val="en-GB"/>
        </w:rPr>
      </w:pPr>
      <w:r w:rsidRPr="00FD672F">
        <w:rPr>
          <w:rFonts w:ascii="Arial" w:hAnsi="Arial" w:cs="Arial"/>
          <w:sz w:val="20"/>
          <w:szCs w:val="20"/>
          <w:lang w:val="en-GB"/>
        </w:rPr>
        <w:t>I</w:t>
      </w:r>
      <w:r w:rsidR="00077625" w:rsidRPr="00FD672F">
        <w:rPr>
          <w:rFonts w:ascii="Arial" w:hAnsi="Arial" w:cs="Arial"/>
          <w:sz w:val="20"/>
          <w:szCs w:val="20"/>
          <w:lang w:val="en-GB"/>
        </w:rPr>
        <w:t xml:space="preserve">n-depth understanding and knowledge of issues relevant to </w:t>
      </w:r>
      <w:r w:rsidR="00DF7F72" w:rsidRPr="00FD672F">
        <w:rPr>
          <w:rFonts w:ascii="Arial" w:hAnsi="Arial" w:cs="Arial"/>
          <w:sz w:val="20"/>
          <w:szCs w:val="20"/>
          <w:lang w:val="en-GB"/>
        </w:rPr>
        <w:t>the young people of Greater Manchester</w:t>
      </w:r>
      <w:r w:rsidR="00077625" w:rsidRPr="00442B4C">
        <w:rPr>
          <w:rFonts w:ascii="Arial" w:hAnsi="Arial" w:cs="Arial"/>
          <w:sz w:val="20"/>
          <w:szCs w:val="20"/>
          <w:lang w:val="en-GB"/>
        </w:rPr>
        <w:t xml:space="preserve"> and experience of supporting young people who may be facing, or have faced, adverse experiences and</w:t>
      </w:r>
      <w:r>
        <w:rPr>
          <w:rFonts w:ascii="Arial" w:hAnsi="Arial" w:cs="Arial"/>
          <w:sz w:val="20"/>
          <w:szCs w:val="20"/>
          <w:lang w:val="en-GB"/>
        </w:rPr>
        <w:t xml:space="preserve"> are</w:t>
      </w:r>
      <w:r w:rsidR="00077625" w:rsidRPr="00442B4C">
        <w:rPr>
          <w:rFonts w:ascii="Arial" w:hAnsi="Arial" w:cs="Arial"/>
          <w:sz w:val="20"/>
          <w:szCs w:val="20"/>
          <w:lang w:val="en-GB"/>
        </w:rPr>
        <w:t>, or may be involved with peer groups caught up in violence, including as potential perpetrators</w:t>
      </w:r>
      <w:r>
        <w:rPr>
          <w:rFonts w:ascii="Arial" w:hAnsi="Arial" w:cs="Arial"/>
          <w:sz w:val="20"/>
          <w:szCs w:val="20"/>
          <w:lang w:val="en-GB"/>
        </w:rPr>
        <w:t>.</w:t>
      </w:r>
    </w:p>
    <w:p w14:paraId="654725AA" w14:textId="77777777" w:rsidR="00077625" w:rsidRPr="00442B4C" w:rsidRDefault="00FD672F" w:rsidP="00077625">
      <w:pPr>
        <w:pStyle w:val="Bulletlist1"/>
        <w:rPr>
          <w:rFonts w:ascii="Arial" w:hAnsi="Arial" w:cs="Arial"/>
          <w:sz w:val="20"/>
          <w:szCs w:val="20"/>
          <w:lang w:val="en-GB"/>
        </w:rPr>
      </w:pPr>
      <w:r w:rsidRPr="00FD672F">
        <w:rPr>
          <w:rFonts w:ascii="Arial" w:hAnsi="Arial" w:cs="Arial"/>
          <w:sz w:val="20"/>
          <w:szCs w:val="20"/>
          <w:lang w:val="en-GB"/>
        </w:rPr>
        <w:t>A</w:t>
      </w:r>
      <w:r w:rsidR="00077625" w:rsidRPr="00FD672F">
        <w:rPr>
          <w:rFonts w:ascii="Arial" w:hAnsi="Arial" w:cs="Arial"/>
          <w:sz w:val="20"/>
          <w:szCs w:val="20"/>
          <w:lang w:val="en-GB"/>
        </w:rPr>
        <w:t>bility to work at pace in a pressured clinical environment</w:t>
      </w:r>
      <w:r>
        <w:rPr>
          <w:rFonts w:ascii="Arial" w:hAnsi="Arial" w:cs="Arial"/>
          <w:sz w:val="20"/>
          <w:szCs w:val="20"/>
          <w:lang w:val="en-GB"/>
        </w:rPr>
        <w:t>. B</w:t>
      </w:r>
      <w:r w:rsidR="00077625" w:rsidRPr="00442B4C">
        <w:rPr>
          <w:rFonts w:ascii="Arial" w:hAnsi="Arial" w:cs="Arial"/>
          <w:sz w:val="20"/>
          <w:szCs w:val="20"/>
          <w:lang w:val="en-GB"/>
        </w:rPr>
        <w:t>idders will need to demonstrate how their delivery and staffing models can adapt to fit the unique and demanding environment of the hospital Accident and Emergency department</w:t>
      </w:r>
      <w:r w:rsidR="00DF7F72" w:rsidRPr="00442B4C">
        <w:rPr>
          <w:rFonts w:ascii="Arial" w:hAnsi="Arial" w:cs="Arial"/>
          <w:sz w:val="20"/>
          <w:szCs w:val="20"/>
          <w:lang w:val="en-GB"/>
        </w:rPr>
        <w:t xml:space="preserve"> and Major Trauma Centres</w:t>
      </w:r>
      <w:r w:rsidR="00077625" w:rsidRPr="00442B4C">
        <w:rPr>
          <w:rFonts w:ascii="Arial" w:hAnsi="Arial" w:cs="Arial"/>
          <w:sz w:val="20"/>
          <w:szCs w:val="20"/>
          <w:lang w:val="en-GB"/>
        </w:rPr>
        <w:t xml:space="preserve">.  </w:t>
      </w:r>
      <w:r w:rsidR="009812F8" w:rsidRPr="00442B4C">
        <w:rPr>
          <w:rFonts w:ascii="Arial" w:hAnsi="Arial" w:cs="Arial"/>
          <w:sz w:val="20"/>
          <w:szCs w:val="20"/>
          <w:lang w:val="en-GB"/>
        </w:rPr>
        <w:t>Navigators are</w:t>
      </w:r>
      <w:r w:rsidR="00077625" w:rsidRPr="00442B4C">
        <w:rPr>
          <w:rFonts w:ascii="Arial" w:hAnsi="Arial" w:cs="Arial"/>
          <w:sz w:val="20"/>
          <w:szCs w:val="20"/>
          <w:lang w:val="en-GB"/>
        </w:rPr>
        <w:t xml:space="preserve"> expected to work closely with the safeguarding arrangements that are already in place at the </w:t>
      </w:r>
      <w:r w:rsidR="00DF7F72" w:rsidRPr="00442B4C">
        <w:rPr>
          <w:rFonts w:ascii="Arial" w:hAnsi="Arial" w:cs="Arial"/>
          <w:sz w:val="20"/>
          <w:szCs w:val="20"/>
          <w:lang w:val="en-GB"/>
        </w:rPr>
        <w:t xml:space="preserve">pilot </w:t>
      </w:r>
      <w:r w:rsidR="00077625" w:rsidRPr="00442B4C">
        <w:rPr>
          <w:rFonts w:ascii="Arial" w:hAnsi="Arial" w:cs="Arial"/>
          <w:sz w:val="20"/>
          <w:szCs w:val="20"/>
          <w:lang w:val="en-GB"/>
        </w:rPr>
        <w:t>hospitals to complement and enhance their service</w:t>
      </w:r>
      <w:r>
        <w:rPr>
          <w:rFonts w:ascii="Arial" w:hAnsi="Arial" w:cs="Arial"/>
          <w:sz w:val="20"/>
          <w:szCs w:val="20"/>
          <w:lang w:val="en-GB"/>
        </w:rPr>
        <w:t>.</w:t>
      </w:r>
    </w:p>
    <w:p w14:paraId="757CDA40" w14:textId="77777777" w:rsidR="00077625" w:rsidRPr="00442B4C" w:rsidRDefault="00FD672F" w:rsidP="00077625">
      <w:pPr>
        <w:pStyle w:val="Bulletlist1"/>
        <w:rPr>
          <w:rFonts w:ascii="Arial" w:hAnsi="Arial" w:cs="Arial"/>
          <w:sz w:val="20"/>
          <w:szCs w:val="20"/>
          <w:lang w:val="en-GB"/>
        </w:rPr>
      </w:pPr>
      <w:r w:rsidRPr="00FD672F">
        <w:rPr>
          <w:rFonts w:ascii="Arial" w:hAnsi="Arial" w:cs="Arial"/>
          <w:sz w:val="20"/>
          <w:szCs w:val="20"/>
          <w:lang w:val="en-GB"/>
        </w:rPr>
        <w:t xml:space="preserve">Ability </w:t>
      </w:r>
      <w:r w:rsidR="00077625" w:rsidRPr="00FD672F">
        <w:rPr>
          <w:rFonts w:ascii="Arial" w:hAnsi="Arial" w:cs="Arial"/>
          <w:sz w:val="20"/>
          <w:szCs w:val="20"/>
          <w:lang w:val="en-GB"/>
        </w:rPr>
        <w:t>and extensive experience of reaching into communities and building links with local services</w:t>
      </w:r>
      <w:r>
        <w:rPr>
          <w:rFonts w:ascii="Arial" w:hAnsi="Arial" w:cs="Arial"/>
          <w:sz w:val="20"/>
          <w:szCs w:val="20"/>
          <w:lang w:val="en-GB"/>
        </w:rPr>
        <w:t>.</w:t>
      </w:r>
      <w:r w:rsidR="00077625" w:rsidRPr="00442B4C">
        <w:rPr>
          <w:rFonts w:ascii="Arial" w:hAnsi="Arial" w:cs="Arial"/>
          <w:sz w:val="20"/>
          <w:szCs w:val="20"/>
          <w:lang w:val="en-GB"/>
        </w:rPr>
        <w:t xml:space="preserve"> </w:t>
      </w:r>
      <w:r w:rsidR="009812F8" w:rsidRPr="00442B4C">
        <w:rPr>
          <w:rFonts w:ascii="Arial" w:hAnsi="Arial" w:cs="Arial"/>
          <w:sz w:val="20"/>
          <w:szCs w:val="20"/>
          <w:lang w:val="en-GB"/>
        </w:rPr>
        <w:t>It is extremely unlikely that Navigators</w:t>
      </w:r>
      <w:r w:rsidR="00077625" w:rsidRPr="00442B4C">
        <w:rPr>
          <w:rFonts w:ascii="Arial" w:hAnsi="Arial" w:cs="Arial"/>
          <w:sz w:val="20"/>
          <w:szCs w:val="20"/>
          <w:lang w:val="en-GB"/>
        </w:rPr>
        <w:t xml:space="preserve"> will be able to provide ongoing case work to all the young people eligible for the Service and </w:t>
      </w:r>
      <w:r w:rsidR="009812F8" w:rsidRPr="00442B4C">
        <w:rPr>
          <w:rFonts w:ascii="Arial" w:hAnsi="Arial" w:cs="Arial"/>
          <w:sz w:val="20"/>
          <w:szCs w:val="20"/>
          <w:lang w:val="en-GB"/>
        </w:rPr>
        <w:t>there is a</w:t>
      </w:r>
      <w:r w:rsidR="00077625" w:rsidRPr="00442B4C">
        <w:rPr>
          <w:rFonts w:ascii="Arial" w:hAnsi="Arial" w:cs="Arial"/>
          <w:sz w:val="20"/>
          <w:szCs w:val="20"/>
          <w:lang w:val="en-GB"/>
        </w:rPr>
        <w:t xml:space="preserve"> need </w:t>
      </w:r>
      <w:r w:rsidRPr="00442B4C">
        <w:rPr>
          <w:rFonts w:ascii="Arial" w:hAnsi="Arial" w:cs="Arial"/>
          <w:sz w:val="20"/>
          <w:szCs w:val="20"/>
          <w:lang w:val="en-GB"/>
        </w:rPr>
        <w:t>to build</w:t>
      </w:r>
      <w:r w:rsidR="00077625" w:rsidRPr="00442B4C">
        <w:rPr>
          <w:rFonts w:ascii="Arial" w:hAnsi="Arial" w:cs="Arial"/>
          <w:sz w:val="20"/>
          <w:szCs w:val="20"/>
          <w:lang w:val="en-GB"/>
        </w:rPr>
        <w:t xml:space="preserve"> networks</w:t>
      </w:r>
      <w:r w:rsidR="009812F8" w:rsidRPr="00442B4C">
        <w:rPr>
          <w:rFonts w:ascii="Arial" w:hAnsi="Arial" w:cs="Arial"/>
          <w:sz w:val="20"/>
          <w:szCs w:val="20"/>
          <w:lang w:val="en-GB"/>
        </w:rPr>
        <w:t xml:space="preserve">, identify suitable existing </w:t>
      </w:r>
      <w:r w:rsidRPr="00442B4C">
        <w:rPr>
          <w:rFonts w:ascii="Arial" w:hAnsi="Arial" w:cs="Arial"/>
          <w:sz w:val="20"/>
          <w:szCs w:val="20"/>
          <w:lang w:val="en-GB"/>
        </w:rPr>
        <w:t>services and</w:t>
      </w:r>
      <w:r w:rsidR="00077625" w:rsidRPr="00442B4C">
        <w:rPr>
          <w:rFonts w:ascii="Arial" w:hAnsi="Arial" w:cs="Arial"/>
          <w:sz w:val="20"/>
          <w:szCs w:val="20"/>
          <w:lang w:val="en-GB"/>
        </w:rPr>
        <w:t xml:space="preserve"> develop referral pathways with </w:t>
      </w:r>
      <w:r w:rsidR="009812F8" w:rsidRPr="00442B4C">
        <w:rPr>
          <w:rFonts w:ascii="Arial" w:hAnsi="Arial" w:cs="Arial"/>
          <w:sz w:val="20"/>
          <w:szCs w:val="20"/>
          <w:lang w:val="en-GB"/>
        </w:rPr>
        <w:t xml:space="preserve">these </w:t>
      </w:r>
      <w:r w:rsidR="00077625" w:rsidRPr="00442B4C">
        <w:rPr>
          <w:rFonts w:ascii="Arial" w:hAnsi="Arial" w:cs="Arial"/>
          <w:sz w:val="20"/>
          <w:szCs w:val="20"/>
          <w:lang w:val="en-GB"/>
        </w:rPr>
        <w:t xml:space="preserve">suitable local services. </w:t>
      </w:r>
      <w:r w:rsidR="00F842EB" w:rsidRPr="00442B4C">
        <w:rPr>
          <w:rFonts w:ascii="Arial" w:hAnsi="Arial" w:cs="Arial"/>
          <w:sz w:val="20"/>
          <w:szCs w:val="20"/>
          <w:lang w:val="en-GB"/>
        </w:rPr>
        <w:t xml:space="preserve">The established VRU, in particular the Victim Champion, will work closely with the Service provider to quickly introduce and develop networks.  </w:t>
      </w:r>
    </w:p>
    <w:p w14:paraId="51CDADE1" w14:textId="77777777" w:rsidR="009812F8" w:rsidRPr="00442B4C" w:rsidRDefault="00FD672F" w:rsidP="00077625">
      <w:pPr>
        <w:pStyle w:val="Bulletlist1"/>
        <w:rPr>
          <w:rFonts w:ascii="Arial" w:hAnsi="Arial" w:cs="Arial"/>
          <w:sz w:val="20"/>
          <w:szCs w:val="20"/>
          <w:lang w:val="en-GB"/>
        </w:rPr>
      </w:pPr>
      <w:r w:rsidRPr="00FD672F">
        <w:rPr>
          <w:rFonts w:ascii="Arial" w:hAnsi="Arial" w:cs="Arial"/>
          <w:sz w:val="20"/>
          <w:szCs w:val="20"/>
          <w:lang w:val="en-GB"/>
        </w:rPr>
        <w:t>E</w:t>
      </w:r>
      <w:r w:rsidR="00077625" w:rsidRPr="00FD672F">
        <w:rPr>
          <w:rFonts w:ascii="Arial" w:hAnsi="Arial" w:cs="Arial"/>
          <w:sz w:val="20"/>
          <w:szCs w:val="20"/>
          <w:lang w:val="en-GB"/>
        </w:rPr>
        <w:t>xperience working alongside statutory partners</w:t>
      </w:r>
      <w:r w:rsidR="00077625" w:rsidRPr="00442B4C">
        <w:rPr>
          <w:rFonts w:ascii="Arial" w:hAnsi="Arial" w:cs="Arial"/>
          <w:sz w:val="20"/>
          <w:szCs w:val="20"/>
          <w:lang w:val="en-GB"/>
        </w:rPr>
        <w:t xml:space="preserve"> and of how to achieve the best outcomes for young people within th</w:t>
      </w:r>
      <w:r w:rsidR="000D7C88">
        <w:rPr>
          <w:rFonts w:ascii="Arial" w:hAnsi="Arial" w:cs="Arial"/>
          <w:sz w:val="20"/>
          <w:szCs w:val="20"/>
          <w:lang w:val="en-GB"/>
        </w:rPr>
        <w:t>ese</w:t>
      </w:r>
      <w:r w:rsidR="00077625" w:rsidRPr="00442B4C">
        <w:rPr>
          <w:rFonts w:ascii="Arial" w:hAnsi="Arial" w:cs="Arial"/>
          <w:sz w:val="20"/>
          <w:szCs w:val="20"/>
          <w:lang w:val="en-GB"/>
        </w:rPr>
        <w:t xml:space="preserve"> framework</w:t>
      </w:r>
      <w:r w:rsidR="000D7C88">
        <w:rPr>
          <w:rFonts w:ascii="Arial" w:hAnsi="Arial" w:cs="Arial"/>
          <w:sz w:val="20"/>
          <w:szCs w:val="20"/>
          <w:lang w:val="en-GB"/>
        </w:rPr>
        <w:t>s.</w:t>
      </w:r>
    </w:p>
    <w:p w14:paraId="5A94687A" w14:textId="77777777" w:rsidR="00077625" w:rsidRPr="000D7C88" w:rsidRDefault="000D7C88" w:rsidP="00077625">
      <w:pPr>
        <w:pStyle w:val="Bulletlist1"/>
        <w:rPr>
          <w:rFonts w:ascii="Arial" w:hAnsi="Arial" w:cs="Arial"/>
          <w:sz w:val="20"/>
          <w:szCs w:val="20"/>
          <w:lang w:val="en-GB"/>
        </w:rPr>
      </w:pPr>
      <w:r w:rsidRPr="000D7C88">
        <w:rPr>
          <w:rFonts w:ascii="Arial" w:hAnsi="Arial" w:cs="Arial"/>
          <w:sz w:val="20"/>
          <w:szCs w:val="20"/>
          <w:lang w:val="en-GB"/>
        </w:rPr>
        <w:t>E</w:t>
      </w:r>
      <w:r w:rsidR="00077625" w:rsidRPr="000D7C88">
        <w:rPr>
          <w:rFonts w:ascii="Arial" w:hAnsi="Arial" w:cs="Arial"/>
          <w:sz w:val="20"/>
          <w:szCs w:val="20"/>
          <w:lang w:val="en-GB"/>
        </w:rPr>
        <w:t>xperience of conducting dynamic risk assessments and safety planning</w:t>
      </w:r>
      <w:r w:rsidRPr="000D7C88">
        <w:rPr>
          <w:rFonts w:ascii="Arial" w:hAnsi="Arial" w:cs="Arial"/>
          <w:sz w:val="20"/>
          <w:szCs w:val="20"/>
          <w:lang w:val="en-GB"/>
        </w:rPr>
        <w:t>.</w:t>
      </w:r>
    </w:p>
    <w:p w14:paraId="0A790510" w14:textId="77777777" w:rsidR="00077625" w:rsidRPr="00442B4C" w:rsidRDefault="000D7C88" w:rsidP="00077625">
      <w:pPr>
        <w:pStyle w:val="Bulletlist1"/>
        <w:rPr>
          <w:rFonts w:ascii="Arial" w:hAnsi="Arial" w:cs="Arial"/>
          <w:sz w:val="20"/>
          <w:szCs w:val="20"/>
          <w:lang w:val="en-GB"/>
        </w:rPr>
      </w:pPr>
      <w:r w:rsidRPr="000D7C88">
        <w:rPr>
          <w:rFonts w:ascii="Arial" w:hAnsi="Arial" w:cs="Arial"/>
          <w:sz w:val="20"/>
          <w:szCs w:val="20"/>
          <w:lang w:val="en-GB"/>
        </w:rPr>
        <w:t>D</w:t>
      </w:r>
      <w:r w:rsidR="00077625" w:rsidRPr="000D7C88">
        <w:rPr>
          <w:rFonts w:ascii="Arial" w:hAnsi="Arial" w:cs="Arial"/>
          <w:sz w:val="20"/>
          <w:szCs w:val="20"/>
          <w:lang w:val="en-GB"/>
        </w:rPr>
        <w:t>emonstrate use of evidence-based interventions</w:t>
      </w:r>
      <w:r w:rsidRPr="000D7C88">
        <w:rPr>
          <w:rFonts w:ascii="Arial" w:hAnsi="Arial" w:cs="Arial"/>
          <w:sz w:val="20"/>
          <w:szCs w:val="20"/>
          <w:lang w:val="en-GB"/>
        </w:rPr>
        <w:t>.</w:t>
      </w:r>
      <w:r w:rsidR="00077625" w:rsidRPr="00442B4C">
        <w:rPr>
          <w:rFonts w:ascii="Arial" w:hAnsi="Arial" w:cs="Arial"/>
          <w:sz w:val="20"/>
          <w:szCs w:val="20"/>
          <w:lang w:val="en-GB"/>
        </w:rPr>
        <w:t xml:space="preserve"> </w:t>
      </w:r>
      <w:r w:rsidR="009812F8" w:rsidRPr="00442B4C">
        <w:rPr>
          <w:rFonts w:ascii="Arial" w:hAnsi="Arial" w:cs="Arial"/>
          <w:sz w:val="20"/>
          <w:szCs w:val="20"/>
          <w:lang w:val="en-GB"/>
        </w:rPr>
        <w:t xml:space="preserve">GMCA </w:t>
      </w:r>
      <w:r w:rsidR="00077625" w:rsidRPr="00442B4C">
        <w:rPr>
          <w:rFonts w:ascii="Arial" w:hAnsi="Arial" w:cs="Arial"/>
          <w:sz w:val="20"/>
          <w:szCs w:val="20"/>
          <w:lang w:val="en-GB"/>
        </w:rPr>
        <w:t xml:space="preserve">are not specifying how the Service should engage young people nor what interventions the Service should use. This is down to the Provider and will need to be outlined in </w:t>
      </w:r>
      <w:r w:rsidR="009812F8" w:rsidRPr="00442B4C">
        <w:rPr>
          <w:rFonts w:ascii="Arial" w:hAnsi="Arial" w:cs="Arial"/>
          <w:sz w:val="20"/>
          <w:szCs w:val="20"/>
          <w:lang w:val="en-GB"/>
        </w:rPr>
        <w:t xml:space="preserve">the </w:t>
      </w:r>
      <w:r w:rsidR="00077625" w:rsidRPr="00442B4C">
        <w:rPr>
          <w:rFonts w:ascii="Arial" w:hAnsi="Arial" w:cs="Arial"/>
          <w:sz w:val="20"/>
          <w:szCs w:val="20"/>
          <w:lang w:val="en-GB"/>
        </w:rPr>
        <w:t xml:space="preserve">bidders’ tender documentation along with the evidence base that supports their approach and their expected outcomes. The length of time the youth worker engages with a client is likewise not specified, but an indication should be included within the bidders’ tender documentation. </w:t>
      </w:r>
      <w:r w:rsidR="00F842EB" w:rsidRPr="00442B4C">
        <w:rPr>
          <w:rFonts w:ascii="Arial" w:hAnsi="Arial" w:cs="Arial"/>
          <w:sz w:val="20"/>
          <w:szCs w:val="20"/>
          <w:lang w:val="en-GB"/>
        </w:rPr>
        <w:t xml:space="preserve">Innovation is welcomed and the pilot will allow for flexibility of approaches in order to achieve the best outcomes for young people. </w:t>
      </w:r>
      <w:r w:rsidR="009812F8" w:rsidRPr="00442B4C">
        <w:rPr>
          <w:rFonts w:ascii="Arial" w:hAnsi="Arial" w:cs="Arial"/>
          <w:sz w:val="20"/>
          <w:szCs w:val="20"/>
          <w:lang w:val="en-GB"/>
        </w:rPr>
        <w:t xml:space="preserve"> </w:t>
      </w:r>
    </w:p>
    <w:p w14:paraId="5FC3EA23" w14:textId="77777777" w:rsidR="00077625" w:rsidRPr="00442B4C" w:rsidRDefault="00C40E79" w:rsidP="00077625">
      <w:pPr>
        <w:pStyle w:val="Heading1"/>
        <w:keepLines/>
        <w:pBdr>
          <w:top w:val="nil"/>
          <w:left w:val="nil"/>
          <w:bottom w:val="nil"/>
          <w:right w:val="nil"/>
          <w:between w:val="nil"/>
          <w:bar w:val="nil"/>
        </w:pBdr>
        <w:spacing w:before="240" w:after="120" w:line="264" w:lineRule="auto"/>
        <w:ind w:left="680" w:hanging="680"/>
        <w:rPr>
          <w:rFonts w:cs="Arial"/>
          <w:szCs w:val="20"/>
          <w:lang w:val="en-GB"/>
        </w:rPr>
      </w:pPr>
      <w:bookmarkStart w:id="2" w:name="_Toc19131630"/>
      <w:r>
        <w:rPr>
          <w:rFonts w:cs="Arial"/>
          <w:szCs w:val="20"/>
          <w:lang w:val="en-GB"/>
        </w:rPr>
        <w:t xml:space="preserve">            </w:t>
      </w:r>
      <w:r w:rsidR="00442B4C">
        <w:rPr>
          <w:rFonts w:cs="Arial"/>
          <w:szCs w:val="20"/>
          <w:lang w:val="en-GB"/>
        </w:rPr>
        <w:t xml:space="preserve">Section Three – </w:t>
      </w:r>
      <w:r w:rsidR="00077625" w:rsidRPr="00442B4C">
        <w:rPr>
          <w:rFonts w:cs="Arial"/>
          <w:szCs w:val="20"/>
          <w:lang w:val="en-GB"/>
        </w:rPr>
        <w:t>S</w:t>
      </w:r>
      <w:bookmarkEnd w:id="2"/>
      <w:r w:rsidR="00442B4C">
        <w:rPr>
          <w:rFonts w:cs="Arial"/>
          <w:szCs w:val="20"/>
          <w:lang w:val="en-GB"/>
        </w:rPr>
        <w:t xml:space="preserve">ervice Requirements </w:t>
      </w:r>
    </w:p>
    <w:p w14:paraId="79FA2ACF" w14:textId="77777777" w:rsidR="00077625" w:rsidRPr="00442B4C" w:rsidRDefault="00C40E79" w:rsidP="00077625">
      <w:pPr>
        <w:pStyle w:val="Heading2"/>
        <w:keepLines/>
        <w:numPr>
          <w:ilvl w:val="1"/>
          <w:numId w:val="0"/>
        </w:numPr>
        <w:pBdr>
          <w:top w:val="nil"/>
          <w:left w:val="nil"/>
          <w:bottom w:val="nil"/>
          <w:right w:val="nil"/>
          <w:between w:val="nil"/>
          <w:bar w:val="nil"/>
        </w:pBdr>
        <w:spacing w:after="120" w:line="264" w:lineRule="auto"/>
        <w:ind w:left="680" w:hanging="680"/>
        <w:rPr>
          <w:rFonts w:cs="Arial"/>
          <w:sz w:val="20"/>
          <w:szCs w:val="20"/>
          <w:lang w:val="en-GB"/>
        </w:rPr>
      </w:pPr>
      <w:bookmarkStart w:id="3" w:name="_Toc19131631"/>
      <w:r>
        <w:rPr>
          <w:rFonts w:cs="Arial"/>
          <w:sz w:val="20"/>
          <w:szCs w:val="20"/>
          <w:lang w:val="en-GB"/>
        </w:rPr>
        <w:t xml:space="preserve">            </w:t>
      </w:r>
      <w:r w:rsidR="00442B4C">
        <w:rPr>
          <w:rFonts w:cs="Arial"/>
          <w:sz w:val="20"/>
          <w:szCs w:val="20"/>
          <w:lang w:val="en-GB"/>
        </w:rPr>
        <w:t xml:space="preserve">3.1 </w:t>
      </w:r>
      <w:r w:rsidR="00077625" w:rsidRPr="00442B4C">
        <w:rPr>
          <w:rFonts w:cs="Arial"/>
          <w:sz w:val="20"/>
          <w:szCs w:val="20"/>
          <w:lang w:val="en-GB"/>
        </w:rPr>
        <w:t>Scope</w:t>
      </w:r>
      <w:bookmarkEnd w:id="3"/>
    </w:p>
    <w:p w14:paraId="0D494F33" w14:textId="77777777" w:rsidR="00077625" w:rsidRPr="00442B4C" w:rsidRDefault="00442B4C" w:rsidP="00CB65EA">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sidRPr="00442B4C">
        <w:rPr>
          <w:rFonts w:ascii="Arial" w:hAnsi="Arial" w:cs="Arial"/>
          <w:color w:val="auto"/>
          <w:sz w:val="20"/>
          <w:szCs w:val="20"/>
          <w:lang w:val="en-GB"/>
        </w:rPr>
        <w:t xml:space="preserve">            </w:t>
      </w:r>
      <w:r w:rsidR="00F842EB" w:rsidRPr="00442B4C">
        <w:rPr>
          <w:rFonts w:ascii="Arial" w:hAnsi="Arial" w:cs="Arial"/>
          <w:color w:val="auto"/>
          <w:sz w:val="20"/>
          <w:szCs w:val="20"/>
          <w:lang w:val="en-GB"/>
        </w:rPr>
        <w:t>GMCA</w:t>
      </w:r>
      <w:r w:rsidR="00077625" w:rsidRPr="00442B4C">
        <w:rPr>
          <w:rFonts w:ascii="Arial" w:hAnsi="Arial" w:cs="Arial"/>
          <w:color w:val="auto"/>
          <w:sz w:val="20"/>
          <w:szCs w:val="20"/>
          <w:lang w:val="en-GB"/>
        </w:rPr>
        <w:t xml:space="preserve"> is commissioning a</w:t>
      </w:r>
      <w:r w:rsidR="00F842EB" w:rsidRPr="00442B4C">
        <w:rPr>
          <w:rFonts w:ascii="Arial" w:hAnsi="Arial" w:cs="Arial"/>
          <w:color w:val="auto"/>
          <w:sz w:val="20"/>
          <w:szCs w:val="20"/>
          <w:lang w:val="en-GB"/>
        </w:rPr>
        <w:t xml:space="preserve"> ‘Navigator’ H</w:t>
      </w:r>
      <w:r w:rsidR="00077625" w:rsidRPr="00442B4C">
        <w:rPr>
          <w:rFonts w:ascii="Arial" w:hAnsi="Arial" w:cs="Arial"/>
          <w:color w:val="auto"/>
          <w:sz w:val="20"/>
          <w:szCs w:val="20"/>
          <w:lang w:val="en-GB"/>
        </w:rPr>
        <w:t xml:space="preserve">ospital </w:t>
      </w:r>
      <w:r w:rsidR="00F842EB" w:rsidRPr="00442B4C">
        <w:rPr>
          <w:rFonts w:ascii="Arial" w:hAnsi="Arial" w:cs="Arial"/>
          <w:color w:val="auto"/>
          <w:sz w:val="20"/>
          <w:szCs w:val="20"/>
          <w:lang w:val="en-GB"/>
        </w:rPr>
        <w:t>Intervention</w:t>
      </w:r>
      <w:r w:rsidR="00077625" w:rsidRPr="00442B4C">
        <w:rPr>
          <w:rFonts w:ascii="Arial" w:hAnsi="Arial" w:cs="Arial"/>
          <w:color w:val="auto"/>
          <w:sz w:val="20"/>
          <w:szCs w:val="20"/>
          <w:lang w:val="en-GB"/>
        </w:rPr>
        <w:t xml:space="preserve"> Service a</w:t>
      </w:r>
      <w:r w:rsidR="00F842EB" w:rsidRPr="00442B4C">
        <w:rPr>
          <w:rFonts w:ascii="Arial" w:hAnsi="Arial" w:cs="Arial"/>
          <w:color w:val="auto"/>
          <w:sz w:val="20"/>
          <w:szCs w:val="20"/>
          <w:lang w:val="en-GB"/>
        </w:rPr>
        <w:t xml:space="preserve">cross three </w:t>
      </w:r>
      <w:r w:rsidR="00B0163B" w:rsidRPr="00442B4C">
        <w:rPr>
          <w:rFonts w:ascii="Arial" w:hAnsi="Arial" w:cs="Arial"/>
          <w:color w:val="auto"/>
          <w:sz w:val="20"/>
          <w:szCs w:val="20"/>
          <w:lang w:val="en-GB"/>
        </w:rPr>
        <w:t>Local Authority / NHS Trust</w:t>
      </w:r>
      <w:r w:rsidR="00F842EB" w:rsidRPr="00442B4C">
        <w:rPr>
          <w:rFonts w:ascii="Arial" w:hAnsi="Arial" w:cs="Arial"/>
          <w:color w:val="auto"/>
          <w:sz w:val="20"/>
          <w:szCs w:val="20"/>
          <w:lang w:val="en-GB"/>
        </w:rPr>
        <w:t xml:space="preserve"> </w:t>
      </w:r>
      <w:r w:rsidR="00B0163B" w:rsidRPr="00442B4C">
        <w:rPr>
          <w:rFonts w:ascii="Arial" w:hAnsi="Arial" w:cs="Arial"/>
          <w:color w:val="auto"/>
          <w:sz w:val="20"/>
          <w:szCs w:val="20"/>
          <w:lang w:val="en-GB"/>
        </w:rPr>
        <w:t>areas -</w:t>
      </w:r>
      <w:r w:rsidR="00F842EB" w:rsidRPr="00442B4C">
        <w:rPr>
          <w:rFonts w:ascii="Arial" w:hAnsi="Arial" w:cs="Arial"/>
          <w:color w:val="auto"/>
          <w:sz w:val="20"/>
          <w:szCs w:val="20"/>
          <w:lang w:val="en-GB"/>
        </w:rPr>
        <w:t xml:space="preserve"> this comprises of </w:t>
      </w:r>
      <w:hyperlink r:id="rId14" w:history="1">
        <w:r w:rsidR="00F842EB" w:rsidRPr="007E30A0">
          <w:rPr>
            <w:rStyle w:val="Hyperlink"/>
            <w:rFonts w:ascii="Arial" w:hAnsi="Arial" w:cs="Arial"/>
            <w:sz w:val="20"/>
            <w:szCs w:val="20"/>
            <w:lang w:val="en-GB"/>
          </w:rPr>
          <w:t>Royal Bolton Hospital</w:t>
        </w:r>
      </w:hyperlink>
      <w:r w:rsidR="00B0163B" w:rsidRPr="00442B4C">
        <w:rPr>
          <w:rFonts w:ascii="Arial" w:hAnsi="Arial" w:cs="Arial"/>
          <w:color w:val="auto"/>
          <w:sz w:val="20"/>
          <w:szCs w:val="20"/>
          <w:lang w:val="en-GB"/>
        </w:rPr>
        <w:t xml:space="preserve">, </w:t>
      </w:r>
      <w:hyperlink r:id="rId15" w:history="1">
        <w:r w:rsidR="00B0163B" w:rsidRPr="007E30A0">
          <w:rPr>
            <w:rStyle w:val="Hyperlink"/>
            <w:rFonts w:ascii="Arial" w:hAnsi="Arial" w:cs="Arial"/>
            <w:sz w:val="20"/>
            <w:szCs w:val="20"/>
            <w:lang w:val="en-GB"/>
          </w:rPr>
          <w:t>Salford</w:t>
        </w:r>
        <w:r w:rsidR="00F842EB" w:rsidRPr="007E30A0">
          <w:rPr>
            <w:rStyle w:val="Hyperlink"/>
            <w:rFonts w:ascii="Arial" w:hAnsi="Arial" w:cs="Arial"/>
            <w:sz w:val="20"/>
            <w:szCs w:val="20"/>
            <w:lang w:val="en-GB"/>
          </w:rPr>
          <w:t xml:space="preserve"> Royal Hospital</w:t>
        </w:r>
      </w:hyperlink>
      <w:r w:rsidR="00F842EB" w:rsidRPr="00442B4C">
        <w:rPr>
          <w:rFonts w:ascii="Arial" w:hAnsi="Arial" w:cs="Arial"/>
          <w:color w:val="auto"/>
          <w:sz w:val="20"/>
          <w:szCs w:val="20"/>
          <w:lang w:val="en-GB"/>
        </w:rPr>
        <w:t xml:space="preserve">, </w:t>
      </w:r>
      <w:hyperlink r:id="rId16" w:history="1">
        <w:r w:rsidR="00F842EB" w:rsidRPr="007E30A0">
          <w:rPr>
            <w:rStyle w:val="Hyperlink"/>
            <w:rFonts w:ascii="Arial" w:hAnsi="Arial" w:cs="Arial"/>
            <w:sz w:val="20"/>
            <w:szCs w:val="20"/>
            <w:lang w:val="en-GB"/>
          </w:rPr>
          <w:t>Manchester Royal Infirmary</w:t>
        </w:r>
      </w:hyperlink>
      <w:r w:rsidR="00F842EB" w:rsidRPr="00442B4C">
        <w:rPr>
          <w:rFonts w:ascii="Arial" w:hAnsi="Arial" w:cs="Arial"/>
          <w:color w:val="auto"/>
          <w:sz w:val="20"/>
          <w:szCs w:val="20"/>
          <w:lang w:val="en-GB"/>
        </w:rPr>
        <w:t xml:space="preserve"> and </w:t>
      </w:r>
      <w:hyperlink r:id="rId17" w:history="1">
        <w:r w:rsidR="00F842EB" w:rsidRPr="007E30A0">
          <w:rPr>
            <w:rStyle w:val="Hyperlink"/>
            <w:rFonts w:ascii="Arial" w:hAnsi="Arial" w:cs="Arial"/>
            <w:sz w:val="20"/>
            <w:szCs w:val="20"/>
            <w:lang w:val="en-GB"/>
          </w:rPr>
          <w:t>Royal Manchester Children’s Hospital</w:t>
        </w:r>
      </w:hyperlink>
      <w:r w:rsidR="00F842EB" w:rsidRPr="00442B4C">
        <w:rPr>
          <w:rFonts w:ascii="Arial" w:hAnsi="Arial" w:cs="Arial"/>
          <w:color w:val="auto"/>
          <w:sz w:val="20"/>
          <w:szCs w:val="20"/>
          <w:lang w:val="en-GB"/>
        </w:rPr>
        <w:t>.</w:t>
      </w:r>
      <w:r w:rsidR="00B0163B" w:rsidRPr="00442B4C">
        <w:rPr>
          <w:rFonts w:ascii="Arial" w:hAnsi="Arial" w:cs="Arial"/>
          <w:color w:val="auto"/>
          <w:sz w:val="20"/>
          <w:szCs w:val="20"/>
          <w:lang w:val="en-GB"/>
        </w:rPr>
        <w:t xml:space="preserve"> As this is a pilot within an agreed budget, there is not the ability to have a dedicated service at each hospital, and the Service will need to ensure appropriate coverage and visibility across all sites.</w:t>
      </w:r>
      <w:r w:rsidR="000D7C88">
        <w:rPr>
          <w:rFonts w:ascii="Arial" w:hAnsi="Arial" w:cs="Arial"/>
          <w:color w:val="auto"/>
          <w:sz w:val="20"/>
          <w:szCs w:val="20"/>
          <w:lang w:val="en-GB"/>
        </w:rPr>
        <w:t xml:space="preserve"> The average road distance between the three sites (Manchester Royal Infirmary and Manchester Royal Children’s Hospital share the same location) is 9 miles, with an average car travel time of 25 minutes. </w:t>
      </w:r>
      <w:r w:rsidR="00B0163B" w:rsidRPr="00442B4C">
        <w:rPr>
          <w:rFonts w:ascii="Arial" w:hAnsi="Arial" w:cs="Arial"/>
          <w:color w:val="auto"/>
          <w:sz w:val="20"/>
          <w:szCs w:val="20"/>
          <w:lang w:val="en-GB"/>
        </w:rPr>
        <w:t xml:space="preserve">GMCA appreciate </w:t>
      </w:r>
      <w:r w:rsidR="000D7C88">
        <w:rPr>
          <w:rFonts w:ascii="Arial" w:hAnsi="Arial" w:cs="Arial"/>
          <w:color w:val="auto"/>
          <w:sz w:val="20"/>
          <w:szCs w:val="20"/>
          <w:lang w:val="en-GB"/>
        </w:rPr>
        <w:t xml:space="preserve">visibility </w:t>
      </w:r>
      <w:r w:rsidR="00B0163B" w:rsidRPr="00442B4C">
        <w:rPr>
          <w:rFonts w:ascii="Arial" w:hAnsi="Arial" w:cs="Arial"/>
          <w:color w:val="auto"/>
          <w:sz w:val="20"/>
          <w:szCs w:val="20"/>
          <w:lang w:val="en-GB"/>
        </w:rPr>
        <w:t xml:space="preserve">will be </w:t>
      </w:r>
      <w:r w:rsidR="00B0163B" w:rsidRPr="00442B4C">
        <w:rPr>
          <w:rFonts w:ascii="Arial" w:hAnsi="Arial" w:cs="Arial"/>
          <w:color w:val="auto"/>
          <w:sz w:val="20"/>
          <w:szCs w:val="20"/>
          <w:lang w:val="en-GB"/>
        </w:rPr>
        <w:lastRenderedPageBreak/>
        <w:t xml:space="preserve">based on identified demand and capacity of the Service, but there is an expectation that a robust referral process is established where physical presence of Navigators is not available.  </w:t>
      </w:r>
      <w:r w:rsidR="00F842EB" w:rsidRPr="00442B4C">
        <w:rPr>
          <w:rFonts w:ascii="Arial" w:hAnsi="Arial" w:cs="Arial"/>
          <w:color w:val="auto"/>
          <w:sz w:val="20"/>
          <w:szCs w:val="20"/>
          <w:lang w:val="en-GB"/>
        </w:rPr>
        <w:t xml:space="preserve">  </w:t>
      </w:r>
      <w:r w:rsidR="00077625" w:rsidRPr="00442B4C">
        <w:rPr>
          <w:rFonts w:ascii="Arial" w:hAnsi="Arial" w:cs="Arial"/>
          <w:color w:val="auto"/>
          <w:sz w:val="20"/>
          <w:szCs w:val="20"/>
          <w:lang w:val="en-GB"/>
        </w:rPr>
        <w:t xml:space="preserve">  </w:t>
      </w:r>
    </w:p>
    <w:p w14:paraId="506FFEB7" w14:textId="77777777" w:rsidR="00B0163B" w:rsidRPr="00442B4C" w:rsidRDefault="00B0163B" w:rsidP="00CB65EA">
      <w:pPr>
        <w:rPr>
          <w:rFonts w:cs="Arial"/>
          <w:szCs w:val="20"/>
          <w:lang w:val="en-GB"/>
        </w:rPr>
      </w:pPr>
    </w:p>
    <w:p w14:paraId="738B8C3E" w14:textId="77777777" w:rsidR="00077625" w:rsidRPr="00442B4C" w:rsidRDefault="00442B4C" w:rsidP="00CB65EA">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sidRPr="00442B4C">
        <w:rPr>
          <w:rFonts w:ascii="Arial" w:hAnsi="Arial" w:cs="Arial"/>
          <w:color w:val="auto"/>
          <w:sz w:val="20"/>
          <w:szCs w:val="20"/>
          <w:lang w:val="en-GB"/>
        </w:rPr>
        <w:t xml:space="preserve">            </w:t>
      </w:r>
      <w:r w:rsidR="00077625" w:rsidRPr="00442B4C">
        <w:rPr>
          <w:rFonts w:ascii="Arial" w:hAnsi="Arial" w:cs="Arial"/>
          <w:color w:val="auto"/>
          <w:sz w:val="20"/>
          <w:szCs w:val="20"/>
          <w:lang w:val="en-GB"/>
        </w:rPr>
        <w:t>It is important to note that all the A&amp;Es serve a population wider than the borough within which they are located. There is therefore an expectation that the Service supports young people attending the A&amp;E regardless of where they live</w:t>
      </w:r>
      <w:r w:rsidR="00B0163B" w:rsidRPr="00442B4C">
        <w:rPr>
          <w:rFonts w:ascii="Arial" w:hAnsi="Arial" w:cs="Arial"/>
          <w:color w:val="auto"/>
          <w:sz w:val="20"/>
          <w:szCs w:val="20"/>
          <w:lang w:val="en-GB"/>
        </w:rPr>
        <w:t xml:space="preserve">, with appropriate advocacy to ensure they receive ongoing support within their locality. </w:t>
      </w:r>
    </w:p>
    <w:p w14:paraId="4B901797" w14:textId="77777777" w:rsidR="00077625" w:rsidRPr="00442B4C" w:rsidRDefault="00442B4C" w:rsidP="004630F8">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sidRPr="00442B4C">
        <w:rPr>
          <w:rFonts w:ascii="Arial" w:hAnsi="Arial" w:cs="Arial"/>
          <w:color w:val="auto"/>
          <w:sz w:val="20"/>
          <w:szCs w:val="20"/>
          <w:lang w:val="en-GB"/>
        </w:rPr>
        <w:t xml:space="preserve">            </w:t>
      </w:r>
      <w:r w:rsidR="00077625" w:rsidRPr="00442B4C">
        <w:rPr>
          <w:rFonts w:ascii="Arial" w:hAnsi="Arial" w:cs="Arial"/>
          <w:color w:val="auto"/>
          <w:sz w:val="20"/>
          <w:szCs w:val="20"/>
          <w:lang w:val="en-GB"/>
        </w:rPr>
        <w:t>The Service is aimed at vulnerable 1</w:t>
      </w:r>
      <w:r w:rsidR="00B0163B" w:rsidRPr="00442B4C">
        <w:rPr>
          <w:rFonts w:ascii="Arial" w:hAnsi="Arial" w:cs="Arial"/>
          <w:color w:val="auto"/>
          <w:sz w:val="20"/>
          <w:szCs w:val="20"/>
          <w:lang w:val="en-GB"/>
        </w:rPr>
        <w:t>0</w:t>
      </w:r>
      <w:r w:rsidR="00077625" w:rsidRPr="00442B4C">
        <w:rPr>
          <w:rFonts w:ascii="Arial" w:hAnsi="Arial" w:cs="Arial"/>
          <w:color w:val="auto"/>
          <w:sz w:val="20"/>
          <w:szCs w:val="20"/>
          <w:lang w:val="en-GB"/>
        </w:rPr>
        <w:t xml:space="preserve"> to 25 year-olds who attend the adult or paediatric A&amp;E departments at the hospitals </w:t>
      </w:r>
      <w:r w:rsidR="00B0163B" w:rsidRPr="00442B4C">
        <w:rPr>
          <w:rFonts w:ascii="Arial" w:hAnsi="Arial" w:cs="Arial"/>
          <w:color w:val="auto"/>
          <w:sz w:val="20"/>
          <w:szCs w:val="20"/>
          <w:lang w:val="en-GB"/>
        </w:rPr>
        <w:t xml:space="preserve">within the pilot. </w:t>
      </w:r>
      <w:r w:rsidR="00077625" w:rsidRPr="00442B4C">
        <w:rPr>
          <w:rFonts w:ascii="Arial" w:hAnsi="Arial" w:cs="Arial"/>
          <w:color w:val="auto"/>
          <w:sz w:val="20"/>
          <w:szCs w:val="20"/>
          <w:lang w:val="en-GB"/>
        </w:rPr>
        <w:t xml:space="preserve"> The Service must work alongside the team in the A&amp;E to proactively identify vulnerable young people and help them to access and engage the support they need to prevent any potential escalation of violence and reduce the risk of repeat victimisation or exploitation.</w:t>
      </w:r>
    </w:p>
    <w:p w14:paraId="71E5D970" w14:textId="77777777" w:rsidR="00077625" w:rsidRPr="00C72258" w:rsidRDefault="00442B4C" w:rsidP="004630F8">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sz w:val="20"/>
          <w:szCs w:val="20"/>
          <w:lang w:val="en-GB"/>
        </w:rPr>
        <w:t xml:space="preserve">            </w:t>
      </w:r>
      <w:r w:rsidR="00077625" w:rsidRPr="00C72258">
        <w:rPr>
          <w:rFonts w:ascii="Arial" w:hAnsi="Arial" w:cs="Arial"/>
          <w:color w:val="auto"/>
          <w:sz w:val="20"/>
          <w:szCs w:val="20"/>
          <w:lang w:val="en-GB"/>
        </w:rPr>
        <w:t xml:space="preserve">The Service will provide </w:t>
      </w:r>
      <w:r w:rsidR="005F76BC">
        <w:rPr>
          <w:rFonts w:ascii="Arial" w:hAnsi="Arial" w:cs="Arial"/>
          <w:color w:val="auto"/>
          <w:sz w:val="20"/>
          <w:szCs w:val="20"/>
          <w:lang w:val="en-GB"/>
        </w:rPr>
        <w:t>i</w:t>
      </w:r>
      <w:r w:rsidR="00077625" w:rsidRPr="00C72258">
        <w:rPr>
          <w:rFonts w:ascii="Arial" w:hAnsi="Arial" w:cs="Arial"/>
          <w:color w:val="auto"/>
          <w:sz w:val="20"/>
          <w:szCs w:val="20"/>
          <w:lang w:val="en-GB"/>
        </w:rPr>
        <w:t>nterventions</w:t>
      </w:r>
      <w:r w:rsidR="005F76BC">
        <w:rPr>
          <w:rFonts w:ascii="Arial" w:hAnsi="Arial" w:cs="Arial"/>
          <w:color w:val="auto"/>
          <w:sz w:val="20"/>
          <w:szCs w:val="20"/>
          <w:lang w:val="en-GB"/>
        </w:rPr>
        <w:t xml:space="preserve"> for an appropriate period of time, but is not intended to provide long term support. Linking with </w:t>
      </w:r>
      <w:r w:rsidR="005F76BC" w:rsidRPr="00C72258">
        <w:rPr>
          <w:rFonts w:ascii="Arial" w:hAnsi="Arial" w:cs="Arial"/>
          <w:color w:val="auto"/>
          <w:sz w:val="20"/>
          <w:szCs w:val="20"/>
          <w:lang w:val="en-GB"/>
        </w:rPr>
        <w:t xml:space="preserve">statutory partners </w:t>
      </w:r>
      <w:r w:rsidR="005F76BC">
        <w:rPr>
          <w:rFonts w:ascii="Arial" w:hAnsi="Arial" w:cs="Arial"/>
          <w:color w:val="auto"/>
          <w:sz w:val="20"/>
          <w:szCs w:val="20"/>
          <w:lang w:val="en-GB"/>
        </w:rPr>
        <w:t xml:space="preserve">and / </w:t>
      </w:r>
      <w:r w:rsidR="005F76BC" w:rsidRPr="00C72258">
        <w:rPr>
          <w:rFonts w:ascii="Arial" w:hAnsi="Arial" w:cs="Arial"/>
          <w:color w:val="auto"/>
          <w:sz w:val="20"/>
          <w:szCs w:val="20"/>
          <w:lang w:val="en-GB"/>
        </w:rPr>
        <w:t>or appropriate community services</w:t>
      </w:r>
      <w:r w:rsidR="005F76BC">
        <w:rPr>
          <w:rFonts w:ascii="Arial" w:hAnsi="Arial" w:cs="Arial"/>
          <w:color w:val="auto"/>
          <w:sz w:val="20"/>
          <w:szCs w:val="20"/>
          <w:lang w:val="en-GB"/>
        </w:rPr>
        <w:t xml:space="preserve">, the Service will provide </w:t>
      </w:r>
      <w:r w:rsidR="00077625" w:rsidRPr="00C72258">
        <w:rPr>
          <w:rFonts w:ascii="Arial" w:hAnsi="Arial" w:cs="Arial"/>
          <w:color w:val="auto"/>
          <w:sz w:val="20"/>
          <w:szCs w:val="20"/>
          <w:lang w:val="en-GB"/>
        </w:rPr>
        <w:t>advoca</w:t>
      </w:r>
      <w:r w:rsidR="005F76BC">
        <w:rPr>
          <w:rFonts w:ascii="Arial" w:hAnsi="Arial" w:cs="Arial"/>
          <w:color w:val="auto"/>
          <w:sz w:val="20"/>
          <w:szCs w:val="20"/>
          <w:lang w:val="en-GB"/>
        </w:rPr>
        <w:t>cy</w:t>
      </w:r>
      <w:r w:rsidR="00077625" w:rsidRPr="00C72258">
        <w:rPr>
          <w:rFonts w:ascii="Arial" w:hAnsi="Arial" w:cs="Arial"/>
          <w:color w:val="auto"/>
          <w:sz w:val="20"/>
          <w:szCs w:val="20"/>
          <w:lang w:val="en-GB"/>
        </w:rPr>
        <w:t xml:space="preserve"> for th</w:t>
      </w:r>
      <w:r w:rsidR="005F76BC">
        <w:rPr>
          <w:rFonts w:ascii="Arial" w:hAnsi="Arial" w:cs="Arial"/>
          <w:color w:val="auto"/>
          <w:sz w:val="20"/>
          <w:szCs w:val="20"/>
          <w:lang w:val="en-GB"/>
        </w:rPr>
        <w:t>e</w:t>
      </w:r>
      <w:r w:rsidR="00077625" w:rsidRPr="00C72258">
        <w:rPr>
          <w:rFonts w:ascii="Arial" w:hAnsi="Arial" w:cs="Arial"/>
          <w:color w:val="auto"/>
          <w:sz w:val="20"/>
          <w:szCs w:val="20"/>
          <w:lang w:val="en-GB"/>
        </w:rPr>
        <w:t xml:space="preserve"> young victim</w:t>
      </w:r>
      <w:r w:rsidR="005F76BC">
        <w:rPr>
          <w:rFonts w:ascii="Arial" w:hAnsi="Arial" w:cs="Arial"/>
          <w:color w:val="auto"/>
          <w:sz w:val="20"/>
          <w:szCs w:val="20"/>
          <w:lang w:val="en-GB"/>
        </w:rPr>
        <w:t xml:space="preserve"> to ensure they receive local support as soon as practicable</w:t>
      </w:r>
      <w:r w:rsidR="00C40E79">
        <w:rPr>
          <w:rFonts w:ascii="Arial" w:hAnsi="Arial" w:cs="Arial"/>
          <w:color w:val="auto"/>
          <w:sz w:val="20"/>
          <w:szCs w:val="20"/>
          <w:lang w:val="en-GB"/>
        </w:rPr>
        <w:t>,</w:t>
      </w:r>
      <w:r w:rsidR="00077625" w:rsidRPr="00C72258">
        <w:rPr>
          <w:rFonts w:ascii="Arial" w:hAnsi="Arial" w:cs="Arial"/>
          <w:color w:val="auto"/>
          <w:sz w:val="20"/>
          <w:szCs w:val="20"/>
          <w:lang w:val="en-GB"/>
        </w:rPr>
        <w:t xml:space="preserve"> to help them cope and recover from their experiences</w:t>
      </w:r>
      <w:r w:rsidR="00C40E79">
        <w:rPr>
          <w:rFonts w:ascii="Arial" w:hAnsi="Arial" w:cs="Arial"/>
          <w:color w:val="auto"/>
          <w:sz w:val="20"/>
          <w:szCs w:val="20"/>
          <w:lang w:val="en-GB"/>
        </w:rPr>
        <w:t xml:space="preserve"> in a sustainable community setting</w:t>
      </w:r>
      <w:r w:rsidR="00077625" w:rsidRPr="00C72258">
        <w:rPr>
          <w:rFonts w:ascii="Arial" w:hAnsi="Arial" w:cs="Arial"/>
          <w:color w:val="auto"/>
          <w:sz w:val="20"/>
          <w:szCs w:val="20"/>
          <w:lang w:val="en-GB"/>
        </w:rPr>
        <w:t>.</w:t>
      </w:r>
    </w:p>
    <w:p w14:paraId="19D398DF" w14:textId="77777777" w:rsidR="00077625" w:rsidRPr="00C72258" w:rsidRDefault="00442B4C" w:rsidP="004630F8">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sidRPr="00C72258">
        <w:rPr>
          <w:rFonts w:ascii="Arial" w:hAnsi="Arial" w:cs="Arial"/>
          <w:color w:val="auto"/>
          <w:sz w:val="20"/>
          <w:szCs w:val="20"/>
          <w:lang w:val="en-GB"/>
        </w:rPr>
        <w:t xml:space="preserve">            </w:t>
      </w:r>
      <w:r w:rsidR="00077625" w:rsidRPr="00C72258">
        <w:rPr>
          <w:rFonts w:ascii="Arial" w:hAnsi="Arial" w:cs="Arial"/>
          <w:color w:val="auto"/>
          <w:sz w:val="20"/>
          <w:szCs w:val="20"/>
          <w:lang w:val="en-GB"/>
        </w:rPr>
        <w:t xml:space="preserve">The Service </w:t>
      </w:r>
      <w:r w:rsidR="00CB65EA" w:rsidRPr="00C72258">
        <w:rPr>
          <w:rFonts w:ascii="Arial" w:hAnsi="Arial" w:cs="Arial"/>
          <w:color w:val="auto"/>
          <w:sz w:val="20"/>
          <w:szCs w:val="20"/>
          <w:lang w:val="en-GB"/>
        </w:rPr>
        <w:t>will build</w:t>
      </w:r>
      <w:r w:rsidR="00077625" w:rsidRPr="00C72258">
        <w:rPr>
          <w:rFonts w:ascii="Arial" w:hAnsi="Arial" w:cs="Arial"/>
          <w:color w:val="auto"/>
          <w:sz w:val="20"/>
          <w:szCs w:val="20"/>
          <w:lang w:val="en-GB"/>
        </w:rPr>
        <w:t xml:space="preserve"> on and complement effective partnership working with and between community providers, statutory partners and the hospital.</w:t>
      </w:r>
    </w:p>
    <w:p w14:paraId="659C6E2A" w14:textId="77777777" w:rsidR="00077625" w:rsidRDefault="00442B4C" w:rsidP="004630F8">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sidRPr="00C72258">
        <w:rPr>
          <w:rFonts w:ascii="Arial" w:hAnsi="Arial" w:cs="Arial"/>
          <w:color w:val="auto"/>
          <w:sz w:val="20"/>
          <w:szCs w:val="20"/>
          <w:lang w:val="en-GB"/>
        </w:rPr>
        <w:t xml:space="preserve">            </w:t>
      </w:r>
      <w:r w:rsidR="00077625" w:rsidRPr="00C72258">
        <w:rPr>
          <w:rFonts w:ascii="Arial" w:hAnsi="Arial" w:cs="Arial"/>
          <w:color w:val="auto"/>
          <w:sz w:val="20"/>
          <w:szCs w:val="20"/>
          <w:lang w:val="en-GB"/>
        </w:rPr>
        <w:t>For the purposes of this commissioning process the term</w:t>
      </w:r>
      <w:r w:rsidR="00B0163B" w:rsidRPr="00C72258">
        <w:rPr>
          <w:rFonts w:ascii="Arial" w:hAnsi="Arial" w:cs="Arial"/>
          <w:color w:val="auto"/>
          <w:sz w:val="20"/>
          <w:szCs w:val="20"/>
          <w:lang w:val="en-GB"/>
        </w:rPr>
        <w:t xml:space="preserve"> ‘Navigator’ or</w:t>
      </w:r>
      <w:r w:rsidR="00077625" w:rsidRPr="00C72258">
        <w:rPr>
          <w:rFonts w:ascii="Arial" w:hAnsi="Arial" w:cs="Arial"/>
          <w:color w:val="auto"/>
          <w:sz w:val="20"/>
          <w:szCs w:val="20"/>
          <w:lang w:val="en-GB"/>
        </w:rPr>
        <w:t xml:space="preserve"> ‘youth work’ does not denote a particular model requiring certain training or qualifications. Bidders will be asked to outline and explain their delivery model, showing how they will utilise different staff, the training they undertake and the level of skills, knowledge and experience that they require of their employees.</w:t>
      </w:r>
      <w:r w:rsidR="00CB65EA">
        <w:rPr>
          <w:rFonts w:ascii="Arial" w:hAnsi="Arial" w:cs="Arial"/>
          <w:color w:val="auto"/>
          <w:sz w:val="20"/>
          <w:szCs w:val="20"/>
          <w:lang w:val="en-GB"/>
        </w:rPr>
        <w:t xml:space="preserve"> GMCA reserve the right to review the Navigator job description created by the Provider and nominate a GMCA representative to assist at interview stage.  </w:t>
      </w:r>
    </w:p>
    <w:p w14:paraId="3D3B2237" w14:textId="77777777" w:rsidR="00CB65EA" w:rsidRPr="00CB65EA" w:rsidRDefault="00CB65EA" w:rsidP="00CB65EA">
      <w:pPr>
        <w:rPr>
          <w:lang w:val="en-GB"/>
        </w:rPr>
      </w:pPr>
      <w:r>
        <w:rPr>
          <w:lang w:val="en-GB"/>
        </w:rPr>
        <w:t xml:space="preserve"> </w:t>
      </w:r>
    </w:p>
    <w:p w14:paraId="209C7378" w14:textId="77777777" w:rsidR="00077625" w:rsidRPr="00C72258" w:rsidRDefault="00442B4C" w:rsidP="00CB65EA">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964" w:hanging="680"/>
        <w:rPr>
          <w:rFonts w:ascii="Arial" w:hAnsi="Arial" w:cs="Arial"/>
          <w:b/>
          <w:color w:val="auto"/>
          <w:sz w:val="20"/>
          <w:szCs w:val="20"/>
          <w:lang w:val="en-GB"/>
        </w:rPr>
      </w:pPr>
      <w:r w:rsidRPr="00C72258">
        <w:rPr>
          <w:rFonts w:ascii="Arial" w:hAnsi="Arial" w:cs="Arial"/>
          <w:color w:val="auto"/>
          <w:sz w:val="20"/>
          <w:szCs w:val="20"/>
          <w:lang w:val="en-GB"/>
        </w:rPr>
        <w:t xml:space="preserve"> </w:t>
      </w:r>
      <w:r w:rsidR="00077625" w:rsidRPr="00C72258">
        <w:rPr>
          <w:rFonts w:ascii="Arial" w:hAnsi="Arial" w:cs="Arial"/>
          <w:b/>
          <w:color w:val="auto"/>
          <w:sz w:val="20"/>
          <w:szCs w:val="20"/>
          <w:lang w:val="en-GB"/>
        </w:rPr>
        <w:t>The Service is not intended to deliver the following elements:</w:t>
      </w:r>
    </w:p>
    <w:p w14:paraId="2D06941E" w14:textId="77777777" w:rsidR="00077625" w:rsidRPr="00C72258" w:rsidRDefault="004630F8" w:rsidP="00460011">
      <w:pPr>
        <w:pStyle w:val="Bulletlist1"/>
        <w:spacing w:line="240" w:lineRule="auto"/>
        <w:ind w:left="1361"/>
        <w:rPr>
          <w:rFonts w:ascii="Arial" w:hAnsi="Arial" w:cs="Arial"/>
          <w:color w:val="auto"/>
          <w:sz w:val="20"/>
          <w:szCs w:val="20"/>
          <w:lang w:val="en-GB"/>
        </w:rPr>
      </w:pPr>
      <w:r>
        <w:rPr>
          <w:rFonts w:ascii="Arial" w:hAnsi="Arial" w:cs="Arial"/>
          <w:color w:val="auto"/>
          <w:sz w:val="20"/>
          <w:szCs w:val="20"/>
          <w:lang w:val="en-GB"/>
        </w:rPr>
        <w:t>G</w:t>
      </w:r>
      <w:r w:rsidR="00077625" w:rsidRPr="00C72258">
        <w:rPr>
          <w:rFonts w:ascii="Arial" w:hAnsi="Arial" w:cs="Arial"/>
          <w:color w:val="auto"/>
          <w:sz w:val="20"/>
          <w:szCs w:val="20"/>
          <w:lang w:val="en-GB"/>
        </w:rPr>
        <w:t>ang exit work</w:t>
      </w:r>
    </w:p>
    <w:p w14:paraId="706D0E59" w14:textId="77777777" w:rsidR="00077625" w:rsidRPr="00442B4C" w:rsidRDefault="004630F8" w:rsidP="00460011">
      <w:pPr>
        <w:pStyle w:val="Bulletlist1"/>
        <w:spacing w:line="240" w:lineRule="auto"/>
        <w:ind w:left="1361"/>
        <w:rPr>
          <w:rFonts w:ascii="Arial" w:hAnsi="Arial" w:cs="Arial"/>
          <w:sz w:val="20"/>
          <w:szCs w:val="20"/>
          <w:lang w:val="en-GB"/>
        </w:rPr>
      </w:pPr>
      <w:r>
        <w:rPr>
          <w:rFonts w:ascii="Arial" w:hAnsi="Arial" w:cs="Arial"/>
          <w:sz w:val="20"/>
          <w:szCs w:val="20"/>
          <w:lang w:val="en-GB"/>
        </w:rPr>
        <w:t>M</w:t>
      </w:r>
      <w:r w:rsidR="00077625" w:rsidRPr="00442B4C">
        <w:rPr>
          <w:rFonts w:ascii="Arial" w:hAnsi="Arial" w:cs="Arial"/>
          <w:sz w:val="20"/>
          <w:szCs w:val="20"/>
          <w:lang w:val="en-GB"/>
        </w:rPr>
        <w:t>edium to long term support and case management work</w:t>
      </w:r>
    </w:p>
    <w:p w14:paraId="22CC692A" w14:textId="77777777" w:rsidR="00077625" w:rsidRPr="00442B4C" w:rsidRDefault="004630F8" w:rsidP="00460011">
      <w:pPr>
        <w:pStyle w:val="Bulletlist1"/>
        <w:spacing w:line="240" w:lineRule="auto"/>
        <w:ind w:left="1361"/>
        <w:rPr>
          <w:rFonts w:ascii="Arial" w:hAnsi="Arial" w:cs="Arial"/>
          <w:sz w:val="20"/>
          <w:szCs w:val="20"/>
          <w:lang w:val="en-GB"/>
        </w:rPr>
      </w:pPr>
      <w:r>
        <w:rPr>
          <w:rFonts w:ascii="Arial" w:hAnsi="Arial" w:cs="Arial"/>
          <w:sz w:val="20"/>
          <w:szCs w:val="20"/>
          <w:lang w:val="en-GB"/>
        </w:rPr>
        <w:t>M</w:t>
      </w:r>
      <w:r w:rsidR="00077625" w:rsidRPr="00442B4C">
        <w:rPr>
          <w:rFonts w:ascii="Arial" w:hAnsi="Arial" w:cs="Arial"/>
          <w:sz w:val="20"/>
          <w:szCs w:val="20"/>
          <w:lang w:val="en-GB"/>
        </w:rPr>
        <w:t>entoring</w:t>
      </w:r>
    </w:p>
    <w:p w14:paraId="16EB3B6A" w14:textId="77777777" w:rsidR="00077625" w:rsidRPr="00442B4C" w:rsidRDefault="004630F8" w:rsidP="00460011">
      <w:pPr>
        <w:pStyle w:val="Bulletlist1"/>
        <w:spacing w:line="240" w:lineRule="auto"/>
        <w:ind w:left="1361"/>
        <w:rPr>
          <w:rFonts w:ascii="Arial" w:hAnsi="Arial" w:cs="Arial"/>
          <w:sz w:val="20"/>
          <w:szCs w:val="20"/>
          <w:lang w:val="en-GB"/>
        </w:rPr>
      </w:pPr>
      <w:r>
        <w:rPr>
          <w:rFonts w:ascii="Arial" w:hAnsi="Arial" w:cs="Arial"/>
          <w:sz w:val="20"/>
          <w:szCs w:val="20"/>
          <w:lang w:val="en-GB"/>
        </w:rPr>
        <w:t>C</w:t>
      </w:r>
      <w:r w:rsidR="00077625" w:rsidRPr="00442B4C">
        <w:rPr>
          <w:rFonts w:ascii="Arial" w:hAnsi="Arial" w:cs="Arial"/>
          <w:sz w:val="20"/>
          <w:szCs w:val="20"/>
          <w:lang w:val="en-GB"/>
        </w:rPr>
        <w:t>ounselling</w:t>
      </w:r>
    </w:p>
    <w:p w14:paraId="59530C1A" w14:textId="77777777" w:rsidR="00077625" w:rsidRPr="00442B4C" w:rsidRDefault="004630F8" w:rsidP="00460011">
      <w:pPr>
        <w:pStyle w:val="Bulletlist1"/>
        <w:spacing w:line="240" w:lineRule="auto"/>
        <w:ind w:left="1361"/>
        <w:rPr>
          <w:rFonts w:ascii="Arial" w:hAnsi="Arial" w:cs="Arial"/>
          <w:sz w:val="20"/>
          <w:szCs w:val="20"/>
          <w:lang w:val="en-GB"/>
        </w:rPr>
      </w:pPr>
      <w:r>
        <w:rPr>
          <w:rFonts w:ascii="Arial" w:hAnsi="Arial" w:cs="Arial"/>
          <w:sz w:val="20"/>
          <w:szCs w:val="20"/>
          <w:lang w:val="en-GB"/>
        </w:rPr>
        <w:t>A</w:t>
      </w:r>
      <w:r w:rsidR="00077625" w:rsidRPr="00442B4C">
        <w:rPr>
          <w:rFonts w:ascii="Arial" w:hAnsi="Arial" w:cs="Arial"/>
          <w:sz w:val="20"/>
          <w:szCs w:val="20"/>
          <w:lang w:val="en-GB"/>
        </w:rPr>
        <w:t>ny form of physical healthcare or health intervention</w:t>
      </w:r>
    </w:p>
    <w:p w14:paraId="62041CEE" w14:textId="77777777" w:rsidR="00077625" w:rsidRPr="00442B4C" w:rsidRDefault="004630F8" w:rsidP="00460011">
      <w:pPr>
        <w:pStyle w:val="Bulletlist1"/>
        <w:spacing w:line="240" w:lineRule="auto"/>
        <w:ind w:left="1361"/>
        <w:rPr>
          <w:rFonts w:ascii="Arial" w:hAnsi="Arial" w:cs="Arial"/>
          <w:sz w:val="20"/>
          <w:szCs w:val="20"/>
          <w:lang w:val="en-GB"/>
        </w:rPr>
      </w:pPr>
      <w:r>
        <w:rPr>
          <w:rFonts w:ascii="Arial" w:hAnsi="Arial" w:cs="Arial"/>
          <w:sz w:val="20"/>
          <w:szCs w:val="20"/>
          <w:lang w:val="en-GB"/>
        </w:rPr>
        <w:t>S</w:t>
      </w:r>
      <w:r w:rsidR="00077625" w:rsidRPr="00442B4C">
        <w:rPr>
          <w:rFonts w:ascii="Arial" w:hAnsi="Arial" w:cs="Arial"/>
          <w:sz w:val="20"/>
          <w:szCs w:val="20"/>
          <w:lang w:val="en-GB"/>
        </w:rPr>
        <w:t xml:space="preserve">pecialist interventions and support where there is a recognised qualification requirement, for instance mental health, neurodevelopment or substance misuse. </w:t>
      </w:r>
    </w:p>
    <w:p w14:paraId="52D6CE58" w14:textId="77777777" w:rsidR="00077625" w:rsidRPr="00C72258" w:rsidRDefault="00C72258" w:rsidP="00460011">
      <w:pPr>
        <w:pStyle w:val="Heading3"/>
        <w:keepNext w:val="0"/>
        <w:keepLines w:val="0"/>
        <w:numPr>
          <w:ilvl w:val="2"/>
          <w:numId w:val="0"/>
        </w:numPr>
        <w:pBdr>
          <w:top w:val="nil"/>
          <w:left w:val="nil"/>
          <w:bottom w:val="nil"/>
          <w:right w:val="nil"/>
          <w:between w:val="nil"/>
          <w:bar w:val="nil"/>
        </w:pBdr>
        <w:tabs>
          <w:tab w:val="left" w:pos="284"/>
        </w:tabs>
        <w:spacing w:before="0" w:after="120"/>
        <w:ind w:left="964" w:hanging="680"/>
        <w:rPr>
          <w:rFonts w:ascii="Arial" w:hAnsi="Arial" w:cs="Arial"/>
          <w:color w:val="auto"/>
          <w:sz w:val="20"/>
          <w:szCs w:val="20"/>
          <w:lang w:val="en-GB"/>
        </w:rPr>
      </w:pPr>
      <w:r w:rsidRPr="00C72258">
        <w:rPr>
          <w:rFonts w:ascii="Arial" w:hAnsi="Arial" w:cs="Arial"/>
          <w:color w:val="auto"/>
          <w:sz w:val="20"/>
          <w:szCs w:val="20"/>
          <w:lang w:val="en-GB"/>
        </w:rPr>
        <w:t xml:space="preserve">            </w:t>
      </w:r>
      <w:r w:rsidR="00077625" w:rsidRPr="00C72258">
        <w:rPr>
          <w:rFonts w:ascii="Arial" w:hAnsi="Arial" w:cs="Arial"/>
          <w:color w:val="auto"/>
          <w:sz w:val="20"/>
          <w:szCs w:val="20"/>
          <w:lang w:val="en-GB"/>
        </w:rPr>
        <w:t xml:space="preserve">The above </w:t>
      </w:r>
      <w:r w:rsidR="00026379" w:rsidRPr="00C72258">
        <w:rPr>
          <w:rFonts w:ascii="Arial" w:hAnsi="Arial" w:cs="Arial"/>
          <w:color w:val="auto"/>
          <w:sz w:val="20"/>
          <w:szCs w:val="20"/>
          <w:lang w:val="en-GB"/>
        </w:rPr>
        <w:t>elements are</w:t>
      </w:r>
      <w:r w:rsidR="00077625" w:rsidRPr="00C72258">
        <w:rPr>
          <w:rFonts w:ascii="Arial" w:hAnsi="Arial" w:cs="Arial"/>
          <w:color w:val="auto"/>
          <w:sz w:val="20"/>
          <w:szCs w:val="20"/>
          <w:lang w:val="en-GB"/>
        </w:rPr>
        <w:t xml:space="preserve"> o</w:t>
      </w:r>
      <w:r w:rsidR="00026379" w:rsidRPr="00C72258">
        <w:rPr>
          <w:rFonts w:ascii="Arial" w:hAnsi="Arial" w:cs="Arial"/>
          <w:color w:val="auto"/>
          <w:sz w:val="20"/>
          <w:szCs w:val="20"/>
          <w:lang w:val="en-GB"/>
        </w:rPr>
        <w:t xml:space="preserve">ut of the scope </w:t>
      </w:r>
      <w:r w:rsidRPr="00C72258">
        <w:rPr>
          <w:rFonts w:ascii="Arial" w:hAnsi="Arial" w:cs="Arial"/>
          <w:color w:val="auto"/>
          <w:sz w:val="20"/>
          <w:szCs w:val="20"/>
          <w:lang w:val="en-GB"/>
        </w:rPr>
        <w:t>of Service</w:t>
      </w:r>
      <w:r w:rsidR="00077625" w:rsidRPr="00C72258">
        <w:rPr>
          <w:rFonts w:ascii="Arial" w:hAnsi="Arial" w:cs="Arial"/>
          <w:color w:val="auto"/>
          <w:sz w:val="20"/>
          <w:szCs w:val="20"/>
          <w:lang w:val="en-GB"/>
        </w:rPr>
        <w:t xml:space="preserve"> and it is important that the Provider is able to identify the circumstances in which another service is better placed to support the young person</w:t>
      </w:r>
      <w:r w:rsidR="00026379" w:rsidRPr="00C72258">
        <w:rPr>
          <w:rFonts w:ascii="Arial" w:hAnsi="Arial" w:cs="Arial"/>
          <w:color w:val="auto"/>
          <w:sz w:val="20"/>
          <w:szCs w:val="20"/>
          <w:lang w:val="en-GB"/>
        </w:rPr>
        <w:t>, and make necessary arrangements for referral.</w:t>
      </w:r>
    </w:p>
    <w:p w14:paraId="15B6F7CA" w14:textId="77777777" w:rsidR="00026379" w:rsidRPr="00442B4C" w:rsidRDefault="00026379" w:rsidP="00442B4C">
      <w:pPr>
        <w:ind w:left="284"/>
        <w:rPr>
          <w:rFonts w:cs="Arial"/>
          <w:szCs w:val="20"/>
          <w:lang w:val="en-GB"/>
        </w:rPr>
      </w:pPr>
    </w:p>
    <w:p w14:paraId="274CB07D" w14:textId="77777777" w:rsidR="00077625" w:rsidRPr="00442B4C" w:rsidRDefault="00C40E79" w:rsidP="00442B4C">
      <w:pPr>
        <w:pStyle w:val="Heading2"/>
        <w:keepLines/>
        <w:numPr>
          <w:ilvl w:val="1"/>
          <w:numId w:val="0"/>
        </w:numPr>
        <w:pBdr>
          <w:top w:val="nil"/>
          <w:left w:val="nil"/>
          <w:bottom w:val="nil"/>
          <w:right w:val="nil"/>
          <w:between w:val="nil"/>
          <w:bar w:val="nil"/>
        </w:pBdr>
        <w:spacing w:after="120" w:line="264" w:lineRule="auto"/>
        <w:ind w:left="964" w:hanging="680"/>
        <w:rPr>
          <w:rFonts w:cs="Arial"/>
          <w:sz w:val="20"/>
          <w:szCs w:val="20"/>
          <w:lang w:val="en-GB"/>
        </w:rPr>
      </w:pPr>
      <w:bookmarkStart w:id="4" w:name="_Toc19131632"/>
      <w:r>
        <w:rPr>
          <w:rFonts w:cs="Arial"/>
          <w:sz w:val="20"/>
          <w:szCs w:val="20"/>
          <w:lang w:val="en-GB"/>
        </w:rPr>
        <w:t xml:space="preserve">    </w:t>
      </w:r>
      <w:r w:rsidR="00C72258">
        <w:rPr>
          <w:rFonts w:cs="Arial"/>
          <w:sz w:val="20"/>
          <w:szCs w:val="20"/>
          <w:lang w:val="en-GB"/>
        </w:rPr>
        <w:t xml:space="preserve">3.2 </w:t>
      </w:r>
      <w:r w:rsidR="00077625" w:rsidRPr="00442B4C">
        <w:rPr>
          <w:rFonts w:cs="Arial"/>
          <w:sz w:val="20"/>
          <w:szCs w:val="20"/>
          <w:lang w:val="en-GB"/>
        </w:rPr>
        <w:t>General Requirements</w:t>
      </w:r>
      <w:bookmarkEnd w:id="4"/>
    </w:p>
    <w:p w14:paraId="441B766A" w14:textId="77777777" w:rsidR="00077625" w:rsidRPr="00C72258" w:rsidRDefault="00C72258" w:rsidP="00442B4C">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964" w:hanging="680"/>
        <w:rPr>
          <w:rFonts w:ascii="Arial" w:hAnsi="Arial" w:cs="Arial"/>
          <w:color w:val="auto"/>
          <w:sz w:val="20"/>
          <w:szCs w:val="20"/>
          <w:lang w:val="en-GB"/>
        </w:rPr>
      </w:pPr>
      <w:r>
        <w:rPr>
          <w:rFonts w:ascii="Arial" w:hAnsi="Arial" w:cs="Arial"/>
          <w:sz w:val="20"/>
          <w:szCs w:val="20"/>
          <w:lang w:val="en-GB"/>
        </w:rPr>
        <w:t xml:space="preserve">            </w:t>
      </w:r>
      <w:r w:rsidR="00077625" w:rsidRPr="00C72258">
        <w:rPr>
          <w:rFonts w:ascii="Arial" w:hAnsi="Arial" w:cs="Arial"/>
          <w:color w:val="auto"/>
          <w:sz w:val="20"/>
          <w:szCs w:val="20"/>
          <w:lang w:val="en-GB"/>
        </w:rPr>
        <w:t>The Provider must ensure that the Service:</w:t>
      </w:r>
    </w:p>
    <w:p w14:paraId="6C9A9387" w14:textId="77777777" w:rsidR="00077625" w:rsidRPr="00442B4C" w:rsidRDefault="004630F8" w:rsidP="00460011">
      <w:pPr>
        <w:pStyle w:val="Bulletlist1"/>
        <w:spacing w:line="240" w:lineRule="auto"/>
        <w:ind w:left="1361"/>
        <w:rPr>
          <w:rFonts w:ascii="Arial" w:hAnsi="Arial" w:cs="Arial"/>
          <w:sz w:val="20"/>
          <w:szCs w:val="20"/>
          <w:lang w:val="en-GB"/>
        </w:rPr>
      </w:pPr>
      <w:r>
        <w:rPr>
          <w:rFonts w:ascii="Arial" w:hAnsi="Arial" w:cs="Arial"/>
          <w:sz w:val="20"/>
          <w:szCs w:val="20"/>
          <w:lang w:val="en-GB"/>
        </w:rPr>
        <w:t>M</w:t>
      </w:r>
      <w:r w:rsidR="00077625" w:rsidRPr="00442B4C">
        <w:rPr>
          <w:rFonts w:ascii="Arial" w:hAnsi="Arial" w:cs="Arial"/>
          <w:sz w:val="20"/>
          <w:szCs w:val="20"/>
          <w:lang w:val="en-GB"/>
        </w:rPr>
        <w:t xml:space="preserve">eets the support needs of young victims of violence </w:t>
      </w:r>
    </w:p>
    <w:p w14:paraId="011A85C7" w14:textId="77777777" w:rsidR="00077625" w:rsidRPr="00442B4C" w:rsidRDefault="004630F8" w:rsidP="00460011">
      <w:pPr>
        <w:pStyle w:val="Bulletlist1"/>
        <w:spacing w:line="240" w:lineRule="auto"/>
        <w:ind w:left="1361"/>
        <w:rPr>
          <w:rFonts w:ascii="Arial" w:hAnsi="Arial" w:cs="Arial"/>
          <w:sz w:val="20"/>
          <w:szCs w:val="20"/>
          <w:lang w:val="en-GB"/>
        </w:rPr>
      </w:pPr>
      <w:r>
        <w:rPr>
          <w:rFonts w:ascii="Arial" w:hAnsi="Arial" w:cs="Arial"/>
          <w:sz w:val="20"/>
          <w:szCs w:val="20"/>
          <w:lang w:val="en-GB"/>
        </w:rPr>
        <w:t>A</w:t>
      </w:r>
      <w:r w:rsidR="00077625" w:rsidRPr="00442B4C">
        <w:rPr>
          <w:rFonts w:ascii="Arial" w:hAnsi="Arial" w:cs="Arial"/>
          <w:sz w:val="20"/>
          <w:szCs w:val="20"/>
          <w:lang w:val="en-GB"/>
        </w:rPr>
        <w:t xml:space="preserve">cts in the interests of the young victims being supported </w:t>
      </w:r>
    </w:p>
    <w:p w14:paraId="718ACDC6" w14:textId="77777777" w:rsidR="00077625" w:rsidRPr="00442B4C" w:rsidRDefault="004630F8" w:rsidP="00460011">
      <w:pPr>
        <w:pStyle w:val="Bulletlist1"/>
        <w:spacing w:line="240" w:lineRule="auto"/>
        <w:ind w:left="1361"/>
        <w:rPr>
          <w:rFonts w:ascii="Arial" w:hAnsi="Arial" w:cs="Arial"/>
          <w:sz w:val="20"/>
          <w:szCs w:val="20"/>
          <w:lang w:val="en-GB"/>
        </w:rPr>
      </w:pPr>
      <w:r>
        <w:rPr>
          <w:rFonts w:ascii="Arial" w:hAnsi="Arial" w:cs="Arial"/>
          <w:sz w:val="20"/>
          <w:szCs w:val="20"/>
          <w:lang w:val="en-GB"/>
        </w:rPr>
        <w:t>I</w:t>
      </w:r>
      <w:r w:rsidR="00077625" w:rsidRPr="00442B4C">
        <w:rPr>
          <w:rFonts w:ascii="Arial" w:hAnsi="Arial" w:cs="Arial"/>
          <w:sz w:val="20"/>
          <w:szCs w:val="20"/>
          <w:lang w:val="en-GB"/>
        </w:rPr>
        <w:t>s confidential</w:t>
      </w:r>
      <w:r>
        <w:rPr>
          <w:rFonts w:ascii="Arial" w:hAnsi="Arial" w:cs="Arial"/>
          <w:sz w:val="20"/>
          <w:szCs w:val="20"/>
          <w:lang w:val="en-GB"/>
        </w:rPr>
        <w:t xml:space="preserve"> (with exception of Safeguarding requirements)</w:t>
      </w:r>
      <w:r w:rsidR="00077625" w:rsidRPr="00442B4C">
        <w:rPr>
          <w:rFonts w:ascii="Arial" w:hAnsi="Arial" w:cs="Arial"/>
          <w:sz w:val="20"/>
          <w:szCs w:val="20"/>
          <w:lang w:val="en-GB"/>
        </w:rPr>
        <w:t xml:space="preserve"> </w:t>
      </w:r>
    </w:p>
    <w:p w14:paraId="750524C1" w14:textId="77777777" w:rsidR="00077625" w:rsidRPr="00442B4C" w:rsidRDefault="004630F8" w:rsidP="00460011">
      <w:pPr>
        <w:pStyle w:val="Bulletlist1"/>
        <w:spacing w:line="240" w:lineRule="auto"/>
        <w:ind w:left="1361"/>
        <w:rPr>
          <w:rFonts w:ascii="Arial" w:hAnsi="Arial" w:cs="Arial"/>
          <w:sz w:val="20"/>
          <w:szCs w:val="20"/>
          <w:lang w:val="en-GB"/>
        </w:rPr>
      </w:pPr>
      <w:r>
        <w:rPr>
          <w:rFonts w:ascii="Arial" w:hAnsi="Arial" w:cs="Arial"/>
          <w:sz w:val="20"/>
          <w:szCs w:val="20"/>
          <w:lang w:val="en-GB"/>
        </w:rPr>
        <w:lastRenderedPageBreak/>
        <w:t>I</w:t>
      </w:r>
      <w:r w:rsidR="00077625" w:rsidRPr="00442B4C">
        <w:rPr>
          <w:rFonts w:ascii="Arial" w:hAnsi="Arial" w:cs="Arial"/>
          <w:sz w:val="20"/>
          <w:szCs w:val="20"/>
          <w:lang w:val="en-GB"/>
        </w:rPr>
        <w:t xml:space="preserve">s non-discriminatory </w:t>
      </w:r>
    </w:p>
    <w:p w14:paraId="61600735" w14:textId="77777777" w:rsidR="00077625" w:rsidRPr="00442B4C" w:rsidRDefault="004630F8" w:rsidP="00460011">
      <w:pPr>
        <w:pStyle w:val="Bulletlist1"/>
        <w:spacing w:line="240" w:lineRule="auto"/>
        <w:ind w:left="1361"/>
        <w:rPr>
          <w:rFonts w:ascii="Arial" w:hAnsi="Arial" w:cs="Arial"/>
          <w:sz w:val="20"/>
          <w:szCs w:val="20"/>
          <w:lang w:val="en-GB"/>
        </w:rPr>
      </w:pPr>
      <w:r>
        <w:rPr>
          <w:rFonts w:ascii="Arial" w:hAnsi="Arial" w:cs="Arial"/>
          <w:sz w:val="20"/>
          <w:szCs w:val="20"/>
          <w:lang w:val="en-GB"/>
        </w:rPr>
        <w:t>I</w:t>
      </w:r>
      <w:r w:rsidR="00077625" w:rsidRPr="00442B4C">
        <w:rPr>
          <w:rFonts w:ascii="Arial" w:hAnsi="Arial" w:cs="Arial"/>
          <w:sz w:val="20"/>
          <w:szCs w:val="20"/>
          <w:lang w:val="en-GB"/>
        </w:rPr>
        <w:t xml:space="preserve">s available whether or not a crime has been reported to the police  </w:t>
      </w:r>
    </w:p>
    <w:p w14:paraId="3C016946" w14:textId="77777777" w:rsidR="00077625" w:rsidRPr="00442B4C" w:rsidRDefault="004630F8" w:rsidP="00460011">
      <w:pPr>
        <w:pStyle w:val="Bulletlist1"/>
        <w:spacing w:line="240" w:lineRule="auto"/>
        <w:ind w:left="1361"/>
        <w:rPr>
          <w:rFonts w:ascii="Arial" w:hAnsi="Arial" w:cs="Arial"/>
          <w:sz w:val="20"/>
          <w:szCs w:val="20"/>
          <w:lang w:val="en-GB"/>
        </w:rPr>
      </w:pPr>
      <w:r>
        <w:rPr>
          <w:rFonts w:ascii="Arial" w:hAnsi="Arial" w:cs="Arial"/>
          <w:sz w:val="20"/>
          <w:szCs w:val="20"/>
          <w:lang w:val="en-GB"/>
        </w:rPr>
        <w:t>U</w:t>
      </w:r>
      <w:r w:rsidR="00077625" w:rsidRPr="00442B4C">
        <w:rPr>
          <w:rFonts w:ascii="Arial" w:hAnsi="Arial" w:cs="Arial"/>
          <w:sz w:val="20"/>
          <w:szCs w:val="20"/>
          <w:lang w:val="en-GB"/>
        </w:rPr>
        <w:t>nderstands and implements a gendered approach to service delivery</w:t>
      </w:r>
    </w:p>
    <w:p w14:paraId="1D308749" w14:textId="77777777" w:rsidR="00077625" w:rsidRPr="00442B4C" w:rsidRDefault="004630F8" w:rsidP="00460011">
      <w:pPr>
        <w:pStyle w:val="Bulletlist1"/>
        <w:spacing w:line="240" w:lineRule="auto"/>
        <w:ind w:left="1361"/>
        <w:rPr>
          <w:rFonts w:ascii="Arial" w:hAnsi="Arial" w:cs="Arial"/>
          <w:sz w:val="20"/>
          <w:szCs w:val="20"/>
          <w:lang w:val="en-GB"/>
        </w:rPr>
      </w:pPr>
      <w:r>
        <w:rPr>
          <w:rFonts w:ascii="Arial" w:hAnsi="Arial" w:cs="Arial"/>
          <w:sz w:val="20"/>
          <w:szCs w:val="20"/>
          <w:lang w:val="en-GB"/>
        </w:rPr>
        <w:t>A</w:t>
      </w:r>
      <w:r w:rsidR="00077625" w:rsidRPr="00442B4C">
        <w:rPr>
          <w:rFonts w:ascii="Arial" w:hAnsi="Arial" w:cs="Arial"/>
          <w:sz w:val="20"/>
          <w:szCs w:val="20"/>
          <w:lang w:val="en-GB"/>
        </w:rPr>
        <w:t>dvocates so that victims receive their entitlements and supports responsible authorities in discharging their duties to victims</w:t>
      </w:r>
    </w:p>
    <w:p w14:paraId="69C2C1BA" w14:textId="77777777" w:rsidR="00077625" w:rsidRPr="00442B4C" w:rsidRDefault="004630F8" w:rsidP="00442B4C">
      <w:pPr>
        <w:pStyle w:val="Bulletlist1"/>
        <w:ind w:left="1361"/>
        <w:rPr>
          <w:rFonts w:ascii="Arial" w:hAnsi="Arial" w:cs="Arial"/>
          <w:sz w:val="20"/>
          <w:szCs w:val="20"/>
          <w:lang w:val="en-GB"/>
        </w:rPr>
      </w:pPr>
      <w:r>
        <w:rPr>
          <w:rFonts w:ascii="Arial" w:hAnsi="Arial" w:cs="Arial"/>
          <w:sz w:val="20"/>
          <w:szCs w:val="20"/>
          <w:lang w:val="en-GB"/>
        </w:rPr>
        <w:t>R</w:t>
      </w:r>
      <w:r w:rsidR="00077625" w:rsidRPr="00442B4C">
        <w:rPr>
          <w:rFonts w:ascii="Arial" w:hAnsi="Arial" w:cs="Arial"/>
          <w:sz w:val="20"/>
          <w:szCs w:val="20"/>
          <w:lang w:val="en-GB"/>
        </w:rPr>
        <w:t xml:space="preserve">emains flexible and responsive </w:t>
      </w:r>
      <w:r>
        <w:rPr>
          <w:rFonts w:ascii="Arial" w:hAnsi="Arial" w:cs="Arial"/>
          <w:sz w:val="20"/>
          <w:szCs w:val="20"/>
          <w:lang w:val="en-GB"/>
        </w:rPr>
        <w:t xml:space="preserve">to the needs of the victim </w:t>
      </w:r>
    </w:p>
    <w:p w14:paraId="6F8EDDF9" w14:textId="77777777" w:rsidR="00077625" w:rsidRPr="00C72258" w:rsidRDefault="00C72258" w:rsidP="00B72AAE">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sz w:val="20"/>
          <w:szCs w:val="20"/>
          <w:lang w:val="en-GB"/>
        </w:rPr>
        <w:t xml:space="preserve">            </w:t>
      </w:r>
      <w:r w:rsidR="00277518" w:rsidRPr="00C72258">
        <w:rPr>
          <w:rFonts w:ascii="Arial" w:hAnsi="Arial" w:cs="Arial"/>
          <w:color w:val="auto"/>
          <w:sz w:val="20"/>
          <w:szCs w:val="20"/>
          <w:lang w:val="en-GB"/>
        </w:rPr>
        <w:t>GMCA</w:t>
      </w:r>
      <w:r w:rsidR="00077625" w:rsidRPr="00C72258">
        <w:rPr>
          <w:rFonts w:ascii="Arial" w:hAnsi="Arial" w:cs="Arial"/>
          <w:color w:val="auto"/>
          <w:sz w:val="20"/>
          <w:szCs w:val="20"/>
          <w:lang w:val="en-GB"/>
        </w:rPr>
        <w:t xml:space="preserve"> expects the Service to try and engage with all young people (age 1</w:t>
      </w:r>
      <w:r w:rsidR="00026379" w:rsidRPr="00C72258">
        <w:rPr>
          <w:rFonts w:ascii="Arial" w:hAnsi="Arial" w:cs="Arial"/>
          <w:color w:val="auto"/>
          <w:sz w:val="20"/>
          <w:szCs w:val="20"/>
          <w:lang w:val="en-GB"/>
        </w:rPr>
        <w:t>0</w:t>
      </w:r>
      <w:r w:rsidR="00077625" w:rsidRPr="00C72258">
        <w:rPr>
          <w:rFonts w:ascii="Arial" w:hAnsi="Arial" w:cs="Arial"/>
          <w:color w:val="auto"/>
          <w:sz w:val="20"/>
          <w:szCs w:val="20"/>
          <w:lang w:val="en-GB"/>
        </w:rPr>
        <w:t xml:space="preserve"> - 25) who present at A&amp;E </w:t>
      </w:r>
      <w:r w:rsidR="00B72AAE">
        <w:rPr>
          <w:rFonts w:ascii="Arial" w:hAnsi="Arial" w:cs="Arial"/>
          <w:color w:val="auto"/>
          <w:sz w:val="20"/>
          <w:szCs w:val="20"/>
          <w:lang w:val="en-GB"/>
        </w:rPr>
        <w:t xml:space="preserve">or are admitted </w:t>
      </w:r>
      <w:r w:rsidR="00077625" w:rsidRPr="00C72258">
        <w:rPr>
          <w:rFonts w:ascii="Arial" w:hAnsi="Arial" w:cs="Arial"/>
          <w:color w:val="auto"/>
          <w:sz w:val="20"/>
          <w:szCs w:val="20"/>
          <w:lang w:val="en-GB"/>
        </w:rPr>
        <w:t xml:space="preserve">with injuries that are the result of violence. This would be face to face where possible but may be over the phone if the young person has left the hospital before the </w:t>
      </w:r>
      <w:r w:rsidR="00026379" w:rsidRPr="00C72258">
        <w:rPr>
          <w:rFonts w:ascii="Arial" w:hAnsi="Arial" w:cs="Arial"/>
          <w:color w:val="auto"/>
          <w:sz w:val="20"/>
          <w:szCs w:val="20"/>
          <w:lang w:val="en-GB"/>
        </w:rPr>
        <w:t>Navigator</w:t>
      </w:r>
      <w:r w:rsidR="00077625" w:rsidRPr="00C72258">
        <w:rPr>
          <w:rFonts w:ascii="Arial" w:hAnsi="Arial" w:cs="Arial"/>
          <w:color w:val="auto"/>
          <w:sz w:val="20"/>
          <w:szCs w:val="20"/>
          <w:lang w:val="en-GB"/>
        </w:rPr>
        <w:t xml:space="preserve"> is able to speak to them.</w:t>
      </w:r>
      <w:r w:rsidRPr="00C72258">
        <w:rPr>
          <w:rFonts w:ascii="Arial" w:hAnsi="Arial" w:cs="Arial"/>
          <w:color w:val="auto"/>
          <w:sz w:val="20"/>
          <w:szCs w:val="20"/>
          <w:lang w:val="en-GB"/>
        </w:rPr>
        <w:t xml:space="preserve"> </w:t>
      </w:r>
      <w:r w:rsidR="00077625" w:rsidRPr="00C72258">
        <w:rPr>
          <w:rFonts w:ascii="Arial" w:hAnsi="Arial" w:cs="Arial"/>
          <w:color w:val="auto"/>
          <w:sz w:val="20"/>
          <w:szCs w:val="20"/>
          <w:lang w:val="en-GB"/>
        </w:rPr>
        <w:t xml:space="preserve">Young people attend A&amp;E in large numbers with injuries, illnesses or concerns that do not appear to be linked to violence. However, some of these attendances will be from vulnerable young people who are at risk in the community. It will be down to the professional judgement of the </w:t>
      </w:r>
      <w:r w:rsidR="00026379" w:rsidRPr="00C72258">
        <w:rPr>
          <w:rFonts w:ascii="Arial" w:hAnsi="Arial" w:cs="Arial"/>
          <w:color w:val="auto"/>
          <w:sz w:val="20"/>
          <w:szCs w:val="20"/>
          <w:lang w:val="en-GB"/>
        </w:rPr>
        <w:t>Navigator</w:t>
      </w:r>
      <w:r w:rsidR="00077625" w:rsidRPr="00C72258">
        <w:rPr>
          <w:rFonts w:ascii="Arial" w:hAnsi="Arial" w:cs="Arial"/>
          <w:color w:val="auto"/>
          <w:sz w:val="20"/>
          <w:szCs w:val="20"/>
          <w:lang w:val="en-GB"/>
        </w:rPr>
        <w:t xml:space="preserve"> and the clinical and other staff within the A&amp;E to decide who needs to be referred to, or approached by, </w:t>
      </w:r>
      <w:r w:rsidR="00026379" w:rsidRPr="00C72258">
        <w:rPr>
          <w:rFonts w:ascii="Arial" w:hAnsi="Arial" w:cs="Arial"/>
          <w:color w:val="auto"/>
          <w:sz w:val="20"/>
          <w:szCs w:val="20"/>
          <w:lang w:val="en-GB"/>
        </w:rPr>
        <w:t>Navigators</w:t>
      </w:r>
      <w:r w:rsidR="00077625" w:rsidRPr="00C72258">
        <w:rPr>
          <w:rFonts w:ascii="Arial" w:hAnsi="Arial" w:cs="Arial"/>
          <w:color w:val="auto"/>
          <w:sz w:val="20"/>
          <w:szCs w:val="20"/>
          <w:lang w:val="en-GB"/>
        </w:rPr>
        <w:t xml:space="preserve"> to investigate whether they would benefit from engaging with the Service.</w:t>
      </w:r>
    </w:p>
    <w:p w14:paraId="56E69EC1" w14:textId="77777777" w:rsidR="00077625" w:rsidRPr="00C72258" w:rsidRDefault="00C72258" w:rsidP="00B72AAE">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sidRPr="00C72258">
        <w:rPr>
          <w:rFonts w:ascii="Arial" w:hAnsi="Arial" w:cs="Arial"/>
          <w:color w:val="auto"/>
          <w:sz w:val="20"/>
          <w:szCs w:val="20"/>
          <w:lang w:val="en-GB"/>
        </w:rPr>
        <w:t xml:space="preserve">            </w:t>
      </w:r>
      <w:r w:rsidR="00077625" w:rsidRPr="00C72258">
        <w:rPr>
          <w:rFonts w:ascii="Arial" w:hAnsi="Arial" w:cs="Arial"/>
          <w:color w:val="auto"/>
          <w:sz w:val="20"/>
          <w:szCs w:val="20"/>
          <w:lang w:val="en-GB"/>
        </w:rPr>
        <w:t xml:space="preserve">The Service is not a replacement for community-based services and should not be duplicating interventions that are already taking place in </w:t>
      </w:r>
      <w:r w:rsidR="00026379" w:rsidRPr="00C72258">
        <w:rPr>
          <w:rFonts w:ascii="Arial" w:hAnsi="Arial" w:cs="Arial"/>
          <w:color w:val="auto"/>
          <w:sz w:val="20"/>
          <w:szCs w:val="20"/>
          <w:lang w:val="en-GB"/>
        </w:rPr>
        <w:t xml:space="preserve">the </w:t>
      </w:r>
      <w:r w:rsidR="00077625" w:rsidRPr="00C72258">
        <w:rPr>
          <w:rFonts w:ascii="Arial" w:hAnsi="Arial" w:cs="Arial"/>
          <w:color w:val="auto"/>
          <w:sz w:val="20"/>
          <w:szCs w:val="20"/>
          <w:lang w:val="en-GB"/>
        </w:rPr>
        <w:t xml:space="preserve">local area. The aim is to support vulnerable young people to engage in existing services in their </w:t>
      </w:r>
      <w:r w:rsidR="00026379" w:rsidRPr="00C72258">
        <w:rPr>
          <w:rFonts w:ascii="Arial" w:hAnsi="Arial" w:cs="Arial"/>
          <w:color w:val="auto"/>
          <w:sz w:val="20"/>
          <w:szCs w:val="20"/>
          <w:lang w:val="en-GB"/>
        </w:rPr>
        <w:t>area</w:t>
      </w:r>
      <w:r w:rsidR="00077625" w:rsidRPr="00C72258">
        <w:rPr>
          <w:rFonts w:ascii="Arial" w:hAnsi="Arial" w:cs="Arial"/>
          <w:color w:val="auto"/>
          <w:sz w:val="20"/>
          <w:szCs w:val="20"/>
          <w:lang w:val="en-GB"/>
        </w:rPr>
        <w:t xml:space="preserve"> of residence.</w:t>
      </w:r>
    </w:p>
    <w:p w14:paraId="68653158" w14:textId="77777777" w:rsidR="00077625" w:rsidRPr="00C72258" w:rsidRDefault="00C72258" w:rsidP="00B72AAE">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sidRPr="00C72258">
        <w:rPr>
          <w:rFonts w:ascii="Arial" w:hAnsi="Arial" w:cs="Arial"/>
          <w:color w:val="auto"/>
          <w:sz w:val="20"/>
          <w:szCs w:val="20"/>
          <w:lang w:val="en-GB"/>
        </w:rPr>
        <w:t xml:space="preserve">            </w:t>
      </w:r>
      <w:r w:rsidR="00077625" w:rsidRPr="00C72258">
        <w:rPr>
          <w:rFonts w:ascii="Arial" w:hAnsi="Arial" w:cs="Arial"/>
          <w:color w:val="auto"/>
          <w:sz w:val="20"/>
          <w:szCs w:val="20"/>
          <w:lang w:val="en-GB"/>
        </w:rPr>
        <w:t xml:space="preserve">Where young people are already well engaged in statutory or community services the role of the </w:t>
      </w:r>
      <w:r w:rsidR="00026379" w:rsidRPr="00C72258">
        <w:rPr>
          <w:rFonts w:ascii="Arial" w:hAnsi="Arial" w:cs="Arial"/>
          <w:color w:val="auto"/>
          <w:sz w:val="20"/>
          <w:szCs w:val="20"/>
          <w:lang w:val="en-GB"/>
        </w:rPr>
        <w:t>Navigator is</w:t>
      </w:r>
      <w:r w:rsidR="00077625" w:rsidRPr="00C72258">
        <w:rPr>
          <w:rFonts w:ascii="Arial" w:hAnsi="Arial" w:cs="Arial"/>
          <w:color w:val="auto"/>
          <w:sz w:val="20"/>
          <w:szCs w:val="20"/>
          <w:lang w:val="en-GB"/>
        </w:rPr>
        <w:t xml:space="preserve"> to</w:t>
      </w:r>
      <w:r w:rsidR="00026379" w:rsidRPr="00C72258">
        <w:rPr>
          <w:rFonts w:ascii="Arial" w:hAnsi="Arial" w:cs="Arial"/>
          <w:color w:val="auto"/>
          <w:sz w:val="20"/>
          <w:szCs w:val="20"/>
          <w:lang w:val="en-GB"/>
        </w:rPr>
        <w:t xml:space="preserve"> help </w:t>
      </w:r>
      <w:r w:rsidR="00077625" w:rsidRPr="00C72258">
        <w:rPr>
          <w:rFonts w:ascii="Arial" w:hAnsi="Arial" w:cs="Arial"/>
          <w:color w:val="auto"/>
          <w:sz w:val="20"/>
          <w:szCs w:val="20"/>
          <w:lang w:val="en-GB"/>
        </w:rPr>
        <w:t>ensure that appropriate information is available to the agencies involved</w:t>
      </w:r>
      <w:r w:rsidR="00026379" w:rsidRPr="00C72258">
        <w:rPr>
          <w:rFonts w:ascii="Arial" w:hAnsi="Arial" w:cs="Arial"/>
          <w:color w:val="auto"/>
          <w:sz w:val="20"/>
          <w:szCs w:val="20"/>
          <w:lang w:val="en-GB"/>
        </w:rPr>
        <w:t xml:space="preserve">, subject to </w:t>
      </w:r>
      <w:r w:rsidR="00B72AAE">
        <w:rPr>
          <w:rFonts w:ascii="Arial" w:hAnsi="Arial" w:cs="Arial"/>
          <w:color w:val="auto"/>
          <w:sz w:val="20"/>
          <w:szCs w:val="20"/>
          <w:lang w:val="en-GB"/>
        </w:rPr>
        <w:t xml:space="preserve">consent, </w:t>
      </w:r>
      <w:r w:rsidR="00026379" w:rsidRPr="00C72258">
        <w:rPr>
          <w:rFonts w:ascii="Arial" w:hAnsi="Arial" w:cs="Arial"/>
          <w:color w:val="auto"/>
          <w:sz w:val="20"/>
          <w:szCs w:val="20"/>
          <w:lang w:val="en-GB"/>
        </w:rPr>
        <w:t xml:space="preserve">GDPR and within </w:t>
      </w:r>
      <w:r w:rsidR="0035764B">
        <w:rPr>
          <w:rFonts w:ascii="Arial" w:hAnsi="Arial" w:cs="Arial"/>
          <w:color w:val="auto"/>
          <w:sz w:val="20"/>
          <w:szCs w:val="20"/>
          <w:lang w:val="en-GB"/>
        </w:rPr>
        <w:t>s</w:t>
      </w:r>
      <w:r w:rsidR="00026379" w:rsidRPr="00C72258">
        <w:rPr>
          <w:rFonts w:ascii="Arial" w:hAnsi="Arial" w:cs="Arial"/>
          <w:color w:val="auto"/>
          <w:sz w:val="20"/>
          <w:szCs w:val="20"/>
          <w:lang w:val="en-GB"/>
        </w:rPr>
        <w:t>afeguarding guidelines</w:t>
      </w:r>
      <w:r w:rsidR="00077625" w:rsidRPr="00C72258">
        <w:rPr>
          <w:rFonts w:ascii="Arial" w:hAnsi="Arial" w:cs="Arial"/>
          <w:color w:val="auto"/>
          <w:sz w:val="20"/>
          <w:szCs w:val="20"/>
          <w:lang w:val="en-GB"/>
        </w:rPr>
        <w:t xml:space="preserve">. Where people are known to statutory or community services but have disengaged or where their package of support is insufficient, then the Service, in consultation with community services, will advocate for the young person to increase the chances that the young person re-engages with a package of care that suits their needs. </w:t>
      </w:r>
    </w:p>
    <w:p w14:paraId="0D22F801" w14:textId="77777777" w:rsidR="00E110F2" w:rsidRDefault="00C72258" w:rsidP="00B72AAE">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sidRPr="00C72258">
        <w:rPr>
          <w:rFonts w:ascii="Arial" w:hAnsi="Arial" w:cs="Arial"/>
          <w:color w:val="auto"/>
          <w:sz w:val="20"/>
          <w:szCs w:val="20"/>
          <w:lang w:val="en-GB"/>
        </w:rPr>
        <w:t xml:space="preserve">            </w:t>
      </w:r>
      <w:r w:rsidR="00077625" w:rsidRPr="00C72258">
        <w:rPr>
          <w:rFonts w:ascii="Arial" w:hAnsi="Arial" w:cs="Arial"/>
          <w:color w:val="auto"/>
          <w:sz w:val="20"/>
          <w:szCs w:val="20"/>
          <w:lang w:val="en-GB"/>
        </w:rPr>
        <w:t xml:space="preserve">Some vulnerable young people who attend A&amp;E will not be known to community services or will be completely disengaged from the services that are there to help them. In those circumstances the </w:t>
      </w:r>
      <w:r w:rsidR="00026379" w:rsidRPr="00C72258">
        <w:rPr>
          <w:rFonts w:ascii="Arial" w:hAnsi="Arial" w:cs="Arial"/>
          <w:color w:val="auto"/>
          <w:sz w:val="20"/>
          <w:szCs w:val="20"/>
          <w:lang w:val="en-GB"/>
        </w:rPr>
        <w:t xml:space="preserve">Navigators </w:t>
      </w:r>
      <w:r w:rsidR="00077625" w:rsidRPr="00C72258">
        <w:rPr>
          <w:rFonts w:ascii="Arial" w:hAnsi="Arial" w:cs="Arial"/>
          <w:color w:val="auto"/>
          <w:sz w:val="20"/>
          <w:szCs w:val="20"/>
          <w:lang w:val="en-GB"/>
        </w:rPr>
        <w:t>will need to maintain contact with the young person with the aim of encouraging them to accept appropriate help and support.</w:t>
      </w:r>
    </w:p>
    <w:p w14:paraId="1190FB95" w14:textId="77777777" w:rsidR="00077625" w:rsidRPr="00C72258" w:rsidRDefault="00C72258" w:rsidP="00B72AAE">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sidRPr="00C72258">
        <w:rPr>
          <w:rFonts w:ascii="Arial" w:hAnsi="Arial" w:cs="Arial"/>
          <w:color w:val="auto"/>
          <w:sz w:val="20"/>
          <w:szCs w:val="20"/>
          <w:lang w:val="en-GB"/>
        </w:rPr>
        <w:t xml:space="preserve">            </w:t>
      </w:r>
      <w:r w:rsidR="00077625" w:rsidRPr="00C72258">
        <w:rPr>
          <w:rFonts w:ascii="Arial" w:hAnsi="Arial" w:cs="Arial"/>
          <w:color w:val="auto"/>
          <w:sz w:val="20"/>
          <w:szCs w:val="20"/>
          <w:lang w:val="en-GB"/>
        </w:rPr>
        <w:t xml:space="preserve">The majority of </w:t>
      </w:r>
      <w:r w:rsidR="00026379" w:rsidRPr="00C72258">
        <w:rPr>
          <w:rFonts w:ascii="Arial" w:hAnsi="Arial" w:cs="Arial"/>
          <w:color w:val="auto"/>
          <w:sz w:val="20"/>
          <w:szCs w:val="20"/>
          <w:lang w:val="en-GB"/>
        </w:rPr>
        <w:t>Navigator</w:t>
      </w:r>
      <w:r w:rsidR="00077625" w:rsidRPr="00C72258">
        <w:rPr>
          <w:rFonts w:ascii="Arial" w:hAnsi="Arial" w:cs="Arial"/>
          <w:color w:val="auto"/>
          <w:sz w:val="20"/>
          <w:szCs w:val="20"/>
          <w:lang w:val="en-GB"/>
        </w:rPr>
        <w:t xml:space="preserve"> interventions are expected to be short term. However, it is accepted that in some cases, for a period of time, the only service a young person may engage with will be the </w:t>
      </w:r>
      <w:r w:rsidR="00026379" w:rsidRPr="00C72258">
        <w:rPr>
          <w:rFonts w:ascii="Arial" w:hAnsi="Arial" w:cs="Arial"/>
          <w:color w:val="auto"/>
          <w:sz w:val="20"/>
          <w:szCs w:val="20"/>
          <w:lang w:val="en-GB"/>
        </w:rPr>
        <w:t>Navigator</w:t>
      </w:r>
      <w:r w:rsidR="00077625" w:rsidRPr="00C72258">
        <w:rPr>
          <w:rFonts w:ascii="Arial" w:hAnsi="Arial" w:cs="Arial"/>
          <w:color w:val="auto"/>
          <w:sz w:val="20"/>
          <w:szCs w:val="20"/>
          <w:lang w:val="en-GB"/>
        </w:rPr>
        <w:t>. The aim should always be to try and support that person into longer-term non-hospital-based services.</w:t>
      </w:r>
    </w:p>
    <w:p w14:paraId="021045F8" w14:textId="77777777" w:rsidR="00077625" w:rsidRDefault="00C72258" w:rsidP="00B72AAE">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sidRPr="00C72258">
        <w:rPr>
          <w:rFonts w:ascii="Arial" w:hAnsi="Arial" w:cs="Arial"/>
          <w:color w:val="auto"/>
          <w:sz w:val="20"/>
          <w:szCs w:val="20"/>
          <w:lang w:val="en-GB"/>
        </w:rPr>
        <w:t xml:space="preserve">            </w:t>
      </w:r>
      <w:r w:rsidR="00077625" w:rsidRPr="00C72258">
        <w:rPr>
          <w:rFonts w:ascii="Arial" w:hAnsi="Arial" w:cs="Arial"/>
          <w:color w:val="auto"/>
          <w:sz w:val="20"/>
          <w:szCs w:val="20"/>
          <w:lang w:val="en-GB"/>
        </w:rPr>
        <w:t xml:space="preserve">Referrals into community-based services will differ across </w:t>
      </w:r>
      <w:r w:rsidR="00026379" w:rsidRPr="00C72258">
        <w:rPr>
          <w:rFonts w:ascii="Arial" w:hAnsi="Arial" w:cs="Arial"/>
          <w:color w:val="auto"/>
          <w:sz w:val="20"/>
          <w:szCs w:val="20"/>
          <w:lang w:val="en-GB"/>
        </w:rPr>
        <w:t>GM</w:t>
      </w:r>
      <w:r w:rsidR="00077625" w:rsidRPr="00C72258">
        <w:rPr>
          <w:rFonts w:ascii="Arial" w:hAnsi="Arial" w:cs="Arial"/>
          <w:color w:val="auto"/>
          <w:sz w:val="20"/>
          <w:szCs w:val="20"/>
          <w:lang w:val="en-GB"/>
        </w:rPr>
        <w:t xml:space="preserve"> and the Provider will need to make arrangements with each area to ensure that they are contacting the appropriate service in a way that ensures there is a joined-up response to a young person’s needs. Crucially the work should enhance existing safeguarding arrangements.</w:t>
      </w:r>
      <w:r w:rsidR="00026379" w:rsidRPr="00C72258">
        <w:rPr>
          <w:rFonts w:ascii="Arial" w:hAnsi="Arial" w:cs="Arial"/>
          <w:color w:val="auto"/>
          <w:sz w:val="20"/>
          <w:szCs w:val="20"/>
          <w:lang w:val="en-GB"/>
        </w:rPr>
        <w:t xml:space="preserve"> The VRU will act as a constant point of contact to assist the Provider with links into existing services across GM. </w:t>
      </w:r>
    </w:p>
    <w:p w14:paraId="4558EF78" w14:textId="77777777" w:rsidR="0035764B" w:rsidRPr="0035764B" w:rsidRDefault="0035764B" w:rsidP="0035764B">
      <w:pPr>
        <w:rPr>
          <w:lang w:val="en-GB"/>
        </w:rPr>
      </w:pPr>
    </w:p>
    <w:p w14:paraId="7FE7A728" w14:textId="77777777" w:rsidR="00077625" w:rsidRPr="00C72258" w:rsidRDefault="00C40E79" w:rsidP="00C72258">
      <w:pPr>
        <w:pStyle w:val="Heading2"/>
        <w:keepLines/>
        <w:numPr>
          <w:ilvl w:val="1"/>
          <w:numId w:val="0"/>
        </w:numPr>
        <w:pBdr>
          <w:top w:val="nil"/>
          <w:left w:val="nil"/>
          <w:bottom w:val="nil"/>
          <w:right w:val="nil"/>
          <w:between w:val="nil"/>
          <w:bar w:val="nil"/>
        </w:pBdr>
        <w:spacing w:after="120" w:line="264" w:lineRule="auto"/>
        <w:ind w:left="964" w:hanging="680"/>
        <w:rPr>
          <w:rFonts w:cs="Arial"/>
          <w:sz w:val="20"/>
          <w:szCs w:val="20"/>
          <w:lang w:val="en-GB"/>
        </w:rPr>
      </w:pPr>
      <w:bookmarkStart w:id="5" w:name="_Toc19131633"/>
      <w:r>
        <w:rPr>
          <w:rFonts w:cs="Arial"/>
          <w:sz w:val="20"/>
          <w:szCs w:val="20"/>
          <w:lang w:val="en-GB"/>
        </w:rPr>
        <w:t xml:space="preserve">      </w:t>
      </w:r>
      <w:r w:rsidR="00C72258" w:rsidRPr="00C72258">
        <w:rPr>
          <w:rFonts w:cs="Arial"/>
          <w:sz w:val="20"/>
          <w:szCs w:val="20"/>
          <w:lang w:val="en-GB"/>
        </w:rPr>
        <w:t xml:space="preserve">3.3 </w:t>
      </w:r>
      <w:r w:rsidR="00077625" w:rsidRPr="00C72258">
        <w:rPr>
          <w:rFonts w:cs="Arial"/>
          <w:sz w:val="20"/>
          <w:szCs w:val="20"/>
          <w:lang w:val="en-GB"/>
        </w:rPr>
        <w:t>Service Eligibility</w:t>
      </w:r>
      <w:bookmarkEnd w:id="5"/>
    </w:p>
    <w:p w14:paraId="7504B532" w14:textId="77777777" w:rsidR="00077625" w:rsidRPr="00C72258" w:rsidRDefault="00C72258" w:rsidP="00C72258">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964" w:hanging="680"/>
        <w:rPr>
          <w:rFonts w:ascii="Arial" w:hAnsi="Arial" w:cs="Arial"/>
          <w:color w:val="auto"/>
          <w:sz w:val="20"/>
          <w:szCs w:val="20"/>
          <w:lang w:val="en-GB"/>
        </w:rPr>
      </w:pPr>
      <w:r w:rsidRPr="00C72258">
        <w:rPr>
          <w:rFonts w:ascii="Arial" w:hAnsi="Arial" w:cs="Arial"/>
          <w:color w:val="auto"/>
          <w:sz w:val="20"/>
          <w:szCs w:val="20"/>
          <w:lang w:val="en-GB"/>
        </w:rPr>
        <w:t xml:space="preserve">            </w:t>
      </w:r>
      <w:r w:rsidR="00077625" w:rsidRPr="00C72258">
        <w:rPr>
          <w:rFonts w:ascii="Arial" w:hAnsi="Arial" w:cs="Arial"/>
          <w:color w:val="auto"/>
          <w:sz w:val="20"/>
          <w:szCs w:val="20"/>
          <w:lang w:val="en-GB"/>
        </w:rPr>
        <w:t>The following eligibility criteria apply to this Service:</w:t>
      </w:r>
    </w:p>
    <w:p w14:paraId="50A82F2E" w14:textId="77777777" w:rsidR="00077625" w:rsidRPr="00C72258" w:rsidRDefault="0035764B" w:rsidP="00C72258">
      <w:pPr>
        <w:pStyle w:val="Bulletlist1"/>
        <w:ind w:left="1361"/>
        <w:rPr>
          <w:rFonts w:ascii="Arial" w:hAnsi="Arial" w:cs="Arial"/>
          <w:color w:val="auto"/>
          <w:sz w:val="20"/>
          <w:szCs w:val="20"/>
          <w:lang w:val="en-GB"/>
        </w:rPr>
      </w:pPr>
      <w:r>
        <w:rPr>
          <w:rFonts w:ascii="Arial" w:hAnsi="Arial" w:cs="Arial"/>
          <w:color w:val="auto"/>
          <w:sz w:val="20"/>
          <w:szCs w:val="20"/>
          <w:lang w:val="en-GB"/>
        </w:rPr>
        <w:t>Y</w:t>
      </w:r>
      <w:r w:rsidR="00077625" w:rsidRPr="00C72258">
        <w:rPr>
          <w:rFonts w:ascii="Arial" w:hAnsi="Arial" w:cs="Arial"/>
          <w:color w:val="auto"/>
          <w:sz w:val="20"/>
          <w:szCs w:val="20"/>
          <w:lang w:val="en-GB"/>
        </w:rPr>
        <w:t>oung person is aged between 1</w:t>
      </w:r>
      <w:r w:rsidR="00026379" w:rsidRPr="00C72258">
        <w:rPr>
          <w:rFonts w:ascii="Arial" w:hAnsi="Arial" w:cs="Arial"/>
          <w:color w:val="auto"/>
          <w:sz w:val="20"/>
          <w:szCs w:val="20"/>
          <w:lang w:val="en-GB"/>
        </w:rPr>
        <w:t>0</w:t>
      </w:r>
      <w:r w:rsidR="00077625" w:rsidRPr="00C72258">
        <w:rPr>
          <w:rFonts w:ascii="Arial" w:hAnsi="Arial" w:cs="Arial"/>
          <w:color w:val="auto"/>
          <w:sz w:val="20"/>
          <w:szCs w:val="20"/>
          <w:lang w:val="en-GB"/>
        </w:rPr>
        <w:t xml:space="preserve"> and 25 years of age</w:t>
      </w:r>
    </w:p>
    <w:p w14:paraId="5F26E6D4" w14:textId="77777777" w:rsidR="00077625" w:rsidRPr="00C72258" w:rsidRDefault="0035764B" w:rsidP="00C72258">
      <w:pPr>
        <w:pStyle w:val="Bulletlist1"/>
        <w:ind w:left="1361"/>
        <w:rPr>
          <w:rFonts w:ascii="Arial" w:hAnsi="Arial" w:cs="Arial"/>
          <w:color w:val="auto"/>
          <w:sz w:val="20"/>
          <w:szCs w:val="20"/>
          <w:lang w:val="en-GB"/>
        </w:rPr>
      </w:pPr>
      <w:r>
        <w:rPr>
          <w:rFonts w:ascii="Arial" w:hAnsi="Arial" w:cs="Arial"/>
          <w:color w:val="auto"/>
          <w:sz w:val="20"/>
          <w:szCs w:val="20"/>
          <w:lang w:val="en-GB"/>
        </w:rPr>
        <w:t>Y</w:t>
      </w:r>
      <w:r w:rsidR="00077625" w:rsidRPr="00C72258">
        <w:rPr>
          <w:rFonts w:ascii="Arial" w:hAnsi="Arial" w:cs="Arial"/>
          <w:color w:val="auto"/>
          <w:sz w:val="20"/>
          <w:szCs w:val="20"/>
          <w:lang w:val="en-GB"/>
        </w:rPr>
        <w:t xml:space="preserve">oung person </w:t>
      </w:r>
      <w:r w:rsidR="001D71A8">
        <w:rPr>
          <w:rFonts w:ascii="Arial" w:hAnsi="Arial" w:cs="Arial"/>
          <w:color w:val="auto"/>
          <w:sz w:val="20"/>
          <w:szCs w:val="20"/>
          <w:lang w:val="en-GB"/>
        </w:rPr>
        <w:t>presents at a hospital in scope of pilot (regardless of area of residence)</w:t>
      </w:r>
    </w:p>
    <w:p w14:paraId="72723B2A" w14:textId="77777777" w:rsidR="00077625" w:rsidRPr="00C72258" w:rsidRDefault="0035764B" w:rsidP="00C72258">
      <w:pPr>
        <w:pStyle w:val="Bulletlist1"/>
        <w:ind w:left="1361"/>
        <w:rPr>
          <w:rFonts w:ascii="Arial" w:hAnsi="Arial" w:cs="Arial"/>
          <w:color w:val="auto"/>
          <w:sz w:val="20"/>
          <w:szCs w:val="20"/>
          <w:lang w:val="en-GB"/>
        </w:rPr>
      </w:pPr>
      <w:r>
        <w:rPr>
          <w:rFonts w:ascii="Arial" w:hAnsi="Arial" w:cs="Arial"/>
          <w:color w:val="auto"/>
          <w:sz w:val="20"/>
          <w:szCs w:val="20"/>
          <w:lang w:val="en-GB"/>
        </w:rPr>
        <w:t>H</w:t>
      </w:r>
      <w:r w:rsidR="00077625" w:rsidRPr="00C72258">
        <w:rPr>
          <w:rFonts w:ascii="Arial" w:hAnsi="Arial" w:cs="Arial"/>
          <w:color w:val="auto"/>
          <w:sz w:val="20"/>
          <w:szCs w:val="20"/>
          <w:lang w:val="en-GB"/>
        </w:rPr>
        <w:t>ave been or are suspected as having been the victim of interpersonal violence</w:t>
      </w:r>
    </w:p>
    <w:p w14:paraId="2354A688" w14:textId="77777777" w:rsidR="00077625" w:rsidRPr="00C72258" w:rsidRDefault="0035764B" w:rsidP="00C72258">
      <w:pPr>
        <w:pStyle w:val="Bulletlist1"/>
        <w:ind w:left="1361"/>
        <w:rPr>
          <w:rFonts w:ascii="Arial" w:hAnsi="Arial" w:cs="Arial"/>
          <w:color w:val="auto"/>
          <w:sz w:val="20"/>
          <w:szCs w:val="20"/>
          <w:lang w:val="en-GB"/>
        </w:rPr>
      </w:pPr>
      <w:r>
        <w:rPr>
          <w:rFonts w:ascii="Arial" w:hAnsi="Arial" w:cs="Arial"/>
          <w:color w:val="auto"/>
          <w:sz w:val="20"/>
          <w:szCs w:val="20"/>
          <w:lang w:val="en-GB"/>
        </w:rPr>
        <w:t>W</w:t>
      </w:r>
      <w:r w:rsidR="00077625" w:rsidRPr="00C72258">
        <w:rPr>
          <w:rFonts w:ascii="Arial" w:hAnsi="Arial" w:cs="Arial"/>
          <w:color w:val="auto"/>
          <w:sz w:val="20"/>
          <w:szCs w:val="20"/>
          <w:lang w:val="en-GB"/>
        </w:rPr>
        <w:t>here a suspected safeguarding issue arises</w:t>
      </w:r>
    </w:p>
    <w:p w14:paraId="01857505" w14:textId="77777777" w:rsidR="00FC46C7" w:rsidRPr="00C72258" w:rsidRDefault="00C72258" w:rsidP="0035764B">
      <w:pPr>
        <w:pStyle w:val="Bulletlist1"/>
        <w:numPr>
          <w:ilvl w:val="0"/>
          <w:numId w:val="0"/>
        </w:numPr>
        <w:ind w:left="681" w:hanging="397"/>
        <w:rPr>
          <w:rFonts w:ascii="Arial" w:hAnsi="Arial" w:cs="Arial"/>
          <w:color w:val="auto"/>
          <w:sz w:val="20"/>
          <w:szCs w:val="20"/>
          <w:lang w:val="en-GB"/>
        </w:rPr>
      </w:pPr>
      <w:r>
        <w:rPr>
          <w:rFonts w:ascii="Arial" w:hAnsi="Arial" w:cs="Arial"/>
          <w:color w:val="auto"/>
          <w:sz w:val="20"/>
          <w:szCs w:val="20"/>
          <w:lang w:val="en-GB"/>
        </w:rPr>
        <w:lastRenderedPageBreak/>
        <w:t xml:space="preserve"> </w:t>
      </w:r>
      <w:r w:rsidR="0035764B">
        <w:rPr>
          <w:rFonts w:ascii="Arial" w:hAnsi="Arial" w:cs="Arial"/>
          <w:color w:val="auto"/>
          <w:sz w:val="20"/>
          <w:szCs w:val="20"/>
          <w:lang w:val="en-GB"/>
        </w:rPr>
        <w:t xml:space="preserve">      </w:t>
      </w:r>
      <w:r w:rsidR="00FC46C7" w:rsidRPr="00C72258">
        <w:rPr>
          <w:rFonts w:ascii="Arial" w:hAnsi="Arial" w:cs="Arial"/>
          <w:color w:val="auto"/>
          <w:sz w:val="20"/>
          <w:szCs w:val="20"/>
          <w:lang w:val="en-GB"/>
        </w:rPr>
        <w:t xml:space="preserve">Note that although initial engagement with young people subject of domestic violence, sexual violence and / or exploitation would be expected – existing specialist services are already in place and so these support relationships should only exist until the specialist service engages. This does not prevent the Navigator supporting the lead service where appropriate.   </w:t>
      </w:r>
    </w:p>
    <w:p w14:paraId="77E6EA79" w14:textId="77777777" w:rsidR="00077625" w:rsidRDefault="00C72258" w:rsidP="0035764B">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077625" w:rsidRPr="00C72258">
        <w:rPr>
          <w:rFonts w:ascii="Arial" w:hAnsi="Arial" w:cs="Arial"/>
          <w:color w:val="auto"/>
          <w:sz w:val="20"/>
          <w:szCs w:val="20"/>
          <w:lang w:val="en-GB"/>
        </w:rPr>
        <w:t>The Service will also be expected to accept referrals from clinicians, responding to the clinician’s assessment and concerns around vulnerabilities.</w:t>
      </w:r>
    </w:p>
    <w:p w14:paraId="70BE23DC" w14:textId="77777777" w:rsidR="00077625" w:rsidRPr="00442B4C" w:rsidRDefault="00E57C89" w:rsidP="00C72258">
      <w:pPr>
        <w:pStyle w:val="Heading2"/>
        <w:keepLines/>
        <w:numPr>
          <w:ilvl w:val="1"/>
          <w:numId w:val="0"/>
        </w:numPr>
        <w:pBdr>
          <w:top w:val="nil"/>
          <w:left w:val="nil"/>
          <w:bottom w:val="nil"/>
          <w:right w:val="nil"/>
          <w:between w:val="nil"/>
          <w:bar w:val="nil"/>
        </w:pBdr>
        <w:spacing w:after="120" w:line="264" w:lineRule="auto"/>
        <w:ind w:left="964" w:hanging="680"/>
        <w:rPr>
          <w:rFonts w:cs="Arial"/>
          <w:sz w:val="20"/>
          <w:szCs w:val="20"/>
          <w:lang w:val="en-GB"/>
        </w:rPr>
      </w:pPr>
      <w:bookmarkStart w:id="6" w:name="_Toc19131634"/>
      <w:r>
        <w:rPr>
          <w:rFonts w:cs="Arial"/>
          <w:sz w:val="20"/>
          <w:szCs w:val="20"/>
          <w:lang w:val="en-GB"/>
        </w:rPr>
        <w:t xml:space="preserve">       </w:t>
      </w:r>
      <w:r w:rsidR="00C72258">
        <w:rPr>
          <w:rFonts w:cs="Arial"/>
          <w:sz w:val="20"/>
          <w:szCs w:val="20"/>
          <w:lang w:val="en-GB"/>
        </w:rPr>
        <w:t xml:space="preserve">3.4 </w:t>
      </w:r>
      <w:r w:rsidR="00077625" w:rsidRPr="00442B4C">
        <w:rPr>
          <w:rFonts w:cs="Arial"/>
          <w:sz w:val="20"/>
          <w:szCs w:val="20"/>
          <w:lang w:val="en-GB"/>
        </w:rPr>
        <w:t>Operating Times</w:t>
      </w:r>
      <w:bookmarkEnd w:id="6"/>
    </w:p>
    <w:p w14:paraId="497296B3" w14:textId="77777777" w:rsidR="00077625" w:rsidRPr="00C72258" w:rsidRDefault="00C72258" w:rsidP="0035764B">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077625" w:rsidRPr="00C72258">
        <w:rPr>
          <w:rFonts w:ascii="Arial" w:hAnsi="Arial" w:cs="Arial"/>
          <w:color w:val="auto"/>
          <w:sz w:val="20"/>
          <w:szCs w:val="20"/>
          <w:lang w:val="en-GB"/>
        </w:rPr>
        <w:t xml:space="preserve">The Provider will be expected to agree the hours the </w:t>
      </w:r>
      <w:r w:rsidR="00FC46C7" w:rsidRPr="00C72258">
        <w:rPr>
          <w:rFonts w:ascii="Arial" w:hAnsi="Arial" w:cs="Arial"/>
          <w:color w:val="auto"/>
          <w:sz w:val="20"/>
          <w:szCs w:val="20"/>
          <w:lang w:val="en-GB"/>
        </w:rPr>
        <w:t>Navigator</w:t>
      </w:r>
      <w:r w:rsidR="00077625" w:rsidRPr="00C72258">
        <w:rPr>
          <w:rFonts w:ascii="Arial" w:hAnsi="Arial" w:cs="Arial"/>
          <w:color w:val="auto"/>
          <w:sz w:val="20"/>
          <w:szCs w:val="20"/>
          <w:lang w:val="en-GB"/>
        </w:rPr>
        <w:t xml:space="preserve"> team will be available in the hospital with the A&amp;E team. The Provider will need to balance the demands of attendances at the hospital A&amp;Es, including being available for regular hospital safeguarding meetings, with the operating times of statutory and community services they need to link in with.</w:t>
      </w:r>
      <w:r>
        <w:rPr>
          <w:rFonts w:ascii="Arial" w:hAnsi="Arial" w:cs="Arial"/>
          <w:color w:val="auto"/>
          <w:sz w:val="20"/>
          <w:szCs w:val="20"/>
          <w:lang w:val="en-GB"/>
        </w:rPr>
        <w:t xml:space="preserve"> GMCA expect a 7 day a week provision including evenings, and parameters will be agreed between the Provider and GMCA during the mobilisation period. </w:t>
      </w:r>
    </w:p>
    <w:p w14:paraId="4C0C1A88" w14:textId="77777777" w:rsidR="00E57C89" w:rsidRDefault="00E57C89" w:rsidP="00E57C89">
      <w:pPr>
        <w:pStyle w:val="Heading2"/>
        <w:keepLines/>
        <w:numPr>
          <w:ilvl w:val="1"/>
          <w:numId w:val="0"/>
        </w:numPr>
        <w:pBdr>
          <w:top w:val="nil"/>
          <w:left w:val="nil"/>
          <w:bottom w:val="nil"/>
          <w:right w:val="nil"/>
          <w:between w:val="nil"/>
          <w:bar w:val="nil"/>
        </w:pBdr>
        <w:spacing w:after="120" w:line="264" w:lineRule="auto"/>
        <w:ind w:left="1076" w:hanging="680"/>
        <w:rPr>
          <w:rFonts w:cs="Arial"/>
          <w:sz w:val="20"/>
          <w:szCs w:val="20"/>
          <w:lang w:val="en-GB"/>
        </w:rPr>
      </w:pPr>
      <w:bookmarkStart w:id="7" w:name="_Toc19131635"/>
      <w:r>
        <w:rPr>
          <w:rFonts w:cs="Arial"/>
          <w:sz w:val="20"/>
          <w:szCs w:val="20"/>
          <w:lang w:val="en-GB"/>
        </w:rPr>
        <w:t xml:space="preserve">     </w:t>
      </w:r>
      <w:r w:rsidR="00C72258">
        <w:rPr>
          <w:rFonts w:cs="Arial"/>
          <w:sz w:val="20"/>
          <w:szCs w:val="20"/>
          <w:lang w:val="en-GB"/>
        </w:rPr>
        <w:t xml:space="preserve">3.5 </w:t>
      </w:r>
      <w:r w:rsidR="00077625" w:rsidRPr="00C72258">
        <w:rPr>
          <w:rFonts w:cs="Arial"/>
          <w:sz w:val="20"/>
          <w:szCs w:val="20"/>
          <w:lang w:val="en-GB"/>
        </w:rPr>
        <w:t>Delivery Locations</w:t>
      </w:r>
      <w:bookmarkEnd w:id="7"/>
    </w:p>
    <w:p w14:paraId="0762B484" w14:textId="77777777" w:rsidR="00077625" w:rsidRPr="00E57C89" w:rsidRDefault="00C72258" w:rsidP="000E3586">
      <w:pPr>
        <w:pStyle w:val="Heading2"/>
        <w:keepLines/>
        <w:numPr>
          <w:ilvl w:val="1"/>
          <w:numId w:val="0"/>
        </w:numPr>
        <w:pBdr>
          <w:top w:val="nil"/>
          <w:left w:val="nil"/>
          <w:bottom w:val="nil"/>
          <w:right w:val="nil"/>
          <w:between w:val="nil"/>
          <w:bar w:val="nil"/>
        </w:pBdr>
        <w:spacing w:after="120" w:line="264" w:lineRule="auto"/>
        <w:ind w:left="680" w:hanging="680"/>
        <w:rPr>
          <w:rFonts w:cs="Arial"/>
          <w:b w:val="0"/>
          <w:sz w:val="20"/>
          <w:szCs w:val="20"/>
          <w:lang w:val="en-GB"/>
        </w:rPr>
      </w:pPr>
      <w:r>
        <w:rPr>
          <w:rFonts w:cs="Arial"/>
          <w:sz w:val="20"/>
          <w:szCs w:val="20"/>
          <w:lang w:val="en-GB"/>
        </w:rPr>
        <w:t xml:space="preserve">       </w:t>
      </w:r>
      <w:r w:rsidR="00E57C89">
        <w:rPr>
          <w:rFonts w:cs="Arial"/>
          <w:sz w:val="20"/>
          <w:szCs w:val="20"/>
          <w:lang w:val="en-GB"/>
        </w:rPr>
        <w:t xml:space="preserve">    </w:t>
      </w:r>
      <w:r>
        <w:rPr>
          <w:rFonts w:cs="Arial"/>
          <w:sz w:val="20"/>
          <w:szCs w:val="20"/>
          <w:lang w:val="en-GB"/>
        </w:rPr>
        <w:t xml:space="preserve"> </w:t>
      </w:r>
      <w:r w:rsidR="00E57C89" w:rsidRPr="00E57C89">
        <w:rPr>
          <w:rFonts w:cs="Arial"/>
          <w:b w:val="0"/>
          <w:sz w:val="20"/>
          <w:szCs w:val="20"/>
          <w:lang w:val="en-GB"/>
        </w:rPr>
        <w:t>Th</w:t>
      </w:r>
      <w:r w:rsidR="00077625" w:rsidRPr="00E57C89">
        <w:rPr>
          <w:rFonts w:cs="Arial"/>
          <w:b w:val="0"/>
          <w:sz w:val="20"/>
          <w:szCs w:val="20"/>
          <w:lang w:val="en-GB"/>
        </w:rPr>
        <w:t xml:space="preserve">e Provider must embed their services in the hospital as a whole and in the A&amp;E </w:t>
      </w:r>
      <w:r w:rsidR="00E57C89" w:rsidRPr="00E57C89">
        <w:rPr>
          <w:rFonts w:cs="Arial"/>
          <w:b w:val="0"/>
          <w:sz w:val="20"/>
          <w:szCs w:val="20"/>
          <w:lang w:val="en-GB"/>
        </w:rPr>
        <w:t>department in</w:t>
      </w:r>
      <w:r w:rsidR="00077625" w:rsidRPr="00E57C89">
        <w:rPr>
          <w:rFonts w:cs="Arial"/>
          <w:b w:val="0"/>
          <w:sz w:val="20"/>
          <w:szCs w:val="20"/>
          <w:lang w:val="en-GB"/>
        </w:rPr>
        <w:t xml:space="preserve"> particular.</w:t>
      </w:r>
    </w:p>
    <w:p w14:paraId="70B3EF03" w14:textId="77777777" w:rsidR="00077625" w:rsidRPr="00C72258" w:rsidRDefault="00E57C89" w:rsidP="000E3586">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1004" w:hanging="680"/>
        <w:rPr>
          <w:rFonts w:ascii="Arial" w:hAnsi="Arial" w:cs="Arial"/>
          <w:color w:val="auto"/>
          <w:sz w:val="20"/>
          <w:szCs w:val="20"/>
          <w:lang w:val="en-GB"/>
        </w:rPr>
      </w:pPr>
      <w:r>
        <w:rPr>
          <w:rFonts w:ascii="Arial" w:hAnsi="Arial" w:cs="Arial"/>
          <w:color w:val="auto"/>
          <w:sz w:val="20"/>
          <w:szCs w:val="20"/>
          <w:lang w:val="en-GB"/>
        </w:rPr>
        <w:t xml:space="preserve">      </w:t>
      </w:r>
      <w:r w:rsidR="00077625" w:rsidRPr="00C72258">
        <w:rPr>
          <w:rFonts w:ascii="Arial" w:hAnsi="Arial" w:cs="Arial"/>
          <w:color w:val="auto"/>
          <w:sz w:val="20"/>
          <w:szCs w:val="20"/>
          <w:lang w:val="en-GB"/>
        </w:rPr>
        <w:t>The Provider will be expected to work closely with services in the community.</w:t>
      </w:r>
    </w:p>
    <w:p w14:paraId="41E535BC" w14:textId="77777777" w:rsidR="00077625" w:rsidRPr="00C72258" w:rsidRDefault="00E57C89" w:rsidP="000E3586">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077625" w:rsidRPr="00C72258">
        <w:rPr>
          <w:rFonts w:ascii="Arial" w:hAnsi="Arial" w:cs="Arial"/>
          <w:color w:val="auto"/>
          <w:sz w:val="20"/>
          <w:szCs w:val="20"/>
          <w:lang w:val="en-GB"/>
        </w:rPr>
        <w:t xml:space="preserve">The Provider must have arrangements in place to contact and where appropriate meet young people outside the hospital setting. The Provider must ensure that it is a safe environment for both the victim and the </w:t>
      </w:r>
      <w:r w:rsidR="00FC46C7" w:rsidRPr="00C72258">
        <w:rPr>
          <w:rFonts w:ascii="Arial" w:hAnsi="Arial" w:cs="Arial"/>
          <w:color w:val="auto"/>
          <w:sz w:val="20"/>
          <w:szCs w:val="20"/>
          <w:lang w:val="en-GB"/>
        </w:rPr>
        <w:t>Navigator</w:t>
      </w:r>
      <w:r w:rsidR="00077625" w:rsidRPr="00C72258">
        <w:rPr>
          <w:rFonts w:ascii="Arial" w:hAnsi="Arial" w:cs="Arial"/>
          <w:color w:val="auto"/>
          <w:sz w:val="20"/>
          <w:szCs w:val="20"/>
          <w:lang w:val="en-GB"/>
        </w:rPr>
        <w:t xml:space="preserve"> and have in place an effective lone-working policy.</w:t>
      </w:r>
    </w:p>
    <w:p w14:paraId="114B39A7" w14:textId="77777777" w:rsidR="00077625" w:rsidRPr="00C72258" w:rsidRDefault="00E57C89" w:rsidP="00E57C89">
      <w:pPr>
        <w:pStyle w:val="Heading2"/>
        <w:keepLines/>
        <w:numPr>
          <w:ilvl w:val="1"/>
          <w:numId w:val="0"/>
        </w:numPr>
        <w:pBdr>
          <w:top w:val="nil"/>
          <w:left w:val="nil"/>
          <w:bottom w:val="nil"/>
          <w:right w:val="nil"/>
          <w:between w:val="nil"/>
          <w:bar w:val="nil"/>
        </w:pBdr>
        <w:spacing w:after="120" w:line="264" w:lineRule="auto"/>
        <w:ind w:left="1076" w:hanging="680"/>
        <w:rPr>
          <w:rFonts w:cs="Arial"/>
          <w:sz w:val="20"/>
          <w:szCs w:val="20"/>
          <w:lang w:val="en-GB"/>
        </w:rPr>
      </w:pPr>
      <w:bookmarkStart w:id="8" w:name="_Toc19131636"/>
      <w:r>
        <w:rPr>
          <w:rFonts w:cs="Arial"/>
          <w:sz w:val="20"/>
          <w:szCs w:val="20"/>
          <w:lang w:val="en-GB"/>
        </w:rPr>
        <w:t xml:space="preserve">    3.6 </w:t>
      </w:r>
      <w:r w:rsidR="00077625" w:rsidRPr="00C72258">
        <w:rPr>
          <w:rFonts w:cs="Arial"/>
          <w:sz w:val="20"/>
          <w:szCs w:val="20"/>
          <w:lang w:val="en-GB"/>
        </w:rPr>
        <w:t>Case Management</w:t>
      </w:r>
      <w:bookmarkEnd w:id="8"/>
    </w:p>
    <w:p w14:paraId="0DEF72AB" w14:textId="77777777" w:rsidR="00077625" w:rsidRPr="00C72258" w:rsidRDefault="00E57C89" w:rsidP="000E3586">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077625" w:rsidRPr="00C72258">
        <w:rPr>
          <w:rFonts w:ascii="Arial" w:hAnsi="Arial" w:cs="Arial"/>
          <w:color w:val="auto"/>
          <w:sz w:val="20"/>
          <w:szCs w:val="20"/>
          <w:lang w:val="en-GB"/>
        </w:rPr>
        <w:t>The Provider</w:t>
      </w:r>
      <w:r w:rsidR="000144A3" w:rsidRPr="00C72258">
        <w:rPr>
          <w:rFonts w:ascii="Arial" w:hAnsi="Arial" w:cs="Arial"/>
          <w:color w:val="auto"/>
          <w:sz w:val="20"/>
          <w:szCs w:val="20"/>
          <w:lang w:val="en-GB"/>
        </w:rPr>
        <w:t xml:space="preserve"> </w:t>
      </w:r>
      <w:r w:rsidR="00077625" w:rsidRPr="00C72258">
        <w:rPr>
          <w:rFonts w:ascii="Arial" w:hAnsi="Arial" w:cs="Arial"/>
          <w:color w:val="auto"/>
          <w:sz w:val="20"/>
          <w:szCs w:val="20"/>
          <w:lang w:val="en-GB"/>
        </w:rPr>
        <w:t>must be able to provide, maintain and update a secure case management system that meets recognised and appropriate information security management systems standards.</w:t>
      </w:r>
      <w:r w:rsidR="00077625" w:rsidRPr="00C72258">
        <w:rPr>
          <w:rFonts w:ascii="Arial" w:hAnsi="Arial" w:cs="Arial"/>
          <w:color w:val="auto"/>
          <w:sz w:val="20"/>
          <w:szCs w:val="20"/>
          <w:lang w:val="en-GB"/>
        </w:rPr>
        <w:tab/>
      </w:r>
    </w:p>
    <w:p w14:paraId="360ECA09" w14:textId="77777777" w:rsidR="00077625" w:rsidRPr="00C72258" w:rsidRDefault="00E57C89" w:rsidP="00E57C89">
      <w:pPr>
        <w:pStyle w:val="Heading2"/>
        <w:keepLines/>
        <w:numPr>
          <w:ilvl w:val="1"/>
          <w:numId w:val="0"/>
        </w:numPr>
        <w:pBdr>
          <w:top w:val="nil"/>
          <w:left w:val="nil"/>
          <w:bottom w:val="nil"/>
          <w:right w:val="nil"/>
          <w:between w:val="nil"/>
          <w:bar w:val="nil"/>
        </w:pBdr>
        <w:spacing w:after="120" w:line="264" w:lineRule="auto"/>
        <w:ind w:left="680" w:hanging="680"/>
        <w:rPr>
          <w:rFonts w:cs="Arial"/>
          <w:sz w:val="20"/>
          <w:szCs w:val="20"/>
          <w:lang w:val="en-GB"/>
        </w:rPr>
      </w:pPr>
      <w:bookmarkStart w:id="9" w:name="_Toc19131637"/>
      <w:r>
        <w:rPr>
          <w:rFonts w:cs="Arial"/>
          <w:sz w:val="20"/>
          <w:szCs w:val="20"/>
          <w:lang w:val="en-GB"/>
        </w:rPr>
        <w:t xml:space="preserve">           3.7 </w:t>
      </w:r>
      <w:r w:rsidR="00077625" w:rsidRPr="00C72258">
        <w:rPr>
          <w:rFonts w:cs="Arial"/>
          <w:sz w:val="20"/>
          <w:szCs w:val="20"/>
          <w:lang w:val="en-GB"/>
        </w:rPr>
        <w:t>Referral and Assessment</w:t>
      </w:r>
      <w:bookmarkEnd w:id="9"/>
    </w:p>
    <w:p w14:paraId="706992C8" w14:textId="77777777" w:rsidR="00077625" w:rsidRPr="00C72258" w:rsidRDefault="00E57C89" w:rsidP="00E57C89">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1400" w:hanging="680"/>
        <w:rPr>
          <w:rFonts w:ascii="Arial" w:hAnsi="Arial" w:cs="Arial"/>
          <w:color w:val="auto"/>
          <w:sz w:val="20"/>
          <w:szCs w:val="20"/>
          <w:lang w:val="en-GB"/>
        </w:rPr>
      </w:pPr>
      <w:r>
        <w:rPr>
          <w:rFonts w:ascii="Arial" w:hAnsi="Arial" w:cs="Arial"/>
          <w:color w:val="auto"/>
          <w:sz w:val="20"/>
          <w:szCs w:val="20"/>
          <w:lang w:val="en-GB"/>
        </w:rPr>
        <w:t xml:space="preserve">            </w:t>
      </w:r>
      <w:r w:rsidR="00077625" w:rsidRPr="00C72258">
        <w:rPr>
          <w:rFonts w:ascii="Arial" w:hAnsi="Arial" w:cs="Arial"/>
          <w:color w:val="auto"/>
          <w:sz w:val="20"/>
          <w:szCs w:val="20"/>
          <w:lang w:val="en-GB"/>
        </w:rPr>
        <w:t>The Provider must ensure that the Service:</w:t>
      </w:r>
    </w:p>
    <w:p w14:paraId="1D3108DB" w14:textId="77777777" w:rsidR="00077625" w:rsidRPr="00C72258" w:rsidRDefault="000E3586" w:rsidP="00E57C89">
      <w:pPr>
        <w:pStyle w:val="Bulletlist1"/>
        <w:ind w:left="1797"/>
        <w:rPr>
          <w:rFonts w:ascii="Arial" w:hAnsi="Arial" w:cs="Arial"/>
          <w:color w:val="auto"/>
          <w:sz w:val="20"/>
          <w:szCs w:val="20"/>
          <w:lang w:val="en-GB"/>
        </w:rPr>
      </w:pPr>
      <w:r>
        <w:rPr>
          <w:rFonts w:ascii="Arial" w:hAnsi="Arial" w:cs="Arial"/>
          <w:color w:val="auto"/>
          <w:sz w:val="20"/>
          <w:szCs w:val="20"/>
          <w:lang w:val="en-GB"/>
        </w:rPr>
        <w:t>P</w:t>
      </w:r>
      <w:r w:rsidR="00077625" w:rsidRPr="00C72258">
        <w:rPr>
          <w:rFonts w:ascii="Arial" w:hAnsi="Arial" w:cs="Arial"/>
          <w:color w:val="auto"/>
          <w:sz w:val="20"/>
          <w:szCs w:val="20"/>
          <w:lang w:val="en-GB"/>
        </w:rPr>
        <w:t>roactively identifies and assesses vulnerable young people who attend A&amp;E</w:t>
      </w:r>
      <w:r w:rsidR="000144A3" w:rsidRPr="00C72258">
        <w:rPr>
          <w:rFonts w:ascii="Arial" w:hAnsi="Arial" w:cs="Arial"/>
          <w:color w:val="auto"/>
          <w:sz w:val="20"/>
          <w:szCs w:val="20"/>
          <w:lang w:val="en-GB"/>
        </w:rPr>
        <w:t xml:space="preserve">  </w:t>
      </w:r>
    </w:p>
    <w:p w14:paraId="7D2D7952" w14:textId="77777777" w:rsidR="00077625" w:rsidRPr="00C72258" w:rsidRDefault="000E3586" w:rsidP="00E57C89">
      <w:pPr>
        <w:pStyle w:val="Bulletlist1"/>
        <w:ind w:left="1797"/>
        <w:rPr>
          <w:rFonts w:ascii="Arial" w:hAnsi="Arial" w:cs="Arial"/>
          <w:color w:val="auto"/>
          <w:sz w:val="20"/>
          <w:szCs w:val="20"/>
          <w:lang w:val="en-GB"/>
        </w:rPr>
      </w:pPr>
      <w:r>
        <w:rPr>
          <w:rFonts w:ascii="Arial" w:hAnsi="Arial" w:cs="Arial"/>
          <w:color w:val="auto"/>
          <w:sz w:val="20"/>
          <w:szCs w:val="20"/>
          <w:lang w:val="en-GB"/>
        </w:rPr>
        <w:t>U</w:t>
      </w:r>
      <w:r w:rsidR="00077625" w:rsidRPr="00C72258">
        <w:rPr>
          <w:rFonts w:ascii="Arial" w:hAnsi="Arial" w:cs="Arial"/>
          <w:color w:val="auto"/>
          <w:sz w:val="20"/>
          <w:szCs w:val="20"/>
          <w:lang w:val="en-GB"/>
        </w:rPr>
        <w:t>tilises the professional judgement of clinicians and others at the A&amp;E to help to identify vulnerable young people</w:t>
      </w:r>
    </w:p>
    <w:p w14:paraId="54942EBB" w14:textId="77777777" w:rsidR="00077625" w:rsidRPr="00C72258" w:rsidRDefault="000E3586" w:rsidP="00E57C89">
      <w:pPr>
        <w:pStyle w:val="Bulletlist1"/>
        <w:ind w:left="1797"/>
        <w:rPr>
          <w:rFonts w:ascii="Arial" w:hAnsi="Arial" w:cs="Arial"/>
          <w:color w:val="auto"/>
          <w:sz w:val="20"/>
          <w:szCs w:val="20"/>
          <w:lang w:val="en-GB"/>
        </w:rPr>
      </w:pPr>
      <w:r>
        <w:rPr>
          <w:rFonts w:ascii="Arial" w:hAnsi="Arial" w:cs="Arial"/>
          <w:color w:val="auto"/>
          <w:sz w:val="20"/>
          <w:szCs w:val="20"/>
          <w:lang w:val="en-GB"/>
        </w:rPr>
        <w:t>P</w:t>
      </w:r>
      <w:r w:rsidR="00077625" w:rsidRPr="00C72258">
        <w:rPr>
          <w:rFonts w:ascii="Arial" w:hAnsi="Arial" w:cs="Arial"/>
          <w:color w:val="auto"/>
          <w:sz w:val="20"/>
          <w:szCs w:val="20"/>
          <w:lang w:val="en-GB"/>
        </w:rPr>
        <w:t xml:space="preserve">uts in place </w:t>
      </w:r>
      <w:r w:rsidR="000144A3" w:rsidRPr="00C72258">
        <w:rPr>
          <w:rFonts w:ascii="Arial" w:hAnsi="Arial" w:cs="Arial"/>
          <w:color w:val="auto"/>
          <w:sz w:val="20"/>
          <w:szCs w:val="20"/>
          <w:lang w:val="en-GB"/>
        </w:rPr>
        <w:t xml:space="preserve">robust referral </w:t>
      </w:r>
      <w:r w:rsidR="00077625" w:rsidRPr="00C72258">
        <w:rPr>
          <w:rFonts w:ascii="Arial" w:hAnsi="Arial" w:cs="Arial"/>
          <w:color w:val="auto"/>
          <w:sz w:val="20"/>
          <w:szCs w:val="20"/>
          <w:lang w:val="en-GB"/>
        </w:rPr>
        <w:t xml:space="preserve">systems to </w:t>
      </w:r>
      <w:r w:rsidR="000144A3" w:rsidRPr="00C72258">
        <w:rPr>
          <w:rFonts w:ascii="Arial" w:hAnsi="Arial" w:cs="Arial"/>
          <w:color w:val="auto"/>
          <w:sz w:val="20"/>
          <w:szCs w:val="20"/>
          <w:lang w:val="en-GB"/>
        </w:rPr>
        <w:t xml:space="preserve">enable </w:t>
      </w:r>
      <w:r w:rsidR="00077625" w:rsidRPr="00C72258">
        <w:rPr>
          <w:rFonts w:ascii="Arial" w:hAnsi="Arial" w:cs="Arial"/>
          <w:color w:val="auto"/>
          <w:sz w:val="20"/>
          <w:szCs w:val="20"/>
          <w:lang w:val="en-GB"/>
        </w:rPr>
        <w:t xml:space="preserve">contact </w:t>
      </w:r>
      <w:r w:rsidR="000144A3" w:rsidRPr="00C72258">
        <w:rPr>
          <w:rFonts w:ascii="Arial" w:hAnsi="Arial" w:cs="Arial"/>
          <w:color w:val="auto"/>
          <w:sz w:val="20"/>
          <w:szCs w:val="20"/>
          <w:lang w:val="en-GB"/>
        </w:rPr>
        <w:t xml:space="preserve">with </w:t>
      </w:r>
      <w:r w:rsidR="00077625" w:rsidRPr="00C72258">
        <w:rPr>
          <w:rFonts w:ascii="Arial" w:hAnsi="Arial" w:cs="Arial"/>
          <w:color w:val="auto"/>
          <w:sz w:val="20"/>
          <w:szCs w:val="20"/>
          <w:lang w:val="en-GB"/>
        </w:rPr>
        <w:t xml:space="preserve">young people who the </w:t>
      </w:r>
      <w:r w:rsidR="000144A3" w:rsidRPr="00C72258">
        <w:rPr>
          <w:rFonts w:ascii="Arial" w:hAnsi="Arial" w:cs="Arial"/>
          <w:color w:val="auto"/>
          <w:sz w:val="20"/>
          <w:szCs w:val="20"/>
          <w:lang w:val="en-GB"/>
        </w:rPr>
        <w:t>Navigators</w:t>
      </w:r>
      <w:r w:rsidR="00077625" w:rsidRPr="00C72258">
        <w:rPr>
          <w:rFonts w:ascii="Arial" w:hAnsi="Arial" w:cs="Arial"/>
          <w:color w:val="auto"/>
          <w:sz w:val="20"/>
          <w:szCs w:val="20"/>
          <w:lang w:val="en-GB"/>
        </w:rPr>
        <w:t xml:space="preserve"> have been unable to see at the hospital site</w:t>
      </w:r>
    </w:p>
    <w:p w14:paraId="53D1A428" w14:textId="77777777" w:rsidR="00077625" w:rsidRPr="00C72258" w:rsidRDefault="000E3586" w:rsidP="00E57C89">
      <w:pPr>
        <w:pStyle w:val="Bulletlist1"/>
        <w:ind w:left="1797"/>
        <w:rPr>
          <w:rFonts w:ascii="Arial" w:hAnsi="Arial" w:cs="Arial"/>
          <w:color w:val="auto"/>
          <w:sz w:val="20"/>
          <w:szCs w:val="20"/>
          <w:lang w:val="en-GB"/>
        </w:rPr>
      </w:pPr>
      <w:r>
        <w:rPr>
          <w:rFonts w:ascii="Arial" w:hAnsi="Arial" w:cs="Arial"/>
          <w:color w:val="auto"/>
          <w:sz w:val="20"/>
          <w:szCs w:val="20"/>
          <w:lang w:val="en-GB"/>
        </w:rPr>
        <w:t>M</w:t>
      </w:r>
      <w:r w:rsidR="00077625" w:rsidRPr="00C72258">
        <w:rPr>
          <w:rFonts w:ascii="Arial" w:hAnsi="Arial" w:cs="Arial"/>
          <w:color w:val="auto"/>
          <w:sz w:val="20"/>
          <w:szCs w:val="20"/>
          <w:lang w:val="en-GB"/>
        </w:rPr>
        <w:t>aintains contact with community services to ensure smooth referral pathways</w:t>
      </w:r>
    </w:p>
    <w:p w14:paraId="2C9385C6" w14:textId="77777777" w:rsidR="00077625" w:rsidRPr="00C72258" w:rsidRDefault="000E3586" w:rsidP="00E57C89">
      <w:pPr>
        <w:pStyle w:val="Bulletlist1"/>
        <w:ind w:left="1797"/>
        <w:rPr>
          <w:rFonts w:ascii="Arial" w:hAnsi="Arial" w:cs="Arial"/>
          <w:color w:val="auto"/>
          <w:sz w:val="20"/>
          <w:szCs w:val="20"/>
          <w:lang w:val="en-GB"/>
        </w:rPr>
      </w:pPr>
      <w:r>
        <w:rPr>
          <w:rFonts w:ascii="Arial" w:hAnsi="Arial" w:cs="Arial"/>
          <w:color w:val="auto"/>
          <w:sz w:val="20"/>
          <w:szCs w:val="20"/>
          <w:lang w:val="en-GB"/>
        </w:rPr>
        <w:t>C</w:t>
      </w:r>
      <w:r w:rsidR="00077625" w:rsidRPr="00C72258">
        <w:rPr>
          <w:rFonts w:ascii="Arial" w:hAnsi="Arial" w:cs="Arial"/>
          <w:color w:val="auto"/>
          <w:sz w:val="20"/>
          <w:szCs w:val="20"/>
          <w:lang w:val="en-GB"/>
        </w:rPr>
        <w:t>onducts needs assessments, undertaken by suitably trained members of staff, to identify and record needs and risks</w:t>
      </w:r>
    </w:p>
    <w:p w14:paraId="327FBE58" w14:textId="77777777" w:rsidR="00077625" w:rsidRPr="00C72258" w:rsidRDefault="000E3586" w:rsidP="00E57C89">
      <w:pPr>
        <w:pStyle w:val="Bulletlist1"/>
        <w:ind w:left="1797"/>
        <w:rPr>
          <w:rFonts w:ascii="Arial" w:hAnsi="Arial" w:cs="Arial"/>
          <w:color w:val="auto"/>
          <w:sz w:val="20"/>
          <w:szCs w:val="20"/>
          <w:lang w:val="en-GB"/>
        </w:rPr>
      </w:pPr>
      <w:r>
        <w:rPr>
          <w:rFonts w:ascii="Arial" w:hAnsi="Arial" w:cs="Arial"/>
          <w:color w:val="auto"/>
          <w:sz w:val="20"/>
          <w:szCs w:val="20"/>
          <w:lang w:val="en-GB"/>
        </w:rPr>
        <w:t>R</w:t>
      </w:r>
      <w:r w:rsidR="00077625" w:rsidRPr="00C72258">
        <w:rPr>
          <w:rFonts w:ascii="Arial" w:hAnsi="Arial" w:cs="Arial"/>
          <w:color w:val="auto"/>
          <w:sz w:val="20"/>
          <w:szCs w:val="20"/>
          <w:lang w:val="en-GB"/>
        </w:rPr>
        <w:t>efers to suitable support services in accordance with young people’s needs</w:t>
      </w:r>
    </w:p>
    <w:p w14:paraId="69B5FF65" w14:textId="77777777" w:rsidR="00077625" w:rsidRPr="00C72258" w:rsidRDefault="000E3586" w:rsidP="00E57C89">
      <w:pPr>
        <w:pStyle w:val="Bulletlist1"/>
        <w:ind w:left="1797"/>
        <w:rPr>
          <w:rFonts w:ascii="Arial" w:hAnsi="Arial" w:cs="Arial"/>
          <w:color w:val="auto"/>
          <w:sz w:val="20"/>
          <w:szCs w:val="20"/>
          <w:lang w:val="en-GB"/>
        </w:rPr>
      </w:pPr>
      <w:r>
        <w:rPr>
          <w:rFonts w:ascii="Arial" w:hAnsi="Arial" w:cs="Arial"/>
          <w:color w:val="auto"/>
          <w:sz w:val="20"/>
          <w:szCs w:val="20"/>
          <w:lang w:val="en-GB"/>
        </w:rPr>
        <w:t>En</w:t>
      </w:r>
      <w:r w:rsidR="00077625" w:rsidRPr="00C72258">
        <w:rPr>
          <w:rFonts w:ascii="Arial" w:hAnsi="Arial" w:cs="Arial"/>
          <w:color w:val="auto"/>
          <w:sz w:val="20"/>
          <w:szCs w:val="20"/>
          <w:lang w:val="en-GB"/>
        </w:rPr>
        <w:t>sures supported, detailed and fully consensual onward referrals</w:t>
      </w:r>
      <w:r w:rsidR="000144A3" w:rsidRPr="00C72258">
        <w:rPr>
          <w:rFonts w:ascii="Arial" w:hAnsi="Arial" w:cs="Arial"/>
          <w:color w:val="auto"/>
          <w:sz w:val="20"/>
          <w:szCs w:val="20"/>
          <w:lang w:val="en-GB"/>
        </w:rPr>
        <w:t xml:space="preserve"> (non-consensual where safeguarding allows) </w:t>
      </w:r>
    </w:p>
    <w:p w14:paraId="0613C633" w14:textId="77777777" w:rsidR="00077625" w:rsidRPr="00C72258" w:rsidRDefault="000E3586" w:rsidP="00E57C89">
      <w:pPr>
        <w:pStyle w:val="Bulletlist1"/>
        <w:ind w:left="1797"/>
        <w:rPr>
          <w:rFonts w:ascii="Arial" w:hAnsi="Arial" w:cs="Arial"/>
          <w:color w:val="auto"/>
          <w:sz w:val="20"/>
          <w:szCs w:val="20"/>
          <w:lang w:val="en-GB"/>
        </w:rPr>
      </w:pPr>
      <w:r>
        <w:rPr>
          <w:rFonts w:ascii="Arial" w:hAnsi="Arial" w:cs="Arial"/>
          <w:color w:val="auto"/>
          <w:sz w:val="20"/>
          <w:szCs w:val="20"/>
          <w:lang w:val="en-GB"/>
        </w:rPr>
        <w:t>S</w:t>
      </w:r>
      <w:r w:rsidR="00077625" w:rsidRPr="00C72258">
        <w:rPr>
          <w:rFonts w:ascii="Arial" w:hAnsi="Arial" w:cs="Arial"/>
          <w:color w:val="auto"/>
          <w:sz w:val="20"/>
          <w:szCs w:val="20"/>
          <w:lang w:val="en-GB"/>
        </w:rPr>
        <w:t>upports the hospital safeguarding arrangements</w:t>
      </w:r>
    </w:p>
    <w:p w14:paraId="3FA73359" w14:textId="77777777" w:rsidR="00077625" w:rsidRPr="00C72258" w:rsidRDefault="000E3586" w:rsidP="00E57C89">
      <w:pPr>
        <w:pStyle w:val="Bulletlist1"/>
        <w:ind w:left="1797"/>
        <w:rPr>
          <w:rFonts w:ascii="Arial" w:hAnsi="Arial" w:cs="Arial"/>
          <w:color w:val="auto"/>
          <w:sz w:val="20"/>
          <w:szCs w:val="20"/>
          <w:lang w:val="en-GB"/>
        </w:rPr>
      </w:pPr>
      <w:r>
        <w:rPr>
          <w:rFonts w:ascii="Arial" w:hAnsi="Arial" w:cs="Arial"/>
          <w:color w:val="auto"/>
          <w:sz w:val="20"/>
          <w:szCs w:val="20"/>
          <w:lang w:val="en-GB"/>
        </w:rPr>
        <w:t>R</w:t>
      </w:r>
      <w:r w:rsidR="00077625" w:rsidRPr="00C72258">
        <w:rPr>
          <w:rFonts w:ascii="Arial" w:hAnsi="Arial" w:cs="Arial"/>
          <w:color w:val="auto"/>
          <w:sz w:val="20"/>
          <w:szCs w:val="20"/>
          <w:lang w:val="en-GB"/>
        </w:rPr>
        <w:t>ecords decisions on all actions taken throughout the referral and assessment process</w:t>
      </w:r>
    </w:p>
    <w:p w14:paraId="0C69A63E" w14:textId="77777777" w:rsidR="000144A3" w:rsidRPr="00C72258" w:rsidRDefault="000144A3" w:rsidP="00E57C89">
      <w:pPr>
        <w:pStyle w:val="Bulletlist1"/>
        <w:numPr>
          <w:ilvl w:val="0"/>
          <w:numId w:val="0"/>
        </w:numPr>
        <w:ind w:left="1797" w:hanging="397"/>
        <w:rPr>
          <w:rFonts w:ascii="Arial" w:hAnsi="Arial" w:cs="Arial"/>
          <w:color w:val="auto"/>
          <w:sz w:val="20"/>
          <w:szCs w:val="20"/>
          <w:lang w:val="en-GB"/>
        </w:rPr>
      </w:pPr>
    </w:p>
    <w:p w14:paraId="4C1B41E2" w14:textId="77777777" w:rsidR="00077625" w:rsidRPr="00C72258" w:rsidRDefault="00E57C89" w:rsidP="00C40E79">
      <w:pPr>
        <w:pStyle w:val="Heading2"/>
        <w:keepLines/>
        <w:numPr>
          <w:ilvl w:val="1"/>
          <w:numId w:val="0"/>
        </w:numPr>
        <w:pBdr>
          <w:top w:val="nil"/>
          <w:left w:val="nil"/>
          <w:bottom w:val="nil"/>
          <w:right w:val="nil"/>
          <w:between w:val="nil"/>
          <w:bar w:val="nil"/>
        </w:pBdr>
        <w:spacing w:after="120" w:line="264" w:lineRule="auto"/>
        <w:ind w:left="1360" w:hanging="680"/>
        <w:rPr>
          <w:rFonts w:cs="Arial"/>
          <w:sz w:val="20"/>
          <w:szCs w:val="20"/>
          <w:lang w:val="en-GB"/>
        </w:rPr>
      </w:pPr>
      <w:bookmarkStart w:id="10" w:name="_Toc19131638"/>
      <w:r>
        <w:rPr>
          <w:rFonts w:cs="Arial"/>
          <w:sz w:val="20"/>
          <w:szCs w:val="20"/>
          <w:lang w:val="en-GB"/>
        </w:rPr>
        <w:lastRenderedPageBreak/>
        <w:t xml:space="preserve">3.8 </w:t>
      </w:r>
      <w:r w:rsidR="00077625" w:rsidRPr="00C72258">
        <w:rPr>
          <w:rFonts w:cs="Arial"/>
          <w:sz w:val="20"/>
          <w:szCs w:val="20"/>
          <w:lang w:val="en-GB"/>
        </w:rPr>
        <w:t>Staffing Requirements</w:t>
      </w:r>
      <w:bookmarkEnd w:id="10"/>
    </w:p>
    <w:p w14:paraId="4CBB5F21" w14:textId="77777777" w:rsidR="00EA28E6" w:rsidRPr="00C72258" w:rsidRDefault="00E57C89" w:rsidP="000E3586">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EA28E6" w:rsidRPr="00C72258">
        <w:rPr>
          <w:rFonts w:ascii="Arial" w:hAnsi="Arial" w:cs="Arial"/>
          <w:color w:val="auto"/>
          <w:sz w:val="20"/>
          <w:szCs w:val="20"/>
          <w:lang w:val="en-GB"/>
        </w:rPr>
        <w:t xml:space="preserve">GMCA are commissioning a Service based on 4 full time paid Navigators and associated supervision / administration.  GMCA accept that an element of the service may be delivered by volunteers, at the discretion of the </w:t>
      </w:r>
      <w:r w:rsidR="000E3586" w:rsidRPr="00C72258">
        <w:rPr>
          <w:rFonts w:ascii="Arial" w:hAnsi="Arial" w:cs="Arial"/>
          <w:color w:val="auto"/>
          <w:sz w:val="20"/>
          <w:szCs w:val="20"/>
          <w:lang w:val="en-GB"/>
        </w:rPr>
        <w:t>Provider</w:t>
      </w:r>
      <w:r w:rsidR="000E3586">
        <w:rPr>
          <w:rFonts w:ascii="Arial" w:hAnsi="Arial" w:cs="Arial"/>
          <w:color w:val="auto"/>
          <w:sz w:val="20"/>
          <w:szCs w:val="20"/>
          <w:lang w:val="en-GB"/>
        </w:rPr>
        <w:t xml:space="preserve">, but this should be discussed with GMCA.  </w:t>
      </w:r>
      <w:r w:rsidR="00EA28E6" w:rsidRPr="00C72258">
        <w:rPr>
          <w:rFonts w:ascii="Arial" w:hAnsi="Arial" w:cs="Arial"/>
          <w:color w:val="auto"/>
          <w:sz w:val="20"/>
          <w:szCs w:val="20"/>
          <w:lang w:val="en-GB"/>
        </w:rPr>
        <w:t xml:space="preserve"> </w:t>
      </w:r>
    </w:p>
    <w:p w14:paraId="4B3D61A2" w14:textId="77777777" w:rsidR="00077625" w:rsidRPr="00C72258" w:rsidRDefault="00E57C89" w:rsidP="000E3586">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077625" w:rsidRPr="00C72258">
        <w:rPr>
          <w:rFonts w:ascii="Arial" w:hAnsi="Arial" w:cs="Arial"/>
          <w:color w:val="auto"/>
          <w:sz w:val="20"/>
          <w:szCs w:val="20"/>
          <w:lang w:val="en-GB"/>
        </w:rPr>
        <w:t>The Provider must ensure that all staff are adequately trained</w:t>
      </w:r>
      <w:r w:rsidR="001D71A8">
        <w:rPr>
          <w:rFonts w:ascii="Arial" w:hAnsi="Arial" w:cs="Arial"/>
          <w:color w:val="auto"/>
          <w:sz w:val="20"/>
          <w:szCs w:val="20"/>
          <w:lang w:val="en-GB"/>
        </w:rPr>
        <w:t xml:space="preserve"> (including Level 3 Safeguarding and Trauma Informed / Adverse Childhood Experience training)</w:t>
      </w:r>
      <w:r w:rsidR="00077625" w:rsidRPr="00C72258">
        <w:rPr>
          <w:rFonts w:ascii="Arial" w:hAnsi="Arial" w:cs="Arial"/>
          <w:color w:val="auto"/>
          <w:sz w:val="20"/>
          <w:szCs w:val="20"/>
          <w:lang w:val="en-GB"/>
        </w:rPr>
        <w:t>, receive effective development and clinical supervision to enable them to carry out the role at a high-quality of service delivery, and comply with relevant hospital policies and procedures.</w:t>
      </w:r>
    </w:p>
    <w:p w14:paraId="0CD76C3B" w14:textId="77777777" w:rsidR="00EA28E6" w:rsidRPr="00C72258" w:rsidRDefault="00E57C89" w:rsidP="000E3586">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077625" w:rsidRPr="00C72258">
        <w:rPr>
          <w:rFonts w:ascii="Arial" w:hAnsi="Arial" w:cs="Arial"/>
          <w:color w:val="auto"/>
          <w:sz w:val="20"/>
          <w:szCs w:val="20"/>
          <w:lang w:val="en-GB"/>
        </w:rPr>
        <w:t>All staff, whether paid or unpaid, will be managed within appropriate governance structures, taking account of the need for expert or skilled supervision appropriate to the support needs of staff</w:t>
      </w:r>
      <w:r w:rsidR="00F47D4C">
        <w:rPr>
          <w:rFonts w:ascii="Arial" w:hAnsi="Arial" w:cs="Arial"/>
          <w:color w:val="auto"/>
          <w:sz w:val="20"/>
          <w:szCs w:val="20"/>
          <w:lang w:val="en-GB"/>
        </w:rPr>
        <w:t xml:space="preserve"> </w:t>
      </w:r>
      <w:r w:rsidR="00077625" w:rsidRPr="00C72258">
        <w:rPr>
          <w:rFonts w:ascii="Arial" w:hAnsi="Arial" w:cs="Arial"/>
          <w:color w:val="auto"/>
          <w:sz w:val="20"/>
          <w:szCs w:val="20"/>
          <w:lang w:val="en-GB"/>
        </w:rPr>
        <w:t>/</w:t>
      </w:r>
      <w:r w:rsidR="00F47D4C">
        <w:rPr>
          <w:rFonts w:ascii="Arial" w:hAnsi="Arial" w:cs="Arial"/>
          <w:color w:val="auto"/>
          <w:sz w:val="20"/>
          <w:szCs w:val="20"/>
          <w:lang w:val="en-GB"/>
        </w:rPr>
        <w:t xml:space="preserve"> </w:t>
      </w:r>
      <w:r w:rsidR="00077625" w:rsidRPr="00C72258">
        <w:rPr>
          <w:rFonts w:ascii="Arial" w:hAnsi="Arial" w:cs="Arial"/>
          <w:color w:val="auto"/>
          <w:sz w:val="20"/>
          <w:szCs w:val="20"/>
          <w:lang w:val="en-GB"/>
        </w:rPr>
        <w:t>volunteers.</w:t>
      </w:r>
      <w:r w:rsidR="000144A3" w:rsidRPr="00C72258">
        <w:rPr>
          <w:rFonts w:ascii="Arial" w:hAnsi="Arial" w:cs="Arial"/>
          <w:color w:val="auto"/>
          <w:sz w:val="20"/>
          <w:szCs w:val="20"/>
          <w:lang w:val="en-GB"/>
        </w:rPr>
        <w:t xml:space="preserve"> </w:t>
      </w:r>
    </w:p>
    <w:p w14:paraId="3F5FC7E2" w14:textId="77777777" w:rsidR="00077625" w:rsidRPr="00C72258" w:rsidRDefault="00E57C89" w:rsidP="000E3586">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077625" w:rsidRPr="00C72258">
        <w:rPr>
          <w:rFonts w:ascii="Arial" w:hAnsi="Arial" w:cs="Arial"/>
          <w:color w:val="auto"/>
          <w:sz w:val="20"/>
          <w:szCs w:val="20"/>
          <w:lang w:val="en-GB"/>
        </w:rPr>
        <w:t>Adequate and flexible resources must be available to meet demand. The Service must be able to implement a timely response to changes in that demand.</w:t>
      </w:r>
    </w:p>
    <w:p w14:paraId="588408A2" w14:textId="77777777" w:rsidR="00077625" w:rsidRPr="00C72258" w:rsidRDefault="00E57C89" w:rsidP="000E3586">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077625" w:rsidRPr="00C72258">
        <w:rPr>
          <w:rFonts w:ascii="Arial" w:hAnsi="Arial" w:cs="Arial"/>
          <w:color w:val="auto"/>
          <w:sz w:val="20"/>
          <w:szCs w:val="20"/>
          <w:lang w:val="en-GB"/>
        </w:rPr>
        <w:t xml:space="preserve">All staff and volunteers must have successfully passed an enhanced DBS check prior to working with the Service. </w:t>
      </w:r>
    </w:p>
    <w:p w14:paraId="5C4C1F64" w14:textId="77777777" w:rsidR="00077625" w:rsidRDefault="00E57C89" w:rsidP="000E3586">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077625" w:rsidRPr="00C72258">
        <w:rPr>
          <w:rFonts w:ascii="Arial" w:hAnsi="Arial" w:cs="Arial"/>
          <w:color w:val="auto"/>
          <w:sz w:val="20"/>
          <w:szCs w:val="20"/>
          <w:lang w:val="en-GB"/>
        </w:rPr>
        <w:t>All staff accessing patients or records at the hospital will require an honorary contract from the hospital and will need to go through hospital HR processes.</w:t>
      </w:r>
    </w:p>
    <w:p w14:paraId="6F5D38C9" w14:textId="77777777" w:rsidR="00F47D4C" w:rsidRDefault="00F47D4C" w:rsidP="00F47D4C">
      <w:pPr>
        <w:ind w:left="680"/>
        <w:rPr>
          <w:lang w:val="en-GB"/>
        </w:rPr>
      </w:pPr>
      <w:r>
        <w:rPr>
          <w:lang w:val="en-GB"/>
        </w:rPr>
        <w:t xml:space="preserve">Navigators will be expected to utilise their skills and experience to provide non formal awareness inputs to partner organisations. </w:t>
      </w:r>
    </w:p>
    <w:p w14:paraId="665861B7" w14:textId="77777777" w:rsidR="00F47D4C" w:rsidRPr="00F47D4C" w:rsidRDefault="00F47D4C" w:rsidP="00F47D4C">
      <w:pPr>
        <w:ind w:left="680"/>
        <w:rPr>
          <w:lang w:val="en-GB"/>
        </w:rPr>
      </w:pPr>
    </w:p>
    <w:p w14:paraId="67A99C7E" w14:textId="77777777" w:rsidR="00077625" w:rsidRPr="00C72258" w:rsidRDefault="00E57C89" w:rsidP="000E3586">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077625" w:rsidRPr="00C72258">
        <w:rPr>
          <w:rFonts w:ascii="Arial" w:hAnsi="Arial" w:cs="Arial"/>
          <w:color w:val="auto"/>
          <w:sz w:val="20"/>
          <w:szCs w:val="20"/>
          <w:lang w:val="en-GB"/>
        </w:rPr>
        <w:t xml:space="preserve">The Provider must ensure that policies for risk-reporting and whistle-blowing are in place for incidents that arise causing harm or potential harm to young people, staff or volunteers. There is a duty on the Provider to inform </w:t>
      </w:r>
      <w:r w:rsidR="00EA28E6" w:rsidRPr="00C72258">
        <w:rPr>
          <w:rFonts w:ascii="Arial" w:hAnsi="Arial" w:cs="Arial"/>
          <w:color w:val="auto"/>
          <w:sz w:val="20"/>
          <w:szCs w:val="20"/>
          <w:lang w:val="en-GB"/>
        </w:rPr>
        <w:t>GMCA</w:t>
      </w:r>
      <w:r w:rsidR="00077625" w:rsidRPr="00C72258">
        <w:rPr>
          <w:rFonts w:ascii="Arial" w:hAnsi="Arial" w:cs="Arial"/>
          <w:color w:val="auto"/>
          <w:sz w:val="20"/>
          <w:szCs w:val="20"/>
          <w:lang w:val="en-GB"/>
        </w:rPr>
        <w:t xml:space="preserve"> </w:t>
      </w:r>
      <w:r w:rsidR="00F47D4C">
        <w:rPr>
          <w:rFonts w:ascii="Arial" w:hAnsi="Arial" w:cs="Arial"/>
          <w:color w:val="auto"/>
          <w:sz w:val="20"/>
          <w:szCs w:val="20"/>
          <w:lang w:val="en-GB"/>
        </w:rPr>
        <w:t xml:space="preserve">immediately </w:t>
      </w:r>
      <w:r w:rsidR="00077625" w:rsidRPr="00C72258">
        <w:rPr>
          <w:rFonts w:ascii="Arial" w:hAnsi="Arial" w:cs="Arial"/>
          <w:color w:val="auto"/>
          <w:sz w:val="20"/>
          <w:szCs w:val="20"/>
          <w:lang w:val="en-GB"/>
        </w:rPr>
        <w:t>of anything which comes to light which might impact on the Service</w:t>
      </w:r>
      <w:r w:rsidR="00F47D4C">
        <w:rPr>
          <w:rFonts w:ascii="Arial" w:hAnsi="Arial" w:cs="Arial"/>
          <w:color w:val="auto"/>
          <w:sz w:val="20"/>
          <w:szCs w:val="20"/>
          <w:lang w:val="en-GB"/>
        </w:rPr>
        <w:t xml:space="preserve"> and / or reputation of partners involved</w:t>
      </w:r>
      <w:r w:rsidR="00077625" w:rsidRPr="00C72258">
        <w:rPr>
          <w:rFonts w:ascii="Arial" w:hAnsi="Arial" w:cs="Arial"/>
          <w:color w:val="auto"/>
          <w:sz w:val="20"/>
          <w:szCs w:val="20"/>
          <w:lang w:val="en-GB"/>
        </w:rPr>
        <w:t>.</w:t>
      </w:r>
    </w:p>
    <w:p w14:paraId="70E58701" w14:textId="77777777" w:rsidR="00077625" w:rsidRPr="00C72258" w:rsidRDefault="00E57C89" w:rsidP="000E3586">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077625" w:rsidRPr="00C72258">
        <w:rPr>
          <w:rFonts w:ascii="Arial" w:hAnsi="Arial" w:cs="Arial"/>
          <w:color w:val="auto"/>
          <w:sz w:val="20"/>
          <w:szCs w:val="20"/>
          <w:lang w:val="en-GB"/>
        </w:rPr>
        <w:t>The Provider shall undertake to facilitate the appropriate continuing professional development and training of staff involved in the delivery of the Service, whether paid or unpaid, to ensure they meet minimum competency standards.</w:t>
      </w:r>
    </w:p>
    <w:p w14:paraId="30792D85" w14:textId="77777777" w:rsidR="00077625" w:rsidRPr="00C72258" w:rsidRDefault="00E57C89" w:rsidP="000E3586">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077625" w:rsidRPr="00C72258">
        <w:rPr>
          <w:rFonts w:ascii="Arial" w:hAnsi="Arial" w:cs="Arial"/>
          <w:color w:val="auto"/>
          <w:sz w:val="20"/>
          <w:szCs w:val="20"/>
          <w:lang w:val="en-GB"/>
        </w:rPr>
        <w:t>The Provider shall ensure that volunteers do not undertake unaccompanied outreach visits.</w:t>
      </w:r>
    </w:p>
    <w:p w14:paraId="33D42068" w14:textId="77777777" w:rsidR="00077625" w:rsidRPr="00C72258" w:rsidRDefault="00E57C89" w:rsidP="000E3586">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077625" w:rsidRPr="00C72258">
        <w:rPr>
          <w:rFonts w:ascii="Arial" w:hAnsi="Arial" w:cs="Arial"/>
          <w:color w:val="auto"/>
          <w:sz w:val="20"/>
          <w:szCs w:val="20"/>
          <w:lang w:val="en-GB"/>
        </w:rPr>
        <w:t xml:space="preserve">The Provider shall identify </w:t>
      </w:r>
      <w:r w:rsidR="00EA28E6" w:rsidRPr="00C72258">
        <w:rPr>
          <w:rFonts w:ascii="Arial" w:hAnsi="Arial" w:cs="Arial"/>
          <w:color w:val="auto"/>
          <w:sz w:val="20"/>
          <w:szCs w:val="20"/>
          <w:lang w:val="en-GB"/>
        </w:rPr>
        <w:t xml:space="preserve">a </w:t>
      </w:r>
      <w:r w:rsidR="00077625" w:rsidRPr="00C72258">
        <w:rPr>
          <w:rFonts w:ascii="Arial" w:hAnsi="Arial" w:cs="Arial"/>
          <w:color w:val="auto"/>
          <w:sz w:val="20"/>
          <w:szCs w:val="20"/>
          <w:lang w:val="en-GB"/>
        </w:rPr>
        <w:t>lead staff member for safeguarding for the Service. The Provider shall engage in serious case reviews as required.</w:t>
      </w:r>
    </w:p>
    <w:p w14:paraId="6BEC0E7E" w14:textId="77777777" w:rsidR="00077625" w:rsidRPr="00C72258" w:rsidRDefault="000E3586" w:rsidP="000E3586">
      <w:pPr>
        <w:pStyle w:val="Heading2"/>
        <w:keepLines/>
        <w:numPr>
          <w:ilvl w:val="1"/>
          <w:numId w:val="0"/>
        </w:numPr>
        <w:pBdr>
          <w:top w:val="nil"/>
          <w:left w:val="nil"/>
          <w:bottom w:val="nil"/>
          <w:right w:val="nil"/>
          <w:between w:val="nil"/>
          <w:bar w:val="nil"/>
        </w:pBdr>
        <w:spacing w:after="120" w:line="264" w:lineRule="auto"/>
        <w:ind w:left="964" w:hanging="680"/>
        <w:rPr>
          <w:rFonts w:cs="Arial"/>
          <w:sz w:val="20"/>
          <w:szCs w:val="20"/>
          <w:lang w:val="en-GB"/>
        </w:rPr>
      </w:pPr>
      <w:bookmarkStart w:id="11" w:name="_Toc19131639"/>
      <w:r>
        <w:rPr>
          <w:rFonts w:cs="Arial"/>
          <w:sz w:val="20"/>
          <w:szCs w:val="20"/>
          <w:lang w:val="en-GB"/>
        </w:rPr>
        <w:t xml:space="preserve">       </w:t>
      </w:r>
      <w:r w:rsidR="00E57C89">
        <w:rPr>
          <w:rFonts w:cs="Arial"/>
          <w:sz w:val="20"/>
          <w:szCs w:val="20"/>
          <w:lang w:val="en-GB"/>
        </w:rPr>
        <w:t xml:space="preserve">3.9 </w:t>
      </w:r>
      <w:r w:rsidR="00077625" w:rsidRPr="00C72258">
        <w:rPr>
          <w:rFonts w:cs="Arial"/>
          <w:sz w:val="20"/>
          <w:szCs w:val="20"/>
          <w:lang w:val="en-GB"/>
        </w:rPr>
        <w:t>Management of the Service and Reporting of Management Information</w:t>
      </w:r>
      <w:bookmarkEnd w:id="11"/>
    </w:p>
    <w:p w14:paraId="59F4FA5F" w14:textId="77777777" w:rsidR="00077625" w:rsidRPr="00C72258" w:rsidRDefault="00E57C89" w:rsidP="000E3586">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077625" w:rsidRPr="00C72258">
        <w:rPr>
          <w:rFonts w:ascii="Arial" w:hAnsi="Arial" w:cs="Arial"/>
          <w:color w:val="auto"/>
          <w:sz w:val="20"/>
          <w:szCs w:val="20"/>
          <w:lang w:val="en-GB"/>
        </w:rPr>
        <w:t xml:space="preserve">The Provider must have a dedicated Contract Manager who can act as the single point of contact for </w:t>
      </w:r>
      <w:r w:rsidR="002350F1" w:rsidRPr="00C72258">
        <w:rPr>
          <w:rFonts w:ascii="Arial" w:hAnsi="Arial" w:cs="Arial"/>
          <w:color w:val="auto"/>
          <w:sz w:val="20"/>
          <w:szCs w:val="20"/>
          <w:lang w:val="en-GB"/>
        </w:rPr>
        <w:t>GMCA</w:t>
      </w:r>
      <w:r w:rsidR="00077625" w:rsidRPr="00C72258">
        <w:rPr>
          <w:rFonts w:ascii="Arial" w:hAnsi="Arial" w:cs="Arial"/>
          <w:color w:val="auto"/>
          <w:sz w:val="20"/>
          <w:szCs w:val="20"/>
          <w:lang w:val="en-GB"/>
        </w:rPr>
        <w:t xml:space="preserve"> from mobilisation and for the duration of the contract to ensure the implementation and delivery of an efficient and effective service. </w:t>
      </w:r>
      <w:r w:rsidR="002350F1" w:rsidRPr="00C72258">
        <w:rPr>
          <w:rFonts w:ascii="Arial" w:hAnsi="Arial" w:cs="Arial"/>
          <w:color w:val="auto"/>
          <w:sz w:val="20"/>
          <w:szCs w:val="20"/>
          <w:lang w:val="en-GB"/>
        </w:rPr>
        <w:t xml:space="preserve"> The GMCA single point of contact will be the VRU Victim Champion, who will work closely with the Provider throughout mobilisation and contract period. </w:t>
      </w:r>
    </w:p>
    <w:p w14:paraId="2635FF6E" w14:textId="77777777" w:rsidR="00077625" w:rsidRPr="00C72258" w:rsidRDefault="00E57C89" w:rsidP="000E3586">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2350F1" w:rsidRPr="00C72258">
        <w:rPr>
          <w:rFonts w:ascii="Arial" w:hAnsi="Arial" w:cs="Arial"/>
          <w:color w:val="auto"/>
          <w:sz w:val="20"/>
          <w:szCs w:val="20"/>
          <w:lang w:val="en-GB"/>
        </w:rPr>
        <w:t>GMCA</w:t>
      </w:r>
      <w:r w:rsidR="00077625" w:rsidRPr="00C72258">
        <w:rPr>
          <w:rFonts w:ascii="Arial" w:hAnsi="Arial" w:cs="Arial"/>
          <w:color w:val="auto"/>
          <w:sz w:val="20"/>
          <w:szCs w:val="20"/>
          <w:lang w:val="en-GB"/>
        </w:rPr>
        <w:t xml:space="preserve"> will require quarterly performance and management information reports for the Service as specified in the </w:t>
      </w:r>
      <w:r w:rsidR="00F47D4C">
        <w:rPr>
          <w:rFonts w:ascii="Arial" w:hAnsi="Arial" w:cs="Arial"/>
          <w:color w:val="auto"/>
          <w:sz w:val="20"/>
          <w:szCs w:val="20"/>
          <w:lang w:val="en-GB"/>
        </w:rPr>
        <w:t xml:space="preserve">subsequent </w:t>
      </w:r>
      <w:r w:rsidR="00077625" w:rsidRPr="00C72258">
        <w:rPr>
          <w:rFonts w:ascii="Arial" w:hAnsi="Arial" w:cs="Arial"/>
          <w:color w:val="auto"/>
          <w:sz w:val="20"/>
          <w:szCs w:val="20"/>
          <w:lang w:val="en-GB"/>
        </w:rPr>
        <w:t xml:space="preserve">contract.  </w:t>
      </w:r>
    </w:p>
    <w:p w14:paraId="0094EE8A" w14:textId="77777777" w:rsidR="00077625" w:rsidRPr="00C72258" w:rsidRDefault="000E3586" w:rsidP="000E3586">
      <w:pPr>
        <w:pStyle w:val="Heading2"/>
        <w:keepLines/>
        <w:numPr>
          <w:ilvl w:val="1"/>
          <w:numId w:val="0"/>
        </w:numPr>
        <w:pBdr>
          <w:top w:val="nil"/>
          <w:left w:val="nil"/>
          <w:bottom w:val="nil"/>
          <w:right w:val="nil"/>
          <w:between w:val="nil"/>
          <w:bar w:val="nil"/>
        </w:pBdr>
        <w:spacing w:after="120" w:line="264" w:lineRule="auto"/>
        <w:ind w:left="964" w:hanging="680"/>
        <w:rPr>
          <w:rFonts w:cs="Arial"/>
          <w:sz w:val="20"/>
          <w:szCs w:val="20"/>
          <w:lang w:val="en-GB"/>
        </w:rPr>
      </w:pPr>
      <w:bookmarkStart w:id="12" w:name="_Toc19131640"/>
      <w:r>
        <w:rPr>
          <w:rFonts w:cs="Arial"/>
          <w:sz w:val="20"/>
          <w:szCs w:val="20"/>
          <w:lang w:val="en-GB"/>
        </w:rPr>
        <w:t xml:space="preserve">       </w:t>
      </w:r>
      <w:r w:rsidR="00E57C89">
        <w:rPr>
          <w:rFonts w:cs="Arial"/>
          <w:sz w:val="20"/>
          <w:szCs w:val="20"/>
          <w:lang w:val="en-GB"/>
        </w:rPr>
        <w:t xml:space="preserve">3.10 </w:t>
      </w:r>
      <w:r w:rsidR="00077625" w:rsidRPr="00C72258">
        <w:rPr>
          <w:rFonts w:cs="Arial"/>
          <w:sz w:val="20"/>
          <w:szCs w:val="20"/>
          <w:lang w:val="en-GB"/>
        </w:rPr>
        <w:t>Service User Involvement</w:t>
      </w:r>
      <w:bookmarkEnd w:id="12"/>
    </w:p>
    <w:p w14:paraId="6C8FD3DC" w14:textId="77777777" w:rsidR="00077625" w:rsidRPr="00C72258" w:rsidRDefault="00E57C89" w:rsidP="000E3586">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077625" w:rsidRPr="00C72258">
        <w:rPr>
          <w:rFonts w:ascii="Arial" w:hAnsi="Arial" w:cs="Arial"/>
          <w:color w:val="auto"/>
          <w:sz w:val="20"/>
          <w:szCs w:val="20"/>
          <w:lang w:val="en-GB"/>
        </w:rPr>
        <w:t xml:space="preserve">The Provider must actively seek service user input to assist in the identification of service improvement opportunities and to help </w:t>
      </w:r>
      <w:r w:rsidR="002350F1" w:rsidRPr="00C72258">
        <w:rPr>
          <w:rFonts w:ascii="Arial" w:hAnsi="Arial" w:cs="Arial"/>
          <w:color w:val="auto"/>
          <w:sz w:val="20"/>
          <w:szCs w:val="20"/>
          <w:lang w:val="en-GB"/>
        </w:rPr>
        <w:t>GMCA</w:t>
      </w:r>
      <w:r w:rsidR="00077625" w:rsidRPr="00C72258">
        <w:rPr>
          <w:rFonts w:ascii="Arial" w:hAnsi="Arial" w:cs="Arial"/>
          <w:color w:val="auto"/>
          <w:sz w:val="20"/>
          <w:szCs w:val="20"/>
          <w:lang w:val="en-GB"/>
        </w:rPr>
        <w:t xml:space="preserve"> understand their experiences, their support needs, and to help shape future victim and witness service provision.</w:t>
      </w:r>
      <w:r w:rsidR="00F47D4C">
        <w:rPr>
          <w:rFonts w:ascii="Arial" w:hAnsi="Arial" w:cs="Arial"/>
          <w:color w:val="auto"/>
          <w:sz w:val="20"/>
          <w:szCs w:val="20"/>
          <w:lang w:val="en-GB"/>
        </w:rPr>
        <w:t xml:space="preserve"> </w:t>
      </w:r>
      <w:r w:rsidR="00077625" w:rsidRPr="00C72258">
        <w:rPr>
          <w:rFonts w:ascii="Arial" w:hAnsi="Arial" w:cs="Arial"/>
          <w:color w:val="auto"/>
          <w:sz w:val="20"/>
          <w:szCs w:val="20"/>
          <w:lang w:val="en-GB"/>
        </w:rPr>
        <w:t xml:space="preserve">All young people should be given an opportunity to feedback about the Service they have received.  </w:t>
      </w:r>
    </w:p>
    <w:p w14:paraId="64BF93CF" w14:textId="77777777" w:rsidR="00077625" w:rsidRDefault="00E57C89" w:rsidP="00F7227D">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lastRenderedPageBreak/>
        <w:t xml:space="preserve">            </w:t>
      </w:r>
      <w:r w:rsidR="00077625" w:rsidRPr="00C72258">
        <w:rPr>
          <w:rFonts w:ascii="Arial" w:hAnsi="Arial" w:cs="Arial"/>
          <w:color w:val="auto"/>
          <w:sz w:val="20"/>
          <w:szCs w:val="20"/>
          <w:lang w:val="en-GB"/>
        </w:rPr>
        <w:t>Complaints procedures shall be made available to victims on request. If the victim would like support in making a complaint, advocacy</w:t>
      </w:r>
      <w:r w:rsidR="00F7227D">
        <w:rPr>
          <w:rFonts w:ascii="Arial" w:hAnsi="Arial" w:cs="Arial"/>
          <w:color w:val="auto"/>
          <w:sz w:val="20"/>
          <w:szCs w:val="20"/>
          <w:lang w:val="en-GB"/>
        </w:rPr>
        <w:t xml:space="preserve"> must be provided. Where the complaint is about the Service, this must be referred immediately to the VRU point of contact to establish the most appropriate independent agency to manage the complaint.  </w:t>
      </w:r>
      <w:r w:rsidR="00077625" w:rsidRPr="00C72258">
        <w:rPr>
          <w:rFonts w:ascii="Arial" w:hAnsi="Arial" w:cs="Arial"/>
          <w:color w:val="auto"/>
          <w:sz w:val="20"/>
          <w:szCs w:val="20"/>
          <w:lang w:val="en-GB"/>
        </w:rPr>
        <w:t xml:space="preserve">  </w:t>
      </w:r>
    </w:p>
    <w:p w14:paraId="24965F5E" w14:textId="77777777" w:rsidR="00120E0C" w:rsidRPr="00120E0C" w:rsidRDefault="00120E0C" w:rsidP="00120E0C">
      <w:pPr>
        <w:rPr>
          <w:lang w:val="en-GB"/>
        </w:rPr>
      </w:pPr>
    </w:p>
    <w:p w14:paraId="37D55398" w14:textId="77777777" w:rsidR="00077625" w:rsidRPr="00C72258" w:rsidRDefault="00F7227D" w:rsidP="00C72258">
      <w:pPr>
        <w:pStyle w:val="Heading2"/>
        <w:keepLines/>
        <w:numPr>
          <w:ilvl w:val="1"/>
          <w:numId w:val="0"/>
        </w:numPr>
        <w:pBdr>
          <w:top w:val="nil"/>
          <w:left w:val="nil"/>
          <w:bottom w:val="nil"/>
          <w:right w:val="nil"/>
          <w:between w:val="nil"/>
          <w:bar w:val="nil"/>
        </w:pBdr>
        <w:spacing w:after="120" w:line="264" w:lineRule="auto"/>
        <w:ind w:left="1076" w:hanging="680"/>
        <w:rPr>
          <w:rFonts w:cs="Arial"/>
          <w:sz w:val="20"/>
          <w:szCs w:val="20"/>
          <w:lang w:val="en-GB"/>
        </w:rPr>
      </w:pPr>
      <w:bookmarkStart w:id="13" w:name="_Toc19131641"/>
      <w:r>
        <w:rPr>
          <w:rFonts w:cs="Arial"/>
          <w:sz w:val="20"/>
          <w:szCs w:val="20"/>
          <w:lang w:val="en-GB"/>
        </w:rPr>
        <w:t xml:space="preserve">     </w:t>
      </w:r>
      <w:r w:rsidR="00E57C89">
        <w:rPr>
          <w:rFonts w:cs="Arial"/>
          <w:sz w:val="20"/>
          <w:szCs w:val="20"/>
          <w:lang w:val="en-GB"/>
        </w:rPr>
        <w:t xml:space="preserve">3.11 </w:t>
      </w:r>
      <w:r w:rsidR="00077625" w:rsidRPr="00C72258">
        <w:rPr>
          <w:rFonts w:cs="Arial"/>
          <w:sz w:val="20"/>
          <w:szCs w:val="20"/>
          <w:lang w:val="en-GB"/>
        </w:rPr>
        <w:t>Compliance, Equality and Accessibility Standards</w:t>
      </w:r>
      <w:bookmarkEnd w:id="13"/>
      <w:r w:rsidR="00077625" w:rsidRPr="00C72258">
        <w:rPr>
          <w:rFonts w:cs="Arial"/>
          <w:sz w:val="20"/>
          <w:szCs w:val="20"/>
          <w:lang w:val="en-GB"/>
        </w:rPr>
        <w:t xml:space="preserve"> </w:t>
      </w:r>
    </w:p>
    <w:p w14:paraId="0DF4BBC6" w14:textId="77777777" w:rsidR="00077625" w:rsidRPr="00C72258" w:rsidRDefault="00E57C89" w:rsidP="00F7227D">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077625" w:rsidRPr="00C72258">
        <w:rPr>
          <w:rFonts w:ascii="Arial" w:hAnsi="Arial" w:cs="Arial"/>
          <w:color w:val="auto"/>
          <w:sz w:val="20"/>
          <w:szCs w:val="20"/>
          <w:lang w:val="en-GB"/>
        </w:rPr>
        <w:t xml:space="preserve">The Provider must ensure that no user is excluded on the basis of disability or other protected characteristics, and the Provider must take the need for disabled access, including the needs of those with mental as well as physical disabilities, into account in the delivery of the Service. </w:t>
      </w:r>
    </w:p>
    <w:p w14:paraId="00D44E56" w14:textId="77777777" w:rsidR="00077625" w:rsidRPr="00C72258" w:rsidRDefault="00E57C89" w:rsidP="00F7227D">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077625" w:rsidRPr="00C72258">
        <w:rPr>
          <w:rFonts w:ascii="Arial" w:hAnsi="Arial" w:cs="Arial"/>
          <w:color w:val="auto"/>
          <w:sz w:val="20"/>
          <w:szCs w:val="20"/>
          <w:lang w:val="en-GB"/>
        </w:rPr>
        <w:t xml:space="preserve">The Provider shall be required to evidence that reasonable and proportionate adjustments have been made where appropriate to their delivery of the Service. </w:t>
      </w:r>
    </w:p>
    <w:p w14:paraId="6BCDDD94" w14:textId="77777777" w:rsidR="00077625" w:rsidRPr="00C72258" w:rsidRDefault="00E57C89" w:rsidP="00F7227D">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077625" w:rsidRPr="00C72258">
        <w:rPr>
          <w:rFonts w:ascii="Arial" w:hAnsi="Arial" w:cs="Arial"/>
          <w:color w:val="auto"/>
          <w:sz w:val="20"/>
          <w:szCs w:val="20"/>
          <w:lang w:val="en-GB"/>
        </w:rPr>
        <w:t>The Provider</w:t>
      </w:r>
      <w:r w:rsidR="002350F1" w:rsidRPr="00C72258">
        <w:rPr>
          <w:rFonts w:ascii="Arial" w:hAnsi="Arial" w:cs="Arial"/>
          <w:color w:val="auto"/>
          <w:sz w:val="20"/>
          <w:szCs w:val="20"/>
          <w:lang w:val="en-GB"/>
        </w:rPr>
        <w:t xml:space="preserve"> </w:t>
      </w:r>
      <w:r w:rsidR="00077625" w:rsidRPr="00C72258">
        <w:rPr>
          <w:rFonts w:ascii="Arial" w:hAnsi="Arial" w:cs="Arial"/>
          <w:color w:val="auto"/>
          <w:sz w:val="20"/>
          <w:szCs w:val="20"/>
          <w:lang w:val="en-GB"/>
        </w:rPr>
        <w:t xml:space="preserve">shall ensure that all web-based content </w:t>
      </w:r>
      <w:r w:rsidR="00F7227D" w:rsidRPr="00C72258">
        <w:rPr>
          <w:rFonts w:ascii="Arial" w:hAnsi="Arial" w:cs="Arial"/>
          <w:color w:val="auto"/>
          <w:sz w:val="20"/>
          <w:szCs w:val="20"/>
          <w:lang w:val="en-GB"/>
        </w:rPr>
        <w:t>meets Level</w:t>
      </w:r>
      <w:r w:rsidR="00077625" w:rsidRPr="00C72258">
        <w:rPr>
          <w:rFonts w:ascii="Arial" w:hAnsi="Arial" w:cs="Arial"/>
          <w:color w:val="auto"/>
          <w:sz w:val="20"/>
          <w:szCs w:val="20"/>
          <w:lang w:val="en-GB"/>
        </w:rPr>
        <w:t xml:space="preserve"> AA of the </w:t>
      </w:r>
      <w:hyperlink r:id="rId18" w:history="1">
        <w:r w:rsidR="00077625" w:rsidRPr="006C25AC">
          <w:rPr>
            <w:rStyle w:val="Hyperlink"/>
            <w:rFonts w:ascii="Arial" w:hAnsi="Arial" w:cs="Arial"/>
            <w:sz w:val="20"/>
            <w:szCs w:val="20"/>
            <w:lang w:val="en-GB"/>
          </w:rPr>
          <w:t>Web Content Accessibility Guidelines</w:t>
        </w:r>
      </w:hyperlink>
      <w:r w:rsidR="00077625" w:rsidRPr="00C72258">
        <w:rPr>
          <w:rFonts w:ascii="Arial" w:hAnsi="Arial" w:cs="Arial"/>
          <w:color w:val="auto"/>
          <w:sz w:val="20"/>
          <w:szCs w:val="20"/>
          <w:lang w:val="en-GB"/>
        </w:rPr>
        <w:t xml:space="preserve"> (WCAG) 2.0 or equivalent. </w:t>
      </w:r>
    </w:p>
    <w:p w14:paraId="53BA7AA4" w14:textId="77777777" w:rsidR="00077625" w:rsidRPr="00C72258" w:rsidRDefault="00E57C89" w:rsidP="00F7227D">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077625" w:rsidRPr="00C72258">
        <w:rPr>
          <w:rFonts w:ascii="Arial" w:hAnsi="Arial" w:cs="Arial"/>
          <w:color w:val="auto"/>
          <w:sz w:val="20"/>
          <w:szCs w:val="20"/>
          <w:lang w:val="en-GB"/>
        </w:rPr>
        <w:t>The Provider shall ensure that all web-based content and other materials are compatible with relevant assistive technologies including, but not limited to, screen readers, screen magnifiers and speech recognition software.</w:t>
      </w:r>
    </w:p>
    <w:p w14:paraId="33FFBEF8" w14:textId="77777777" w:rsidR="00077625" w:rsidRPr="00C72258" w:rsidRDefault="00E57C89" w:rsidP="00F7227D">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077625" w:rsidRPr="00C72258">
        <w:rPr>
          <w:rFonts w:ascii="Arial" w:hAnsi="Arial" w:cs="Arial"/>
          <w:color w:val="auto"/>
          <w:sz w:val="20"/>
          <w:szCs w:val="20"/>
          <w:lang w:val="en-GB"/>
        </w:rPr>
        <w:t>The Provider</w:t>
      </w:r>
      <w:r w:rsidR="00506051" w:rsidRPr="00C72258">
        <w:rPr>
          <w:rFonts w:ascii="Arial" w:hAnsi="Arial" w:cs="Arial"/>
          <w:color w:val="auto"/>
          <w:sz w:val="20"/>
          <w:szCs w:val="20"/>
          <w:lang w:val="en-GB"/>
        </w:rPr>
        <w:t xml:space="preserve"> </w:t>
      </w:r>
      <w:r w:rsidR="00077625" w:rsidRPr="00C72258">
        <w:rPr>
          <w:rFonts w:ascii="Arial" w:hAnsi="Arial" w:cs="Arial"/>
          <w:color w:val="auto"/>
          <w:sz w:val="20"/>
          <w:szCs w:val="20"/>
          <w:lang w:val="en-GB"/>
        </w:rPr>
        <w:t>shall be expected to observe relevant local policies such as (but not limited to):</w:t>
      </w:r>
    </w:p>
    <w:p w14:paraId="754DFE51" w14:textId="77777777" w:rsidR="00077625" w:rsidRPr="00C72258" w:rsidRDefault="00077625" w:rsidP="00F7227D">
      <w:pPr>
        <w:pStyle w:val="Bulletlist1"/>
        <w:rPr>
          <w:rFonts w:ascii="Arial" w:hAnsi="Arial" w:cs="Arial"/>
          <w:color w:val="auto"/>
          <w:sz w:val="20"/>
          <w:szCs w:val="20"/>
          <w:lang w:val="en-GB"/>
        </w:rPr>
      </w:pPr>
      <w:r w:rsidRPr="00C72258">
        <w:rPr>
          <w:rFonts w:ascii="Arial" w:hAnsi="Arial" w:cs="Arial"/>
          <w:color w:val="auto"/>
          <w:sz w:val="20"/>
          <w:szCs w:val="20"/>
          <w:lang w:val="en-GB"/>
        </w:rPr>
        <w:t>Local Safeguarding Children Board Procedures and Policies</w:t>
      </w:r>
    </w:p>
    <w:p w14:paraId="4C225B8B" w14:textId="77777777" w:rsidR="00077625" w:rsidRPr="00C72258" w:rsidRDefault="00077625" w:rsidP="00F7227D">
      <w:pPr>
        <w:pStyle w:val="Bulletlist1"/>
        <w:rPr>
          <w:rFonts w:ascii="Arial" w:hAnsi="Arial" w:cs="Arial"/>
          <w:color w:val="auto"/>
          <w:sz w:val="20"/>
          <w:szCs w:val="20"/>
          <w:lang w:val="en-GB"/>
        </w:rPr>
      </w:pPr>
      <w:r w:rsidRPr="00C72258">
        <w:rPr>
          <w:rFonts w:ascii="Arial" w:hAnsi="Arial" w:cs="Arial"/>
          <w:color w:val="auto"/>
          <w:sz w:val="20"/>
          <w:szCs w:val="20"/>
          <w:lang w:val="en-GB"/>
        </w:rPr>
        <w:t xml:space="preserve">Local Safeguarding Adults Board Procedures and Policies </w:t>
      </w:r>
    </w:p>
    <w:p w14:paraId="5D1EAF8C" w14:textId="77777777" w:rsidR="00077625" w:rsidRPr="00C72258" w:rsidRDefault="00506051" w:rsidP="00F7227D">
      <w:pPr>
        <w:pStyle w:val="Bulletlist1"/>
        <w:rPr>
          <w:rFonts w:ascii="Arial" w:hAnsi="Arial" w:cs="Arial"/>
          <w:color w:val="auto"/>
          <w:sz w:val="20"/>
          <w:szCs w:val="20"/>
          <w:lang w:val="en-GB"/>
        </w:rPr>
      </w:pPr>
      <w:r w:rsidRPr="00C72258">
        <w:rPr>
          <w:rFonts w:ascii="Arial" w:hAnsi="Arial" w:cs="Arial"/>
          <w:color w:val="auto"/>
          <w:sz w:val="20"/>
          <w:szCs w:val="20"/>
          <w:lang w:val="en-GB"/>
        </w:rPr>
        <w:t>Any</w:t>
      </w:r>
      <w:r w:rsidR="00077625" w:rsidRPr="00C72258">
        <w:rPr>
          <w:rFonts w:ascii="Arial" w:hAnsi="Arial" w:cs="Arial"/>
          <w:color w:val="auto"/>
          <w:sz w:val="20"/>
          <w:szCs w:val="20"/>
          <w:lang w:val="en-GB"/>
        </w:rPr>
        <w:t xml:space="preserve"> </w:t>
      </w:r>
      <w:r w:rsidR="006C25AC">
        <w:rPr>
          <w:rFonts w:ascii="Arial" w:hAnsi="Arial" w:cs="Arial"/>
          <w:color w:val="auto"/>
          <w:sz w:val="20"/>
          <w:szCs w:val="20"/>
          <w:lang w:val="en-GB"/>
        </w:rPr>
        <w:t>i</w:t>
      </w:r>
      <w:r w:rsidR="00077625" w:rsidRPr="00C72258">
        <w:rPr>
          <w:rFonts w:ascii="Arial" w:hAnsi="Arial" w:cs="Arial"/>
          <w:color w:val="auto"/>
          <w:sz w:val="20"/>
          <w:szCs w:val="20"/>
          <w:lang w:val="en-GB"/>
        </w:rPr>
        <w:t xml:space="preserve">nformation </w:t>
      </w:r>
      <w:r w:rsidR="006C25AC">
        <w:rPr>
          <w:rFonts w:ascii="Arial" w:hAnsi="Arial" w:cs="Arial"/>
          <w:color w:val="auto"/>
          <w:sz w:val="20"/>
          <w:szCs w:val="20"/>
          <w:lang w:val="en-GB"/>
        </w:rPr>
        <w:t>s</w:t>
      </w:r>
      <w:r w:rsidR="00077625" w:rsidRPr="00C72258">
        <w:rPr>
          <w:rFonts w:ascii="Arial" w:hAnsi="Arial" w:cs="Arial"/>
          <w:color w:val="auto"/>
          <w:sz w:val="20"/>
          <w:szCs w:val="20"/>
          <w:lang w:val="en-GB"/>
        </w:rPr>
        <w:t>haring agreements</w:t>
      </w:r>
    </w:p>
    <w:p w14:paraId="7D4175B5" w14:textId="77777777" w:rsidR="00077625" w:rsidRPr="00C72258" w:rsidRDefault="00E57C89" w:rsidP="00F7227D">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077625" w:rsidRPr="00C72258">
        <w:rPr>
          <w:rFonts w:ascii="Arial" w:hAnsi="Arial" w:cs="Arial"/>
          <w:color w:val="auto"/>
          <w:sz w:val="20"/>
          <w:szCs w:val="20"/>
          <w:lang w:val="en-GB"/>
        </w:rPr>
        <w:t xml:space="preserve">The Provider shall be required to deliver in full compliance with both the </w:t>
      </w:r>
      <w:hyperlink r:id="rId19" w:history="1">
        <w:r w:rsidR="00077625" w:rsidRPr="006C25AC">
          <w:rPr>
            <w:rStyle w:val="Hyperlink"/>
            <w:rFonts w:ascii="Arial" w:hAnsi="Arial" w:cs="Arial"/>
            <w:sz w:val="20"/>
            <w:szCs w:val="20"/>
            <w:lang w:val="en-GB"/>
          </w:rPr>
          <w:t>General Data Protection Regulation</w:t>
        </w:r>
      </w:hyperlink>
      <w:r w:rsidR="00077625" w:rsidRPr="00C72258">
        <w:rPr>
          <w:rFonts w:ascii="Arial" w:hAnsi="Arial" w:cs="Arial"/>
          <w:color w:val="auto"/>
          <w:sz w:val="20"/>
          <w:szCs w:val="20"/>
          <w:lang w:val="en-GB"/>
        </w:rPr>
        <w:t xml:space="preserve"> (GDPR) and the </w:t>
      </w:r>
      <w:r w:rsidR="00506051" w:rsidRPr="00C72258">
        <w:rPr>
          <w:rFonts w:ascii="Arial" w:hAnsi="Arial" w:cs="Arial"/>
          <w:color w:val="auto"/>
          <w:sz w:val="20"/>
          <w:szCs w:val="20"/>
          <w:lang w:val="en-GB"/>
        </w:rPr>
        <w:t xml:space="preserve">Health and Social care </w:t>
      </w:r>
      <w:hyperlink r:id="rId20" w:history="1">
        <w:r w:rsidR="00077625" w:rsidRPr="006C25AC">
          <w:rPr>
            <w:rStyle w:val="Hyperlink"/>
            <w:rFonts w:ascii="Arial" w:hAnsi="Arial" w:cs="Arial"/>
            <w:sz w:val="20"/>
            <w:szCs w:val="20"/>
            <w:lang w:val="en-GB"/>
          </w:rPr>
          <w:t>Caldicott Principles</w:t>
        </w:r>
      </w:hyperlink>
      <w:r w:rsidR="00077625" w:rsidRPr="00C72258">
        <w:rPr>
          <w:rFonts w:ascii="Arial" w:hAnsi="Arial" w:cs="Arial"/>
          <w:color w:val="auto"/>
          <w:sz w:val="20"/>
          <w:szCs w:val="20"/>
          <w:lang w:val="en-GB"/>
        </w:rPr>
        <w:t>.</w:t>
      </w:r>
    </w:p>
    <w:p w14:paraId="534D9784" w14:textId="77777777" w:rsidR="00506051" w:rsidRPr="00C72258" w:rsidRDefault="00506051" w:rsidP="00C72258">
      <w:pPr>
        <w:ind w:left="396"/>
        <w:rPr>
          <w:rFonts w:cs="Arial"/>
          <w:szCs w:val="20"/>
          <w:lang w:val="en-GB"/>
        </w:rPr>
      </w:pPr>
    </w:p>
    <w:p w14:paraId="62BA790B" w14:textId="77777777" w:rsidR="00506051" w:rsidRDefault="00C40E79" w:rsidP="00C40E79">
      <w:pPr>
        <w:rPr>
          <w:rFonts w:cs="Arial"/>
          <w:b/>
          <w:szCs w:val="20"/>
          <w:lang w:val="en-GB"/>
        </w:rPr>
      </w:pPr>
      <w:r>
        <w:rPr>
          <w:rFonts w:cs="Arial"/>
          <w:b/>
          <w:szCs w:val="20"/>
          <w:lang w:val="en-GB"/>
        </w:rPr>
        <w:t xml:space="preserve">       </w:t>
      </w:r>
      <w:r w:rsidR="00120E0C">
        <w:rPr>
          <w:rFonts w:cs="Arial"/>
          <w:b/>
          <w:szCs w:val="20"/>
          <w:lang w:val="en-GB"/>
        </w:rPr>
        <w:t xml:space="preserve">    </w:t>
      </w:r>
      <w:r w:rsidR="00C60EC0" w:rsidRPr="00C60EC0">
        <w:rPr>
          <w:rFonts w:cs="Arial"/>
          <w:b/>
          <w:szCs w:val="20"/>
          <w:lang w:val="en-GB"/>
        </w:rPr>
        <w:t>Section Four</w:t>
      </w:r>
      <w:r w:rsidR="00506051" w:rsidRPr="00C60EC0">
        <w:rPr>
          <w:rFonts w:cs="Arial"/>
          <w:b/>
          <w:szCs w:val="20"/>
          <w:lang w:val="en-GB"/>
        </w:rPr>
        <w:t xml:space="preserve"> </w:t>
      </w:r>
      <w:r w:rsidR="00C60EC0">
        <w:rPr>
          <w:rFonts w:cs="Arial"/>
          <w:b/>
          <w:szCs w:val="20"/>
          <w:lang w:val="en-GB"/>
        </w:rPr>
        <w:t>–</w:t>
      </w:r>
      <w:bookmarkStart w:id="14" w:name="_Toc19131642"/>
      <w:r w:rsidR="00C60EC0">
        <w:rPr>
          <w:rFonts w:cs="Arial"/>
          <w:b/>
          <w:szCs w:val="20"/>
          <w:lang w:val="en-GB"/>
        </w:rPr>
        <w:t xml:space="preserve"> </w:t>
      </w:r>
      <w:bookmarkEnd w:id="14"/>
      <w:r w:rsidR="00C60EC0">
        <w:rPr>
          <w:rFonts w:cs="Arial"/>
          <w:b/>
          <w:szCs w:val="20"/>
          <w:lang w:val="en-GB"/>
        </w:rPr>
        <w:t>Mobilisation</w:t>
      </w:r>
    </w:p>
    <w:p w14:paraId="26C28FE3" w14:textId="77777777" w:rsidR="00C60EC0" w:rsidRPr="00C72258" w:rsidRDefault="00C60EC0" w:rsidP="00C60EC0">
      <w:pPr>
        <w:ind w:left="396"/>
        <w:rPr>
          <w:rFonts w:cs="Arial"/>
          <w:szCs w:val="20"/>
          <w:lang w:val="en-GB"/>
        </w:rPr>
      </w:pPr>
    </w:p>
    <w:p w14:paraId="1116B8BB" w14:textId="77777777" w:rsidR="00506051" w:rsidRPr="00C72258" w:rsidRDefault="00120E0C" w:rsidP="00C72258">
      <w:pPr>
        <w:pStyle w:val="Heading2"/>
        <w:keepLines/>
        <w:numPr>
          <w:ilvl w:val="1"/>
          <w:numId w:val="0"/>
        </w:numPr>
        <w:pBdr>
          <w:top w:val="nil"/>
          <w:left w:val="nil"/>
          <w:bottom w:val="nil"/>
          <w:right w:val="nil"/>
          <w:between w:val="nil"/>
          <w:bar w:val="nil"/>
        </w:pBdr>
        <w:spacing w:after="120" w:line="264" w:lineRule="auto"/>
        <w:ind w:left="1076" w:hanging="680"/>
        <w:rPr>
          <w:rFonts w:cs="Arial"/>
          <w:sz w:val="20"/>
          <w:szCs w:val="20"/>
          <w:lang w:val="en-GB"/>
        </w:rPr>
      </w:pPr>
      <w:bookmarkStart w:id="15" w:name="_Toc19131643"/>
      <w:r>
        <w:rPr>
          <w:rFonts w:cs="Arial"/>
          <w:sz w:val="20"/>
          <w:szCs w:val="20"/>
          <w:lang w:val="en-GB"/>
        </w:rPr>
        <w:t xml:space="preserve">    </w:t>
      </w:r>
      <w:r w:rsidR="00C60EC0">
        <w:rPr>
          <w:rFonts w:cs="Arial"/>
          <w:sz w:val="20"/>
          <w:szCs w:val="20"/>
          <w:lang w:val="en-GB"/>
        </w:rPr>
        <w:t xml:space="preserve">4.1 </w:t>
      </w:r>
      <w:r w:rsidR="00506051" w:rsidRPr="00C72258">
        <w:rPr>
          <w:rFonts w:cs="Arial"/>
          <w:sz w:val="20"/>
          <w:szCs w:val="20"/>
          <w:lang w:val="en-GB"/>
        </w:rPr>
        <w:t>Timescales</w:t>
      </w:r>
      <w:bookmarkEnd w:id="15"/>
    </w:p>
    <w:p w14:paraId="2FB9996E" w14:textId="77777777" w:rsidR="00506051" w:rsidRPr="00C72258" w:rsidRDefault="00C60EC0" w:rsidP="006C25AC">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506051" w:rsidRPr="00C72258">
        <w:rPr>
          <w:rFonts w:ascii="Arial" w:hAnsi="Arial" w:cs="Arial"/>
          <w:color w:val="auto"/>
          <w:sz w:val="20"/>
          <w:szCs w:val="20"/>
          <w:lang w:val="en-GB"/>
        </w:rPr>
        <w:t xml:space="preserve">GMCA intends to award the contract by mid November 2020 and requires the Provider to be able to mobilise quickly following contract award. </w:t>
      </w:r>
    </w:p>
    <w:p w14:paraId="7E3FCCFA" w14:textId="77777777" w:rsidR="00506051" w:rsidRPr="00C72258" w:rsidRDefault="00C60EC0" w:rsidP="006C25AC">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506051" w:rsidRPr="00C72258">
        <w:rPr>
          <w:rFonts w:ascii="Arial" w:hAnsi="Arial" w:cs="Arial"/>
          <w:color w:val="auto"/>
          <w:sz w:val="20"/>
          <w:szCs w:val="20"/>
          <w:lang w:val="en-GB"/>
        </w:rPr>
        <w:t xml:space="preserve">The Provider will be expected to work closely with GMCA and partners to ensure the Navigator </w:t>
      </w:r>
      <w:r w:rsidR="006C25AC">
        <w:rPr>
          <w:rFonts w:ascii="Arial" w:hAnsi="Arial" w:cs="Arial"/>
          <w:color w:val="auto"/>
          <w:sz w:val="20"/>
          <w:szCs w:val="20"/>
          <w:lang w:val="en-GB"/>
        </w:rPr>
        <w:t>h</w:t>
      </w:r>
      <w:r w:rsidR="00506051" w:rsidRPr="00C72258">
        <w:rPr>
          <w:rFonts w:ascii="Arial" w:hAnsi="Arial" w:cs="Arial"/>
          <w:color w:val="auto"/>
          <w:sz w:val="20"/>
          <w:szCs w:val="20"/>
          <w:lang w:val="en-GB"/>
        </w:rPr>
        <w:t>ospital Service is ready to commence by Feb 2021 at the latest.</w:t>
      </w:r>
    </w:p>
    <w:p w14:paraId="70A77F9D" w14:textId="77777777" w:rsidR="00506051" w:rsidRDefault="00C60EC0" w:rsidP="006C25AC">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506051" w:rsidRPr="00C72258">
        <w:rPr>
          <w:rFonts w:ascii="Arial" w:hAnsi="Arial" w:cs="Arial"/>
          <w:color w:val="auto"/>
          <w:sz w:val="20"/>
          <w:szCs w:val="20"/>
          <w:lang w:val="en-GB"/>
        </w:rPr>
        <w:t>Bidders will be required to demonstrate their capacity and ability to meet these timescales as part of their tender submissions.</w:t>
      </w:r>
    </w:p>
    <w:p w14:paraId="64D7A058" w14:textId="77777777" w:rsidR="00120E0C" w:rsidRPr="00120E0C" w:rsidRDefault="00120E0C" w:rsidP="00120E0C">
      <w:pPr>
        <w:rPr>
          <w:lang w:val="en-GB"/>
        </w:rPr>
      </w:pPr>
    </w:p>
    <w:p w14:paraId="3F2F48FA" w14:textId="77777777" w:rsidR="00506051" w:rsidRPr="00C72258" w:rsidRDefault="00120E0C" w:rsidP="00C72258">
      <w:pPr>
        <w:pStyle w:val="Heading2"/>
        <w:keepLines/>
        <w:numPr>
          <w:ilvl w:val="1"/>
          <w:numId w:val="0"/>
        </w:numPr>
        <w:pBdr>
          <w:top w:val="nil"/>
          <w:left w:val="nil"/>
          <w:bottom w:val="nil"/>
          <w:right w:val="nil"/>
          <w:between w:val="nil"/>
          <w:bar w:val="nil"/>
        </w:pBdr>
        <w:spacing w:after="120" w:line="264" w:lineRule="auto"/>
        <w:ind w:left="1076" w:hanging="680"/>
        <w:rPr>
          <w:rFonts w:cs="Arial"/>
          <w:sz w:val="20"/>
          <w:szCs w:val="20"/>
          <w:lang w:val="en-GB"/>
        </w:rPr>
      </w:pPr>
      <w:bookmarkStart w:id="16" w:name="_Toc19131644"/>
      <w:r>
        <w:rPr>
          <w:rFonts w:cs="Arial"/>
          <w:sz w:val="20"/>
          <w:szCs w:val="20"/>
          <w:lang w:val="en-GB"/>
        </w:rPr>
        <w:t xml:space="preserve">    </w:t>
      </w:r>
      <w:r w:rsidR="00C60EC0">
        <w:rPr>
          <w:rFonts w:cs="Arial"/>
          <w:sz w:val="20"/>
          <w:szCs w:val="20"/>
          <w:lang w:val="en-GB"/>
        </w:rPr>
        <w:t xml:space="preserve">4.2 </w:t>
      </w:r>
      <w:r w:rsidR="00506051" w:rsidRPr="00C72258">
        <w:rPr>
          <w:rFonts w:cs="Arial"/>
          <w:sz w:val="20"/>
          <w:szCs w:val="20"/>
          <w:lang w:val="en-GB"/>
        </w:rPr>
        <w:t>Key Mobilisation Requirements</w:t>
      </w:r>
      <w:bookmarkEnd w:id="16"/>
    </w:p>
    <w:p w14:paraId="140F8613" w14:textId="77777777" w:rsidR="00506051" w:rsidRPr="00C72258" w:rsidRDefault="00C60EC0" w:rsidP="00120E0C">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8307D0" w:rsidRPr="00C72258">
        <w:rPr>
          <w:rFonts w:ascii="Arial" w:hAnsi="Arial" w:cs="Arial"/>
          <w:color w:val="auto"/>
          <w:sz w:val="20"/>
          <w:szCs w:val="20"/>
          <w:lang w:val="en-GB"/>
        </w:rPr>
        <w:t>GMCA</w:t>
      </w:r>
      <w:r w:rsidR="00506051" w:rsidRPr="00C72258">
        <w:rPr>
          <w:rFonts w:ascii="Arial" w:hAnsi="Arial" w:cs="Arial"/>
          <w:color w:val="auto"/>
          <w:sz w:val="20"/>
          <w:szCs w:val="20"/>
          <w:lang w:val="en-GB"/>
        </w:rPr>
        <w:t xml:space="preserve"> shall agree </w:t>
      </w:r>
      <w:r w:rsidR="00120E0C">
        <w:rPr>
          <w:rFonts w:ascii="Arial" w:hAnsi="Arial" w:cs="Arial"/>
          <w:color w:val="auto"/>
          <w:sz w:val="20"/>
          <w:szCs w:val="20"/>
          <w:lang w:val="en-GB"/>
        </w:rPr>
        <w:t xml:space="preserve">with the Provider (within 10 days of contract award), </w:t>
      </w:r>
      <w:r w:rsidR="00506051" w:rsidRPr="00C72258">
        <w:rPr>
          <w:rFonts w:ascii="Arial" w:hAnsi="Arial" w:cs="Arial"/>
          <w:color w:val="auto"/>
          <w:sz w:val="20"/>
          <w:szCs w:val="20"/>
          <w:lang w:val="en-GB"/>
        </w:rPr>
        <w:t>a detailed mobilisation plan, covering all activities that need to be completed before the launch of the Service</w:t>
      </w:r>
      <w:r w:rsidR="00120E0C">
        <w:rPr>
          <w:rFonts w:ascii="Arial" w:hAnsi="Arial" w:cs="Arial"/>
          <w:color w:val="auto"/>
          <w:sz w:val="20"/>
          <w:szCs w:val="20"/>
          <w:lang w:val="en-GB"/>
        </w:rPr>
        <w:t>.</w:t>
      </w:r>
    </w:p>
    <w:p w14:paraId="329745EB" w14:textId="77777777" w:rsidR="00506051" w:rsidRPr="00C72258" w:rsidRDefault="00C60EC0" w:rsidP="00936F57">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936F57">
        <w:rPr>
          <w:rFonts w:ascii="Arial" w:hAnsi="Arial" w:cs="Arial"/>
          <w:color w:val="auto"/>
          <w:sz w:val="20"/>
          <w:szCs w:val="20"/>
          <w:lang w:val="en-GB"/>
        </w:rPr>
        <w:t xml:space="preserve"> </w:t>
      </w:r>
      <w:r>
        <w:rPr>
          <w:rFonts w:ascii="Arial" w:hAnsi="Arial" w:cs="Arial"/>
          <w:color w:val="auto"/>
          <w:sz w:val="20"/>
          <w:szCs w:val="20"/>
          <w:lang w:val="en-GB"/>
        </w:rPr>
        <w:t xml:space="preserve">  </w:t>
      </w:r>
      <w:r w:rsidR="00120E0C">
        <w:rPr>
          <w:rFonts w:ascii="Arial" w:hAnsi="Arial" w:cs="Arial"/>
          <w:color w:val="auto"/>
          <w:sz w:val="20"/>
          <w:szCs w:val="20"/>
          <w:lang w:val="en-GB"/>
        </w:rPr>
        <w:t>D</w:t>
      </w:r>
      <w:r w:rsidR="00506051" w:rsidRPr="00C72258">
        <w:rPr>
          <w:rFonts w:ascii="Arial" w:hAnsi="Arial" w:cs="Arial"/>
          <w:color w:val="auto"/>
          <w:sz w:val="20"/>
          <w:szCs w:val="20"/>
          <w:lang w:val="en-GB"/>
        </w:rPr>
        <w:t>uring the mobilisation phase the Provider will be expected to:</w:t>
      </w:r>
    </w:p>
    <w:p w14:paraId="706218FE" w14:textId="77777777" w:rsidR="00506051" w:rsidRDefault="00120E0C" w:rsidP="00936F57">
      <w:pPr>
        <w:pStyle w:val="Bulletlist1"/>
        <w:rPr>
          <w:rFonts w:ascii="Arial" w:hAnsi="Arial" w:cs="Arial"/>
          <w:color w:val="auto"/>
          <w:sz w:val="20"/>
          <w:szCs w:val="20"/>
          <w:lang w:val="en-GB"/>
        </w:rPr>
      </w:pPr>
      <w:r>
        <w:rPr>
          <w:rFonts w:ascii="Arial" w:hAnsi="Arial" w:cs="Arial"/>
          <w:color w:val="auto"/>
          <w:sz w:val="20"/>
          <w:szCs w:val="20"/>
          <w:lang w:val="en-GB"/>
        </w:rPr>
        <w:t>A</w:t>
      </w:r>
      <w:r w:rsidR="00506051" w:rsidRPr="00C72258">
        <w:rPr>
          <w:rFonts w:ascii="Arial" w:hAnsi="Arial" w:cs="Arial"/>
          <w:color w:val="auto"/>
          <w:sz w:val="20"/>
          <w:szCs w:val="20"/>
          <w:lang w:val="en-GB"/>
        </w:rPr>
        <w:t>gree information-sharing and data protection protocols with all relevant partners</w:t>
      </w:r>
    </w:p>
    <w:p w14:paraId="7E65B331" w14:textId="77777777" w:rsidR="00120E0C" w:rsidRPr="00C72258" w:rsidRDefault="00120E0C" w:rsidP="00936F57">
      <w:pPr>
        <w:pStyle w:val="Bulletlist1"/>
        <w:rPr>
          <w:rFonts w:ascii="Arial" w:hAnsi="Arial" w:cs="Arial"/>
          <w:color w:val="auto"/>
          <w:sz w:val="20"/>
          <w:szCs w:val="20"/>
          <w:lang w:val="en-GB"/>
        </w:rPr>
      </w:pPr>
      <w:r>
        <w:rPr>
          <w:rFonts w:ascii="Arial" w:hAnsi="Arial" w:cs="Arial"/>
          <w:color w:val="auto"/>
          <w:sz w:val="20"/>
          <w:szCs w:val="20"/>
          <w:lang w:val="en-GB"/>
        </w:rPr>
        <w:t>Begin networking and service mapping</w:t>
      </w:r>
    </w:p>
    <w:p w14:paraId="1E9866CC" w14:textId="77777777" w:rsidR="00506051" w:rsidRDefault="00120E0C" w:rsidP="00936F57">
      <w:pPr>
        <w:pStyle w:val="Bulletlist1"/>
        <w:rPr>
          <w:rFonts w:ascii="Arial" w:hAnsi="Arial" w:cs="Arial"/>
          <w:color w:val="auto"/>
          <w:sz w:val="20"/>
          <w:szCs w:val="20"/>
          <w:lang w:val="en-GB"/>
        </w:rPr>
      </w:pPr>
      <w:r>
        <w:rPr>
          <w:rFonts w:ascii="Arial" w:hAnsi="Arial" w:cs="Arial"/>
          <w:color w:val="auto"/>
          <w:sz w:val="20"/>
          <w:szCs w:val="20"/>
          <w:lang w:val="en-GB"/>
        </w:rPr>
        <w:t>C</w:t>
      </w:r>
      <w:r w:rsidR="00506051" w:rsidRPr="00C72258">
        <w:rPr>
          <w:rFonts w:ascii="Arial" w:hAnsi="Arial" w:cs="Arial"/>
          <w:color w:val="auto"/>
          <w:sz w:val="20"/>
          <w:szCs w:val="20"/>
          <w:lang w:val="en-GB"/>
        </w:rPr>
        <w:t>omplete an Equalities Impact Assessment for the Service</w:t>
      </w:r>
    </w:p>
    <w:p w14:paraId="57AC6DA9" w14:textId="77777777" w:rsidR="00120E0C" w:rsidRDefault="00120E0C" w:rsidP="00936F57">
      <w:pPr>
        <w:pStyle w:val="Bulletlist1"/>
        <w:rPr>
          <w:rFonts w:ascii="Arial" w:hAnsi="Arial" w:cs="Arial"/>
          <w:color w:val="auto"/>
          <w:sz w:val="20"/>
          <w:szCs w:val="20"/>
          <w:lang w:val="en-GB"/>
        </w:rPr>
      </w:pPr>
      <w:r>
        <w:rPr>
          <w:rFonts w:ascii="Arial" w:hAnsi="Arial" w:cs="Arial"/>
          <w:color w:val="auto"/>
          <w:sz w:val="20"/>
          <w:szCs w:val="20"/>
          <w:lang w:val="en-GB"/>
        </w:rPr>
        <w:t>Commence recruitment of Navigators</w:t>
      </w:r>
    </w:p>
    <w:p w14:paraId="0CF7C629" w14:textId="77777777" w:rsidR="00631E29" w:rsidRPr="00C72258" w:rsidRDefault="00631E29" w:rsidP="00936F57">
      <w:pPr>
        <w:pStyle w:val="Bulletlist1"/>
        <w:rPr>
          <w:rFonts w:ascii="Arial" w:hAnsi="Arial" w:cs="Arial"/>
          <w:color w:val="auto"/>
          <w:sz w:val="20"/>
          <w:szCs w:val="20"/>
          <w:lang w:val="en-GB"/>
        </w:rPr>
      </w:pPr>
      <w:r>
        <w:rPr>
          <w:rFonts w:ascii="Arial" w:hAnsi="Arial" w:cs="Arial"/>
          <w:color w:val="auto"/>
          <w:sz w:val="20"/>
          <w:szCs w:val="20"/>
          <w:lang w:val="en-GB"/>
        </w:rPr>
        <w:lastRenderedPageBreak/>
        <w:t>Develop with GMCA a performance framework</w:t>
      </w:r>
    </w:p>
    <w:p w14:paraId="1879DD9A" w14:textId="77777777" w:rsidR="00506051" w:rsidRPr="00C72258" w:rsidRDefault="00120E0C" w:rsidP="00936F57">
      <w:pPr>
        <w:pStyle w:val="Bulletlist1"/>
        <w:rPr>
          <w:rFonts w:ascii="Arial" w:hAnsi="Arial" w:cs="Arial"/>
          <w:color w:val="auto"/>
          <w:sz w:val="20"/>
          <w:szCs w:val="20"/>
          <w:lang w:val="en-GB"/>
        </w:rPr>
      </w:pPr>
      <w:r>
        <w:rPr>
          <w:rFonts w:ascii="Arial" w:hAnsi="Arial" w:cs="Arial"/>
          <w:color w:val="auto"/>
          <w:sz w:val="20"/>
          <w:szCs w:val="20"/>
          <w:lang w:val="en-GB"/>
        </w:rPr>
        <w:t>P</w:t>
      </w:r>
      <w:r w:rsidR="00506051" w:rsidRPr="00C72258">
        <w:rPr>
          <w:rFonts w:ascii="Arial" w:hAnsi="Arial" w:cs="Arial"/>
          <w:color w:val="auto"/>
          <w:sz w:val="20"/>
          <w:szCs w:val="20"/>
          <w:lang w:val="en-GB"/>
        </w:rPr>
        <w:t>ut in place honorary contracts for the Service’s staff</w:t>
      </w:r>
    </w:p>
    <w:p w14:paraId="16371418" w14:textId="77777777" w:rsidR="00120E0C" w:rsidRPr="00120E0C" w:rsidRDefault="00120E0C" w:rsidP="00230C4B">
      <w:pPr>
        <w:pStyle w:val="Bulletlist1"/>
        <w:rPr>
          <w:rFonts w:ascii="Arial" w:hAnsi="Arial" w:cs="Arial"/>
          <w:color w:val="auto"/>
          <w:sz w:val="20"/>
          <w:szCs w:val="20"/>
          <w:lang w:val="en-GB"/>
        </w:rPr>
      </w:pPr>
      <w:r w:rsidRPr="00120E0C">
        <w:rPr>
          <w:rFonts w:ascii="Arial" w:hAnsi="Arial" w:cs="Arial"/>
          <w:color w:val="auto"/>
          <w:sz w:val="20"/>
          <w:szCs w:val="20"/>
          <w:lang w:val="en-GB"/>
        </w:rPr>
        <w:t>A</w:t>
      </w:r>
      <w:r w:rsidR="00506051" w:rsidRPr="00120E0C">
        <w:rPr>
          <w:rFonts w:ascii="Arial" w:hAnsi="Arial" w:cs="Arial"/>
          <w:color w:val="auto"/>
          <w:sz w:val="20"/>
          <w:szCs w:val="20"/>
          <w:lang w:val="en-GB"/>
        </w:rPr>
        <w:t>gree an evaluation plan with the hospitals</w:t>
      </w:r>
      <w:r w:rsidR="001D71A8">
        <w:rPr>
          <w:rFonts w:ascii="Arial" w:hAnsi="Arial" w:cs="Arial"/>
          <w:color w:val="auto"/>
          <w:sz w:val="20"/>
          <w:szCs w:val="20"/>
          <w:lang w:val="en-GB"/>
        </w:rPr>
        <w:t xml:space="preserve">, </w:t>
      </w:r>
      <w:r w:rsidR="008307D0" w:rsidRPr="00120E0C">
        <w:rPr>
          <w:rFonts w:ascii="Arial" w:hAnsi="Arial" w:cs="Arial"/>
          <w:color w:val="auto"/>
          <w:sz w:val="20"/>
          <w:szCs w:val="20"/>
          <w:lang w:val="en-GB"/>
        </w:rPr>
        <w:t>GMCA</w:t>
      </w:r>
      <w:r w:rsidR="001D71A8">
        <w:rPr>
          <w:rFonts w:ascii="Arial" w:hAnsi="Arial" w:cs="Arial"/>
          <w:color w:val="auto"/>
          <w:sz w:val="20"/>
          <w:szCs w:val="20"/>
          <w:lang w:val="en-GB"/>
        </w:rPr>
        <w:t xml:space="preserve"> and academic partners</w:t>
      </w:r>
    </w:p>
    <w:p w14:paraId="5A0AAA91" w14:textId="77777777" w:rsidR="00F829FB" w:rsidRPr="00C72258" w:rsidRDefault="00F829FB" w:rsidP="00936F57">
      <w:pPr>
        <w:pStyle w:val="Bulletlist1"/>
        <w:rPr>
          <w:rFonts w:ascii="Arial" w:hAnsi="Arial" w:cs="Arial"/>
          <w:color w:val="auto"/>
          <w:sz w:val="20"/>
          <w:szCs w:val="20"/>
          <w:lang w:val="en-GB"/>
        </w:rPr>
      </w:pPr>
      <w:r w:rsidRPr="00C72258">
        <w:rPr>
          <w:rFonts w:ascii="Arial" w:hAnsi="Arial" w:cs="Arial"/>
          <w:color w:val="auto"/>
          <w:sz w:val="20"/>
          <w:szCs w:val="20"/>
          <w:lang w:val="en-GB"/>
        </w:rPr>
        <w:t xml:space="preserve">Create an event and risk log, accessible to GMCA on request, and forming part of the project governance.  </w:t>
      </w:r>
    </w:p>
    <w:p w14:paraId="663E7250" w14:textId="77777777" w:rsidR="00506051" w:rsidRPr="00C72258" w:rsidRDefault="00C60EC0" w:rsidP="00936F57">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506051" w:rsidRPr="00C72258">
        <w:rPr>
          <w:rFonts w:ascii="Arial" w:hAnsi="Arial" w:cs="Arial"/>
          <w:color w:val="auto"/>
          <w:sz w:val="20"/>
          <w:szCs w:val="20"/>
          <w:lang w:val="en-GB"/>
        </w:rPr>
        <w:t xml:space="preserve">The Provider shall also be required to work with </w:t>
      </w:r>
      <w:r w:rsidR="008307D0" w:rsidRPr="00C72258">
        <w:rPr>
          <w:rFonts w:ascii="Arial" w:hAnsi="Arial" w:cs="Arial"/>
          <w:color w:val="auto"/>
          <w:sz w:val="20"/>
          <w:szCs w:val="20"/>
          <w:lang w:val="en-GB"/>
        </w:rPr>
        <w:t>GMCA</w:t>
      </w:r>
      <w:r w:rsidR="00506051" w:rsidRPr="00C72258">
        <w:rPr>
          <w:rFonts w:ascii="Arial" w:hAnsi="Arial" w:cs="Arial"/>
          <w:color w:val="auto"/>
          <w:sz w:val="20"/>
          <w:szCs w:val="20"/>
          <w:lang w:val="en-GB"/>
        </w:rPr>
        <w:t xml:space="preserve"> to put in place a Memorandum of Understanding with the hospital</w:t>
      </w:r>
      <w:r w:rsidR="00120E0C">
        <w:rPr>
          <w:rFonts w:ascii="Arial" w:hAnsi="Arial" w:cs="Arial"/>
          <w:color w:val="auto"/>
          <w:sz w:val="20"/>
          <w:szCs w:val="20"/>
          <w:lang w:val="en-GB"/>
        </w:rPr>
        <w:t>s</w:t>
      </w:r>
      <w:r w:rsidR="00506051" w:rsidRPr="00C72258">
        <w:rPr>
          <w:rFonts w:ascii="Arial" w:hAnsi="Arial" w:cs="Arial"/>
          <w:color w:val="auto"/>
          <w:sz w:val="20"/>
          <w:szCs w:val="20"/>
          <w:lang w:val="en-GB"/>
        </w:rPr>
        <w:t xml:space="preserve">, outlining the roles and responsibilities of </w:t>
      </w:r>
      <w:r w:rsidR="008307D0" w:rsidRPr="00C72258">
        <w:rPr>
          <w:rFonts w:ascii="Arial" w:hAnsi="Arial" w:cs="Arial"/>
          <w:color w:val="auto"/>
          <w:sz w:val="20"/>
          <w:szCs w:val="20"/>
          <w:lang w:val="en-GB"/>
        </w:rPr>
        <w:t>GMCA</w:t>
      </w:r>
      <w:r w:rsidR="00506051" w:rsidRPr="00C72258">
        <w:rPr>
          <w:rFonts w:ascii="Arial" w:hAnsi="Arial" w:cs="Arial"/>
          <w:color w:val="auto"/>
          <w:sz w:val="20"/>
          <w:szCs w:val="20"/>
          <w:lang w:val="en-GB"/>
        </w:rPr>
        <w:t>, the Provider and the hospital</w:t>
      </w:r>
      <w:r w:rsidR="00120E0C">
        <w:rPr>
          <w:rFonts w:ascii="Arial" w:hAnsi="Arial" w:cs="Arial"/>
          <w:color w:val="auto"/>
          <w:sz w:val="20"/>
          <w:szCs w:val="20"/>
          <w:lang w:val="en-GB"/>
        </w:rPr>
        <w:t>s</w:t>
      </w:r>
      <w:r w:rsidR="008307D0" w:rsidRPr="00C72258">
        <w:rPr>
          <w:rFonts w:ascii="Arial" w:hAnsi="Arial" w:cs="Arial"/>
          <w:color w:val="auto"/>
          <w:sz w:val="20"/>
          <w:szCs w:val="20"/>
          <w:lang w:val="en-GB"/>
        </w:rPr>
        <w:t>.</w:t>
      </w:r>
    </w:p>
    <w:p w14:paraId="04B447A6" w14:textId="77777777" w:rsidR="00506051" w:rsidRPr="00C72258" w:rsidRDefault="00C60EC0" w:rsidP="00936F57">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8307D0" w:rsidRPr="00C72258">
        <w:rPr>
          <w:rFonts w:ascii="Arial" w:hAnsi="Arial" w:cs="Arial"/>
          <w:color w:val="auto"/>
          <w:sz w:val="20"/>
          <w:szCs w:val="20"/>
          <w:lang w:val="en-GB"/>
        </w:rPr>
        <w:t>GMCA</w:t>
      </w:r>
      <w:r w:rsidR="00506051" w:rsidRPr="00C72258">
        <w:rPr>
          <w:rFonts w:ascii="Arial" w:hAnsi="Arial" w:cs="Arial"/>
          <w:color w:val="auto"/>
          <w:sz w:val="20"/>
          <w:szCs w:val="20"/>
          <w:lang w:val="en-GB"/>
        </w:rPr>
        <w:t xml:space="preserve"> will support the Provider to facilitate effective partnership working with and between providers, statutory partners and agencies involved in this work.</w:t>
      </w:r>
    </w:p>
    <w:p w14:paraId="132D63F4" w14:textId="77777777" w:rsidR="00F829FB" w:rsidRPr="00C72258" w:rsidRDefault="00F829FB" w:rsidP="00C72258">
      <w:pPr>
        <w:ind w:left="396"/>
        <w:rPr>
          <w:rFonts w:cs="Arial"/>
          <w:szCs w:val="20"/>
          <w:lang w:val="en-GB"/>
        </w:rPr>
      </w:pPr>
    </w:p>
    <w:p w14:paraId="4F604767" w14:textId="77777777" w:rsidR="00F829FB" w:rsidRPr="00C72258" w:rsidRDefault="00D86A33" w:rsidP="00C72258">
      <w:pPr>
        <w:ind w:left="396"/>
        <w:rPr>
          <w:rFonts w:cs="Arial"/>
          <w:b/>
          <w:szCs w:val="20"/>
          <w:lang w:val="en-GB"/>
        </w:rPr>
      </w:pPr>
      <w:r>
        <w:rPr>
          <w:rFonts w:cs="Arial"/>
          <w:b/>
          <w:szCs w:val="20"/>
          <w:lang w:val="en-GB"/>
        </w:rPr>
        <w:t xml:space="preserve">     </w:t>
      </w:r>
      <w:r w:rsidR="00C60EC0">
        <w:rPr>
          <w:rFonts w:cs="Arial"/>
          <w:b/>
          <w:szCs w:val="20"/>
          <w:lang w:val="en-GB"/>
        </w:rPr>
        <w:t xml:space="preserve">4.3 </w:t>
      </w:r>
      <w:r w:rsidR="00F829FB" w:rsidRPr="00C72258">
        <w:rPr>
          <w:rFonts w:cs="Arial"/>
          <w:b/>
          <w:szCs w:val="20"/>
          <w:lang w:val="en-GB"/>
        </w:rPr>
        <w:t xml:space="preserve">Business Continuity </w:t>
      </w:r>
    </w:p>
    <w:p w14:paraId="3BA02A5D" w14:textId="77777777" w:rsidR="00F829FB" w:rsidRPr="00C72258" w:rsidRDefault="00F829FB" w:rsidP="00C72258">
      <w:pPr>
        <w:ind w:left="396"/>
        <w:rPr>
          <w:rFonts w:cs="Arial"/>
          <w:szCs w:val="20"/>
          <w:lang w:val="en-GB"/>
        </w:rPr>
      </w:pPr>
    </w:p>
    <w:p w14:paraId="0A85F380" w14:textId="77777777" w:rsidR="00F829FB" w:rsidRDefault="00D86A33" w:rsidP="00936F57">
      <w:pPr>
        <w:ind w:left="720"/>
        <w:rPr>
          <w:rFonts w:cs="Arial"/>
          <w:szCs w:val="20"/>
          <w:lang w:val="en-GB"/>
        </w:rPr>
      </w:pPr>
      <w:r>
        <w:rPr>
          <w:rFonts w:cs="Arial"/>
          <w:szCs w:val="20"/>
          <w:lang w:val="en-GB"/>
        </w:rPr>
        <w:t>T</w:t>
      </w:r>
      <w:r w:rsidR="00F829FB" w:rsidRPr="00C72258">
        <w:rPr>
          <w:rFonts w:cs="Arial"/>
          <w:szCs w:val="20"/>
          <w:lang w:val="en-GB"/>
        </w:rPr>
        <w:t xml:space="preserve">he Provider is required to provide a robust Business Continuity Plan that </w:t>
      </w:r>
      <w:r w:rsidR="00C60EC0">
        <w:rPr>
          <w:rFonts w:cs="Arial"/>
          <w:szCs w:val="20"/>
          <w:lang w:val="en-GB"/>
        </w:rPr>
        <w:t>will be</w:t>
      </w:r>
      <w:r w:rsidR="00F829FB" w:rsidRPr="00C72258">
        <w:rPr>
          <w:rFonts w:cs="Arial"/>
          <w:szCs w:val="20"/>
          <w:lang w:val="en-GB"/>
        </w:rPr>
        <w:t xml:space="preserve"> effective and </w:t>
      </w:r>
      <w:r>
        <w:rPr>
          <w:rFonts w:cs="Arial"/>
          <w:szCs w:val="20"/>
          <w:lang w:val="en-GB"/>
        </w:rPr>
        <w:t xml:space="preserve">    </w:t>
      </w:r>
      <w:r w:rsidR="00F829FB" w:rsidRPr="00C72258">
        <w:rPr>
          <w:rFonts w:cs="Arial"/>
          <w:szCs w:val="20"/>
          <w:lang w:val="en-GB"/>
        </w:rPr>
        <w:t xml:space="preserve">dynamic throughout the contract period and ensure flexibility of staff if a workspace or </w:t>
      </w:r>
      <w:r w:rsidR="00120E0C">
        <w:rPr>
          <w:rFonts w:cs="Arial"/>
          <w:szCs w:val="20"/>
          <w:lang w:val="en-GB"/>
        </w:rPr>
        <w:t xml:space="preserve">geographical </w:t>
      </w:r>
      <w:r w:rsidR="00F829FB" w:rsidRPr="00C72258">
        <w:rPr>
          <w:rFonts w:cs="Arial"/>
          <w:szCs w:val="20"/>
          <w:lang w:val="en-GB"/>
        </w:rPr>
        <w:t>area becomes inoperable</w:t>
      </w:r>
      <w:r w:rsidR="00C60EC0">
        <w:rPr>
          <w:rFonts w:cs="Arial"/>
          <w:szCs w:val="20"/>
          <w:lang w:val="en-GB"/>
        </w:rPr>
        <w:t xml:space="preserve"> or face to face engagement is restricted</w:t>
      </w:r>
      <w:r w:rsidR="00F829FB" w:rsidRPr="00C72258">
        <w:rPr>
          <w:rFonts w:cs="Arial"/>
          <w:szCs w:val="20"/>
          <w:lang w:val="en-GB"/>
        </w:rPr>
        <w:t xml:space="preserve">. </w:t>
      </w:r>
      <w:r w:rsidR="001D71A8">
        <w:rPr>
          <w:rFonts w:cs="Arial"/>
          <w:szCs w:val="20"/>
          <w:lang w:val="en-GB"/>
        </w:rPr>
        <w:t>This must include reference to compliance with infection control and Covid guidance in hospitals.</w:t>
      </w:r>
      <w:r w:rsidR="00F829FB" w:rsidRPr="00C72258">
        <w:rPr>
          <w:rFonts w:cs="Arial"/>
          <w:szCs w:val="20"/>
          <w:lang w:val="en-GB"/>
        </w:rPr>
        <w:t xml:space="preserve"> </w:t>
      </w:r>
    </w:p>
    <w:p w14:paraId="4FDB3470" w14:textId="77777777" w:rsidR="00D86A33" w:rsidRPr="00C72258" w:rsidRDefault="00D86A33" w:rsidP="00936F57">
      <w:pPr>
        <w:ind w:left="720"/>
        <w:rPr>
          <w:rFonts w:cs="Arial"/>
          <w:szCs w:val="20"/>
          <w:lang w:val="en-GB"/>
        </w:rPr>
      </w:pPr>
    </w:p>
    <w:p w14:paraId="27779CB5" w14:textId="77777777" w:rsidR="00506051" w:rsidRPr="00C72258" w:rsidRDefault="00D86A33" w:rsidP="00C40E79">
      <w:pPr>
        <w:pStyle w:val="Heading1"/>
        <w:keepLines/>
        <w:pBdr>
          <w:top w:val="nil"/>
          <w:left w:val="nil"/>
          <w:bottom w:val="nil"/>
          <w:right w:val="nil"/>
          <w:between w:val="nil"/>
          <w:bar w:val="nil"/>
        </w:pBdr>
        <w:spacing w:before="240" w:after="120" w:line="264" w:lineRule="auto"/>
        <w:ind w:left="680" w:hanging="680"/>
        <w:rPr>
          <w:rFonts w:cs="Arial"/>
          <w:szCs w:val="20"/>
          <w:lang w:val="en-GB"/>
        </w:rPr>
      </w:pPr>
      <w:bookmarkStart w:id="17" w:name="_Toc19131645"/>
      <w:r>
        <w:rPr>
          <w:rFonts w:cs="Arial"/>
          <w:szCs w:val="20"/>
          <w:lang w:val="en-GB"/>
        </w:rPr>
        <w:t xml:space="preserve">  </w:t>
      </w:r>
      <w:r w:rsidR="00C40E79">
        <w:rPr>
          <w:rFonts w:cs="Arial"/>
          <w:szCs w:val="20"/>
          <w:lang w:val="en-GB"/>
        </w:rPr>
        <w:t xml:space="preserve">          </w:t>
      </w:r>
      <w:r>
        <w:rPr>
          <w:rFonts w:cs="Arial"/>
          <w:szCs w:val="20"/>
          <w:lang w:val="en-GB"/>
        </w:rPr>
        <w:t xml:space="preserve">Section Five - </w:t>
      </w:r>
      <w:r w:rsidR="00506051" w:rsidRPr="00C72258">
        <w:rPr>
          <w:rFonts w:cs="Arial"/>
          <w:szCs w:val="20"/>
          <w:lang w:val="en-GB"/>
        </w:rPr>
        <w:t>Key Performance Indicators, O</w:t>
      </w:r>
      <w:bookmarkEnd w:id="17"/>
      <w:r w:rsidR="00631E29">
        <w:rPr>
          <w:rFonts w:cs="Arial"/>
          <w:szCs w:val="20"/>
          <w:lang w:val="en-GB"/>
        </w:rPr>
        <w:t xml:space="preserve">utputs and Outcomes </w:t>
      </w:r>
    </w:p>
    <w:p w14:paraId="32C3946F" w14:textId="77777777" w:rsidR="00F829FB" w:rsidRDefault="00D86A33" w:rsidP="00D86A33">
      <w:pPr>
        <w:ind w:left="720"/>
        <w:rPr>
          <w:rFonts w:cs="Arial"/>
          <w:b/>
          <w:szCs w:val="20"/>
          <w:lang w:val="en-GB"/>
        </w:rPr>
      </w:pPr>
      <w:r>
        <w:rPr>
          <w:rFonts w:cs="Arial"/>
          <w:b/>
          <w:szCs w:val="20"/>
          <w:lang w:val="en-GB"/>
        </w:rPr>
        <w:t xml:space="preserve">5.1 </w:t>
      </w:r>
      <w:r w:rsidR="00F829FB" w:rsidRPr="00C72258">
        <w:rPr>
          <w:rFonts w:cs="Arial"/>
          <w:b/>
          <w:szCs w:val="20"/>
          <w:lang w:val="en-GB"/>
        </w:rPr>
        <w:t>Governance</w:t>
      </w:r>
    </w:p>
    <w:p w14:paraId="14224782" w14:textId="77777777" w:rsidR="00631E29" w:rsidRPr="00C72258" w:rsidRDefault="00631E29" w:rsidP="00D86A33">
      <w:pPr>
        <w:ind w:left="720"/>
        <w:rPr>
          <w:rFonts w:cs="Arial"/>
          <w:b/>
          <w:szCs w:val="20"/>
          <w:lang w:val="en-GB"/>
        </w:rPr>
      </w:pPr>
    </w:p>
    <w:p w14:paraId="021E1043" w14:textId="77777777" w:rsidR="0065483A" w:rsidRPr="00C72258" w:rsidRDefault="00F829FB" w:rsidP="00631E29">
      <w:pPr>
        <w:ind w:left="720"/>
        <w:rPr>
          <w:rFonts w:cs="Arial"/>
          <w:szCs w:val="20"/>
          <w:lang w:val="en-GB"/>
        </w:rPr>
      </w:pPr>
      <w:r w:rsidRPr="00C72258">
        <w:rPr>
          <w:rFonts w:cs="Arial"/>
          <w:szCs w:val="20"/>
          <w:lang w:val="en-GB"/>
        </w:rPr>
        <w:t>The strategic governance for this Service falls within the GM VRU Health and Wellbeing Delivery Group</w:t>
      </w:r>
      <w:r w:rsidR="0065483A" w:rsidRPr="00C72258">
        <w:rPr>
          <w:rFonts w:cs="Arial"/>
          <w:szCs w:val="20"/>
          <w:lang w:val="en-GB"/>
        </w:rPr>
        <w:t>.</w:t>
      </w:r>
    </w:p>
    <w:p w14:paraId="56627922" w14:textId="77777777" w:rsidR="00F829FB" w:rsidRPr="00C72258" w:rsidRDefault="0065483A" w:rsidP="00631E29">
      <w:pPr>
        <w:ind w:left="720"/>
        <w:rPr>
          <w:rFonts w:cs="Arial"/>
          <w:szCs w:val="20"/>
          <w:lang w:val="en-GB"/>
        </w:rPr>
      </w:pPr>
      <w:r w:rsidRPr="00C72258">
        <w:rPr>
          <w:rFonts w:cs="Arial"/>
          <w:szCs w:val="20"/>
          <w:lang w:val="en-GB"/>
        </w:rPr>
        <w:t xml:space="preserve">This Service cuts across a number of strategic themes and so progress / performance and evaluation may be shared (with approval of the Health and Wellbeing Delivery Group), across appropriate departments within GMCA and key partners. </w:t>
      </w:r>
      <w:r w:rsidR="00F829FB" w:rsidRPr="00C72258">
        <w:rPr>
          <w:rFonts w:cs="Arial"/>
          <w:szCs w:val="20"/>
          <w:lang w:val="en-GB"/>
        </w:rPr>
        <w:t xml:space="preserve"> </w:t>
      </w:r>
    </w:p>
    <w:p w14:paraId="1ACE004C" w14:textId="77777777" w:rsidR="00F829FB" w:rsidRPr="00C72258" w:rsidRDefault="00F829FB" w:rsidP="00D86A33">
      <w:pPr>
        <w:ind w:left="1440"/>
        <w:rPr>
          <w:rFonts w:cs="Arial"/>
          <w:szCs w:val="20"/>
          <w:lang w:val="en-GB"/>
        </w:rPr>
      </w:pPr>
    </w:p>
    <w:p w14:paraId="6BEE2026" w14:textId="77777777" w:rsidR="00506051" w:rsidRPr="00C72258" w:rsidRDefault="00D86A33" w:rsidP="00D86A33">
      <w:pPr>
        <w:pStyle w:val="Heading2"/>
        <w:keepLines/>
        <w:numPr>
          <w:ilvl w:val="1"/>
          <w:numId w:val="0"/>
        </w:numPr>
        <w:pBdr>
          <w:top w:val="nil"/>
          <w:left w:val="nil"/>
          <w:bottom w:val="nil"/>
          <w:right w:val="nil"/>
          <w:between w:val="nil"/>
          <w:bar w:val="nil"/>
        </w:pBdr>
        <w:spacing w:after="120" w:line="264" w:lineRule="auto"/>
        <w:ind w:left="1400" w:hanging="680"/>
        <w:rPr>
          <w:rFonts w:cs="Arial"/>
          <w:sz w:val="20"/>
          <w:szCs w:val="20"/>
          <w:lang w:val="en-GB"/>
        </w:rPr>
      </w:pPr>
      <w:bookmarkStart w:id="18" w:name="_Toc19131646"/>
      <w:r>
        <w:rPr>
          <w:rFonts w:cs="Arial"/>
          <w:sz w:val="20"/>
          <w:szCs w:val="20"/>
          <w:lang w:val="en-GB"/>
        </w:rPr>
        <w:t xml:space="preserve">5.2 </w:t>
      </w:r>
      <w:r w:rsidR="00506051" w:rsidRPr="00C72258">
        <w:rPr>
          <w:rFonts w:cs="Arial"/>
          <w:sz w:val="20"/>
          <w:szCs w:val="20"/>
          <w:lang w:val="en-GB"/>
        </w:rPr>
        <w:t>KPI and Outcome Requirements</w:t>
      </w:r>
      <w:bookmarkEnd w:id="18"/>
    </w:p>
    <w:p w14:paraId="29544904" w14:textId="77777777" w:rsidR="00020781" w:rsidRPr="00C72258" w:rsidRDefault="00D92AC3" w:rsidP="00020781">
      <w:pPr>
        <w:ind w:left="680"/>
        <w:rPr>
          <w:rFonts w:cs="Arial"/>
          <w:szCs w:val="20"/>
          <w:lang w:val="en-GB"/>
        </w:rPr>
      </w:pPr>
      <w:r>
        <w:rPr>
          <w:rFonts w:cs="Arial"/>
          <w:szCs w:val="20"/>
          <w:lang w:val="en-GB"/>
        </w:rPr>
        <w:t>GMCA understand</w:t>
      </w:r>
      <w:r w:rsidR="00020781">
        <w:rPr>
          <w:rFonts w:cs="Arial"/>
          <w:szCs w:val="20"/>
          <w:lang w:val="en-GB"/>
        </w:rPr>
        <w:t>s</w:t>
      </w:r>
      <w:r>
        <w:rPr>
          <w:rFonts w:cs="Arial"/>
          <w:szCs w:val="20"/>
          <w:lang w:val="en-GB"/>
        </w:rPr>
        <w:t xml:space="preserve"> that a full range of </w:t>
      </w:r>
      <w:r w:rsidR="00020781">
        <w:rPr>
          <w:rFonts w:cs="Arial"/>
          <w:szCs w:val="20"/>
          <w:lang w:val="en-GB"/>
        </w:rPr>
        <w:t xml:space="preserve">evidenced outcomes and </w:t>
      </w:r>
      <w:r w:rsidR="00020781" w:rsidRPr="00C72258">
        <w:rPr>
          <w:rFonts w:cs="Arial"/>
          <w:szCs w:val="20"/>
          <w:lang w:val="en-GB"/>
        </w:rPr>
        <w:t xml:space="preserve">Key Performance Indicators (KPIs) </w:t>
      </w:r>
      <w:r w:rsidR="00020781">
        <w:rPr>
          <w:rFonts w:cs="Arial"/>
          <w:szCs w:val="20"/>
          <w:lang w:val="en-GB"/>
        </w:rPr>
        <w:t>over a 12 month period for this type of project will be challenging.</w:t>
      </w:r>
      <w:r w:rsidR="00020781" w:rsidRPr="00020781">
        <w:rPr>
          <w:rFonts w:cs="Arial"/>
          <w:szCs w:val="20"/>
          <w:lang w:val="en-GB"/>
        </w:rPr>
        <w:t xml:space="preserve"> </w:t>
      </w:r>
      <w:r w:rsidR="00020781">
        <w:rPr>
          <w:rFonts w:cs="Arial"/>
          <w:szCs w:val="20"/>
          <w:lang w:val="en-GB"/>
        </w:rPr>
        <w:t>B</w:t>
      </w:r>
      <w:r w:rsidR="00020781" w:rsidRPr="00C72258">
        <w:rPr>
          <w:rFonts w:cs="Arial"/>
          <w:szCs w:val="20"/>
          <w:lang w:val="en-GB"/>
        </w:rPr>
        <w:t>aseline data needs to be established where possible during the mobilisation period</w:t>
      </w:r>
      <w:r w:rsidR="00020781">
        <w:rPr>
          <w:rFonts w:cs="Arial"/>
          <w:szCs w:val="20"/>
          <w:lang w:val="en-GB"/>
        </w:rPr>
        <w:t>.</w:t>
      </w:r>
      <w:r w:rsidR="00020781" w:rsidRPr="00C72258">
        <w:rPr>
          <w:rFonts w:cs="Arial"/>
          <w:szCs w:val="20"/>
          <w:lang w:val="en-GB"/>
        </w:rPr>
        <w:t xml:space="preserve">  </w:t>
      </w:r>
    </w:p>
    <w:p w14:paraId="2181F7FF" w14:textId="77777777" w:rsidR="00020781" w:rsidRPr="00C72258" w:rsidRDefault="00020781" w:rsidP="00020781">
      <w:pPr>
        <w:ind w:left="680"/>
        <w:rPr>
          <w:rFonts w:cs="Arial"/>
          <w:szCs w:val="20"/>
          <w:lang w:val="en-GB"/>
        </w:rPr>
      </w:pPr>
    </w:p>
    <w:p w14:paraId="1213A770" w14:textId="77777777" w:rsidR="00506051" w:rsidRPr="00C72258" w:rsidRDefault="00020781" w:rsidP="00631E29">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8307D0" w:rsidRPr="00C72258">
        <w:rPr>
          <w:rFonts w:ascii="Arial" w:hAnsi="Arial" w:cs="Arial"/>
          <w:color w:val="auto"/>
          <w:sz w:val="20"/>
          <w:szCs w:val="20"/>
          <w:lang w:val="en-GB"/>
        </w:rPr>
        <w:t xml:space="preserve">GMCA, in partnership with Manchester Metropolitan University (Big Data Centre) and Liverpool John Moores University (Trauma Informed Intelligence Group) is considering a performance framework, but welcomes the input of the Provider in establishing an agreed framework. </w:t>
      </w:r>
    </w:p>
    <w:p w14:paraId="170B3733" w14:textId="77777777" w:rsidR="00506051" w:rsidRPr="00C72258" w:rsidRDefault="00D86A33" w:rsidP="00631E29">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506051" w:rsidRPr="00C72258">
        <w:rPr>
          <w:rFonts w:ascii="Arial" w:hAnsi="Arial" w:cs="Arial"/>
          <w:color w:val="auto"/>
          <w:sz w:val="20"/>
          <w:szCs w:val="20"/>
          <w:lang w:val="en-GB"/>
        </w:rPr>
        <w:t xml:space="preserve">A finalised set of </w:t>
      </w:r>
      <w:r w:rsidR="00E110F2">
        <w:rPr>
          <w:rFonts w:ascii="Arial" w:hAnsi="Arial" w:cs="Arial"/>
          <w:color w:val="auto"/>
          <w:sz w:val="20"/>
          <w:szCs w:val="20"/>
          <w:lang w:val="en-GB"/>
        </w:rPr>
        <w:t xml:space="preserve">outputs, </w:t>
      </w:r>
      <w:r w:rsidR="00506051" w:rsidRPr="00C72258">
        <w:rPr>
          <w:rFonts w:ascii="Arial" w:hAnsi="Arial" w:cs="Arial"/>
          <w:color w:val="auto"/>
          <w:sz w:val="20"/>
          <w:szCs w:val="20"/>
          <w:lang w:val="en-GB"/>
        </w:rPr>
        <w:t xml:space="preserve">outcome measures and KPIs will be agreed with the Provider during mobilisation. </w:t>
      </w:r>
    </w:p>
    <w:p w14:paraId="24516C42" w14:textId="77777777" w:rsidR="00506051" w:rsidRDefault="00D86A33" w:rsidP="00631E29">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4A2751" w:rsidRPr="00C72258">
        <w:rPr>
          <w:rFonts w:ascii="Arial" w:hAnsi="Arial" w:cs="Arial"/>
          <w:color w:val="auto"/>
          <w:sz w:val="20"/>
          <w:szCs w:val="20"/>
          <w:lang w:val="en-GB"/>
        </w:rPr>
        <w:t>GMCA</w:t>
      </w:r>
      <w:r w:rsidR="00506051" w:rsidRPr="00C72258">
        <w:rPr>
          <w:rFonts w:ascii="Arial" w:hAnsi="Arial" w:cs="Arial"/>
          <w:color w:val="auto"/>
          <w:sz w:val="20"/>
          <w:szCs w:val="20"/>
          <w:lang w:val="en-GB"/>
        </w:rPr>
        <w:t xml:space="preserve"> reserves the right to amend</w:t>
      </w:r>
      <w:r w:rsidR="004A2751" w:rsidRPr="00C72258">
        <w:rPr>
          <w:rFonts w:ascii="Arial" w:hAnsi="Arial" w:cs="Arial"/>
          <w:color w:val="auto"/>
          <w:sz w:val="20"/>
          <w:szCs w:val="20"/>
          <w:lang w:val="en-GB"/>
        </w:rPr>
        <w:t xml:space="preserve"> (with reasonable notice)</w:t>
      </w:r>
      <w:r w:rsidR="00506051" w:rsidRPr="00C72258">
        <w:rPr>
          <w:rFonts w:ascii="Arial" w:hAnsi="Arial" w:cs="Arial"/>
          <w:color w:val="auto"/>
          <w:sz w:val="20"/>
          <w:szCs w:val="20"/>
          <w:lang w:val="en-GB"/>
        </w:rPr>
        <w:t xml:space="preserve"> the</w:t>
      </w:r>
      <w:r w:rsidR="00020781">
        <w:rPr>
          <w:rFonts w:ascii="Arial" w:hAnsi="Arial" w:cs="Arial"/>
          <w:color w:val="auto"/>
          <w:sz w:val="20"/>
          <w:szCs w:val="20"/>
          <w:lang w:val="en-GB"/>
        </w:rPr>
        <w:t xml:space="preserve"> agreed</w:t>
      </w:r>
      <w:r w:rsidR="00506051" w:rsidRPr="00C72258">
        <w:rPr>
          <w:rFonts w:ascii="Arial" w:hAnsi="Arial" w:cs="Arial"/>
          <w:color w:val="auto"/>
          <w:sz w:val="20"/>
          <w:szCs w:val="20"/>
          <w:lang w:val="en-GB"/>
        </w:rPr>
        <w:t xml:space="preserve"> KPIs and how they will be measured over the life of the contract, to ensure that they remain fit for purpose and enable </w:t>
      </w:r>
      <w:r w:rsidR="004A2751" w:rsidRPr="00C72258">
        <w:rPr>
          <w:rFonts w:ascii="Arial" w:hAnsi="Arial" w:cs="Arial"/>
          <w:color w:val="auto"/>
          <w:sz w:val="20"/>
          <w:szCs w:val="20"/>
          <w:lang w:val="en-GB"/>
        </w:rPr>
        <w:t>GMCA</w:t>
      </w:r>
      <w:r w:rsidR="00506051" w:rsidRPr="00C72258">
        <w:rPr>
          <w:rFonts w:ascii="Arial" w:hAnsi="Arial" w:cs="Arial"/>
          <w:color w:val="auto"/>
          <w:sz w:val="20"/>
          <w:szCs w:val="20"/>
          <w:lang w:val="en-GB"/>
        </w:rPr>
        <w:t xml:space="preserve"> to effectively manage the contract.</w:t>
      </w:r>
      <w:r w:rsidR="004A2751" w:rsidRPr="00C72258">
        <w:rPr>
          <w:rFonts w:ascii="Arial" w:hAnsi="Arial" w:cs="Arial"/>
          <w:color w:val="auto"/>
          <w:sz w:val="20"/>
          <w:szCs w:val="20"/>
          <w:lang w:val="en-GB"/>
        </w:rPr>
        <w:t xml:space="preserve"> </w:t>
      </w:r>
    </w:p>
    <w:p w14:paraId="62B2D373" w14:textId="77777777" w:rsidR="00020781" w:rsidRDefault="00020781" w:rsidP="00020781">
      <w:pPr>
        <w:rPr>
          <w:lang w:val="en-GB"/>
        </w:rPr>
      </w:pPr>
    </w:p>
    <w:p w14:paraId="0166DAD1" w14:textId="77777777" w:rsidR="00871CBE" w:rsidRDefault="00020781" w:rsidP="00020781">
      <w:pPr>
        <w:rPr>
          <w:lang w:val="en-GB"/>
        </w:rPr>
      </w:pPr>
      <w:r>
        <w:rPr>
          <w:lang w:val="en-GB"/>
        </w:rPr>
        <w:t xml:space="preserve">        </w:t>
      </w:r>
    </w:p>
    <w:p w14:paraId="61E536F3" w14:textId="77777777" w:rsidR="00871CBE" w:rsidRDefault="00871CBE" w:rsidP="00020781">
      <w:pPr>
        <w:rPr>
          <w:lang w:val="en-GB"/>
        </w:rPr>
      </w:pPr>
    </w:p>
    <w:p w14:paraId="3179FCDE" w14:textId="77777777" w:rsidR="00871CBE" w:rsidRDefault="00871CBE" w:rsidP="00020781">
      <w:pPr>
        <w:rPr>
          <w:lang w:val="en-GB"/>
        </w:rPr>
      </w:pPr>
    </w:p>
    <w:p w14:paraId="2FE6A7DE" w14:textId="77777777" w:rsidR="00871CBE" w:rsidRDefault="00871CBE" w:rsidP="00020781">
      <w:pPr>
        <w:rPr>
          <w:lang w:val="en-GB"/>
        </w:rPr>
      </w:pPr>
    </w:p>
    <w:p w14:paraId="3EC2B39C" w14:textId="77777777" w:rsidR="00871CBE" w:rsidRDefault="00871CBE" w:rsidP="00020781">
      <w:pPr>
        <w:rPr>
          <w:lang w:val="en-GB"/>
        </w:rPr>
      </w:pPr>
    </w:p>
    <w:p w14:paraId="4E7137D8" w14:textId="77777777" w:rsidR="00871CBE" w:rsidRDefault="00871CBE" w:rsidP="00020781">
      <w:pPr>
        <w:rPr>
          <w:lang w:val="en-GB"/>
        </w:rPr>
      </w:pPr>
    </w:p>
    <w:p w14:paraId="687840F1" w14:textId="77777777" w:rsidR="00020781" w:rsidRPr="00C61A6E" w:rsidRDefault="00020781" w:rsidP="00E110F2">
      <w:pPr>
        <w:ind w:left="720"/>
        <w:rPr>
          <w:b/>
          <w:lang w:val="en-GB"/>
        </w:rPr>
      </w:pPr>
      <w:r w:rsidRPr="00C61A6E">
        <w:rPr>
          <w:b/>
          <w:lang w:val="en-GB"/>
        </w:rPr>
        <w:lastRenderedPageBreak/>
        <w:t>Measures to be considered (but not limited to) include:</w:t>
      </w:r>
    </w:p>
    <w:p w14:paraId="686057D5" w14:textId="77777777" w:rsidR="00020781" w:rsidRDefault="00020781" w:rsidP="00020781">
      <w:pPr>
        <w:rPr>
          <w:lang w:val="en-GB"/>
        </w:rPr>
      </w:pPr>
    </w:p>
    <w:p w14:paraId="53167100" w14:textId="77777777" w:rsidR="00871CBE" w:rsidRPr="00C61A6E" w:rsidRDefault="00871CBE" w:rsidP="00C61A6E">
      <w:pPr>
        <w:pStyle w:val="ListParagraph"/>
        <w:numPr>
          <w:ilvl w:val="0"/>
          <w:numId w:val="18"/>
        </w:numPr>
        <w:rPr>
          <w:lang w:val="en-GB"/>
        </w:rPr>
      </w:pPr>
      <w:r w:rsidRPr="00C61A6E">
        <w:rPr>
          <w:lang w:val="en-GB"/>
        </w:rPr>
        <w:t xml:space="preserve">Number of overall victims in scope who are offered service </w:t>
      </w:r>
    </w:p>
    <w:p w14:paraId="1EF9F90D" w14:textId="77777777" w:rsidR="00871CBE" w:rsidRPr="00C61A6E" w:rsidRDefault="00871CBE" w:rsidP="00C61A6E">
      <w:pPr>
        <w:pStyle w:val="ListParagraph"/>
        <w:numPr>
          <w:ilvl w:val="0"/>
          <w:numId w:val="18"/>
        </w:numPr>
        <w:rPr>
          <w:lang w:val="en-GB"/>
        </w:rPr>
      </w:pPr>
      <w:r w:rsidRPr="00C61A6E">
        <w:rPr>
          <w:lang w:val="en-GB"/>
        </w:rPr>
        <w:t>Number who engagement</w:t>
      </w:r>
    </w:p>
    <w:p w14:paraId="76D41859" w14:textId="77777777" w:rsidR="00871CBE" w:rsidRPr="00C61A6E" w:rsidRDefault="00871CBE" w:rsidP="00C61A6E">
      <w:pPr>
        <w:pStyle w:val="ListParagraph"/>
        <w:numPr>
          <w:ilvl w:val="0"/>
          <w:numId w:val="18"/>
        </w:numPr>
        <w:rPr>
          <w:lang w:val="en-GB"/>
        </w:rPr>
      </w:pPr>
      <w:r w:rsidRPr="00C61A6E">
        <w:rPr>
          <w:lang w:val="en-GB"/>
        </w:rPr>
        <w:t>Level and period of engagement</w:t>
      </w:r>
    </w:p>
    <w:p w14:paraId="41B70A1D" w14:textId="77777777" w:rsidR="00871CBE" w:rsidRPr="00C61A6E" w:rsidRDefault="00871CBE" w:rsidP="00C61A6E">
      <w:pPr>
        <w:pStyle w:val="ListParagraph"/>
        <w:numPr>
          <w:ilvl w:val="0"/>
          <w:numId w:val="18"/>
        </w:numPr>
        <w:rPr>
          <w:lang w:val="en-GB"/>
        </w:rPr>
      </w:pPr>
      <w:r w:rsidRPr="00C61A6E">
        <w:rPr>
          <w:lang w:val="en-GB"/>
        </w:rPr>
        <w:t>Referral to local support</w:t>
      </w:r>
    </w:p>
    <w:p w14:paraId="260BD713" w14:textId="77777777" w:rsidR="00871CBE" w:rsidRPr="00C61A6E" w:rsidRDefault="00871CBE" w:rsidP="00C61A6E">
      <w:pPr>
        <w:pStyle w:val="ListParagraph"/>
        <w:numPr>
          <w:ilvl w:val="0"/>
          <w:numId w:val="18"/>
        </w:numPr>
        <w:rPr>
          <w:lang w:val="en-GB"/>
        </w:rPr>
      </w:pPr>
      <w:r w:rsidRPr="00C61A6E">
        <w:rPr>
          <w:lang w:val="en-GB"/>
        </w:rPr>
        <w:t>Outcomes at specified periods for those engaged (full range of outcomes to be established</w:t>
      </w:r>
      <w:r w:rsidR="00C61A6E" w:rsidRPr="00C61A6E">
        <w:rPr>
          <w:lang w:val="en-GB"/>
        </w:rPr>
        <w:t xml:space="preserve"> but will include health / mental wellbeing / education / employment / social engagement / behaviour</w:t>
      </w:r>
      <w:r w:rsidRPr="00C61A6E">
        <w:rPr>
          <w:lang w:val="en-GB"/>
        </w:rPr>
        <w:t>)</w:t>
      </w:r>
    </w:p>
    <w:p w14:paraId="2F46B3E4" w14:textId="77777777" w:rsidR="00871CBE" w:rsidRPr="00C61A6E" w:rsidRDefault="00871CBE" w:rsidP="00C61A6E">
      <w:pPr>
        <w:pStyle w:val="ListParagraph"/>
        <w:numPr>
          <w:ilvl w:val="0"/>
          <w:numId w:val="18"/>
        </w:numPr>
        <w:rPr>
          <w:lang w:val="en-GB"/>
        </w:rPr>
      </w:pPr>
      <w:r w:rsidRPr="00C61A6E">
        <w:rPr>
          <w:lang w:val="en-GB"/>
        </w:rPr>
        <w:t xml:space="preserve">Revictimisation since intervention </w:t>
      </w:r>
    </w:p>
    <w:p w14:paraId="46701050" w14:textId="77777777" w:rsidR="00871CBE" w:rsidRPr="00C61A6E" w:rsidRDefault="00871CBE" w:rsidP="00C61A6E">
      <w:pPr>
        <w:pStyle w:val="ListParagraph"/>
        <w:numPr>
          <w:ilvl w:val="0"/>
          <w:numId w:val="18"/>
        </w:numPr>
        <w:rPr>
          <w:lang w:val="en-GB"/>
        </w:rPr>
      </w:pPr>
      <w:r w:rsidRPr="00C61A6E">
        <w:rPr>
          <w:lang w:val="en-GB"/>
        </w:rPr>
        <w:t>Involvement in crime as offender since intervention</w:t>
      </w:r>
    </w:p>
    <w:p w14:paraId="542EA8C6" w14:textId="77777777" w:rsidR="00871CBE" w:rsidRPr="00C61A6E" w:rsidRDefault="00871CBE" w:rsidP="00C61A6E">
      <w:pPr>
        <w:pStyle w:val="ListParagraph"/>
        <w:numPr>
          <w:ilvl w:val="0"/>
          <w:numId w:val="18"/>
        </w:numPr>
        <w:rPr>
          <w:lang w:val="en-GB"/>
        </w:rPr>
      </w:pPr>
      <w:r w:rsidRPr="00C61A6E">
        <w:rPr>
          <w:lang w:val="en-GB"/>
        </w:rPr>
        <w:t>Re-presentation / admission at A and E since intervention</w:t>
      </w:r>
    </w:p>
    <w:p w14:paraId="1D0D9A5C" w14:textId="77777777" w:rsidR="00871CBE" w:rsidRPr="00C61A6E" w:rsidRDefault="00871CBE" w:rsidP="00C61A6E">
      <w:pPr>
        <w:pStyle w:val="ListParagraph"/>
        <w:numPr>
          <w:ilvl w:val="0"/>
          <w:numId w:val="18"/>
        </w:numPr>
        <w:rPr>
          <w:lang w:val="en-GB"/>
        </w:rPr>
      </w:pPr>
      <w:r w:rsidRPr="00C61A6E">
        <w:rPr>
          <w:lang w:val="en-GB"/>
        </w:rPr>
        <w:t>Training to stakeholder staff provided / assisted by Navigators</w:t>
      </w:r>
    </w:p>
    <w:p w14:paraId="2DE77A83" w14:textId="77777777" w:rsidR="00C61A6E" w:rsidRPr="00C61A6E" w:rsidRDefault="00871CBE" w:rsidP="00C61A6E">
      <w:pPr>
        <w:pStyle w:val="ListParagraph"/>
        <w:numPr>
          <w:ilvl w:val="0"/>
          <w:numId w:val="18"/>
        </w:numPr>
        <w:rPr>
          <w:lang w:val="en-GB"/>
        </w:rPr>
      </w:pPr>
      <w:r w:rsidRPr="00C61A6E">
        <w:rPr>
          <w:lang w:val="en-GB"/>
        </w:rPr>
        <w:t xml:space="preserve">Awareness and </w:t>
      </w:r>
      <w:r w:rsidR="00C61A6E" w:rsidRPr="00C61A6E">
        <w:rPr>
          <w:lang w:val="en-GB"/>
        </w:rPr>
        <w:t>confidence to report amongst A and E staff</w:t>
      </w:r>
    </w:p>
    <w:p w14:paraId="2453CB2F" w14:textId="77777777" w:rsidR="00871CBE" w:rsidRPr="00C61A6E" w:rsidRDefault="00C61A6E" w:rsidP="00C61A6E">
      <w:pPr>
        <w:pStyle w:val="ListParagraph"/>
        <w:numPr>
          <w:ilvl w:val="0"/>
          <w:numId w:val="18"/>
        </w:numPr>
        <w:rPr>
          <w:lang w:val="en-GB"/>
        </w:rPr>
      </w:pPr>
      <w:r w:rsidRPr="00C61A6E">
        <w:rPr>
          <w:lang w:val="en-GB"/>
        </w:rPr>
        <w:t xml:space="preserve">Awareness of service amongst stakeholders  </w:t>
      </w:r>
    </w:p>
    <w:p w14:paraId="3DA68A83" w14:textId="77777777" w:rsidR="00020781" w:rsidRDefault="00871CBE" w:rsidP="00020781">
      <w:pPr>
        <w:rPr>
          <w:lang w:val="en-GB"/>
        </w:rPr>
      </w:pPr>
      <w:r>
        <w:rPr>
          <w:lang w:val="en-GB"/>
        </w:rPr>
        <w:t xml:space="preserve">    </w:t>
      </w:r>
    </w:p>
    <w:p w14:paraId="391CA586" w14:textId="77777777" w:rsidR="00506051" w:rsidRPr="00C72258" w:rsidRDefault="00C40E79" w:rsidP="00C72258">
      <w:pPr>
        <w:pStyle w:val="Heading1"/>
        <w:keepLines/>
        <w:pBdr>
          <w:top w:val="nil"/>
          <w:left w:val="nil"/>
          <w:bottom w:val="nil"/>
          <w:right w:val="nil"/>
          <w:between w:val="nil"/>
          <w:bar w:val="nil"/>
        </w:pBdr>
        <w:spacing w:before="240" w:after="120" w:line="264" w:lineRule="auto"/>
        <w:ind w:left="1076" w:hanging="680"/>
        <w:rPr>
          <w:rFonts w:cs="Arial"/>
          <w:szCs w:val="20"/>
          <w:lang w:val="en-GB"/>
        </w:rPr>
      </w:pPr>
      <w:bookmarkStart w:id="19" w:name="_Toc19131648"/>
      <w:r>
        <w:rPr>
          <w:rFonts w:cs="Arial"/>
          <w:szCs w:val="20"/>
          <w:lang w:val="en-GB"/>
        </w:rPr>
        <w:t xml:space="preserve">    </w:t>
      </w:r>
      <w:r w:rsidR="00936F57">
        <w:rPr>
          <w:rFonts w:cs="Arial"/>
          <w:szCs w:val="20"/>
          <w:lang w:val="en-GB"/>
        </w:rPr>
        <w:t xml:space="preserve">Section Six - </w:t>
      </w:r>
      <w:r w:rsidR="00506051" w:rsidRPr="00C72258">
        <w:rPr>
          <w:rFonts w:cs="Arial"/>
          <w:szCs w:val="20"/>
          <w:lang w:val="en-GB"/>
        </w:rPr>
        <w:t>Evaluation</w:t>
      </w:r>
      <w:bookmarkEnd w:id="19"/>
    </w:p>
    <w:p w14:paraId="1B06C8AB" w14:textId="77777777" w:rsidR="00506051" w:rsidRDefault="00DB303D" w:rsidP="00C72258">
      <w:pPr>
        <w:pStyle w:val="Heading2"/>
        <w:keepLines/>
        <w:numPr>
          <w:ilvl w:val="1"/>
          <w:numId w:val="0"/>
        </w:numPr>
        <w:pBdr>
          <w:top w:val="nil"/>
          <w:left w:val="nil"/>
          <w:bottom w:val="nil"/>
          <w:right w:val="nil"/>
          <w:between w:val="nil"/>
          <w:bar w:val="nil"/>
        </w:pBdr>
        <w:spacing w:after="120" w:line="264" w:lineRule="auto"/>
        <w:ind w:left="1076" w:hanging="680"/>
        <w:rPr>
          <w:rFonts w:cs="Arial"/>
          <w:sz w:val="20"/>
          <w:szCs w:val="20"/>
          <w:lang w:val="en-GB"/>
        </w:rPr>
      </w:pPr>
      <w:bookmarkStart w:id="20" w:name="_Toc19131649"/>
      <w:r>
        <w:rPr>
          <w:rFonts w:cs="Arial"/>
          <w:sz w:val="20"/>
          <w:szCs w:val="20"/>
          <w:lang w:val="en-GB"/>
        </w:rPr>
        <w:t xml:space="preserve">     </w:t>
      </w:r>
      <w:r w:rsidR="00936F57">
        <w:rPr>
          <w:rFonts w:cs="Arial"/>
          <w:sz w:val="20"/>
          <w:szCs w:val="20"/>
          <w:lang w:val="en-GB"/>
        </w:rPr>
        <w:t xml:space="preserve">6.1 </w:t>
      </w:r>
      <w:r w:rsidR="00506051" w:rsidRPr="00C72258">
        <w:rPr>
          <w:rFonts w:cs="Arial"/>
          <w:sz w:val="20"/>
          <w:szCs w:val="20"/>
          <w:lang w:val="en-GB"/>
        </w:rPr>
        <w:t>Provider Support for Evaluation</w:t>
      </w:r>
      <w:bookmarkEnd w:id="20"/>
    </w:p>
    <w:p w14:paraId="6E4D0A6E" w14:textId="77777777" w:rsidR="0084275B" w:rsidRDefault="0084275B" w:rsidP="0084275B">
      <w:pPr>
        <w:rPr>
          <w:lang w:val="en-GB"/>
        </w:rPr>
      </w:pPr>
    </w:p>
    <w:p w14:paraId="1C9614A6" w14:textId="77777777" w:rsidR="0084275B" w:rsidRDefault="0084275B" w:rsidP="0084275B">
      <w:pPr>
        <w:ind w:left="680"/>
        <w:rPr>
          <w:lang w:val="en-GB"/>
        </w:rPr>
      </w:pPr>
      <w:r>
        <w:rPr>
          <w:lang w:val="en-GB"/>
        </w:rPr>
        <w:t>GMCA are committed to conducting thorough evaluation and wherever possible</w:t>
      </w:r>
      <w:r w:rsidR="00925EA1">
        <w:rPr>
          <w:lang w:val="en-GB"/>
        </w:rPr>
        <w:t>,</w:t>
      </w:r>
      <w:r>
        <w:rPr>
          <w:lang w:val="en-GB"/>
        </w:rPr>
        <w:t xml:space="preserve"> evidence longer term outcomes in order to inform the viability of continuing the Service, and also contribute to the wider research in this </w:t>
      </w:r>
      <w:r w:rsidR="00925EA1">
        <w:rPr>
          <w:lang w:val="en-GB"/>
        </w:rPr>
        <w:t>field</w:t>
      </w:r>
      <w:r>
        <w:rPr>
          <w:lang w:val="en-GB"/>
        </w:rPr>
        <w:t>.</w:t>
      </w:r>
      <w:r w:rsidR="00925EA1">
        <w:rPr>
          <w:lang w:val="en-GB"/>
        </w:rPr>
        <w:t xml:space="preserve"> GMCA accept that some longer term outcome measures will not be achievable within the 12 month </w:t>
      </w:r>
      <w:r w:rsidR="005D64AC">
        <w:rPr>
          <w:lang w:val="en-GB"/>
        </w:rPr>
        <w:t xml:space="preserve">pilot </w:t>
      </w:r>
      <w:r w:rsidR="00925EA1">
        <w:rPr>
          <w:lang w:val="en-GB"/>
        </w:rPr>
        <w:t xml:space="preserve">period, however </w:t>
      </w:r>
      <w:r w:rsidR="005D64AC">
        <w:rPr>
          <w:lang w:val="en-GB"/>
        </w:rPr>
        <w:t>GMCA</w:t>
      </w:r>
      <w:r w:rsidR="00925EA1">
        <w:rPr>
          <w:lang w:val="en-GB"/>
        </w:rPr>
        <w:t xml:space="preserve"> will continue the evaluation beyond the initial pilot </w:t>
      </w:r>
      <w:r w:rsidR="005D64AC">
        <w:rPr>
          <w:lang w:val="en-GB"/>
        </w:rPr>
        <w:t>timescale</w:t>
      </w:r>
      <w:r w:rsidR="00925EA1">
        <w:rPr>
          <w:lang w:val="en-GB"/>
        </w:rPr>
        <w:t>, regardless of an exten</w:t>
      </w:r>
      <w:r w:rsidR="005D64AC">
        <w:rPr>
          <w:lang w:val="en-GB"/>
        </w:rPr>
        <w:t>sion of Service or not</w:t>
      </w:r>
      <w:r w:rsidR="00925EA1">
        <w:rPr>
          <w:lang w:val="en-GB"/>
        </w:rPr>
        <w:t>)</w:t>
      </w:r>
      <w:r w:rsidR="005D64AC">
        <w:rPr>
          <w:lang w:val="en-GB"/>
        </w:rPr>
        <w:t>.</w:t>
      </w:r>
    </w:p>
    <w:p w14:paraId="44A2F35B" w14:textId="77777777" w:rsidR="0084275B" w:rsidRPr="0084275B" w:rsidRDefault="0084275B" w:rsidP="0084275B">
      <w:pPr>
        <w:rPr>
          <w:lang w:val="en-GB"/>
        </w:rPr>
      </w:pPr>
      <w:r>
        <w:rPr>
          <w:lang w:val="en-GB"/>
        </w:rPr>
        <w:t xml:space="preserve">  </w:t>
      </w:r>
    </w:p>
    <w:p w14:paraId="3A5EB5BD" w14:textId="77777777" w:rsidR="00506051" w:rsidRPr="00C72258" w:rsidRDefault="00936F57" w:rsidP="00DB303D">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506051" w:rsidRPr="00C72258">
        <w:rPr>
          <w:rFonts w:ascii="Arial" w:hAnsi="Arial" w:cs="Arial"/>
          <w:color w:val="auto"/>
          <w:sz w:val="20"/>
          <w:szCs w:val="20"/>
          <w:lang w:val="en-GB"/>
        </w:rPr>
        <w:t xml:space="preserve">The Provider is required to actively contribute to and assist with a </w:t>
      </w:r>
      <w:r w:rsidR="00EC733F" w:rsidRPr="00C72258">
        <w:rPr>
          <w:rFonts w:ascii="Arial" w:hAnsi="Arial" w:cs="Arial"/>
          <w:color w:val="auto"/>
          <w:sz w:val="20"/>
          <w:szCs w:val="20"/>
          <w:lang w:val="en-GB"/>
        </w:rPr>
        <w:t xml:space="preserve">GMCA led evaluation of </w:t>
      </w:r>
      <w:r w:rsidRPr="00C72258">
        <w:rPr>
          <w:rFonts w:ascii="Arial" w:hAnsi="Arial" w:cs="Arial"/>
          <w:color w:val="auto"/>
          <w:sz w:val="20"/>
          <w:szCs w:val="20"/>
          <w:lang w:val="en-GB"/>
        </w:rPr>
        <w:t>the Service</w:t>
      </w:r>
      <w:r w:rsidR="00506051" w:rsidRPr="00C72258">
        <w:rPr>
          <w:rFonts w:ascii="Arial" w:hAnsi="Arial" w:cs="Arial"/>
          <w:color w:val="auto"/>
          <w:sz w:val="20"/>
          <w:szCs w:val="20"/>
          <w:lang w:val="en-GB"/>
        </w:rPr>
        <w:t xml:space="preserve"> across the </w:t>
      </w:r>
      <w:r w:rsidR="00DB303D">
        <w:rPr>
          <w:rFonts w:ascii="Arial" w:hAnsi="Arial" w:cs="Arial"/>
          <w:color w:val="auto"/>
          <w:sz w:val="20"/>
          <w:szCs w:val="20"/>
          <w:lang w:val="en-GB"/>
        </w:rPr>
        <w:t>hospitals involved in this pilot.</w:t>
      </w:r>
      <w:r w:rsidR="00506051" w:rsidRPr="00C72258">
        <w:rPr>
          <w:rFonts w:ascii="Arial" w:hAnsi="Arial" w:cs="Arial"/>
          <w:color w:val="auto"/>
          <w:sz w:val="20"/>
          <w:szCs w:val="20"/>
          <w:lang w:val="en-GB"/>
        </w:rPr>
        <w:t xml:space="preserve"> This will include collecting, processing and sharing data (including exploring how personally identifiable information (PII), as defined under GDPR, could be shared) with </w:t>
      </w:r>
      <w:r w:rsidR="00EC733F" w:rsidRPr="00C72258">
        <w:rPr>
          <w:rFonts w:ascii="Arial" w:hAnsi="Arial" w:cs="Arial"/>
          <w:color w:val="auto"/>
          <w:sz w:val="20"/>
          <w:szCs w:val="20"/>
          <w:lang w:val="en-GB"/>
        </w:rPr>
        <w:t>GMCA</w:t>
      </w:r>
      <w:r w:rsidR="00506051" w:rsidRPr="00C72258">
        <w:rPr>
          <w:rFonts w:ascii="Arial" w:hAnsi="Arial" w:cs="Arial"/>
          <w:color w:val="auto"/>
          <w:sz w:val="20"/>
          <w:szCs w:val="20"/>
          <w:lang w:val="en-GB"/>
        </w:rPr>
        <w:t xml:space="preserve"> to evidence outputs and outcomes associated with the Service. The evaluation will help to understand the impact of the intervention on those involved, contribute to service delivery and improvement, and inform future conversations around </w:t>
      </w:r>
      <w:r w:rsidR="00F83B8B">
        <w:rPr>
          <w:rFonts w:ascii="Arial" w:hAnsi="Arial" w:cs="Arial"/>
          <w:color w:val="auto"/>
          <w:sz w:val="20"/>
          <w:szCs w:val="20"/>
          <w:lang w:val="en-GB"/>
        </w:rPr>
        <w:t>sustainability</w:t>
      </w:r>
      <w:r w:rsidR="00506051" w:rsidRPr="00C72258">
        <w:rPr>
          <w:rFonts w:ascii="Arial" w:hAnsi="Arial" w:cs="Arial"/>
          <w:color w:val="auto"/>
          <w:sz w:val="20"/>
          <w:szCs w:val="20"/>
          <w:lang w:val="en-GB"/>
        </w:rPr>
        <w:t xml:space="preserve"> and funding. </w:t>
      </w:r>
    </w:p>
    <w:p w14:paraId="5E6ED8AB" w14:textId="77777777" w:rsidR="00506051" w:rsidRPr="00C72258" w:rsidRDefault="00936F57" w:rsidP="00DB303D">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EC733F" w:rsidRPr="00C72258">
        <w:rPr>
          <w:rFonts w:ascii="Arial" w:hAnsi="Arial" w:cs="Arial"/>
          <w:color w:val="auto"/>
          <w:sz w:val="20"/>
          <w:szCs w:val="20"/>
          <w:lang w:val="en-GB"/>
        </w:rPr>
        <w:t>GMCA</w:t>
      </w:r>
      <w:r w:rsidR="00506051" w:rsidRPr="00C72258">
        <w:rPr>
          <w:rFonts w:ascii="Arial" w:hAnsi="Arial" w:cs="Arial"/>
          <w:color w:val="auto"/>
          <w:sz w:val="20"/>
          <w:szCs w:val="20"/>
          <w:lang w:val="en-GB"/>
        </w:rPr>
        <w:t xml:space="preserve"> will explore with the Provider the mechanisms for lawful disclosure of personally identifiable information and non-personally identifiable information for the purposes of the evaluation. The Provider will be the data controller under GDPR for the delivery of the Service and </w:t>
      </w:r>
      <w:r w:rsidR="00EC733F" w:rsidRPr="00C72258">
        <w:rPr>
          <w:rFonts w:ascii="Arial" w:hAnsi="Arial" w:cs="Arial"/>
          <w:color w:val="auto"/>
          <w:sz w:val="20"/>
          <w:szCs w:val="20"/>
          <w:lang w:val="en-GB"/>
        </w:rPr>
        <w:t>GMCA</w:t>
      </w:r>
      <w:r w:rsidR="00506051" w:rsidRPr="00C72258">
        <w:rPr>
          <w:rFonts w:ascii="Arial" w:hAnsi="Arial" w:cs="Arial"/>
          <w:color w:val="auto"/>
          <w:sz w:val="20"/>
          <w:szCs w:val="20"/>
          <w:lang w:val="en-GB"/>
        </w:rPr>
        <w:t xml:space="preserve"> will be </w:t>
      </w:r>
      <w:r w:rsidR="00F83B8B" w:rsidRPr="00C72258">
        <w:rPr>
          <w:rFonts w:ascii="Arial" w:hAnsi="Arial" w:cs="Arial"/>
          <w:color w:val="auto"/>
          <w:sz w:val="20"/>
          <w:szCs w:val="20"/>
          <w:lang w:val="en-GB"/>
        </w:rPr>
        <w:t>the data</w:t>
      </w:r>
      <w:r w:rsidR="00506051" w:rsidRPr="00C72258">
        <w:rPr>
          <w:rFonts w:ascii="Arial" w:hAnsi="Arial" w:cs="Arial"/>
          <w:color w:val="auto"/>
          <w:sz w:val="20"/>
          <w:szCs w:val="20"/>
          <w:lang w:val="en-GB"/>
        </w:rPr>
        <w:t xml:space="preserve"> controller for the purposes of the evaluation. </w:t>
      </w:r>
      <w:r w:rsidR="00EC733F" w:rsidRPr="00C72258">
        <w:rPr>
          <w:rFonts w:ascii="Arial" w:hAnsi="Arial" w:cs="Arial"/>
          <w:color w:val="auto"/>
          <w:sz w:val="20"/>
          <w:szCs w:val="20"/>
          <w:lang w:val="en-GB"/>
        </w:rPr>
        <w:t>GMCA</w:t>
      </w:r>
      <w:r w:rsidR="00506051" w:rsidRPr="00C72258">
        <w:rPr>
          <w:rFonts w:ascii="Arial" w:hAnsi="Arial" w:cs="Arial"/>
          <w:color w:val="auto"/>
          <w:sz w:val="20"/>
          <w:szCs w:val="20"/>
          <w:lang w:val="en-GB"/>
        </w:rPr>
        <w:t xml:space="preserve"> requires the sharing of any PII and </w:t>
      </w:r>
      <w:r w:rsidR="00F83B8B">
        <w:rPr>
          <w:rFonts w:ascii="Arial" w:hAnsi="Arial" w:cs="Arial"/>
          <w:color w:val="auto"/>
          <w:sz w:val="20"/>
          <w:szCs w:val="20"/>
          <w:lang w:val="en-GB"/>
        </w:rPr>
        <w:t xml:space="preserve">GMCA’s </w:t>
      </w:r>
      <w:r w:rsidR="00F83B8B" w:rsidRPr="00C72258">
        <w:rPr>
          <w:rFonts w:ascii="Arial" w:hAnsi="Arial" w:cs="Arial"/>
          <w:color w:val="auto"/>
          <w:sz w:val="20"/>
          <w:szCs w:val="20"/>
          <w:lang w:val="en-GB"/>
        </w:rPr>
        <w:t>role</w:t>
      </w:r>
      <w:r w:rsidR="00EC733F" w:rsidRPr="00C72258">
        <w:rPr>
          <w:rFonts w:ascii="Arial" w:hAnsi="Arial" w:cs="Arial"/>
          <w:color w:val="auto"/>
          <w:sz w:val="20"/>
          <w:szCs w:val="20"/>
          <w:lang w:val="en-GB"/>
        </w:rPr>
        <w:t xml:space="preserve"> </w:t>
      </w:r>
      <w:r w:rsidR="00F83B8B">
        <w:rPr>
          <w:rFonts w:ascii="Arial" w:hAnsi="Arial" w:cs="Arial"/>
          <w:color w:val="auto"/>
          <w:sz w:val="20"/>
          <w:szCs w:val="20"/>
          <w:lang w:val="en-GB"/>
        </w:rPr>
        <w:t xml:space="preserve">must </w:t>
      </w:r>
      <w:r w:rsidR="00F83B8B" w:rsidRPr="00C72258">
        <w:rPr>
          <w:rFonts w:ascii="Arial" w:hAnsi="Arial" w:cs="Arial"/>
          <w:color w:val="auto"/>
          <w:sz w:val="20"/>
          <w:szCs w:val="20"/>
          <w:lang w:val="en-GB"/>
        </w:rPr>
        <w:t>be</w:t>
      </w:r>
      <w:r w:rsidR="00506051" w:rsidRPr="00C72258">
        <w:rPr>
          <w:rFonts w:ascii="Arial" w:hAnsi="Arial" w:cs="Arial"/>
          <w:color w:val="auto"/>
          <w:sz w:val="20"/>
          <w:szCs w:val="20"/>
          <w:lang w:val="en-GB"/>
        </w:rPr>
        <w:t xml:space="preserve"> documented in the Provider’s Data Protection Impact Assessment for the Service</w:t>
      </w:r>
      <w:r w:rsidR="00F83B8B">
        <w:rPr>
          <w:rFonts w:ascii="Arial" w:hAnsi="Arial" w:cs="Arial"/>
          <w:color w:val="auto"/>
          <w:sz w:val="20"/>
          <w:szCs w:val="20"/>
          <w:lang w:val="en-GB"/>
        </w:rPr>
        <w:t>.</w:t>
      </w:r>
      <w:r w:rsidR="00506051" w:rsidRPr="00C72258">
        <w:rPr>
          <w:rFonts w:ascii="Arial" w:hAnsi="Arial" w:cs="Arial"/>
          <w:color w:val="auto"/>
          <w:sz w:val="20"/>
          <w:szCs w:val="20"/>
          <w:lang w:val="en-GB"/>
        </w:rPr>
        <w:t xml:space="preserve"> </w:t>
      </w:r>
    </w:p>
    <w:p w14:paraId="5D7AFD1F" w14:textId="77777777" w:rsidR="00506051" w:rsidRPr="00C72258" w:rsidRDefault="00936F57" w:rsidP="00DB303D">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506051" w:rsidRPr="00C72258">
        <w:rPr>
          <w:rFonts w:ascii="Arial" w:hAnsi="Arial" w:cs="Arial"/>
          <w:color w:val="auto"/>
          <w:sz w:val="20"/>
          <w:szCs w:val="20"/>
          <w:lang w:val="en-GB"/>
        </w:rPr>
        <w:t xml:space="preserve">The Provider will be expected to develop (or already have in place) a suitable case management system to facilitate the recording of data used for service delivery and evaluation, and to collect and share data that can help evidence the impact of the Service. </w:t>
      </w:r>
      <w:r w:rsidR="00EC733F" w:rsidRPr="00C72258">
        <w:rPr>
          <w:rFonts w:ascii="Arial" w:hAnsi="Arial" w:cs="Arial"/>
          <w:color w:val="auto"/>
          <w:sz w:val="20"/>
          <w:szCs w:val="20"/>
          <w:lang w:val="en-GB"/>
        </w:rPr>
        <w:t>GMCA</w:t>
      </w:r>
      <w:r w:rsidR="00506051" w:rsidRPr="00C72258">
        <w:rPr>
          <w:rFonts w:ascii="Arial" w:hAnsi="Arial" w:cs="Arial"/>
          <w:color w:val="auto"/>
          <w:sz w:val="20"/>
          <w:szCs w:val="20"/>
          <w:lang w:val="en-GB"/>
        </w:rPr>
        <w:t xml:space="preserve"> will work with the Provider to continue to define key outcomes and measures for the purposes of this evaluation. Data required is likely to include aggregate or anonymised data on service users, alongside individual level or pseudonymised data (to be shared with </w:t>
      </w:r>
      <w:r w:rsidR="00EC733F" w:rsidRPr="00C72258">
        <w:rPr>
          <w:rFonts w:ascii="Arial" w:hAnsi="Arial" w:cs="Arial"/>
          <w:color w:val="auto"/>
          <w:sz w:val="20"/>
          <w:szCs w:val="20"/>
          <w:lang w:val="en-GB"/>
        </w:rPr>
        <w:t>GMCA</w:t>
      </w:r>
      <w:r w:rsidR="00506051" w:rsidRPr="00C72258">
        <w:rPr>
          <w:rFonts w:ascii="Arial" w:hAnsi="Arial" w:cs="Arial"/>
          <w:color w:val="auto"/>
          <w:sz w:val="20"/>
          <w:szCs w:val="20"/>
          <w:lang w:val="en-GB"/>
        </w:rPr>
        <w:t xml:space="preserve"> via a lawful disclosure). This may include the facilitation of bespoke data collection with service users. </w:t>
      </w:r>
    </w:p>
    <w:p w14:paraId="524D88C5" w14:textId="77777777" w:rsidR="00506051" w:rsidRPr="00C72258" w:rsidRDefault="00936F57" w:rsidP="00DB303D">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506051" w:rsidRPr="00C72258">
        <w:rPr>
          <w:rFonts w:ascii="Arial" w:hAnsi="Arial" w:cs="Arial"/>
          <w:color w:val="auto"/>
          <w:sz w:val="20"/>
          <w:szCs w:val="20"/>
          <w:lang w:val="en-GB"/>
        </w:rPr>
        <w:t xml:space="preserve">Bidders are asked to outline their approach to collecting data for performance-monitoring purposes, and their approach to gathering evidence of outputs and outcomes of their work within their tender submissions. In particular, </w:t>
      </w:r>
      <w:r w:rsidR="00EC733F" w:rsidRPr="00C72258">
        <w:rPr>
          <w:rFonts w:ascii="Arial" w:hAnsi="Arial" w:cs="Arial"/>
          <w:color w:val="auto"/>
          <w:sz w:val="20"/>
          <w:szCs w:val="20"/>
          <w:lang w:val="en-GB"/>
        </w:rPr>
        <w:t>GMCA</w:t>
      </w:r>
      <w:r w:rsidR="00506051" w:rsidRPr="00C72258">
        <w:rPr>
          <w:rFonts w:ascii="Arial" w:hAnsi="Arial" w:cs="Arial"/>
          <w:color w:val="auto"/>
          <w:sz w:val="20"/>
          <w:szCs w:val="20"/>
          <w:lang w:val="en-GB"/>
        </w:rPr>
        <w:t xml:space="preserve"> are keen to evidence any longer-term impact of the Service on the re-victimisation of young people, </w:t>
      </w:r>
      <w:r w:rsidR="00EC733F" w:rsidRPr="00C72258">
        <w:rPr>
          <w:rFonts w:ascii="Arial" w:hAnsi="Arial" w:cs="Arial"/>
          <w:color w:val="auto"/>
          <w:sz w:val="20"/>
          <w:szCs w:val="20"/>
          <w:lang w:val="en-GB"/>
        </w:rPr>
        <w:t>reattendance at hospital and post injury offending</w:t>
      </w:r>
      <w:r w:rsidR="005F76BC">
        <w:rPr>
          <w:rFonts w:ascii="Arial" w:hAnsi="Arial" w:cs="Arial"/>
          <w:color w:val="auto"/>
          <w:sz w:val="20"/>
          <w:szCs w:val="20"/>
          <w:lang w:val="en-GB"/>
        </w:rPr>
        <w:t>.</w:t>
      </w:r>
      <w:r w:rsidR="00506051" w:rsidRPr="00C72258">
        <w:rPr>
          <w:rFonts w:ascii="Arial" w:hAnsi="Arial" w:cs="Arial"/>
          <w:color w:val="auto"/>
          <w:sz w:val="20"/>
          <w:szCs w:val="20"/>
          <w:lang w:val="en-GB"/>
        </w:rPr>
        <w:t xml:space="preserve"> </w:t>
      </w:r>
    </w:p>
    <w:p w14:paraId="0384C6BC" w14:textId="77777777" w:rsidR="00506051" w:rsidRPr="00C72258" w:rsidRDefault="00936F57" w:rsidP="00DB303D">
      <w:pPr>
        <w:pStyle w:val="Heading3"/>
        <w:keepNext w:val="0"/>
        <w:keepLines w:val="0"/>
        <w:numPr>
          <w:ilvl w:val="2"/>
          <w:numId w:val="0"/>
        </w:numPr>
        <w:pBdr>
          <w:top w:val="nil"/>
          <w:left w:val="nil"/>
          <w:bottom w:val="nil"/>
          <w:right w:val="nil"/>
          <w:between w:val="nil"/>
          <w:bar w:val="nil"/>
        </w:pBdr>
        <w:tabs>
          <w:tab w:val="left" w:pos="284"/>
        </w:tabs>
        <w:spacing w:before="0" w:after="120" w:line="264" w:lineRule="auto"/>
        <w:ind w:left="680" w:hanging="680"/>
        <w:rPr>
          <w:rFonts w:ascii="Arial" w:hAnsi="Arial" w:cs="Arial"/>
          <w:color w:val="auto"/>
          <w:sz w:val="20"/>
          <w:szCs w:val="20"/>
          <w:lang w:val="en-GB"/>
        </w:rPr>
      </w:pPr>
      <w:r>
        <w:rPr>
          <w:rFonts w:ascii="Arial" w:hAnsi="Arial" w:cs="Arial"/>
          <w:color w:val="auto"/>
          <w:sz w:val="20"/>
          <w:szCs w:val="20"/>
          <w:lang w:val="en-GB"/>
        </w:rPr>
        <w:t xml:space="preserve">            </w:t>
      </w:r>
      <w:r w:rsidR="00506051" w:rsidRPr="00C72258">
        <w:rPr>
          <w:rFonts w:ascii="Arial" w:hAnsi="Arial" w:cs="Arial"/>
          <w:color w:val="auto"/>
          <w:sz w:val="20"/>
          <w:szCs w:val="20"/>
          <w:lang w:val="en-GB"/>
        </w:rPr>
        <w:t>Any costs that the Provider believes will be associated with the evaluation process (administrative and technical support, staff time etc.) should be included in their bid.</w:t>
      </w:r>
    </w:p>
    <w:p w14:paraId="17C8D39F" w14:textId="77777777" w:rsidR="00D97B42" w:rsidRDefault="00D97B42" w:rsidP="00D97B42">
      <w:pPr>
        <w:ind w:left="396"/>
        <w:jc w:val="center"/>
        <w:rPr>
          <w:rFonts w:cs="Arial"/>
          <w:b/>
          <w:szCs w:val="20"/>
        </w:rPr>
      </w:pPr>
      <w:r>
        <w:rPr>
          <w:rFonts w:cs="Arial"/>
          <w:b/>
          <w:szCs w:val="20"/>
        </w:rPr>
        <w:lastRenderedPageBreak/>
        <w:t>Appendix 1</w:t>
      </w:r>
    </w:p>
    <w:p w14:paraId="0E6B2C84" w14:textId="77777777" w:rsidR="00230C4B" w:rsidRDefault="00230C4B" w:rsidP="00D97B42">
      <w:pPr>
        <w:ind w:left="396"/>
        <w:jc w:val="center"/>
        <w:rPr>
          <w:rFonts w:cs="Arial"/>
          <w:b/>
          <w:szCs w:val="20"/>
        </w:rPr>
      </w:pPr>
    </w:p>
    <w:p w14:paraId="40978ECF" w14:textId="77777777" w:rsidR="00D97B42" w:rsidRDefault="00D97B42" w:rsidP="00DB303D">
      <w:pPr>
        <w:ind w:left="396"/>
        <w:rPr>
          <w:rFonts w:cs="Arial"/>
          <w:b/>
          <w:szCs w:val="20"/>
        </w:rPr>
      </w:pPr>
    </w:p>
    <w:p w14:paraId="114E6049" w14:textId="77777777" w:rsidR="00D97B42" w:rsidRDefault="00D97B42" w:rsidP="00DB303D">
      <w:pPr>
        <w:ind w:left="396"/>
        <w:rPr>
          <w:rFonts w:cs="Arial"/>
          <w:b/>
          <w:szCs w:val="20"/>
        </w:rPr>
      </w:pPr>
      <w:r>
        <w:rPr>
          <w:rFonts w:cs="Arial"/>
          <w:b/>
          <w:szCs w:val="20"/>
        </w:rPr>
        <w:t>Key partners (across each of the three pilot areas)</w:t>
      </w:r>
    </w:p>
    <w:p w14:paraId="06D09622" w14:textId="77777777" w:rsidR="00D97B42" w:rsidRDefault="00D97B42" w:rsidP="00DB303D">
      <w:pPr>
        <w:ind w:left="396"/>
        <w:rPr>
          <w:rFonts w:cs="Arial"/>
          <w:b/>
          <w:szCs w:val="20"/>
        </w:rPr>
      </w:pPr>
    </w:p>
    <w:p w14:paraId="0B1C4004" w14:textId="77777777" w:rsidR="00D97B42" w:rsidRDefault="00D97B42" w:rsidP="00DB303D">
      <w:pPr>
        <w:ind w:left="396"/>
        <w:rPr>
          <w:rFonts w:cs="Arial"/>
          <w:szCs w:val="20"/>
        </w:rPr>
      </w:pPr>
    </w:p>
    <w:p w14:paraId="55D08CA1" w14:textId="77777777" w:rsidR="00D97B42" w:rsidRPr="00230C4B" w:rsidRDefault="00D97B42" w:rsidP="00230C4B">
      <w:pPr>
        <w:pStyle w:val="ListParagraph"/>
        <w:numPr>
          <w:ilvl w:val="0"/>
          <w:numId w:val="16"/>
        </w:numPr>
        <w:rPr>
          <w:rFonts w:cs="Arial"/>
          <w:szCs w:val="20"/>
        </w:rPr>
      </w:pPr>
      <w:r w:rsidRPr="00230C4B">
        <w:rPr>
          <w:rFonts w:cs="Arial"/>
          <w:szCs w:val="20"/>
        </w:rPr>
        <w:t>Greater Manchester Combined Authority</w:t>
      </w:r>
    </w:p>
    <w:p w14:paraId="3CAFD8A7" w14:textId="77777777" w:rsidR="00D97B42" w:rsidRPr="00230C4B" w:rsidRDefault="00D97B42" w:rsidP="00230C4B">
      <w:pPr>
        <w:pStyle w:val="ListParagraph"/>
        <w:numPr>
          <w:ilvl w:val="0"/>
          <w:numId w:val="16"/>
        </w:numPr>
        <w:rPr>
          <w:rFonts w:cs="Arial"/>
          <w:szCs w:val="20"/>
        </w:rPr>
      </w:pPr>
      <w:r w:rsidRPr="00230C4B">
        <w:rPr>
          <w:rFonts w:cs="Arial"/>
          <w:szCs w:val="20"/>
        </w:rPr>
        <w:t>Violence Reduction Unit</w:t>
      </w:r>
      <w:r w:rsidR="00126740">
        <w:rPr>
          <w:rFonts w:cs="Arial"/>
          <w:szCs w:val="20"/>
        </w:rPr>
        <w:t xml:space="preserve"> (and agencies represented within)</w:t>
      </w:r>
    </w:p>
    <w:p w14:paraId="4117422E" w14:textId="77777777" w:rsidR="00D97B42" w:rsidRDefault="00D97B42" w:rsidP="00230C4B">
      <w:pPr>
        <w:pStyle w:val="ListParagraph"/>
        <w:numPr>
          <w:ilvl w:val="0"/>
          <w:numId w:val="16"/>
        </w:numPr>
        <w:rPr>
          <w:rFonts w:cs="Arial"/>
          <w:szCs w:val="20"/>
        </w:rPr>
      </w:pPr>
      <w:r w:rsidRPr="00230C4B">
        <w:rPr>
          <w:rFonts w:cs="Arial"/>
          <w:szCs w:val="20"/>
        </w:rPr>
        <w:t>NHS Trusts</w:t>
      </w:r>
      <w:r w:rsidR="00126740">
        <w:rPr>
          <w:rFonts w:cs="Arial"/>
          <w:szCs w:val="20"/>
        </w:rPr>
        <w:t xml:space="preserve">  (Primary / Secondary care)</w:t>
      </w:r>
    </w:p>
    <w:p w14:paraId="3452AB70" w14:textId="77777777" w:rsidR="00EB692B" w:rsidRPr="00230C4B" w:rsidRDefault="00EB692B" w:rsidP="00230C4B">
      <w:pPr>
        <w:pStyle w:val="ListParagraph"/>
        <w:numPr>
          <w:ilvl w:val="0"/>
          <w:numId w:val="16"/>
        </w:numPr>
        <w:rPr>
          <w:rFonts w:cs="Arial"/>
          <w:szCs w:val="20"/>
        </w:rPr>
      </w:pPr>
      <w:r>
        <w:rPr>
          <w:rFonts w:cs="Arial"/>
          <w:szCs w:val="20"/>
        </w:rPr>
        <w:t>Communities</w:t>
      </w:r>
    </w:p>
    <w:p w14:paraId="6287C186" w14:textId="77777777" w:rsidR="00D97B42" w:rsidRDefault="00D97B42" w:rsidP="00230C4B">
      <w:pPr>
        <w:pStyle w:val="ListParagraph"/>
        <w:numPr>
          <w:ilvl w:val="0"/>
          <w:numId w:val="16"/>
        </w:numPr>
        <w:rPr>
          <w:rFonts w:cs="Arial"/>
          <w:szCs w:val="20"/>
        </w:rPr>
      </w:pPr>
      <w:r w:rsidRPr="00230C4B">
        <w:rPr>
          <w:rFonts w:cs="Arial"/>
          <w:szCs w:val="20"/>
        </w:rPr>
        <w:t>Youth Justice</w:t>
      </w:r>
    </w:p>
    <w:p w14:paraId="0D1829B8" w14:textId="77777777" w:rsidR="00EB692B" w:rsidRPr="00230C4B" w:rsidRDefault="00EB692B" w:rsidP="00230C4B">
      <w:pPr>
        <w:pStyle w:val="ListParagraph"/>
        <w:numPr>
          <w:ilvl w:val="0"/>
          <w:numId w:val="16"/>
        </w:numPr>
        <w:rPr>
          <w:rFonts w:cs="Arial"/>
          <w:szCs w:val="20"/>
        </w:rPr>
      </w:pPr>
      <w:r>
        <w:rPr>
          <w:rFonts w:cs="Arial"/>
          <w:szCs w:val="20"/>
        </w:rPr>
        <w:t>Youth Services</w:t>
      </w:r>
    </w:p>
    <w:p w14:paraId="73052ADE" w14:textId="77777777" w:rsidR="00D97B42" w:rsidRPr="00230C4B" w:rsidRDefault="00D97B42" w:rsidP="00230C4B">
      <w:pPr>
        <w:pStyle w:val="ListParagraph"/>
        <w:numPr>
          <w:ilvl w:val="0"/>
          <w:numId w:val="16"/>
        </w:numPr>
        <w:rPr>
          <w:rFonts w:cs="Arial"/>
          <w:szCs w:val="20"/>
        </w:rPr>
      </w:pPr>
      <w:r w:rsidRPr="00230C4B">
        <w:rPr>
          <w:rFonts w:cs="Arial"/>
          <w:szCs w:val="20"/>
        </w:rPr>
        <w:t xml:space="preserve">Children’s Services </w:t>
      </w:r>
    </w:p>
    <w:p w14:paraId="284A7B3D" w14:textId="77777777" w:rsidR="00D97B42" w:rsidRPr="00230C4B" w:rsidRDefault="00D97B42" w:rsidP="00230C4B">
      <w:pPr>
        <w:pStyle w:val="ListParagraph"/>
        <w:numPr>
          <w:ilvl w:val="0"/>
          <w:numId w:val="16"/>
        </w:numPr>
        <w:rPr>
          <w:rFonts w:cs="Arial"/>
          <w:szCs w:val="20"/>
        </w:rPr>
      </w:pPr>
      <w:r w:rsidRPr="00230C4B">
        <w:rPr>
          <w:rFonts w:cs="Arial"/>
          <w:szCs w:val="20"/>
        </w:rPr>
        <w:t>Social Services</w:t>
      </w:r>
    </w:p>
    <w:p w14:paraId="4C669EEA" w14:textId="77777777" w:rsidR="001F0102" w:rsidRPr="00230C4B" w:rsidRDefault="001F0102" w:rsidP="00230C4B">
      <w:pPr>
        <w:pStyle w:val="ListParagraph"/>
        <w:numPr>
          <w:ilvl w:val="0"/>
          <w:numId w:val="16"/>
        </w:numPr>
        <w:rPr>
          <w:rFonts w:cs="Arial"/>
          <w:szCs w:val="20"/>
        </w:rPr>
      </w:pPr>
      <w:r w:rsidRPr="00230C4B">
        <w:rPr>
          <w:rFonts w:cs="Arial"/>
          <w:szCs w:val="20"/>
        </w:rPr>
        <w:t xml:space="preserve">Local Authority Public Service Reform Hubs </w:t>
      </w:r>
    </w:p>
    <w:p w14:paraId="17EB42FD" w14:textId="77777777" w:rsidR="00D97B42" w:rsidRPr="00230C4B" w:rsidRDefault="00D97B42" w:rsidP="00230C4B">
      <w:pPr>
        <w:pStyle w:val="ListParagraph"/>
        <w:numPr>
          <w:ilvl w:val="0"/>
          <w:numId w:val="16"/>
        </w:numPr>
        <w:rPr>
          <w:rFonts w:cs="Arial"/>
          <w:szCs w:val="20"/>
        </w:rPr>
      </w:pPr>
      <w:r w:rsidRPr="00230C4B">
        <w:rPr>
          <w:rFonts w:cs="Arial"/>
          <w:szCs w:val="20"/>
        </w:rPr>
        <w:t>Community Safety Partnerships</w:t>
      </w:r>
    </w:p>
    <w:p w14:paraId="37759E6E" w14:textId="77777777" w:rsidR="00D97B42" w:rsidRPr="00230C4B" w:rsidRDefault="00D97B42" w:rsidP="00230C4B">
      <w:pPr>
        <w:pStyle w:val="ListParagraph"/>
        <w:numPr>
          <w:ilvl w:val="0"/>
          <w:numId w:val="16"/>
        </w:numPr>
        <w:rPr>
          <w:rFonts w:cs="Arial"/>
          <w:szCs w:val="20"/>
        </w:rPr>
      </w:pPr>
      <w:r w:rsidRPr="00230C4B">
        <w:rPr>
          <w:rFonts w:cs="Arial"/>
          <w:szCs w:val="20"/>
        </w:rPr>
        <w:t>Victim Support</w:t>
      </w:r>
    </w:p>
    <w:p w14:paraId="364BB67B" w14:textId="77777777" w:rsidR="00D97B42" w:rsidRPr="00230C4B" w:rsidRDefault="00D97B42" w:rsidP="00230C4B">
      <w:pPr>
        <w:pStyle w:val="ListParagraph"/>
        <w:numPr>
          <w:ilvl w:val="0"/>
          <w:numId w:val="16"/>
        </w:numPr>
        <w:rPr>
          <w:rFonts w:cs="Arial"/>
          <w:szCs w:val="20"/>
        </w:rPr>
      </w:pPr>
      <w:r w:rsidRPr="00230C4B">
        <w:rPr>
          <w:rFonts w:cs="Arial"/>
          <w:szCs w:val="20"/>
        </w:rPr>
        <w:t>Greater Manchester Victim Coordinators</w:t>
      </w:r>
    </w:p>
    <w:p w14:paraId="11A46254" w14:textId="77777777" w:rsidR="00D97B42" w:rsidRPr="00230C4B" w:rsidRDefault="00D97B42" w:rsidP="00230C4B">
      <w:pPr>
        <w:pStyle w:val="ListParagraph"/>
        <w:numPr>
          <w:ilvl w:val="0"/>
          <w:numId w:val="16"/>
        </w:numPr>
        <w:rPr>
          <w:rFonts w:cs="Arial"/>
          <w:szCs w:val="20"/>
        </w:rPr>
      </w:pPr>
      <w:r w:rsidRPr="00230C4B">
        <w:rPr>
          <w:rFonts w:cs="Arial"/>
          <w:szCs w:val="20"/>
        </w:rPr>
        <w:t>Identified academic partners</w:t>
      </w:r>
    </w:p>
    <w:p w14:paraId="6A5CFB97" w14:textId="77777777" w:rsidR="00D97B42" w:rsidRPr="00230C4B" w:rsidRDefault="00D97B42" w:rsidP="00230C4B">
      <w:pPr>
        <w:pStyle w:val="ListParagraph"/>
        <w:numPr>
          <w:ilvl w:val="0"/>
          <w:numId w:val="16"/>
        </w:numPr>
        <w:rPr>
          <w:rFonts w:cs="Arial"/>
          <w:szCs w:val="20"/>
        </w:rPr>
      </w:pPr>
      <w:r w:rsidRPr="00230C4B">
        <w:rPr>
          <w:rFonts w:cs="Arial"/>
          <w:szCs w:val="20"/>
        </w:rPr>
        <w:t>Probation</w:t>
      </w:r>
    </w:p>
    <w:p w14:paraId="0C2CD036" w14:textId="77777777" w:rsidR="00D97B42" w:rsidRPr="00230C4B" w:rsidRDefault="00D97B42" w:rsidP="00230C4B">
      <w:pPr>
        <w:pStyle w:val="ListParagraph"/>
        <w:numPr>
          <w:ilvl w:val="0"/>
          <w:numId w:val="16"/>
        </w:numPr>
        <w:rPr>
          <w:rFonts w:cs="Arial"/>
          <w:szCs w:val="20"/>
        </w:rPr>
      </w:pPr>
      <w:r w:rsidRPr="00230C4B">
        <w:rPr>
          <w:rFonts w:cs="Arial"/>
          <w:szCs w:val="20"/>
        </w:rPr>
        <w:t>Education</w:t>
      </w:r>
    </w:p>
    <w:p w14:paraId="2E3C60DD" w14:textId="77777777" w:rsidR="00D97B42" w:rsidRPr="00230C4B" w:rsidRDefault="00D97B42" w:rsidP="00230C4B">
      <w:pPr>
        <w:pStyle w:val="ListParagraph"/>
        <w:numPr>
          <w:ilvl w:val="0"/>
          <w:numId w:val="16"/>
        </w:numPr>
        <w:rPr>
          <w:rFonts w:cs="Arial"/>
          <w:szCs w:val="20"/>
        </w:rPr>
      </w:pPr>
      <w:r w:rsidRPr="00230C4B">
        <w:rPr>
          <w:rFonts w:cs="Arial"/>
          <w:szCs w:val="20"/>
        </w:rPr>
        <w:t>Designated safeguarding leads</w:t>
      </w:r>
    </w:p>
    <w:p w14:paraId="5D5CCF6E" w14:textId="77777777" w:rsidR="00D97B42" w:rsidRPr="00230C4B" w:rsidRDefault="00D97B42" w:rsidP="00230C4B">
      <w:pPr>
        <w:pStyle w:val="ListParagraph"/>
        <w:numPr>
          <w:ilvl w:val="0"/>
          <w:numId w:val="16"/>
        </w:numPr>
        <w:rPr>
          <w:rFonts w:cs="Arial"/>
          <w:szCs w:val="20"/>
        </w:rPr>
      </w:pPr>
      <w:r w:rsidRPr="00230C4B">
        <w:rPr>
          <w:rFonts w:cs="Arial"/>
          <w:szCs w:val="20"/>
        </w:rPr>
        <w:t>Community and Voluntary sector</w:t>
      </w:r>
    </w:p>
    <w:p w14:paraId="4C8EA44C" w14:textId="77777777" w:rsidR="00D97B42" w:rsidRDefault="00D97B42" w:rsidP="00230C4B">
      <w:pPr>
        <w:pStyle w:val="ListParagraph"/>
        <w:numPr>
          <w:ilvl w:val="0"/>
          <w:numId w:val="16"/>
        </w:numPr>
        <w:rPr>
          <w:rFonts w:cs="Arial"/>
          <w:szCs w:val="20"/>
        </w:rPr>
      </w:pPr>
      <w:r w:rsidRPr="00230C4B">
        <w:rPr>
          <w:rFonts w:cs="Arial"/>
          <w:szCs w:val="20"/>
        </w:rPr>
        <w:t>Greater Manchester Police</w:t>
      </w:r>
    </w:p>
    <w:p w14:paraId="1741E2AF" w14:textId="77777777" w:rsidR="00D97B42" w:rsidRPr="00230C4B" w:rsidRDefault="00D97B42" w:rsidP="00230C4B">
      <w:pPr>
        <w:pStyle w:val="ListParagraph"/>
        <w:numPr>
          <w:ilvl w:val="0"/>
          <w:numId w:val="16"/>
        </w:numPr>
        <w:rPr>
          <w:rFonts w:cs="Arial"/>
          <w:szCs w:val="20"/>
        </w:rPr>
      </w:pPr>
      <w:r w:rsidRPr="00230C4B">
        <w:rPr>
          <w:rFonts w:cs="Arial"/>
          <w:szCs w:val="20"/>
        </w:rPr>
        <w:t>North West Ambulance Service</w:t>
      </w:r>
    </w:p>
    <w:p w14:paraId="55A21CB4" w14:textId="77777777" w:rsidR="001F0102" w:rsidRPr="00230C4B" w:rsidRDefault="00D97B42" w:rsidP="00230C4B">
      <w:pPr>
        <w:pStyle w:val="ListParagraph"/>
        <w:numPr>
          <w:ilvl w:val="0"/>
          <w:numId w:val="16"/>
        </w:numPr>
        <w:rPr>
          <w:rFonts w:cs="Arial"/>
          <w:szCs w:val="20"/>
        </w:rPr>
      </w:pPr>
      <w:r w:rsidRPr="00230C4B">
        <w:rPr>
          <w:rFonts w:cs="Arial"/>
          <w:szCs w:val="20"/>
        </w:rPr>
        <w:t>Greater Manchester Police Custody Interventions team</w:t>
      </w:r>
    </w:p>
    <w:p w14:paraId="47340A05" w14:textId="77777777" w:rsidR="001F0102" w:rsidRDefault="001F0102" w:rsidP="00230C4B">
      <w:pPr>
        <w:pStyle w:val="ListParagraph"/>
        <w:numPr>
          <w:ilvl w:val="0"/>
          <w:numId w:val="16"/>
        </w:numPr>
        <w:rPr>
          <w:rFonts w:cs="Arial"/>
          <w:szCs w:val="20"/>
        </w:rPr>
      </w:pPr>
      <w:r w:rsidRPr="00230C4B">
        <w:rPr>
          <w:rFonts w:cs="Arial"/>
          <w:szCs w:val="20"/>
        </w:rPr>
        <w:t>Drug and Alcohol Services</w:t>
      </w:r>
    </w:p>
    <w:p w14:paraId="3271397C" w14:textId="77777777" w:rsidR="00126740" w:rsidRPr="00230C4B" w:rsidRDefault="00126740" w:rsidP="00230C4B">
      <w:pPr>
        <w:pStyle w:val="ListParagraph"/>
        <w:numPr>
          <w:ilvl w:val="0"/>
          <w:numId w:val="16"/>
        </w:numPr>
        <w:rPr>
          <w:rFonts w:cs="Arial"/>
          <w:szCs w:val="20"/>
        </w:rPr>
      </w:pPr>
      <w:r>
        <w:rPr>
          <w:rFonts w:cs="Arial"/>
          <w:szCs w:val="20"/>
        </w:rPr>
        <w:t>Mental health services</w:t>
      </w:r>
    </w:p>
    <w:p w14:paraId="3CB71174" w14:textId="77777777" w:rsidR="001F0102" w:rsidRPr="00230C4B" w:rsidRDefault="001F0102" w:rsidP="00230C4B">
      <w:pPr>
        <w:pStyle w:val="ListParagraph"/>
        <w:numPr>
          <w:ilvl w:val="0"/>
          <w:numId w:val="16"/>
        </w:numPr>
        <w:rPr>
          <w:rFonts w:cs="Arial"/>
          <w:szCs w:val="20"/>
        </w:rPr>
      </w:pPr>
      <w:r w:rsidRPr="00230C4B">
        <w:rPr>
          <w:rFonts w:cs="Arial"/>
          <w:szCs w:val="20"/>
        </w:rPr>
        <w:t>Specialised GMCA / Local Authority commissioned services (domestic / sexual)</w:t>
      </w:r>
    </w:p>
    <w:p w14:paraId="56256CF3" w14:textId="77777777" w:rsidR="00D97B42" w:rsidRDefault="001F0102" w:rsidP="00DB303D">
      <w:pPr>
        <w:ind w:left="396"/>
        <w:rPr>
          <w:rFonts w:cs="Arial"/>
          <w:szCs w:val="20"/>
        </w:rPr>
      </w:pPr>
      <w:r>
        <w:rPr>
          <w:rFonts w:cs="Arial"/>
          <w:szCs w:val="20"/>
        </w:rPr>
        <w:t xml:space="preserve">  </w:t>
      </w:r>
      <w:r w:rsidR="00D97B42">
        <w:rPr>
          <w:rFonts w:cs="Arial"/>
          <w:szCs w:val="20"/>
        </w:rPr>
        <w:t xml:space="preserve">   </w:t>
      </w:r>
    </w:p>
    <w:p w14:paraId="74D19000" w14:textId="77777777" w:rsidR="00D97B42" w:rsidRDefault="00D97B42" w:rsidP="00DB303D">
      <w:pPr>
        <w:ind w:left="396"/>
        <w:rPr>
          <w:rFonts w:cs="Arial"/>
          <w:szCs w:val="20"/>
        </w:rPr>
      </w:pPr>
    </w:p>
    <w:p w14:paraId="268E3528" w14:textId="77777777" w:rsidR="00D97B42" w:rsidRPr="00D97B42" w:rsidRDefault="00D97B42" w:rsidP="00DB303D">
      <w:pPr>
        <w:ind w:left="396"/>
        <w:rPr>
          <w:rFonts w:cs="Arial"/>
          <w:szCs w:val="20"/>
        </w:rPr>
      </w:pPr>
    </w:p>
    <w:p w14:paraId="3899FB66" w14:textId="77777777" w:rsidR="00D97B42" w:rsidRPr="00C72258" w:rsidRDefault="00D97B42" w:rsidP="00DB303D">
      <w:pPr>
        <w:ind w:left="396"/>
        <w:rPr>
          <w:rFonts w:cs="Arial"/>
          <w:b/>
          <w:szCs w:val="20"/>
        </w:rPr>
      </w:pPr>
    </w:p>
    <w:sectPr w:rsidR="00D97B42" w:rsidRPr="00C72258" w:rsidSect="00E86266">
      <w:headerReference w:type="default" r:id="rId21"/>
      <w:footerReference w:type="default" r:id="rId22"/>
      <w:headerReference w:type="first" r:id="rId23"/>
      <w:footerReference w:type="first" r:id="rId24"/>
      <w:pgSz w:w="11906" w:h="16838" w:code="9"/>
      <w:pgMar w:top="1843" w:right="1134" w:bottom="1259" w:left="1134" w:header="227" w:footer="1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4E47D" w14:textId="77777777" w:rsidR="001D0BC2" w:rsidRDefault="001D0BC2">
      <w:r>
        <w:separator/>
      </w:r>
    </w:p>
  </w:endnote>
  <w:endnote w:type="continuationSeparator" w:id="0">
    <w:p w14:paraId="02DA2A52" w14:textId="77777777" w:rsidR="001D0BC2" w:rsidRDefault="001D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7AC7FFFF" w:usb2="00000012" w:usb3="00000000" w:csb0="0002000D" w:csb1="00000000"/>
  </w:font>
  <w:font w:name="Foundry Form Sans">
    <w:altName w:val="Bell MT"/>
    <w:charset w:val="00"/>
    <w:family w:val="auto"/>
    <w:pitch w:val="variable"/>
    <w:sig w:usb0="0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082320"/>
      <w:docPartObj>
        <w:docPartGallery w:val="Page Numbers (Bottom of Page)"/>
        <w:docPartUnique/>
      </w:docPartObj>
    </w:sdtPr>
    <w:sdtEndPr>
      <w:rPr>
        <w:noProof/>
      </w:rPr>
    </w:sdtEndPr>
    <w:sdtContent>
      <w:p w14:paraId="77E08BD1" w14:textId="77777777" w:rsidR="0039169A" w:rsidRDefault="0039169A">
        <w:pPr>
          <w:pStyle w:val="Footer"/>
          <w:jc w:val="right"/>
        </w:pPr>
        <w:r>
          <w:fldChar w:fldCharType="begin"/>
        </w:r>
        <w:r>
          <w:instrText xml:space="preserve"> PAGE   \* MERGEFORMAT </w:instrText>
        </w:r>
        <w:r>
          <w:fldChar w:fldCharType="separate"/>
        </w:r>
        <w:r w:rsidR="00B26E7C">
          <w:rPr>
            <w:noProof/>
          </w:rPr>
          <w:t>16</w:t>
        </w:r>
        <w:r>
          <w:rPr>
            <w:noProof/>
          </w:rPr>
          <w:fldChar w:fldCharType="end"/>
        </w:r>
      </w:p>
    </w:sdtContent>
  </w:sdt>
  <w:p w14:paraId="7C60BDF1" w14:textId="77777777" w:rsidR="0039169A" w:rsidRDefault="00391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EAD45" w14:textId="77777777" w:rsidR="0039169A" w:rsidRDefault="0039169A">
    <w:pPr>
      <w:pStyle w:val="Footer"/>
      <w:rPr>
        <w:color w:val="4F81BD" w:themeColor="accent1"/>
      </w:rPr>
    </w:pPr>
    <w:r>
      <w:rPr>
        <w:noProof/>
        <w:color w:val="4F81BD" w:themeColor="accent1"/>
        <w:lang w:val="en-GB" w:eastAsia="en-GB"/>
      </w:rPr>
      <mc:AlternateContent>
        <mc:Choice Requires="wps">
          <w:drawing>
            <wp:anchor distT="0" distB="0" distL="114300" distR="114300" simplePos="0" relativeHeight="251657728" behindDoc="0" locked="0" layoutInCell="1" allowOverlap="1" wp14:anchorId="5AB9580D" wp14:editId="1373E46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392843A"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David Gilbride   Violence Reduction Unit   </w:t>
    </w:r>
  </w:p>
  <w:p w14:paraId="45AA0C27" w14:textId="77777777" w:rsidR="0039169A" w:rsidRDefault="0039169A">
    <w:pPr>
      <w:pStyle w:val="Footer"/>
    </w:pPr>
    <w:r>
      <w:rPr>
        <w:color w:val="4F81BD" w:themeColor="accent1"/>
      </w:rPr>
      <w:t>Version 1 - Oct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0C1F2" w14:textId="77777777" w:rsidR="001D0BC2" w:rsidRDefault="001D0BC2">
      <w:r>
        <w:separator/>
      </w:r>
    </w:p>
  </w:footnote>
  <w:footnote w:type="continuationSeparator" w:id="0">
    <w:p w14:paraId="4B7BBD1B" w14:textId="77777777" w:rsidR="001D0BC2" w:rsidRDefault="001D0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FC8BD" w14:textId="77777777" w:rsidR="0039169A" w:rsidRDefault="0039169A" w:rsidP="00F2377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618B8" w14:textId="77777777" w:rsidR="0039169A" w:rsidRDefault="0039169A" w:rsidP="002D11BD">
    <w:pPr>
      <w:pStyle w:val="Header"/>
      <w:jc w:val="center"/>
    </w:pPr>
    <w:r>
      <w:rPr>
        <w:noProof/>
        <w:lang w:val="en-GB" w:eastAsia="en-GB"/>
      </w:rPr>
      <w:drawing>
        <wp:anchor distT="0" distB="0" distL="114300" distR="114300" simplePos="0" relativeHeight="251656704" behindDoc="0" locked="0" layoutInCell="1" allowOverlap="1" wp14:anchorId="77661336" wp14:editId="21FBFA2D">
          <wp:simplePos x="0" y="0"/>
          <wp:positionH relativeFrom="column">
            <wp:posOffset>3524250</wp:posOffset>
          </wp:positionH>
          <wp:positionV relativeFrom="page">
            <wp:posOffset>361950</wp:posOffset>
          </wp:positionV>
          <wp:extent cx="2721610" cy="841375"/>
          <wp:effectExtent l="0" t="0" r="2540" b="0"/>
          <wp:wrapSquare wrapText="bothSides"/>
          <wp:docPr id="2" name="Picture 2" descr="GMCA Black logo expa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CA Black logo expand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1610" cy="841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24700"/>
    <w:multiLevelType w:val="hybridMultilevel"/>
    <w:tmpl w:val="25DCB6D8"/>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1" w15:restartNumberingAfterBreak="0">
    <w:nsid w:val="0FB00339"/>
    <w:multiLevelType w:val="hybridMultilevel"/>
    <w:tmpl w:val="C142A94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D7E39"/>
    <w:multiLevelType w:val="hybridMultilevel"/>
    <w:tmpl w:val="18362E4A"/>
    <w:lvl w:ilvl="0" w:tplc="46269012">
      <w:start w:val="1"/>
      <w:numFmt w:val="bullet"/>
      <w:pStyle w:val="Bulletlist1"/>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 w15:restartNumberingAfterBreak="0">
    <w:nsid w:val="1C161D30"/>
    <w:multiLevelType w:val="hybridMultilevel"/>
    <w:tmpl w:val="CE82D6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pStyle w:val="BodyTex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1409E"/>
    <w:multiLevelType w:val="multilevel"/>
    <w:tmpl w:val="60BC7BA2"/>
    <w:lvl w:ilvl="0">
      <w:start w:val="1"/>
      <w:numFmt w:val="decimal"/>
      <w:lvlText w:val="%1"/>
      <w:lvlJc w:val="left"/>
      <w:pPr>
        <w:ind w:left="720" w:hanging="720"/>
      </w:pPr>
      <w:rPr>
        <w:rFonts w:hint="default"/>
      </w:rPr>
    </w:lvl>
    <w:lvl w:ilvl="1">
      <w:start w:val="1"/>
      <w:numFmt w:val="decimal"/>
      <w:lvlText w:val="%1.%2"/>
      <w:lvlJc w:val="right"/>
      <w:pPr>
        <w:ind w:left="720"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6858AE"/>
    <w:multiLevelType w:val="hybridMultilevel"/>
    <w:tmpl w:val="A6CA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47337"/>
    <w:multiLevelType w:val="hybridMultilevel"/>
    <w:tmpl w:val="9DB6F0EA"/>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528D5"/>
    <w:multiLevelType w:val="hybridMultilevel"/>
    <w:tmpl w:val="803C1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1148F3"/>
    <w:multiLevelType w:val="hybridMultilevel"/>
    <w:tmpl w:val="C20A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1D4C26"/>
    <w:multiLevelType w:val="multilevel"/>
    <w:tmpl w:val="2766B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F07191"/>
    <w:multiLevelType w:val="hybridMultilevel"/>
    <w:tmpl w:val="E5AEED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D665AA"/>
    <w:multiLevelType w:val="multilevel"/>
    <w:tmpl w:val="FA3C7218"/>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8F1821"/>
    <w:multiLevelType w:val="hybridMultilevel"/>
    <w:tmpl w:val="F4AE3C08"/>
    <w:lvl w:ilvl="0" w:tplc="94CA9D0A">
      <w:start w:val="1"/>
      <w:numFmt w:val="bullet"/>
      <w:lvlText w:val=""/>
      <w:lvlJc w:val="left"/>
      <w:pPr>
        <w:ind w:left="1490" w:hanging="360"/>
      </w:pPr>
      <w:rPr>
        <w:rFonts w:ascii="Wingdings" w:hAnsi="Wingdings" w:hint="default"/>
      </w:rPr>
    </w:lvl>
    <w:lvl w:ilvl="1" w:tplc="49966734">
      <w:start w:val="1"/>
      <w:numFmt w:val="bullet"/>
      <w:lvlText w:val=""/>
      <w:lvlJc w:val="left"/>
      <w:pPr>
        <w:ind w:left="2210" w:hanging="360"/>
      </w:pPr>
      <w:rPr>
        <w:rFonts w:ascii="Wingdings" w:hAnsi="Wingdings" w:hint="default"/>
      </w:rPr>
    </w:lvl>
    <w:lvl w:ilvl="2" w:tplc="08090005">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3" w15:restartNumberingAfterBreak="0">
    <w:nsid w:val="5BC2764C"/>
    <w:multiLevelType w:val="hybridMultilevel"/>
    <w:tmpl w:val="2938D4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04E671B"/>
    <w:multiLevelType w:val="hybridMultilevel"/>
    <w:tmpl w:val="85B4CE8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BE2725"/>
    <w:multiLevelType w:val="hybridMultilevel"/>
    <w:tmpl w:val="E92C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0F4D63"/>
    <w:multiLevelType w:val="hybridMultilevel"/>
    <w:tmpl w:val="C43A9662"/>
    <w:lvl w:ilvl="0" w:tplc="6512F9E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9E5AC4"/>
    <w:multiLevelType w:val="hybridMultilevel"/>
    <w:tmpl w:val="8B34D3FA"/>
    <w:lvl w:ilvl="0" w:tplc="60FE53A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3"/>
  </w:num>
  <w:num w:numId="5">
    <w:abstractNumId w:val="11"/>
  </w:num>
  <w:num w:numId="6">
    <w:abstractNumId w:val="15"/>
  </w:num>
  <w:num w:numId="7">
    <w:abstractNumId w:val="5"/>
  </w:num>
  <w:num w:numId="8">
    <w:abstractNumId w:val="6"/>
  </w:num>
  <w:num w:numId="9">
    <w:abstractNumId w:val="2"/>
  </w:num>
  <w:num w:numId="10">
    <w:abstractNumId w:val="12"/>
  </w:num>
  <w:num w:numId="11">
    <w:abstractNumId w:val="10"/>
  </w:num>
  <w:num w:numId="12">
    <w:abstractNumId w:val="17"/>
  </w:num>
  <w:num w:numId="13">
    <w:abstractNumId w:val="7"/>
  </w:num>
  <w:num w:numId="14">
    <w:abstractNumId w:val="9"/>
  </w:num>
  <w:num w:numId="15">
    <w:abstractNumId w:val="4"/>
  </w:num>
  <w:num w:numId="16">
    <w:abstractNumId w:val="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DF"/>
    <w:rsid w:val="00010422"/>
    <w:rsid w:val="000144A3"/>
    <w:rsid w:val="0001698F"/>
    <w:rsid w:val="00020781"/>
    <w:rsid w:val="0002619B"/>
    <w:rsid w:val="00026379"/>
    <w:rsid w:val="0004268B"/>
    <w:rsid w:val="00064666"/>
    <w:rsid w:val="00074CD5"/>
    <w:rsid w:val="00077625"/>
    <w:rsid w:val="00097132"/>
    <w:rsid w:val="000A0818"/>
    <w:rsid w:val="000D7C88"/>
    <w:rsid w:val="000E3586"/>
    <w:rsid w:val="000E6AB6"/>
    <w:rsid w:val="00120E0C"/>
    <w:rsid w:val="00122ED7"/>
    <w:rsid w:val="00122F73"/>
    <w:rsid w:val="00126740"/>
    <w:rsid w:val="0014481C"/>
    <w:rsid w:val="001726A2"/>
    <w:rsid w:val="001833B8"/>
    <w:rsid w:val="001863C2"/>
    <w:rsid w:val="001B1B5F"/>
    <w:rsid w:val="001B7BE9"/>
    <w:rsid w:val="001D0BC2"/>
    <w:rsid w:val="001D3866"/>
    <w:rsid w:val="001D71A8"/>
    <w:rsid w:val="001E08A4"/>
    <w:rsid w:val="001F0102"/>
    <w:rsid w:val="001F0D62"/>
    <w:rsid w:val="00200C8B"/>
    <w:rsid w:val="00205C39"/>
    <w:rsid w:val="00230C4B"/>
    <w:rsid w:val="002350F1"/>
    <w:rsid w:val="0024200B"/>
    <w:rsid w:val="00252A78"/>
    <w:rsid w:val="00253E63"/>
    <w:rsid w:val="00263471"/>
    <w:rsid w:val="00264D10"/>
    <w:rsid w:val="00264D55"/>
    <w:rsid w:val="00270961"/>
    <w:rsid w:val="00277518"/>
    <w:rsid w:val="00277B00"/>
    <w:rsid w:val="00284BB9"/>
    <w:rsid w:val="002D11BD"/>
    <w:rsid w:val="002D5039"/>
    <w:rsid w:val="002F2EAF"/>
    <w:rsid w:val="002F3EC6"/>
    <w:rsid w:val="002F5254"/>
    <w:rsid w:val="002F5501"/>
    <w:rsid w:val="00310575"/>
    <w:rsid w:val="00316421"/>
    <w:rsid w:val="00323C8F"/>
    <w:rsid w:val="00325419"/>
    <w:rsid w:val="00325821"/>
    <w:rsid w:val="00330B2C"/>
    <w:rsid w:val="00334568"/>
    <w:rsid w:val="00340DE4"/>
    <w:rsid w:val="003475CB"/>
    <w:rsid w:val="0035764B"/>
    <w:rsid w:val="0036434A"/>
    <w:rsid w:val="00373229"/>
    <w:rsid w:val="00390C24"/>
    <w:rsid w:val="0039169A"/>
    <w:rsid w:val="00392583"/>
    <w:rsid w:val="003926A2"/>
    <w:rsid w:val="003B41DD"/>
    <w:rsid w:val="003C2B5F"/>
    <w:rsid w:val="003C3F5F"/>
    <w:rsid w:val="003C62A0"/>
    <w:rsid w:val="003D0068"/>
    <w:rsid w:val="003D368B"/>
    <w:rsid w:val="003D7EC6"/>
    <w:rsid w:val="003E546A"/>
    <w:rsid w:val="00407311"/>
    <w:rsid w:val="00412019"/>
    <w:rsid w:val="00423216"/>
    <w:rsid w:val="00442B4C"/>
    <w:rsid w:val="004564A1"/>
    <w:rsid w:val="00460011"/>
    <w:rsid w:val="004625E4"/>
    <w:rsid w:val="004630F8"/>
    <w:rsid w:val="004876F7"/>
    <w:rsid w:val="004A2751"/>
    <w:rsid w:val="004C1A52"/>
    <w:rsid w:val="004C3BC5"/>
    <w:rsid w:val="004C4B95"/>
    <w:rsid w:val="004C7733"/>
    <w:rsid w:val="004D5654"/>
    <w:rsid w:val="004F6B05"/>
    <w:rsid w:val="00506051"/>
    <w:rsid w:val="00511D55"/>
    <w:rsid w:val="0052097B"/>
    <w:rsid w:val="00521912"/>
    <w:rsid w:val="00526440"/>
    <w:rsid w:val="005365FD"/>
    <w:rsid w:val="00554FFF"/>
    <w:rsid w:val="005661E0"/>
    <w:rsid w:val="0059340E"/>
    <w:rsid w:val="00593D22"/>
    <w:rsid w:val="005D64AC"/>
    <w:rsid w:val="005F1DD0"/>
    <w:rsid w:val="005F1F72"/>
    <w:rsid w:val="005F5B0A"/>
    <w:rsid w:val="005F76BC"/>
    <w:rsid w:val="00603AA3"/>
    <w:rsid w:val="00607AA0"/>
    <w:rsid w:val="006146E1"/>
    <w:rsid w:val="00630C73"/>
    <w:rsid w:val="00631E29"/>
    <w:rsid w:val="0064032B"/>
    <w:rsid w:val="00642CE5"/>
    <w:rsid w:val="00650ECE"/>
    <w:rsid w:val="0065483A"/>
    <w:rsid w:val="0066308E"/>
    <w:rsid w:val="0066678E"/>
    <w:rsid w:val="00677956"/>
    <w:rsid w:val="0068113C"/>
    <w:rsid w:val="006827B1"/>
    <w:rsid w:val="00691E6F"/>
    <w:rsid w:val="00697C5F"/>
    <w:rsid w:val="006A1F56"/>
    <w:rsid w:val="006C134A"/>
    <w:rsid w:val="006C25AC"/>
    <w:rsid w:val="006D0B6C"/>
    <w:rsid w:val="006D2E2F"/>
    <w:rsid w:val="006E230E"/>
    <w:rsid w:val="00721794"/>
    <w:rsid w:val="007219AC"/>
    <w:rsid w:val="00744E7F"/>
    <w:rsid w:val="0075248F"/>
    <w:rsid w:val="00754D10"/>
    <w:rsid w:val="007555FA"/>
    <w:rsid w:val="007660A2"/>
    <w:rsid w:val="00771980"/>
    <w:rsid w:val="00783F69"/>
    <w:rsid w:val="007841DC"/>
    <w:rsid w:val="007B211B"/>
    <w:rsid w:val="007C37F6"/>
    <w:rsid w:val="007E30A0"/>
    <w:rsid w:val="007F24C1"/>
    <w:rsid w:val="0081699E"/>
    <w:rsid w:val="008307D0"/>
    <w:rsid w:val="0083472B"/>
    <w:rsid w:val="0084275B"/>
    <w:rsid w:val="00844A8F"/>
    <w:rsid w:val="00856D1D"/>
    <w:rsid w:val="00861495"/>
    <w:rsid w:val="00871CBE"/>
    <w:rsid w:val="00877023"/>
    <w:rsid w:val="008824E7"/>
    <w:rsid w:val="00890B52"/>
    <w:rsid w:val="008A1BAF"/>
    <w:rsid w:val="008A76A7"/>
    <w:rsid w:val="008B469D"/>
    <w:rsid w:val="008F1F15"/>
    <w:rsid w:val="00906360"/>
    <w:rsid w:val="00921539"/>
    <w:rsid w:val="00925EA1"/>
    <w:rsid w:val="00936F57"/>
    <w:rsid w:val="00961FE3"/>
    <w:rsid w:val="00962BB6"/>
    <w:rsid w:val="00967E8E"/>
    <w:rsid w:val="009812F8"/>
    <w:rsid w:val="00990B97"/>
    <w:rsid w:val="00995273"/>
    <w:rsid w:val="00996B90"/>
    <w:rsid w:val="009E6C6A"/>
    <w:rsid w:val="00A00A34"/>
    <w:rsid w:val="00A00CA8"/>
    <w:rsid w:val="00A23553"/>
    <w:rsid w:val="00A3249B"/>
    <w:rsid w:val="00A60DE1"/>
    <w:rsid w:val="00A818A0"/>
    <w:rsid w:val="00A96AB9"/>
    <w:rsid w:val="00AA0383"/>
    <w:rsid w:val="00AA0B1D"/>
    <w:rsid w:val="00AD4B86"/>
    <w:rsid w:val="00AD6895"/>
    <w:rsid w:val="00AE0229"/>
    <w:rsid w:val="00AE37AA"/>
    <w:rsid w:val="00B0163B"/>
    <w:rsid w:val="00B07582"/>
    <w:rsid w:val="00B23296"/>
    <w:rsid w:val="00B26E7C"/>
    <w:rsid w:val="00B33976"/>
    <w:rsid w:val="00B43079"/>
    <w:rsid w:val="00B725B8"/>
    <w:rsid w:val="00B72AAE"/>
    <w:rsid w:val="00B90E6B"/>
    <w:rsid w:val="00B930C9"/>
    <w:rsid w:val="00B94189"/>
    <w:rsid w:val="00B94CEF"/>
    <w:rsid w:val="00BA1C10"/>
    <w:rsid w:val="00BA69BC"/>
    <w:rsid w:val="00BC4008"/>
    <w:rsid w:val="00BE79C1"/>
    <w:rsid w:val="00BF3942"/>
    <w:rsid w:val="00BF3EF8"/>
    <w:rsid w:val="00BF5DD1"/>
    <w:rsid w:val="00C40E79"/>
    <w:rsid w:val="00C60EC0"/>
    <w:rsid w:val="00C61A6E"/>
    <w:rsid w:val="00C716EF"/>
    <w:rsid w:val="00C72258"/>
    <w:rsid w:val="00C72CCF"/>
    <w:rsid w:val="00C7743F"/>
    <w:rsid w:val="00CA113D"/>
    <w:rsid w:val="00CA6B15"/>
    <w:rsid w:val="00CB65EA"/>
    <w:rsid w:val="00CF3C0F"/>
    <w:rsid w:val="00CF6523"/>
    <w:rsid w:val="00D20224"/>
    <w:rsid w:val="00D24459"/>
    <w:rsid w:val="00D2487E"/>
    <w:rsid w:val="00D34BC1"/>
    <w:rsid w:val="00D515E6"/>
    <w:rsid w:val="00D57332"/>
    <w:rsid w:val="00D603EA"/>
    <w:rsid w:val="00D6686D"/>
    <w:rsid w:val="00D71ED6"/>
    <w:rsid w:val="00D80342"/>
    <w:rsid w:val="00D86A33"/>
    <w:rsid w:val="00D92AC3"/>
    <w:rsid w:val="00D92D53"/>
    <w:rsid w:val="00D97B42"/>
    <w:rsid w:val="00DB303D"/>
    <w:rsid w:val="00DC1542"/>
    <w:rsid w:val="00DE29C5"/>
    <w:rsid w:val="00DF4495"/>
    <w:rsid w:val="00DF7F72"/>
    <w:rsid w:val="00E110F2"/>
    <w:rsid w:val="00E52B4F"/>
    <w:rsid w:val="00E540FB"/>
    <w:rsid w:val="00E550FC"/>
    <w:rsid w:val="00E57C89"/>
    <w:rsid w:val="00E62B9E"/>
    <w:rsid w:val="00E8398D"/>
    <w:rsid w:val="00E86266"/>
    <w:rsid w:val="00E8685C"/>
    <w:rsid w:val="00E87999"/>
    <w:rsid w:val="00E87F41"/>
    <w:rsid w:val="00E92BB8"/>
    <w:rsid w:val="00EA28E6"/>
    <w:rsid w:val="00EB692B"/>
    <w:rsid w:val="00EC4D02"/>
    <w:rsid w:val="00EC733F"/>
    <w:rsid w:val="00EE6D43"/>
    <w:rsid w:val="00F05ADC"/>
    <w:rsid w:val="00F13E10"/>
    <w:rsid w:val="00F21CF2"/>
    <w:rsid w:val="00F23778"/>
    <w:rsid w:val="00F46DDF"/>
    <w:rsid w:val="00F47D4C"/>
    <w:rsid w:val="00F7227D"/>
    <w:rsid w:val="00F77580"/>
    <w:rsid w:val="00F829FB"/>
    <w:rsid w:val="00F83B8B"/>
    <w:rsid w:val="00F842EB"/>
    <w:rsid w:val="00F91DEF"/>
    <w:rsid w:val="00FA6EB8"/>
    <w:rsid w:val="00FB53E5"/>
    <w:rsid w:val="00FC46C7"/>
    <w:rsid w:val="00FD672F"/>
    <w:rsid w:val="00FE4BB2"/>
    <w:rsid w:val="00FE566A"/>
    <w:rsid w:val="00FE71CB"/>
    <w:rsid w:val="00FF0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DFD78"/>
  <w15:docId w15:val="{05844E55-DC3D-46B3-A18F-E3F101E9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956"/>
    <w:rPr>
      <w:rFonts w:ascii="Arial" w:hAnsi="Arial"/>
      <w:szCs w:val="24"/>
      <w:lang w:val="en-US" w:eastAsia="en-US"/>
    </w:rPr>
  </w:style>
  <w:style w:type="paragraph" w:styleId="Heading1">
    <w:name w:val="heading 1"/>
    <w:basedOn w:val="Normal"/>
    <w:next w:val="Normal"/>
    <w:qFormat/>
    <w:rsid w:val="00677956"/>
    <w:pPr>
      <w:keepNext/>
      <w:outlineLvl w:val="0"/>
    </w:pPr>
    <w:rPr>
      <w:b/>
      <w:bCs/>
    </w:rPr>
  </w:style>
  <w:style w:type="paragraph" w:styleId="Heading2">
    <w:name w:val="heading 2"/>
    <w:basedOn w:val="Normal"/>
    <w:next w:val="Normal"/>
    <w:qFormat/>
    <w:rsid w:val="00677956"/>
    <w:pPr>
      <w:keepNext/>
      <w:spacing w:line="228" w:lineRule="auto"/>
      <w:outlineLvl w:val="1"/>
    </w:pPr>
    <w:rPr>
      <w:b/>
      <w:bCs/>
      <w:sz w:val="18"/>
    </w:rPr>
  </w:style>
  <w:style w:type="paragraph" w:styleId="Heading3">
    <w:name w:val="heading 3"/>
    <w:basedOn w:val="Normal"/>
    <w:next w:val="Normal"/>
    <w:link w:val="Heading3Char"/>
    <w:unhideWhenUsed/>
    <w:qFormat/>
    <w:rsid w:val="00077625"/>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7956"/>
    <w:rPr>
      <w:color w:val="0000FF"/>
      <w:u w:val="single"/>
    </w:rPr>
  </w:style>
  <w:style w:type="character" w:styleId="FollowedHyperlink">
    <w:name w:val="FollowedHyperlink"/>
    <w:rsid w:val="00677956"/>
    <w:rPr>
      <w:color w:val="800080"/>
      <w:u w:val="single"/>
    </w:rPr>
  </w:style>
  <w:style w:type="paragraph" w:styleId="Header">
    <w:name w:val="header"/>
    <w:basedOn w:val="Normal"/>
    <w:rsid w:val="00677956"/>
    <w:pPr>
      <w:tabs>
        <w:tab w:val="center" w:pos="4153"/>
        <w:tab w:val="right" w:pos="8306"/>
      </w:tabs>
    </w:pPr>
  </w:style>
  <w:style w:type="paragraph" w:styleId="Footer">
    <w:name w:val="footer"/>
    <w:basedOn w:val="Normal"/>
    <w:link w:val="FooterChar"/>
    <w:uiPriority w:val="99"/>
    <w:rsid w:val="00677956"/>
    <w:pPr>
      <w:tabs>
        <w:tab w:val="center" w:pos="4153"/>
        <w:tab w:val="right" w:pos="8306"/>
      </w:tabs>
    </w:pPr>
  </w:style>
  <w:style w:type="character" w:styleId="Strong">
    <w:name w:val="Strong"/>
    <w:uiPriority w:val="22"/>
    <w:qFormat/>
    <w:rsid w:val="000E6AB6"/>
    <w:rPr>
      <w:b/>
      <w:bCs/>
      <w:color w:val="6B96AD"/>
    </w:rPr>
  </w:style>
  <w:style w:type="table" w:styleId="TableGrid">
    <w:name w:val="Table Grid"/>
    <w:basedOn w:val="TableNormal"/>
    <w:uiPriority w:val="39"/>
    <w:rsid w:val="002F5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1542"/>
    <w:rPr>
      <w:rFonts w:ascii="Tahoma" w:hAnsi="Tahoma" w:cs="Tahoma"/>
      <w:sz w:val="16"/>
      <w:szCs w:val="16"/>
    </w:rPr>
  </w:style>
  <w:style w:type="character" w:customStyle="1" w:styleId="FooterChar">
    <w:name w:val="Footer Char"/>
    <w:basedOn w:val="DefaultParagraphFont"/>
    <w:link w:val="Footer"/>
    <w:uiPriority w:val="99"/>
    <w:rsid w:val="00316421"/>
    <w:rPr>
      <w:rFonts w:ascii="Arial" w:hAnsi="Arial"/>
      <w:szCs w:val="24"/>
      <w:lang w:val="en-US" w:eastAsia="en-US"/>
    </w:rPr>
  </w:style>
  <w:style w:type="paragraph" w:customStyle="1" w:styleId="Body">
    <w:name w:val="Body"/>
    <w:autoRedefine/>
    <w:rsid w:val="00316421"/>
    <w:pPr>
      <w:tabs>
        <w:tab w:val="left" w:pos="709"/>
        <w:tab w:val="left" w:pos="1417"/>
        <w:tab w:val="left" w:pos="2126"/>
        <w:tab w:val="left" w:pos="2835"/>
        <w:tab w:val="left" w:pos="3543"/>
        <w:tab w:val="left" w:pos="4252"/>
        <w:tab w:val="left" w:pos="4961"/>
        <w:tab w:val="left" w:pos="5669"/>
        <w:tab w:val="left" w:pos="6378"/>
        <w:tab w:val="left" w:pos="7087"/>
        <w:tab w:val="left" w:pos="7795"/>
      </w:tabs>
    </w:pPr>
    <w:rPr>
      <w:rFonts w:ascii="Arial" w:eastAsia="ヒラギノ角ゴ Pro W3" w:hAnsi="Arial" w:cs="Arial"/>
      <w:bCs/>
      <w:color w:val="000000"/>
      <w:sz w:val="24"/>
      <w:szCs w:val="24"/>
    </w:rPr>
  </w:style>
  <w:style w:type="paragraph" w:styleId="BodyText">
    <w:name w:val="Body Text"/>
    <w:aliases w:val="Body Text2,Body Text Char2 Char,Body Text Char Char1 Char,Body Text2 Char Char1 Char,Body Text Char1 Char Char Char,Body Text2 Char1 Char Char Char,Body Text Char Char Char Char Char,Body Text2 Char Char Char Char Char,bt"/>
    <w:basedOn w:val="Normal"/>
    <w:link w:val="BodyTextChar1"/>
    <w:rsid w:val="00316421"/>
    <w:pPr>
      <w:numPr>
        <w:ilvl w:val="1"/>
        <w:numId w:val="4"/>
      </w:numPr>
      <w:spacing w:after="120" w:line="288" w:lineRule="auto"/>
      <w:ind w:right="-51"/>
      <w:jc w:val="both"/>
    </w:pPr>
    <w:rPr>
      <w:color w:val="000000"/>
      <w:sz w:val="22"/>
      <w:szCs w:val="18"/>
      <w:lang w:val="en-GB"/>
    </w:rPr>
  </w:style>
  <w:style w:type="character" w:customStyle="1" w:styleId="BodyTextChar">
    <w:name w:val="Body Text Char"/>
    <w:basedOn w:val="DefaultParagraphFont"/>
    <w:semiHidden/>
    <w:rsid w:val="00316421"/>
    <w:rPr>
      <w:rFonts w:ascii="Arial" w:hAnsi="Arial"/>
      <w:szCs w:val="24"/>
      <w:lang w:val="en-US" w:eastAsia="en-US"/>
    </w:rPr>
  </w:style>
  <w:style w:type="character" w:customStyle="1" w:styleId="BodyTextChar1">
    <w:name w:val="Body Text Char1"/>
    <w:aliases w:val="Body Text2 Char,Body Text Char2 Char Char,Body Text Char Char1 Char Char,Body Text2 Char Char1 Char Char,Body Text Char1 Char Char Char Char,Body Text2 Char1 Char Char Char Char,Body Text Char Char Char Char Char Char,bt Char"/>
    <w:link w:val="BodyText"/>
    <w:locked/>
    <w:rsid w:val="00316421"/>
    <w:rPr>
      <w:rFonts w:ascii="Arial" w:hAnsi="Arial"/>
      <w:color w:val="000000"/>
      <w:sz w:val="22"/>
      <w:szCs w:val="18"/>
      <w:lang w:eastAsia="en-US"/>
    </w:rPr>
  </w:style>
  <w:style w:type="paragraph" w:styleId="ListParagraph">
    <w:name w:val="List Paragraph"/>
    <w:aliases w:val="Sub Paragraph,F5 List Paragraph,List Paragraph1,List Paragraph11,OBC Bullet,List Paragrap,Colorful List - Accent 12,Bullet Styl,Bullet,No Spacing11,L,Párrafo de lista,Recommendation,Recommendati,Recommendatio,List Paragraph3,List Paragra"/>
    <w:basedOn w:val="Normal"/>
    <w:link w:val="ListParagraphChar"/>
    <w:uiPriority w:val="34"/>
    <w:qFormat/>
    <w:rsid w:val="00BF5DD1"/>
    <w:pPr>
      <w:ind w:left="720"/>
      <w:contextualSpacing/>
    </w:pPr>
  </w:style>
  <w:style w:type="character" w:customStyle="1" w:styleId="ListParagraphChar">
    <w:name w:val="List Paragraph Char"/>
    <w:aliases w:val="Sub Paragraph Char,F5 List Paragraph Char,List Paragraph1 Char,List Paragraph11 Char,OBC Bullet Char,List Paragrap Char,Colorful List - Accent 12 Char,Bullet Styl Char,Bullet Char,No Spacing11 Char,L Char,Párrafo de lista Char"/>
    <w:basedOn w:val="DefaultParagraphFont"/>
    <w:link w:val="ListParagraph"/>
    <w:uiPriority w:val="34"/>
    <w:qFormat/>
    <w:rsid w:val="00B94189"/>
    <w:rPr>
      <w:rFonts w:ascii="Arial" w:hAnsi="Arial"/>
      <w:szCs w:val="24"/>
      <w:lang w:val="en-US" w:eastAsia="en-US"/>
    </w:rPr>
  </w:style>
  <w:style w:type="character" w:customStyle="1" w:styleId="Heading3Char">
    <w:name w:val="Heading 3 Char"/>
    <w:basedOn w:val="DefaultParagraphFont"/>
    <w:link w:val="Heading3"/>
    <w:rsid w:val="00077625"/>
    <w:rPr>
      <w:rFonts w:asciiTheme="majorHAnsi" w:eastAsiaTheme="majorEastAsia" w:hAnsiTheme="majorHAnsi" w:cstheme="majorBidi"/>
      <w:color w:val="243F60" w:themeColor="accent1" w:themeShade="7F"/>
      <w:sz w:val="24"/>
      <w:szCs w:val="24"/>
      <w:lang w:val="en-US" w:eastAsia="en-US"/>
    </w:rPr>
  </w:style>
  <w:style w:type="paragraph" w:customStyle="1" w:styleId="Bulletlist1">
    <w:name w:val="Bullet list 1"/>
    <w:basedOn w:val="Normal"/>
    <w:link w:val="Bulletlist1Char"/>
    <w:qFormat/>
    <w:rsid w:val="00077625"/>
    <w:pPr>
      <w:numPr>
        <w:numId w:val="9"/>
      </w:numPr>
      <w:pBdr>
        <w:top w:val="nil"/>
        <w:left w:val="nil"/>
        <w:bottom w:val="nil"/>
        <w:right w:val="nil"/>
        <w:between w:val="nil"/>
        <w:bar w:val="nil"/>
      </w:pBdr>
      <w:spacing w:after="120" w:line="264" w:lineRule="auto"/>
      <w:ind w:left="1077" w:hanging="397"/>
    </w:pPr>
    <w:rPr>
      <w:rFonts w:ascii="Foundry Form Sans" w:eastAsia="Foundry Form Sans" w:hAnsi="Foundry Form Sans" w:cs="Foundry Form Sans"/>
      <w:color w:val="000000"/>
      <w:sz w:val="24"/>
      <w:u w:color="000000"/>
      <w:bdr w:val="nil"/>
    </w:rPr>
  </w:style>
  <w:style w:type="character" w:customStyle="1" w:styleId="Bulletlist1Char">
    <w:name w:val="Bullet list 1 Char"/>
    <w:basedOn w:val="DefaultParagraphFont"/>
    <w:link w:val="Bulletlist1"/>
    <w:rsid w:val="00077625"/>
    <w:rPr>
      <w:rFonts w:ascii="Foundry Form Sans" w:eastAsia="Foundry Form Sans" w:hAnsi="Foundry Form Sans" w:cs="Foundry Form Sans"/>
      <w:color w:val="000000"/>
      <w:sz w:val="24"/>
      <w:szCs w:val="24"/>
      <w:u w:color="000000"/>
      <w:bdr w:val="nil"/>
      <w:lang w:val="en-US" w:eastAsia="en-US"/>
    </w:rPr>
  </w:style>
  <w:style w:type="paragraph" w:styleId="NormalIndent">
    <w:name w:val="Normal Indent"/>
    <w:rsid w:val="00506051"/>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n-US"/>
    </w:rPr>
  </w:style>
  <w:style w:type="paragraph" w:customStyle="1" w:styleId="Bulletlist">
    <w:name w:val="Bullet list"/>
    <w:link w:val="BulletlistChar"/>
    <w:rsid w:val="00506051"/>
    <w:pPr>
      <w:pBdr>
        <w:top w:val="nil"/>
        <w:left w:val="nil"/>
        <w:bottom w:val="nil"/>
        <w:right w:val="nil"/>
        <w:between w:val="nil"/>
        <w:bar w:val="nil"/>
      </w:pBdr>
      <w:spacing w:after="120" w:line="264" w:lineRule="auto"/>
      <w:ind w:left="1531" w:hanging="851"/>
    </w:pPr>
    <w:rPr>
      <w:rFonts w:ascii="Foundry Form Sans" w:eastAsia="Foundry Form Sans" w:hAnsi="Foundry Form Sans" w:cs="Foundry Form Sans"/>
      <w:color w:val="000000"/>
      <w:sz w:val="24"/>
      <w:szCs w:val="24"/>
      <w:u w:color="000000"/>
      <w:bdr w:val="nil"/>
      <w:lang w:val="en-US" w:eastAsia="en-US"/>
    </w:rPr>
  </w:style>
  <w:style w:type="character" w:customStyle="1" w:styleId="BulletlistChar">
    <w:name w:val="Bullet list Char"/>
    <w:basedOn w:val="DefaultParagraphFont"/>
    <w:link w:val="Bulletlist"/>
    <w:rsid w:val="00506051"/>
    <w:rPr>
      <w:rFonts w:ascii="Foundry Form Sans" w:eastAsia="Foundry Form Sans" w:hAnsi="Foundry Form Sans" w:cs="Foundry Form Sans"/>
      <w:color w:val="000000"/>
      <w:sz w:val="24"/>
      <w:szCs w:val="24"/>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47703">
      <w:bodyDiv w:val="1"/>
      <w:marLeft w:val="0"/>
      <w:marRight w:val="0"/>
      <w:marTop w:val="0"/>
      <w:marBottom w:val="0"/>
      <w:divBdr>
        <w:top w:val="none" w:sz="0" w:space="0" w:color="auto"/>
        <w:left w:val="none" w:sz="0" w:space="0" w:color="auto"/>
        <w:bottom w:val="none" w:sz="0" w:space="0" w:color="auto"/>
        <w:right w:val="none" w:sz="0" w:space="0" w:color="auto"/>
      </w:divBdr>
    </w:div>
    <w:div w:id="252052871">
      <w:bodyDiv w:val="1"/>
      <w:marLeft w:val="0"/>
      <w:marRight w:val="0"/>
      <w:marTop w:val="0"/>
      <w:marBottom w:val="0"/>
      <w:divBdr>
        <w:top w:val="none" w:sz="0" w:space="0" w:color="auto"/>
        <w:left w:val="none" w:sz="0" w:space="0" w:color="auto"/>
        <w:bottom w:val="none" w:sz="0" w:space="0" w:color="auto"/>
        <w:right w:val="none" w:sz="0" w:space="0" w:color="auto"/>
      </w:divBdr>
    </w:div>
    <w:div w:id="190166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w3.org/WAI/WCAG2AA-Conformance.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emocracy.greatermanchester-ca.gov.uk/documents/s5362/GM%20Health%20and%20Justice%20Strategy%202020.pdf" TargetMode="External"/><Relationship Id="rId17" Type="http://schemas.openxmlformats.org/officeDocument/2006/relationships/hyperlink" Target="https://mft.nhs.uk/rm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ft.nhs.uk/mri/" TargetMode="External"/><Relationship Id="rId20" Type="http://schemas.openxmlformats.org/officeDocument/2006/relationships/hyperlink" Target="https://www.ukcgc.uk/manual/princip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suu.com/greatermcr/docs/gm_serious_violence_action_pla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rft.nhs.uk/" TargetMode="External"/><Relationship Id="rId23" Type="http://schemas.openxmlformats.org/officeDocument/2006/relationships/header" Target="header2.xml"/><Relationship Id="rId10" Type="http://schemas.openxmlformats.org/officeDocument/2006/relationships/hyperlink" Target="https://www.gov.uk/government/publications/the-code-of-practice-for-victims-of-crime" TargetMode="External"/><Relationship Id="rId19" Type="http://schemas.openxmlformats.org/officeDocument/2006/relationships/hyperlink" Target="https://www.gov.uk/government/publications/guide-to-the-general-data-protection-regulation" TargetMode="External"/><Relationship Id="rId4" Type="http://schemas.openxmlformats.org/officeDocument/2006/relationships/settings" Target="settings.xml"/><Relationship Id="rId9" Type="http://schemas.openxmlformats.org/officeDocument/2006/relationships/hyperlink" Target="https://www.gov.uk/government/publications/serious-violence-strategy" TargetMode="External"/><Relationship Id="rId14" Type="http://schemas.openxmlformats.org/officeDocument/2006/relationships/hyperlink" Target="http://www.boltonft.nhs.uk/locations/royal-bolton-hospital/"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413C6-72C0-4C4F-B76A-1CA75BDB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6167</Words>
  <Characters>35155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Economic Development</vt:lpstr>
    </vt:vector>
  </TitlesOfParts>
  <Company>Hemisphere dmc</Company>
  <LinksUpToDate>false</LinksUpToDate>
  <CharactersWithSpaces>41240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dc:title>
  <dc:creator>Gilbride, David</dc:creator>
  <cp:lastModifiedBy>Whitehead, Jayne</cp:lastModifiedBy>
  <cp:revision>2</cp:revision>
  <cp:lastPrinted>2016-04-21T09:33:00Z</cp:lastPrinted>
  <dcterms:created xsi:type="dcterms:W3CDTF">2020-10-19T14:08:00Z</dcterms:created>
  <dcterms:modified xsi:type="dcterms:W3CDTF">2020-10-19T14:08:00Z</dcterms:modified>
</cp:coreProperties>
</file>